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6E0E2" w14:textId="77777777" w:rsidR="003C583D" w:rsidRPr="003C583D" w:rsidRDefault="003C583D" w:rsidP="003C583D">
      <w:pPr>
        <w:jc w:val="center"/>
        <w:rPr>
          <w:rFonts w:ascii="Arial" w:eastAsia="Calibri" w:hAnsi="Arial" w:cs="Arial"/>
          <w:b/>
          <w:bCs/>
          <w:sz w:val="24"/>
          <w:szCs w:val="24"/>
        </w:rPr>
      </w:pPr>
    </w:p>
    <w:p w14:paraId="7AEB6C8B" w14:textId="77777777" w:rsidR="003C583D" w:rsidRDefault="003C583D" w:rsidP="003C583D">
      <w:pPr>
        <w:spacing w:line="360" w:lineRule="auto"/>
        <w:jc w:val="center"/>
        <w:rPr>
          <w:rFonts w:ascii="Arial" w:eastAsia="Calibri" w:hAnsi="Arial" w:cs="Arial"/>
          <w:b/>
          <w:bCs/>
          <w:sz w:val="24"/>
          <w:szCs w:val="24"/>
        </w:rPr>
      </w:pPr>
    </w:p>
    <w:p w14:paraId="612CF865" w14:textId="77777777" w:rsidR="003C583D" w:rsidRDefault="003C583D" w:rsidP="003C583D">
      <w:pPr>
        <w:spacing w:line="360" w:lineRule="auto"/>
        <w:jc w:val="center"/>
        <w:rPr>
          <w:rFonts w:ascii="Arial" w:eastAsia="Calibri" w:hAnsi="Arial" w:cs="Arial"/>
          <w:b/>
          <w:bCs/>
          <w:sz w:val="24"/>
          <w:szCs w:val="24"/>
        </w:rPr>
      </w:pPr>
    </w:p>
    <w:p w14:paraId="24200B50" w14:textId="77777777" w:rsidR="003C583D" w:rsidRDefault="003C583D" w:rsidP="003C583D">
      <w:pPr>
        <w:spacing w:line="360" w:lineRule="auto"/>
        <w:jc w:val="center"/>
        <w:rPr>
          <w:rFonts w:ascii="Arial" w:eastAsia="Calibri" w:hAnsi="Arial" w:cs="Arial"/>
          <w:b/>
          <w:bCs/>
          <w:sz w:val="24"/>
          <w:szCs w:val="24"/>
        </w:rPr>
      </w:pPr>
    </w:p>
    <w:p w14:paraId="58BA64B5" w14:textId="77777777" w:rsidR="003C583D" w:rsidRDefault="003C583D" w:rsidP="003C583D">
      <w:pPr>
        <w:spacing w:line="360" w:lineRule="auto"/>
        <w:jc w:val="center"/>
        <w:rPr>
          <w:rFonts w:ascii="Arial" w:eastAsia="Calibri" w:hAnsi="Arial" w:cs="Arial"/>
          <w:b/>
          <w:bCs/>
          <w:sz w:val="24"/>
          <w:szCs w:val="24"/>
        </w:rPr>
      </w:pPr>
    </w:p>
    <w:p w14:paraId="4B697F44" w14:textId="77777777" w:rsidR="003C583D" w:rsidRDefault="003C583D" w:rsidP="003C583D">
      <w:pPr>
        <w:spacing w:line="360" w:lineRule="auto"/>
        <w:jc w:val="center"/>
        <w:rPr>
          <w:rFonts w:ascii="Arial" w:eastAsia="Calibri" w:hAnsi="Arial" w:cs="Arial"/>
          <w:b/>
          <w:bCs/>
          <w:sz w:val="24"/>
          <w:szCs w:val="24"/>
        </w:rPr>
      </w:pPr>
    </w:p>
    <w:p w14:paraId="3A90B3C5" w14:textId="77777777" w:rsidR="003C583D" w:rsidRDefault="003C583D" w:rsidP="003C583D">
      <w:pPr>
        <w:spacing w:line="360" w:lineRule="auto"/>
        <w:jc w:val="center"/>
        <w:rPr>
          <w:rFonts w:ascii="Arial" w:eastAsia="Calibri" w:hAnsi="Arial" w:cs="Arial"/>
          <w:b/>
          <w:bCs/>
          <w:sz w:val="24"/>
          <w:szCs w:val="24"/>
        </w:rPr>
      </w:pPr>
    </w:p>
    <w:p w14:paraId="216409B0" w14:textId="77777777" w:rsidR="003C583D" w:rsidRDefault="003C583D" w:rsidP="003C583D">
      <w:pPr>
        <w:spacing w:line="360" w:lineRule="auto"/>
        <w:jc w:val="center"/>
        <w:rPr>
          <w:rFonts w:ascii="Arial" w:eastAsia="Calibri" w:hAnsi="Arial" w:cs="Arial"/>
          <w:b/>
          <w:bCs/>
          <w:sz w:val="24"/>
          <w:szCs w:val="24"/>
        </w:rPr>
      </w:pPr>
    </w:p>
    <w:p w14:paraId="436E09EE" w14:textId="5C4D6D39" w:rsidR="003C583D" w:rsidRPr="003C583D" w:rsidRDefault="003C583D" w:rsidP="003C583D">
      <w:pPr>
        <w:spacing w:line="360" w:lineRule="auto"/>
        <w:jc w:val="center"/>
        <w:rPr>
          <w:rFonts w:ascii="Arial" w:eastAsia="Calibri" w:hAnsi="Arial" w:cs="Arial"/>
          <w:b/>
          <w:bCs/>
          <w:sz w:val="24"/>
          <w:szCs w:val="24"/>
        </w:rPr>
      </w:pPr>
      <w:r w:rsidRPr="003C583D">
        <w:rPr>
          <w:rFonts w:ascii="Arial" w:eastAsia="Calibri" w:hAnsi="Arial" w:cs="Arial"/>
          <w:b/>
          <w:bCs/>
          <w:sz w:val="24"/>
          <w:szCs w:val="24"/>
        </w:rPr>
        <w:t>Does the required skill set of a Food &amp; Beverage employee change, based on the type of business and the type of service that is offered?</w:t>
      </w:r>
    </w:p>
    <w:p w14:paraId="6F7FC267" w14:textId="10AFF21A" w:rsidR="003C583D" w:rsidRDefault="003C583D" w:rsidP="003C583D">
      <w:pPr>
        <w:spacing w:line="360" w:lineRule="auto"/>
        <w:jc w:val="center"/>
        <w:rPr>
          <w:rFonts w:ascii="Arial" w:eastAsia="Calibri" w:hAnsi="Arial" w:cs="Arial"/>
          <w:b/>
          <w:bCs/>
          <w:sz w:val="24"/>
          <w:szCs w:val="24"/>
        </w:rPr>
      </w:pPr>
      <w:r>
        <w:rPr>
          <w:rFonts w:ascii="Arial" w:eastAsia="Calibri" w:hAnsi="Arial" w:cs="Arial"/>
          <w:b/>
          <w:bCs/>
          <w:sz w:val="24"/>
          <w:szCs w:val="24"/>
        </w:rPr>
        <w:t>Student name – Maria Mihaela Hirs</w:t>
      </w:r>
    </w:p>
    <w:p w14:paraId="76E0CF05" w14:textId="78030669" w:rsidR="003C583D" w:rsidRPr="003C583D" w:rsidRDefault="003C583D" w:rsidP="003C583D">
      <w:pPr>
        <w:spacing w:line="360" w:lineRule="auto"/>
        <w:jc w:val="center"/>
        <w:rPr>
          <w:rFonts w:ascii="Arial" w:eastAsia="Calibri" w:hAnsi="Arial" w:cs="Arial"/>
          <w:b/>
          <w:bCs/>
          <w:sz w:val="24"/>
          <w:szCs w:val="24"/>
        </w:rPr>
      </w:pPr>
      <w:r>
        <w:rPr>
          <w:rFonts w:ascii="Arial" w:eastAsia="Calibri" w:hAnsi="Arial" w:cs="Arial"/>
          <w:b/>
          <w:bCs/>
          <w:sz w:val="24"/>
          <w:szCs w:val="24"/>
        </w:rPr>
        <w:t>Student</w:t>
      </w:r>
      <w:r w:rsidR="00185ACF">
        <w:rPr>
          <w:rFonts w:ascii="Arial" w:eastAsia="Calibri" w:hAnsi="Arial" w:cs="Arial"/>
          <w:b/>
          <w:bCs/>
          <w:sz w:val="24"/>
          <w:szCs w:val="24"/>
        </w:rPr>
        <w:t xml:space="preserve"> ID</w:t>
      </w:r>
      <w:r>
        <w:rPr>
          <w:rFonts w:ascii="Arial" w:eastAsia="Calibri" w:hAnsi="Arial" w:cs="Arial"/>
          <w:b/>
          <w:bCs/>
          <w:sz w:val="24"/>
          <w:szCs w:val="24"/>
        </w:rPr>
        <w:t xml:space="preserve"> - 2226556</w:t>
      </w:r>
    </w:p>
    <w:p w14:paraId="30003F31" w14:textId="550C0FC1" w:rsidR="003C583D" w:rsidRDefault="003C583D" w:rsidP="003C583D">
      <w:pPr>
        <w:spacing w:line="360" w:lineRule="auto"/>
        <w:jc w:val="center"/>
        <w:rPr>
          <w:rFonts w:ascii="Arial" w:eastAsia="Calibri" w:hAnsi="Arial" w:cs="Arial"/>
          <w:b/>
          <w:bCs/>
          <w:sz w:val="24"/>
          <w:szCs w:val="24"/>
        </w:rPr>
      </w:pPr>
      <w:r>
        <w:rPr>
          <w:rFonts w:ascii="Arial" w:eastAsia="Calibri" w:hAnsi="Arial" w:cs="Arial"/>
          <w:b/>
          <w:bCs/>
          <w:sz w:val="24"/>
          <w:szCs w:val="24"/>
        </w:rPr>
        <w:t xml:space="preserve">Food and Beverage Operations - </w:t>
      </w:r>
      <w:r w:rsidRPr="003C583D">
        <w:rPr>
          <w:rFonts w:ascii="Arial" w:eastAsia="Calibri" w:hAnsi="Arial" w:cs="Arial"/>
          <w:b/>
          <w:bCs/>
          <w:sz w:val="24"/>
          <w:szCs w:val="24"/>
        </w:rPr>
        <w:t>BMIH4002</w:t>
      </w:r>
    </w:p>
    <w:p w14:paraId="0B8B55CA" w14:textId="5265EFE2" w:rsidR="003C583D" w:rsidRDefault="003C583D" w:rsidP="003C583D">
      <w:pPr>
        <w:spacing w:line="360" w:lineRule="auto"/>
        <w:jc w:val="center"/>
        <w:rPr>
          <w:rFonts w:ascii="Arial" w:eastAsia="Calibri" w:hAnsi="Arial" w:cs="Arial"/>
          <w:b/>
          <w:bCs/>
          <w:sz w:val="24"/>
          <w:szCs w:val="24"/>
        </w:rPr>
      </w:pPr>
      <w:r>
        <w:rPr>
          <w:rFonts w:ascii="Arial" w:eastAsia="Calibri" w:hAnsi="Arial" w:cs="Arial"/>
          <w:b/>
          <w:bCs/>
          <w:sz w:val="24"/>
          <w:szCs w:val="24"/>
        </w:rPr>
        <w:t xml:space="preserve">Module Leader – </w:t>
      </w:r>
      <w:proofErr w:type="spellStart"/>
      <w:r>
        <w:rPr>
          <w:rFonts w:ascii="Arial" w:eastAsia="Calibri" w:hAnsi="Arial" w:cs="Arial"/>
          <w:b/>
          <w:bCs/>
          <w:sz w:val="24"/>
          <w:szCs w:val="24"/>
        </w:rPr>
        <w:t>Jaliya</w:t>
      </w:r>
      <w:proofErr w:type="spellEnd"/>
      <w:r>
        <w:rPr>
          <w:rFonts w:ascii="Arial" w:eastAsia="Calibri" w:hAnsi="Arial" w:cs="Arial"/>
          <w:b/>
          <w:bCs/>
          <w:sz w:val="24"/>
          <w:szCs w:val="24"/>
        </w:rPr>
        <w:t xml:space="preserve"> De Silva</w:t>
      </w:r>
    </w:p>
    <w:p w14:paraId="2DE63BB3" w14:textId="10D2A558" w:rsidR="003C583D" w:rsidRPr="003C583D" w:rsidRDefault="003C583D" w:rsidP="003C583D">
      <w:pPr>
        <w:spacing w:line="360" w:lineRule="auto"/>
        <w:jc w:val="center"/>
        <w:rPr>
          <w:rFonts w:ascii="Arial" w:eastAsia="Calibri" w:hAnsi="Arial" w:cs="Arial"/>
          <w:b/>
          <w:bCs/>
          <w:sz w:val="24"/>
          <w:szCs w:val="24"/>
        </w:rPr>
      </w:pPr>
      <w:r>
        <w:rPr>
          <w:rFonts w:ascii="Arial" w:eastAsia="Calibri" w:hAnsi="Arial" w:cs="Arial"/>
          <w:b/>
          <w:bCs/>
          <w:sz w:val="24"/>
          <w:szCs w:val="24"/>
        </w:rPr>
        <w:t>Word Count - 780</w:t>
      </w:r>
    </w:p>
    <w:p w14:paraId="14850F66" w14:textId="77777777" w:rsidR="003C583D" w:rsidRPr="003C583D" w:rsidRDefault="003C583D" w:rsidP="003C583D">
      <w:pPr>
        <w:jc w:val="center"/>
        <w:rPr>
          <w:rFonts w:ascii="Calibri" w:eastAsia="Calibri" w:hAnsi="Calibri" w:cs="Times New Roman"/>
          <w:b/>
          <w:bCs/>
        </w:rPr>
      </w:pPr>
    </w:p>
    <w:p w14:paraId="4FAC724D" w14:textId="77777777" w:rsidR="003C583D" w:rsidRPr="003C583D" w:rsidRDefault="003C583D" w:rsidP="003C583D">
      <w:pPr>
        <w:jc w:val="center"/>
        <w:rPr>
          <w:rFonts w:ascii="Calibri" w:eastAsia="Calibri" w:hAnsi="Calibri" w:cs="Times New Roman"/>
          <w:b/>
          <w:bCs/>
        </w:rPr>
      </w:pPr>
    </w:p>
    <w:p w14:paraId="25A9E14C" w14:textId="77777777" w:rsidR="003C583D" w:rsidRPr="003C583D" w:rsidRDefault="003C583D" w:rsidP="003C583D">
      <w:pPr>
        <w:jc w:val="center"/>
        <w:rPr>
          <w:rFonts w:ascii="Calibri" w:eastAsia="Calibri" w:hAnsi="Calibri" w:cs="Times New Roman"/>
          <w:b/>
          <w:bCs/>
        </w:rPr>
      </w:pPr>
    </w:p>
    <w:p w14:paraId="0134D49D" w14:textId="77777777" w:rsidR="003C583D" w:rsidRPr="003C583D" w:rsidRDefault="003C583D" w:rsidP="003C583D">
      <w:pPr>
        <w:jc w:val="center"/>
        <w:rPr>
          <w:rFonts w:ascii="Calibri" w:eastAsia="Calibri" w:hAnsi="Calibri" w:cs="Times New Roman"/>
          <w:b/>
          <w:bCs/>
        </w:rPr>
      </w:pPr>
    </w:p>
    <w:p w14:paraId="62CD40C2" w14:textId="77777777" w:rsidR="003C583D" w:rsidRPr="003C583D" w:rsidRDefault="003C583D" w:rsidP="003C583D">
      <w:pPr>
        <w:jc w:val="center"/>
        <w:rPr>
          <w:rFonts w:ascii="Calibri" w:eastAsia="Calibri" w:hAnsi="Calibri" w:cs="Times New Roman"/>
          <w:b/>
          <w:bCs/>
        </w:rPr>
      </w:pPr>
    </w:p>
    <w:p w14:paraId="773A3561" w14:textId="77777777" w:rsidR="003C583D" w:rsidRPr="003C583D" w:rsidRDefault="003C583D" w:rsidP="003C583D">
      <w:pPr>
        <w:jc w:val="center"/>
        <w:rPr>
          <w:rFonts w:ascii="Calibri" w:eastAsia="Calibri" w:hAnsi="Calibri" w:cs="Times New Roman"/>
          <w:b/>
          <w:bCs/>
        </w:rPr>
      </w:pPr>
    </w:p>
    <w:p w14:paraId="0F1ECCEB" w14:textId="77777777" w:rsidR="003C583D" w:rsidRPr="003C583D" w:rsidRDefault="003C583D" w:rsidP="003C583D">
      <w:pPr>
        <w:jc w:val="center"/>
        <w:rPr>
          <w:rFonts w:ascii="Calibri" w:eastAsia="Calibri" w:hAnsi="Calibri" w:cs="Times New Roman"/>
          <w:b/>
          <w:bCs/>
        </w:rPr>
      </w:pPr>
    </w:p>
    <w:p w14:paraId="2BA7FE75" w14:textId="77777777" w:rsidR="003C583D" w:rsidRPr="003C583D" w:rsidRDefault="003C583D" w:rsidP="003C583D">
      <w:pPr>
        <w:jc w:val="center"/>
        <w:rPr>
          <w:rFonts w:ascii="Calibri" w:eastAsia="Calibri" w:hAnsi="Calibri" w:cs="Times New Roman"/>
          <w:b/>
          <w:bCs/>
        </w:rPr>
      </w:pPr>
    </w:p>
    <w:p w14:paraId="66D992FC" w14:textId="77777777" w:rsidR="003C583D" w:rsidRPr="003C583D" w:rsidRDefault="003C583D" w:rsidP="003C583D">
      <w:pPr>
        <w:jc w:val="center"/>
        <w:rPr>
          <w:rFonts w:ascii="Calibri" w:eastAsia="Calibri" w:hAnsi="Calibri" w:cs="Times New Roman"/>
          <w:b/>
          <w:bCs/>
        </w:rPr>
      </w:pPr>
    </w:p>
    <w:p w14:paraId="43E8CE80" w14:textId="77777777" w:rsidR="003C583D" w:rsidRPr="003C583D" w:rsidRDefault="003C583D" w:rsidP="003C583D">
      <w:pPr>
        <w:jc w:val="center"/>
        <w:rPr>
          <w:rFonts w:ascii="Calibri" w:eastAsia="Calibri" w:hAnsi="Calibri" w:cs="Times New Roman"/>
          <w:b/>
          <w:bCs/>
        </w:rPr>
      </w:pPr>
    </w:p>
    <w:p w14:paraId="0F89FE16" w14:textId="77777777" w:rsidR="003C583D" w:rsidRDefault="003C583D" w:rsidP="003C583D">
      <w:pPr>
        <w:spacing w:line="360" w:lineRule="auto"/>
        <w:jc w:val="both"/>
        <w:rPr>
          <w:rFonts w:ascii="Calibri" w:eastAsia="Calibri" w:hAnsi="Calibri" w:cs="Times New Roman"/>
          <w:b/>
          <w:bCs/>
        </w:rPr>
      </w:pPr>
    </w:p>
    <w:p w14:paraId="4C6F2427" w14:textId="15D46095" w:rsidR="003C583D" w:rsidRPr="003C583D" w:rsidRDefault="003C583D" w:rsidP="003C583D">
      <w:pPr>
        <w:spacing w:line="360" w:lineRule="auto"/>
        <w:jc w:val="both"/>
        <w:rPr>
          <w:rFonts w:ascii="Arial" w:eastAsia="Calibri" w:hAnsi="Arial" w:cs="Arial"/>
          <w:sz w:val="24"/>
          <w:szCs w:val="24"/>
        </w:rPr>
      </w:pPr>
      <w:r w:rsidRPr="003C583D">
        <w:rPr>
          <w:rFonts w:ascii="Arial" w:eastAsia="Calibri" w:hAnsi="Arial" w:cs="Arial"/>
          <w:sz w:val="24"/>
          <w:szCs w:val="24"/>
        </w:rPr>
        <w:lastRenderedPageBreak/>
        <w:t>The skill set for a food and beverage employee varies greatly even though face value the role of head waiter has the same name and pretty much the same description. We are going to look at the role of head waiter in an all you can eat buffet type of restaurant and the same role in a high-end restaurant.</w:t>
      </w:r>
    </w:p>
    <w:p w14:paraId="5ECAC82E" w14:textId="77777777" w:rsidR="003C583D" w:rsidRPr="003C583D" w:rsidRDefault="003C583D" w:rsidP="003C583D">
      <w:pPr>
        <w:spacing w:line="360" w:lineRule="auto"/>
        <w:jc w:val="both"/>
        <w:rPr>
          <w:rFonts w:ascii="Arial" w:eastAsia="Calibri" w:hAnsi="Arial" w:cs="Arial"/>
          <w:sz w:val="24"/>
          <w:szCs w:val="24"/>
        </w:rPr>
      </w:pPr>
      <w:r w:rsidRPr="003C583D">
        <w:rPr>
          <w:rFonts w:ascii="Arial" w:eastAsia="Calibri" w:hAnsi="Arial" w:cs="Arial"/>
          <w:sz w:val="24"/>
          <w:szCs w:val="24"/>
        </w:rPr>
        <w:t xml:space="preserve">Both businesses offer the same service to </w:t>
      </w:r>
      <w:proofErr w:type="spellStart"/>
      <w:r w:rsidRPr="003C583D">
        <w:rPr>
          <w:rFonts w:ascii="Arial" w:eastAsia="Calibri" w:hAnsi="Arial" w:cs="Arial"/>
          <w:sz w:val="24"/>
          <w:szCs w:val="24"/>
        </w:rPr>
        <w:t>costumers</w:t>
      </w:r>
      <w:proofErr w:type="spellEnd"/>
      <w:r w:rsidRPr="003C583D">
        <w:rPr>
          <w:rFonts w:ascii="Arial" w:eastAsia="Calibri" w:hAnsi="Arial" w:cs="Arial"/>
          <w:sz w:val="24"/>
          <w:szCs w:val="24"/>
        </w:rPr>
        <w:t xml:space="preserve"> but use two totally different approaches in satisfying the customer needs thus the skill set required for the head waiter are tailored in line with the needs of the business they are working for and the expectation of the customers those businesses cater for. The service provided is a process flow that encompasses the experience the customer has in their interaction with the business.</w:t>
      </w:r>
      <w:r w:rsidRPr="003C583D">
        <w:rPr>
          <w:rFonts w:ascii="Arial" w:eastAsia="Calibri" w:hAnsi="Arial" w:cs="Arial"/>
          <w:sz w:val="24"/>
          <w:szCs w:val="24"/>
          <w:vertAlign w:val="superscript"/>
        </w:rPr>
        <w:footnoteReference w:id="1"/>
      </w:r>
    </w:p>
    <w:p w14:paraId="246E68A6" w14:textId="77777777" w:rsidR="003C583D" w:rsidRPr="003C583D" w:rsidRDefault="003C583D" w:rsidP="003C583D">
      <w:pPr>
        <w:spacing w:line="360" w:lineRule="auto"/>
        <w:jc w:val="both"/>
        <w:rPr>
          <w:rFonts w:ascii="Arial" w:eastAsia="Calibri" w:hAnsi="Arial" w:cs="Arial"/>
          <w:sz w:val="24"/>
          <w:szCs w:val="24"/>
        </w:rPr>
      </w:pPr>
      <w:r w:rsidRPr="003C583D">
        <w:rPr>
          <w:rFonts w:ascii="Arial" w:eastAsia="Calibri" w:hAnsi="Arial" w:cs="Arial"/>
          <w:sz w:val="24"/>
          <w:szCs w:val="24"/>
        </w:rPr>
        <w:t>The head waiter in a buffet restaurant greets customers, explains the pricing brackets for different areas of the business, goes through the food offer and how the buffet works, finds a suitable seating for the customer, offers the drinks menu and passes on the details to a server that takes over and interacts with the customer.</w:t>
      </w:r>
    </w:p>
    <w:p w14:paraId="3AB17D46" w14:textId="77777777" w:rsidR="003C583D" w:rsidRPr="003C583D" w:rsidRDefault="003C583D" w:rsidP="003C583D">
      <w:pPr>
        <w:spacing w:line="360" w:lineRule="auto"/>
        <w:jc w:val="both"/>
        <w:rPr>
          <w:rFonts w:ascii="Arial" w:eastAsia="Calibri" w:hAnsi="Arial" w:cs="Arial"/>
          <w:sz w:val="24"/>
          <w:szCs w:val="24"/>
        </w:rPr>
      </w:pPr>
      <w:r w:rsidRPr="003C583D">
        <w:rPr>
          <w:rFonts w:ascii="Arial" w:eastAsia="Calibri" w:hAnsi="Arial" w:cs="Arial"/>
          <w:sz w:val="24"/>
          <w:szCs w:val="24"/>
        </w:rPr>
        <w:t xml:space="preserve">In a high end restaurant, the employee holding the same job title greets the customer, ensure there was a booking that was logged on the system prior to the customer’s arrival, works with the customer to understand their requirements and offers the best possible table in line with the customer’s expectations, talks to the customer in a courteous manner using the </w:t>
      </w:r>
      <w:proofErr w:type="spellStart"/>
      <w:r w:rsidRPr="003C583D">
        <w:rPr>
          <w:rFonts w:ascii="Arial" w:eastAsia="Calibri" w:hAnsi="Arial" w:cs="Arial"/>
          <w:sz w:val="24"/>
          <w:szCs w:val="24"/>
        </w:rPr>
        <w:t>customers</w:t>
      </w:r>
      <w:proofErr w:type="spellEnd"/>
      <w:r w:rsidRPr="003C583D">
        <w:rPr>
          <w:rFonts w:ascii="Arial" w:eastAsia="Calibri" w:hAnsi="Arial" w:cs="Arial"/>
          <w:sz w:val="24"/>
          <w:szCs w:val="24"/>
        </w:rPr>
        <w:t xml:space="preserve"> name, thus making the experience more familiar and personally assigns a waiter for the table. </w:t>
      </w:r>
    </w:p>
    <w:p w14:paraId="461FBF85" w14:textId="77777777" w:rsidR="003C583D" w:rsidRPr="003C583D" w:rsidRDefault="003C583D" w:rsidP="003C583D">
      <w:pPr>
        <w:spacing w:line="360" w:lineRule="auto"/>
        <w:jc w:val="both"/>
        <w:rPr>
          <w:rFonts w:ascii="Arial" w:eastAsia="Calibri" w:hAnsi="Arial" w:cs="Arial"/>
          <w:sz w:val="24"/>
          <w:szCs w:val="24"/>
        </w:rPr>
      </w:pPr>
      <w:r w:rsidRPr="003C583D">
        <w:rPr>
          <w:rFonts w:ascii="Arial" w:eastAsia="Calibri" w:hAnsi="Arial" w:cs="Arial"/>
          <w:sz w:val="24"/>
          <w:szCs w:val="24"/>
        </w:rPr>
        <w:t>The two roles although aiming for the same result which is the customer’s satisfaction are approaching the service offered from two opposite perspectives, in the high-end restaurant the focus is on the overall satisfaction provided, quality of food, exquisite menu creations where the customer is not interested mainly in satisfying their basic need of eating whereas the buffet restaurant offers a variety of popular foods, at an affordable price with the least possible staff on the shop floor meant to firstly cater for the basic need of eating in a convenient, quick and cheap manner given that food serves as a means of subsistence.</w:t>
      </w:r>
      <w:r w:rsidRPr="003C583D">
        <w:rPr>
          <w:rFonts w:ascii="Arial" w:eastAsia="Calibri" w:hAnsi="Arial" w:cs="Arial"/>
          <w:sz w:val="24"/>
          <w:szCs w:val="24"/>
          <w:vertAlign w:val="superscript"/>
        </w:rPr>
        <w:footnoteReference w:id="2"/>
      </w:r>
    </w:p>
    <w:p w14:paraId="4B032A08" w14:textId="77777777" w:rsidR="003C583D" w:rsidRPr="003C583D" w:rsidRDefault="003C583D" w:rsidP="003C583D">
      <w:pPr>
        <w:spacing w:line="360" w:lineRule="auto"/>
        <w:jc w:val="both"/>
        <w:rPr>
          <w:rFonts w:ascii="Arial" w:eastAsia="Calibri" w:hAnsi="Arial" w:cs="Arial"/>
          <w:sz w:val="24"/>
          <w:szCs w:val="24"/>
        </w:rPr>
      </w:pPr>
    </w:p>
    <w:p w14:paraId="53705124" w14:textId="77777777" w:rsidR="003C583D" w:rsidRPr="003C583D" w:rsidRDefault="003C583D" w:rsidP="003C583D">
      <w:pPr>
        <w:spacing w:line="360" w:lineRule="auto"/>
        <w:jc w:val="both"/>
        <w:rPr>
          <w:rFonts w:ascii="Arial" w:eastAsia="Calibri" w:hAnsi="Arial" w:cs="Arial"/>
          <w:sz w:val="24"/>
          <w:szCs w:val="24"/>
        </w:rPr>
      </w:pPr>
      <w:r w:rsidRPr="003C583D">
        <w:rPr>
          <w:rFonts w:ascii="Arial" w:eastAsia="Calibri" w:hAnsi="Arial" w:cs="Arial"/>
          <w:sz w:val="24"/>
          <w:szCs w:val="24"/>
        </w:rPr>
        <w:t>From the point of view of the customer both businesses and both employees in the head waiter role provide the same service although totally different. Customers nowadays expect business to meet their needs in line with the three essential expectations which are trust in the safety of the business providing the food, the safety of the food provided to customers and trust that should anything not be to the customers satisfaction the business will be transparent in their approach of sorting out the matter in a truthful and timely manner.</w:t>
      </w:r>
      <w:r w:rsidRPr="003C583D">
        <w:rPr>
          <w:rFonts w:ascii="Arial" w:eastAsia="Calibri" w:hAnsi="Arial" w:cs="Arial"/>
          <w:sz w:val="24"/>
          <w:szCs w:val="24"/>
          <w:vertAlign w:val="superscript"/>
        </w:rPr>
        <w:footnoteReference w:id="3"/>
      </w:r>
    </w:p>
    <w:p w14:paraId="16E5C2EC" w14:textId="77777777" w:rsidR="003C583D" w:rsidRPr="003C583D" w:rsidRDefault="003C583D" w:rsidP="003C583D">
      <w:pPr>
        <w:spacing w:line="360" w:lineRule="auto"/>
        <w:jc w:val="both"/>
        <w:rPr>
          <w:rFonts w:ascii="Arial" w:eastAsia="Calibri" w:hAnsi="Arial" w:cs="Arial"/>
          <w:sz w:val="24"/>
          <w:szCs w:val="24"/>
        </w:rPr>
      </w:pPr>
      <w:r w:rsidRPr="003C583D">
        <w:rPr>
          <w:rFonts w:ascii="Arial" w:eastAsia="Calibri" w:hAnsi="Arial" w:cs="Arial"/>
          <w:sz w:val="24"/>
          <w:szCs w:val="24"/>
        </w:rPr>
        <w:t xml:space="preserve">In the high-end restaurant, the expectations from a head waiter (maître d') are that they are dressed impeccably, always well groomed, mannered, polite, able to answer any questions and preferably that they speak a variety of languages as well as having the ability to run large teams of staff and organise the entire front of house in an effective, organised and precise manner. In the buffet restaurant although the name for the role is </w:t>
      </w:r>
      <w:proofErr w:type="gramStart"/>
      <w:r w:rsidRPr="003C583D">
        <w:rPr>
          <w:rFonts w:ascii="Arial" w:eastAsia="Calibri" w:hAnsi="Arial" w:cs="Arial"/>
          <w:sz w:val="24"/>
          <w:szCs w:val="24"/>
        </w:rPr>
        <w:t>exactly the same</w:t>
      </w:r>
      <w:proofErr w:type="gramEnd"/>
      <w:r w:rsidRPr="003C583D">
        <w:rPr>
          <w:rFonts w:ascii="Arial" w:eastAsia="Calibri" w:hAnsi="Arial" w:cs="Arial"/>
          <w:sz w:val="24"/>
          <w:szCs w:val="24"/>
        </w:rPr>
        <w:t xml:space="preserve"> the expectations from the business and the customers alike are not as high as described for the high-end restaurant. The head waiter in the buffet restaurant is usually wearing a logged t-shirt/shirt with the restaurant’s name, the expectations are that they are seating customers quickly, explain briefly what he pricing structure is and keep the flow of customers going ensuring all seats are occupied as soon as they are vacated by the previous customers. In both roles the head </w:t>
      </w:r>
      <w:proofErr w:type="spellStart"/>
      <w:r w:rsidRPr="003C583D">
        <w:rPr>
          <w:rFonts w:ascii="Arial" w:eastAsia="Calibri" w:hAnsi="Arial" w:cs="Arial"/>
          <w:sz w:val="24"/>
          <w:szCs w:val="24"/>
        </w:rPr>
        <w:t>waiters</w:t>
      </w:r>
      <w:proofErr w:type="spellEnd"/>
      <w:r w:rsidRPr="003C583D">
        <w:rPr>
          <w:rFonts w:ascii="Arial" w:eastAsia="Calibri" w:hAnsi="Arial" w:cs="Arial"/>
          <w:sz w:val="24"/>
          <w:szCs w:val="24"/>
        </w:rPr>
        <w:t xml:space="preserve"> are expected to manage situations in real time to best support the business and customers alike.</w:t>
      </w:r>
      <w:r w:rsidRPr="003C583D">
        <w:rPr>
          <w:rFonts w:ascii="Arial" w:eastAsia="Calibri" w:hAnsi="Arial" w:cs="Arial"/>
          <w:sz w:val="24"/>
          <w:szCs w:val="24"/>
          <w:vertAlign w:val="superscript"/>
        </w:rPr>
        <w:footnoteReference w:id="4"/>
      </w:r>
      <w:r w:rsidRPr="003C583D">
        <w:rPr>
          <w:rFonts w:ascii="Arial" w:eastAsia="Calibri" w:hAnsi="Arial" w:cs="Arial"/>
          <w:sz w:val="24"/>
          <w:szCs w:val="24"/>
        </w:rPr>
        <w:t xml:space="preserve"> Both roles ensure that the businesses they are working for offer a consistent service to all customers not just in individual capacity but to larger groups also.</w:t>
      </w:r>
      <w:r w:rsidRPr="003C583D">
        <w:rPr>
          <w:rFonts w:ascii="Arial" w:eastAsia="Calibri" w:hAnsi="Arial" w:cs="Arial"/>
          <w:sz w:val="24"/>
          <w:szCs w:val="24"/>
          <w:vertAlign w:val="superscript"/>
        </w:rPr>
        <w:footnoteReference w:id="5"/>
      </w:r>
    </w:p>
    <w:p w14:paraId="0773A058" w14:textId="77777777" w:rsidR="003C583D" w:rsidRPr="003C583D" w:rsidRDefault="003C583D" w:rsidP="003C583D">
      <w:pPr>
        <w:spacing w:line="360" w:lineRule="auto"/>
        <w:jc w:val="both"/>
        <w:rPr>
          <w:rFonts w:ascii="Arial" w:eastAsia="Calibri" w:hAnsi="Arial" w:cs="Arial"/>
          <w:sz w:val="24"/>
          <w:szCs w:val="24"/>
        </w:rPr>
      </w:pPr>
    </w:p>
    <w:p w14:paraId="56DAF408" w14:textId="77777777" w:rsidR="008F70C9" w:rsidRDefault="008F70C9"/>
    <w:sectPr w:rsidR="008F70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BA96C" w14:textId="77777777" w:rsidR="001A2487" w:rsidRDefault="001A2487" w:rsidP="003C583D">
      <w:pPr>
        <w:spacing w:after="0" w:line="240" w:lineRule="auto"/>
      </w:pPr>
      <w:r>
        <w:separator/>
      </w:r>
    </w:p>
  </w:endnote>
  <w:endnote w:type="continuationSeparator" w:id="0">
    <w:p w14:paraId="4AFEA279" w14:textId="77777777" w:rsidR="001A2487" w:rsidRDefault="001A2487" w:rsidP="003C5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631B5" w14:textId="77777777" w:rsidR="001A2487" w:rsidRDefault="001A2487" w:rsidP="003C583D">
      <w:pPr>
        <w:spacing w:after="0" w:line="240" w:lineRule="auto"/>
      </w:pPr>
      <w:r>
        <w:separator/>
      </w:r>
    </w:p>
  </w:footnote>
  <w:footnote w:type="continuationSeparator" w:id="0">
    <w:p w14:paraId="441AE622" w14:textId="77777777" w:rsidR="001A2487" w:rsidRDefault="001A2487" w:rsidP="003C583D">
      <w:pPr>
        <w:spacing w:after="0" w:line="240" w:lineRule="auto"/>
      </w:pPr>
      <w:r>
        <w:continuationSeparator/>
      </w:r>
    </w:p>
  </w:footnote>
  <w:footnote w:id="1">
    <w:p w14:paraId="79DB03D1" w14:textId="77777777" w:rsidR="003C583D" w:rsidRDefault="003C583D" w:rsidP="003C583D">
      <w:pPr>
        <w:pStyle w:val="FootnoteText"/>
      </w:pPr>
      <w:r>
        <w:rPr>
          <w:rStyle w:val="FootnoteReference"/>
        </w:rPr>
        <w:footnoteRef/>
      </w:r>
      <w:r>
        <w:t xml:space="preserve"> Johnston, R. (2012) Service operations management: improving service delivery. 4th ed. Harlow, England: Pearson</w:t>
      </w:r>
      <w:proofErr w:type="gramStart"/>
      <w:r>
        <w:t>.,p.</w:t>
      </w:r>
      <w:proofErr w:type="gramEnd"/>
      <w:r>
        <w:t>6</w:t>
      </w:r>
    </w:p>
  </w:footnote>
  <w:footnote w:id="2">
    <w:p w14:paraId="622E5D70" w14:textId="77777777" w:rsidR="003C583D" w:rsidRDefault="003C583D" w:rsidP="003C583D">
      <w:pPr>
        <w:pStyle w:val="FootnoteText"/>
      </w:pPr>
      <w:r>
        <w:rPr>
          <w:rStyle w:val="FootnoteReference"/>
        </w:rPr>
        <w:footnoteRef/>
      </w:r>
      <w:r>
        <w:t xml:space="preserve"> </w:t>
      </w:r>
      <w:proofErr w:type="spellStart"/>
      <w:r>
        <w:t>Motarjemi</w:t>
      </w:r>
      <w:proofErr w:type="spellEnd"/>
      <w:r>
        <w:t xml:space="preserve">, Y and </w:t>
      </w:r>
      <w:proofErr w:type="spellStart"/>
      <w:r>
        <w:t>Lelieveld</w:t>
      </w:r>
      <w:proofErr w:type="spellEnd"/>
      <w:r>
        <w:t xml:space="preserve">, H (2014) Food safety </w:t>
      </w:r>
      <w:proofErr w:type="gramStart"/>
      <w:r>
        <w:t>management :</w:t>
      </w:r>
      <w:proofErr w:type="gramEnd"/>
      <w:r>
        <w:t xml:space="preserve"> a practical guide for the food industry. Illustrated edition. Amsterdam: Academic Press, p.12</w:t>
      </w:r>
    </w:p>
  </w:footnote>
  <w:footnote w:id="3">
    <w:p w14:paraId="27C37CE9" w14:textId="77777777" w:rsidR="003C583D" w:rsidRDefault="003C583D" w:rsidP="003C583D">
      <w:pPr>
        <w:pStyle w:val="FootnoteText"/>
      </w:pPr>
      <w:r>
        <w:rPr>
          <w:rStyle w:val="FootnoteReference"/>
        </w:rPr>
        <w:footnoteRef/>
      </w:r>
      <w:r>
        <w:t xml:space="preserve"> </w:t>
      </w:r>
      <w:proofErr w:type="spellStart"/>
      <w:r>
        <w:t>Motarjemi</w:t>
      </w:r>
      <w:proofErr w:type="spellEnd"/>
      <w:r>
        <w:t xml:space="preserve">, Y and </w:t>
      </w:r>
      <w:proofErr w:type="spellStart"/>
      <w:r>
        <w:t>Lelieveld</w:t>
      </w:r>
      <w:proofErr w:type="spellEnd"/>
      <w:r>
        <w:t xml:space="preserve">, H (2014) Food safety </w:t>
      </w:r>
      <w:proofErr w:type="gramStart"/>
      <w:r>
        <w:t>management :</w:t>
      </w:r>
      <w:proofErr w:type="gramEnd"/>
      <w:r>
        <w:t xml:space="preserve"> a practical guide for the food industry. Illustrated edition. Amsterdam: Academic Press, p.2</w:t>
      </w:r>
    </w:p>
  </w:footnote>
  <w:footnote w:id="4">
    <w:p w14:paraId="119BCDB7" w14:textId="77777777" w:rsidR="003C583D" w:rsidRDefault="003C583D" w:rsidP="003C583D">
      <w:pPr>
        <w:pStyle w:val="FootnoteText"/>
      </w:pPr>
      <w:r>
        <w:rPr>
          <w:rStyle w:val="FootnoteReference"/>
        </w:rPr>
        <w:footnoteRef/>
      </w:r>
      <w:r>
        <w:t xml:space="preserve"> Johnston, R. (2012) Service operations management: improving service delivery. 4th ed. Harlow, England: Pearson</w:t>
      </w:r>
      <w:proofErr w:type="gramStart"/>
      <w:r>
        <w:t>.,p.</w:t>
      </w:r>
      <w:proofErr w:type="gramEnd"/>
      <w:r>
        <w:t>29</w:t>
      </w:r>
    </w:p>
  </w:footnote>
  <w:footnote w:id="5">
    <w:p w14:paraId="212F9B82" w14:textId="77777777" w:rsidR="003C583D" w:rsidRDefault="003C583D" w:rsidP="003C583D">
      <w:pPr>
        <w:pStyle w:val="FootnoteText"/>
      </w:pPr>
      <w:r>
        <w:rPr>
          <w:rStyle w:val="FootnoteReference"/>
        </w:rPr>
        <w:footnoteRef/>
      </w:r>
      <w:r>
        <w:t xml:space="preserve"> </w:t>
      </w:r>
      <w:proofErr w:type="spellStart"/>
      <w:r>
        <w:t>Foskett</w:t>
      </w:r>
      <w:proofErr w:type="spellEnd"/>
      <w:r>
        <w:t>, D. et al. (2021) The Theory of Hospitality and Catering. 14th Edition. London: Hodder Education Group, p.2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83D"/>
    <w:rsid w:val="00185ACF"/>
    <w:rsid w:val="001A2487"/>
    <w:rsid w:val="003C583D"/>
    <w:rsid w:val="008F70C9"/>
    <w:rsid w:val="00AE1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EB939"/>
  <w15:chartTrackingRefBased/>
  <w15:docId w15:val="{59170741-B129-4D60-B3F9-A8AB7049B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C583D"/>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3C583D"/>
    <w:rPr>
      <w:rFonts w:ascii="Calibri" w:eastAsia="Calibri" w:hAnsi="Calibri" w:cs="Times New Roman"/>
      <w:sz w:val="20"/>
      <w:szCs w:val="20"/>
    </w:rPr>
  </w:style>
  <w:style w:type="character" w:styleId="FootnoteReference">
    <w:name w:val="footnote reference"/>
    <w:uiPriority w:val="99"/>
    <w:semiHidden/>
    <w:unhideWhenUsed/>
    <w:rsid w:val="003C58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Maria Hirs</dc:creator>
  <cp:keywords/>
  <dc:description/>
  <cp:lastModifiedBy>Mihaela Maria Hirs</cp:lastModifiedBy>
  <cp:revision>2</cp:revision>
  <dcterms:created xsi:type="dcterms:W3CDTF">2023-05-19T09:33:00Z</dcterms:created>
  <dcterms:modified xsi:type="dcterms:W3CDTF">2023-05-19T09:33:00Z</dcterms:modified>
</cp:coreProperties>
</file>