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3E9CB" w14:textId="77777777" w:rsidR="00A7054E" w:rsidRPr="00A7054E" w:rsidRDefault="00A7054E" w:rsidP="00A7054E">
      <w:pPr>
        <w:pStyle w:val="commentcontentpara"/>
        <w:spacing w:before="0" w:beforeAutospacing="0" w:after="0" w:afterAutospacing="0"/>
        <w:rPr>
          <w:rFonts w:ascii="Arial" w:hAnsi="Arial" w:cs="Arial"/>
          <w:b/>
          <w:bCs/>
          <w:sz w:val="48"/>
          <w:szCs w:val="48"/>
        </w:rPr>
      </w:pPr>
      <w:r w:rsidRPr="00A7054E">
        <w:rPr>
          <w:rFonts w:ascii="Arial" w:hAnsi="Arial" w:cs="Arial"/>
          <w:b/>
          <w:bCs/>
          <w:sz w:val="48"/>
          <w:szCs w:val="48"/>
          <w:highlight w:val="darkGray"/>
        </w:rPr>
        <w:t>Critically evaluate the role of Equity in the laws of England and Wales</w:t>
      </w:r>
    </w:p>
    <w:p w14:paraId="2E287460" w14:textId="3D9307E0" w:rsidR="00A7054E" w:rsidRDefault="00A7054E" w:rsidP="001425DB">
      <w:pPr>
        <w:pStyle w:val="pb-2"/>
        <w:spacing w:line="360" w:lineRule="auto"/>
        <w:rPr>
          <w:rFonts w:ascii="Arial" w:hAnsi="Arial" w:cs="Arial"/>
        </w:rPr>
      </w:pPr>
      <w:r>
        <w:rPr>
          <w:rFonts w:ascii="Arial" w:hAnsi="Arial" w:cs="Arial"/>
        </w:rPr>
        <w:t xml:space="preserve">Assignment 1 - </w:t>
      </w:r>
      <w:r w:rsidRPr="00A7054E">
        <w:rPr>
          <w:rFonts w:ascii="Arial" w:hAnsi="Arial" w:cs="Arial"/>
          <w:b/>
        </w:rPr>
        <w:t>BMLW6007</w:t>
      </w:r>
      <w:r w:rsidR="00186956">
        <w:rPr>
          <w:rFonts w:ascii="Arial" w:hAnsi="Arial" w:cs="Arial"/>
          <w:b/>
        </w:rPr>
        <w:t xml:space="preserve"> </w:t>
      </w:r>
    </w:p>
    <w:p w14:paraId="216E36EE" w14:textId="77777777" w:rsidR="00A7054E" w:rsidRDefault="00A7054E" w:rsidP="001425DB">
      <w:pPr>
        <w:pStyle w:val="pb-2"/>
        <w:spacing w:line="360" w:lineRule="auto"/>
        <w:rPr>
          <w:rFonts w:ascii="Arial" w:hAnsi="Arial" w:cs="Arial"/>
        </w:rPr>
      </w:pPr>
    </w:p>
    <w:p w14:paraId="11CE8E2A" w14:textId="77777777" w:rsidR="00A7054E" w:rsidRDefault="00A7054E" w:rsidP="001425DB">
      <w:pPr>
        <w:pStyle w:val="pb-2"/>
        <w:spacing w:line="360" w:lineRule="auto"/>
        <w:rPr>
          <w:rFonts w:ascii="Arial" w:hAnsi="Arial" w:cs="Arial"/>
        </w:rPr>
      </w:pPr>
    </w:p>
    <w:p w14:paraId="2E62267F" w14:textId="77777777" w:rsidR="00A7054E" w:rsidRDefault="00A7054E" w:rsidP="001425DB">
      <w:pPr>
        <w:pStyle w:val="pb-2"/>
        <w:spacing w:line="360" w:lineRule="auto"/>
        <w:rPr>
          <w:rFonts w:ascii="Arial" w:hAnsi="Arial" w:cs="Arial"/>
        </w:rPr>
      </w:pPr>
    </w:p>
    <w:p w14:paraId="6AD80C2C" w14:textId="77777777" w:rsidR="00A7054E" w:rsidRDefault="00A7054E" w:rsidP="001425DB">
      <w:pPr>
        <w:pStyle w:val="pb-2"/>
        <w:spacing w:line="360" w:lineRule="auto"/>
        <w:rPr>
          <w:rFonts w:ascii="Arial" w:hAnsi="Arial" w:cs="Arial"/>
        </w:rPr>
      </w:pPr>
    </w:p>
    <w:p w14:paraId="315C9154" w14:textId="77777777" w:rsidR="00A7054E" w:rsidRDefault="00A7054E" w:rsidP="001425DB">
      <w:pPr>
        <w:pStyle w:val="pb-2"/>
        <w:spacing w:line="360" w:lineRule="auto"/>
        <w:rPr>
          <w:rFonts w:ascii="Arial" w:hAnsi="Arial" w:cs="Arial"/>
        </w:rPr>
      </w:pPr>
    </w:p>
    <w:p w14:paraId="7EB0A063" w14:textId="77777777" w:rsidR="00A7054E" w:rsidRDefault="00A7054E" w:rsidP="001425DB">
      <w:pPr>
        <w:pStyle w:val="pb-2"/>
        <w:spacing w:line="360" w:lineRule="auto"/>
        <w:rPr>
          <w:rFonts w:ascii="Arial" w:hAnsi="Arial" w:cs="Arial"/>
        </w:rPr>
      </w:pPr>
    </w:p>
    <w:p w14:paraId="5379F01C" w14:textId="77777777" w:rsidR="00A7054E" w:rsidRDefault="00A7054E" w:rsidP="001425DB">
      <w:pPr>
        <w:pStyle w:val="pb-2"/>
        <w:spacing w:line="360" w:lineRule="auto"/>
        <w:rPr>
          <w:rFonts w:ascii="Arial" w:hAnsi="Arial" w:cs="Arial"/>
        </w:rPr>
      </w:pPr>
    </w:p>
    <w:p w14:paraId="1B585538" w14:textId="77777777" w:rsidR="00A7054E" w:rsidRDefault="00A7054E" w:rsidP="001425DB">
      <w:pPr>
        <w:pStyle w:val="pb-2"/>
        <w:spacing w:line="360" w:lineRule="auto"/>
        <w:rPr>
          <w:rFonts w:ascii="Arial" w:hAnsi="Arial" w:cs="Arial"/>
        </w:rPr>
      </w:pPr>
    </w:p>
    <w:p w14:paraId="2DF97AD9" w14:textId="77777777" w:rsidR="00A7054E" w:rsidRDefault="00A7054E" w:rsidP="001425DB">
      <w:pPr>
        <w:pStyle w:val="pb-2"/>
        <w:spacing w:line="360" w:lineRule="auto"/>
        <w:rPr>
          <w:rFonts w:ascii="Arial" w:hAnsi="Arial" w:cs="Arial"/>
        </w:rPr>
      </w:pPr>
    </w:p>
    <w:p w14:paraId="04FE62DC" w14:textId="77777777" w:rsidR="00A7054E" w:rsidRDefault="00A7054E" w:rsidP="001425DB">
      <w:pPr>
        <w:pStyle w:val="pb-2"/>
        <w:spacing w:line="360" w:lineRule="auto"/>
        <w:rPr>
          <w:rFonts w:ascii="Arial" w:hAnsi="Arial" w:cs="Arial"/>
        </w:rPr>
      </w:pPr>
    </w:p>
    <w:p w14:paraId="17C5E747" w14:textId="77777777" w:rsidR="00A7054E" w:rsidRDefault="00A7054E" w:rsidP="001425DB">
      <w:pPr>
        <w:pStyle w:val="pb-2"/>
        <w:spacing w:line="360" w:lineRule="auto"/>
        <w:rPr>
          <w:rFonts w:ascii="Arial" w:hAnsi="Arial" w:cs="Arial"/>
        </w:rPr>
      </w:pPr>
    </w:p>
    <w:p w14:paraId="07A88B68" w14:textId="77777777" w:rsidR="00A7054E" w:rsidRDefault="00A7054E" w:rsidP="001425DB">
      <w:pPr>
        <w:pStyle w:val="pb-2"/>
        <w:spacing w:line="360" w:lineRule="auto"/>
        <w:rPr>
          <w:rFonts w:ascii="Arial" w:hAnsi="Arial" w:cs="Arial"/>
        </w:rPr>
      </w:pPr>
    </w:p>
    <w:p w14:paraId="4F38715D" w14:textId="77777777" w:rsidR="00A7054E" w:rsidRDefault="00A7054E" w:rsidP="001425DB">
      <w:pPr>
        <w:pStyle w:val="pb-2"/>
        <w:spacing w:line="360" w:lineRule="auto"/>
        <w:rPr>
          <w:rFonts w:ascii="Arial" w:hAnsi="Arial" w:cs="Arial"/>
        </w:rPr>
      </w:pPr>
    </w:p>
    <w:p w14:paraId="1A347828" w14:textId="77777777" w:rsidR="00A7054E" w:rsidRDefault="00A7054E" w:rsidP="001425DB">
      <w:pPr>
        <w:pStyle w:val="pb-2"/>
        <w:spacing w:line="360" w:lineRule="auto"/>
        <w:rPr>
          <w:rFonts w:ascii="Arial" w:hAnsi="Arial" w:cs="Arial"/>
        </w:rPr>
      </w:pPr>
    </w:p>
    <w:p w14:paraId="0E8CA639" w14:textId="77777777" w:rsidR="00A7054E" w:rsidRDefault="00A7054E" w:rsidP="001425DB">
      <w:pPr>
        <w:pStyle w:val="pb-2"/>
        <w:spacing w:line="360" w:lineRule="auto"/>
        <w:rPr>
          <w:rFonts w:ascii="Arial" w:hAnsi="Arial" w:cs="Arial"/>
        </w:rPr>
      </w:pPr>
    </w:p>
    <w:p w14:paraId="1950B669" w14:textId="7EB6A47E" w:rsidR="00A7054E" w:rsidRDefault="00A7054E" w:rsidP="001425DB">
      <w:pPr>
        <w:pStyle w:val="pb-2"/>
        <w:spacing w:line="360" w:lineRule="auto"/>
        <w:rPr>
          <w:rFonts w:ascii="Arial" w:hAnsi="Arial" w:cs="Arial"/>
        </w:rPr>
      </w:pPr>
    </w:p>
    <w:p w14:paraId="3FD18184" w14:textId="77777777" w:rsidR="00A7054E" w:rsidRDefault="00A7054E" w:rsidP="001425DB">
      <w:pPr>
        <w:pStyle w:val="pb-2"/>
        <w:spacing w:line="360" w:lineRule="auto"/>
        <w:rPr>
          <w:rFonts w:ascii="Arial" w:hAnsi="Arial" w:cs="Arial"/>
        </w:rPr>
      </w:pPr>
    </w:p>
    <w:p w14:paraId="2F0CE071" w14:textId="21192D49" w:rsidR="00B117E5" w:rsidRPr="004612AC" w:rsidRDefault="00B117E5" w:rsidP="001425DB">
      <w:pPr>
        <w:pStyle w:val="pb-2"/>
        <w:spacing w:line="360" w:lineRule="auto"/>
        <w:rPr>
          <w:rFonts w:ascii="Arial" w:hAnsi="Arial" w:cs="Arial"/>
          <w:color w:val="000000" w:themeColor="text1"/>
        </w:rPr>
      </w:pPr>
      <w:r w:rsidRPr="004612AC">
        <w:rPr>
          <w:rFonts w:ascii="Arial" w:hAnsi="Arial" w:cs="Arial"/>
          <w:color w:val="000000" w:themeColor="text1"/>
        </w:rPr>
        <w:lastRenderedPageBreak/>
        <w:t xml:space="preserve">In this essay, the importance of equity as a modern source of law is discussed through </w:t>
      </w:r>
      <w:r w:rsidRPr="004612AC">
        <w:rPr>
          <w:rStyle w:val="issue-underline"/>
          <w:rFonts w:ascii="Arial" w:hAnsi="Arial" w:cs="Arial"/>
          <w:color w:val="000000" w:themeColor="text1"/>
        </w:rPr>
        <w:t>the lens of</w:t>
      </w:r>
      <w:r w:rsidRPr="004612AC">
        <w:rPr>
          <w:rFonts w:ascii="Arial" w:hAnsi="Arial" w:cs="Arial"/>
          <w:color w:val="000000" w:themeColor="text1"/>
        </w:rPr>
        <w:t xml:space="preserve"> its historical </w:t>
      </w:r>
      <w:r w:rsidRPr="004612AC">
        <w:rPr>
          <w:rStyle w:val="issue-underline"/>
          <w:rFonts w:ascii="Arial" w:hAnsi="Arial" w:cs="Arial"/>
          <w:color w:val="000000" w:themeColor="text1"/>
        </w:rPr>
        <w:t>development,</w:t>
      </w:r>
      <w:r w:rsidRPr="004612AC">
        <w:rPr>
          <w:rFonts w:ascii="Arial" w:hAnsi="Arial" w:cs="Arial"/>
          <w:color w:val="000000" w:themeColor="text1"/>
        </w:rPr>
        <w:t xml:space="preserve"> </w:t>
      </w:r>
      <w:r w:rsidR="00A84EE5">
        <w:rPr>
          <w:rFonts w:ascii="Arial" w:hAnsi="Arial" w:cs="Arial"/>
          <w:color w:val="000000" w:themeColor="text1"/>
        </w:rPr>
        <w:t>concerning</w:t>
      </w:r>
      <w:r w:rsidRPr="004612AC">
        <w:rPr>
          <w:rFonts w:ascii="Arial" w:hAnsi="Arial" w:cs="Arial"/>
          <w:color w:val="000000" w:themeColor="text1"/>
        </w:rPr>
        <w:t xml:space="preserve"> </w:t>
      </w:r>
      <w:r w:rsidR="00A8625A" w:rsidRPr="004612AC">
        <w:rPr>
          <w:rFonts w:ascii="Arial" w:hAnsi="Arial" w:cs="Arial"/>
          <w:color w:val="000000" w:themeColor="text1"/>
        </w:rPr>
        <w:t xml:space="preserve">the role of equity in the laws of England and Wales. The </w:t>
      </w:r>
      <w:r w:rsidR="00D15F5F" w:rsidRPr="004612AC">
        <w:rPr>
          <w:rFonts w:ascii="Arial" w:hAnsi="Arial" w:cs="Arial"/>
          <w:color w:val="000000" w:themeColor="text1"/>
        </w:rPr>
        <w:t xml:space="preserve">focus </w:t>
      </w:r>
      <w:r w:rsidR="00A8625A" w:rsidRPr="004612AC">
        <w:rPr>
          <w:rFonts w:ascii="Arial" w:hAnsi="Arial" w:cs="Arial"/>
          <w:color w:val="000000" w:themeColor="text1"/>
        </w:rPr>
        <w:t xml:space="preserve">throughout this essay </w:t>
      </w:r>
      <w:r w:rsidR="00D15F5F" w:rsidRPr="004612AC">
        <w:rPr>
          <w:rFonts w:ascii="Arial" w:hAnsi="Arial" w:cs="Arial"/>
          <w:color w:val="000000" w:themeColor="text1"/>
        </w:rPr>
        <w:t xml:space="preserve">is predominantly </w:t>
      </w:r>
      <w:r w:rsidR="00A84EE5">
        <w:rPr>
          <w:rFonts w:ascii="Arial" w:hAnsi="Arial" w:cs="Arial"/>
          <w:color w:val="000000" w:themeColor="text1"/>
        </w:rPr>
        <w:t>on the effectiveness of equity, determining the position of common law and</w:t>
      </w:r>
      <w:r w:rsidR="00A8625A" w:rsidRPr="004612AC">
        <w:rPr>
          <w:rFonts w:ascii="Arial" w:hAnsi="Arial" w:cs="Arial"/>
          <w:color w:val="000000" w:themeColor="text1"/>
        </w:rPr>
        <w:t xml:space="preserve"> the issues caused</w:t>
      </w:r>
      <w:r w:rsidR="00D15F5F" w:rsidRPr="004612AC">
        <w:rPr>
          <w:rFonts w:ascii="Arial" w:hAnsi="Arial" w:cs="Arial"/>
          <w:color w:val="000000" w:themeColor="text1"/>
        </w:rPr>
        <w:t xml:space="preserve">. </w:t>
      </w:r>
      <w:r w:rsidR="00FF335B" w:rsidRPr="00FF335B">
        <w:rPr>
          <w:rStyle w:val="issue-underline"/>
          <w:rFonts w:ascii="Arial" w:hAnsi="Arial" w:cs="Arial"/>
          <w:color w:val="000000"/>
        </w:rPr>
        <w:t>As Hudson (2008) explains, equity is the process by which a legal system combines the requirement for certainty in rulemaking with the need for judicial discretion to ensure fairness.</w:t>
      </w:r>
      <w:r w:rsidR="00FF335B" w:rsidRPr="00FF335B">
        <w:rPr>
          <w:rStyle w:val="issue-underline"/>
          <w:rFonts w:ascii="Arial" w:hAnsi="Arial" w:cs="Arial"/>
          <w:color w:val="000000"/>
        </w:rPr>
        <w:t xml:space="preserve"> </w:t>
      </w:r>
      <w:r w:rsidRPr="004612AC">
        <w:rPr>
          <w:rFonts w:ascii="Arial" w:hAnsi="Arial" w:cs="Arial"/>
          <w:color w:val="000000" w:themeColor="text1"/>
        </w:rPr>
        <w:t xml:space="preserve">Common law and equity were born from </w:t>
      </w:r>
      <w:r w:rsidR="002A24D8">
        <w:rPr>
          <w:rFonts w:ascii="Arial" w:hAnsi="Arial" w:cs="Arial"/>
          <w:color w:val="000000" w:themeColor="text1"/>
        </w:rPr>
        <w:t xml:space="preserve">the </w:t>
      </w:r>
      <w:r w:rsidRPr="004612AC">
        <w:rPr>
          <w:rFonts w:ascii="Arial" w:hAnsi="Arial" w:cs="Arial"/>
          <w:color w:val="000000" w:themeColor="text1"/>
        </w:rPr>
        <w:t xml:space="preserve">history in the genesis of common law. Elliot and Quinn (2015) concur that England and Wales had two legal systems coexisting until the year 1875: the common law system dating back to the </w:t>
      </w:r>
      <w:r w:rsidR="00E7359E" w:rsidRPr="004612AC">
        <w:rPr>
          <w:rFonts w:ascii="Arial" w:hAnsi="Arial" w:cs="Arial"/>
          <w:color w:val="000000" w:themeColor="text1"/>
        </w:rPr>
        <w:t>eleventh and twelfth</w:t>
      </w:r>
      <w:r w:rsidRPr="004612AC">
        <w:rPr>
          <w:rFonts w:ascii="Arial" w:hAnsi="Arial" w:cs="Arial"/>
          <w:color w:val="000000" w:themeColor="text1"/>
        </w:rPr>
        <w:t xml:space="preserve"> centu</w:t>
      </w:r>
      <w:r w:rsidR="00E7359E" w:rsidRPr="004612AC">
        <w:rPr>
          <w:rFonts w:ascii="Arial" w:hAnsi="Arial" w:cs="Arial"/>
          <w:color w:val="000000" w:themeColor="text1"/>
        </w:rPr>
        <w:t>ries</w:t>
      </w:r>
      <w:r w:rsidRPr="004612AC">
        <w:rPr>
          <w:rFonts w:ascii="Arial" w:hAnsi="Arial" w:cs="Arial"/>
          <w:color w:val="000000" w:themeColor="text1"/>
        </w:rPr>
        <w:t xml:space="preserve">, and the equity system from the </w:t>
      </w:r>
      <w:r w:rsidR="00E7359E" w:rsidRPr="004612AC">
        <w:rPr>
          <w:rFonts w:ascii="Arial" w:hAnsi="Arial" w:cs="Arial"/>
          <w:color w:val="000000" w:themeColor="text1"/>
        </w:rPr>
        <w:t>fourteenth</w:t>
      </w:r>
      <w:r w:rsidRPr="004612AC">
        <w:rPr>
          <w:rFonts w:ascii="Arial" w:hAnsi="Arial" w:cs="Arial"/>
          <w:color w:val="000000" w:themeColor="text1"/>
        </w:rPr>
        <w:t xml:space="preserve"> century. </w:t>
      </w:r>
      <w:r w:rsidR="00FF335B" w:rsidRPr="00FF335B">
        <w:rPr>
          <w:rFonts w:ascii="Arial" w:hAnsi="Arial" w:cs="Arial"/>
        </w:rPr>
        <w:t>Laws pertaining to both subjects originate from the same source, the King-in-Council.</w:t>
      </w:r>
      <w:r w:rsidR="00FF335B" w:rsidRPr="00FF335B">
        <w:rPr>
          <w:rStyle w:val="apple-converted-space"/>
          <w:rFonts w:ascii="Arial" w:hAnsi="Arial" w:cs="Arial"/>
          <w:color w:val="000000"/>
        </w:rPr>
        <w:t> </w:t>
      </w:r>
      <w:r w:rsidR="00FF335B" w:rsidRPr="00FF335B">
        <w:rPr>
          <w:rFonts w:ascii="Arial" w:hAnsi="Arial" w:cs="Arial"/>
        </w:rPr>
        <w:t>The two evolved simultaneously at the close of the nineteenth century.</w:t>
      </w:r>
      <w:r w:rsidR="00FF335B" w:rsidRPr="00FF335B">
        <w:rPr>
          <w:rStyle w:val="apple-converted-space"/>
          <w:rFonts w:ascii="Arial" w:hAnsi="Arial" w:cs="Arial"/>
          <w:color w:val="000000"/>
        </w:rPr>
        <w:t> </w:t>
      </w:r>
      <w:r w:rsidR="00FF335B" w:rsidRPr="00FF335B">
        <w:rPr>
          <w:rStyle w:val="issue-underline"/>
          <w:rFonts w:ascii="Arial" w:hAnsi="Arial" w:cs="Arial"/>
          <w:color w:val="000000"/>
        </w:rPr>
        <w:t>The common</w:t>
      </w:r>
      <w:r w:rsidR="00FF335B" w:rsidRPr="00FF335B">
        <w:rPr>
          <w:rStyle w:val="apple-converted-space"/>
          <w:rFonts w:ascii="Arial" w:hAnsi="Arial" w:cs="Arial"/>
          <w:color w:val="000000"/>
        </w:rPr>
        <w:t> </w:t>
      </w:r>
      <w:r w:rsidR="00FF335B" w:rsidRPr="00FF335B">
        <w:rPr>
          <w:rFonts w:ascii="Arial" w:hAnsi="Arial" w:cs="Arial"/>
          <w:color w:val="000000"/>
        </w:rPr>
        <w:t>law and equity jurisdictions merged in 1876.</w:t>
      </w:r>
    </w:p>
    <w:p w14:paraId="3245EE5A" w14:textId="41C29B81" w:rsidR="0058010B" w:rsidRPr="004612AC" w:rsidRDefault="00FF335B" w:rsidP="001425DB">
      <w:pPr>
        <w:spacing w:line="360" w:lineRule="auto"/>
        <w:rPr>
          <w:rStyle w:val="Strong"/>
          <w:rFonts w:ascii="Arial" w:hAnsi="Arial" w:cs="Arial"/>
          <w:b w:val="0"/>
          <w:bCs w:val="0"/>
          <w:color w:val="000000" w:themeColor="text1"/>
          <w:sz w:val="24"/>
          <w:szCs w:val="24"/>
        </w:rPr>
      </w:pPr>
      <w:r w:rsidRPr="00FF335B">
        <w:rPr>
          <w:rFonts w:ascii="Arial" w:hAnsi="Arial" w:cs="Arial"/>
          <w:sz w:val="24"/>
          <w:szCs w:val="24"/>
        </w:rPr>
        <w:t>A body of unwritten laws based on legal precedents is known as common law, or case law.</w:t>
      </w:r>
      <w:r>
        <w:rPr>
          <w:rFonts w:ascii="Arial" w:hAnsi="Arial" w:cs="Arial"/>
          <w:sz w:val="24"/>
          <w:szCs w:val="24"/>
        </w:rPr>
        <w:t xml:space="preserve"> </w:t>
      </w:r>
      <w:r w:rsidR="00B117E5" w:rsidRPr="00FF335B">
        <w:rPr>
          <w:rStyle w:val="Strong"/>
          <w:rFonts w:ascii="Arial" w:hAnsi="Arial" w:cs="Arial"/>
          <w:b w:val="0"/>
          <w:bCs w:val="0"/>
          <w:color w:val="000000" w:themeColor="text1"/>
          <w:sz w:val="24"/>
          <w:szCs w:val="24"/>
        </w:rPr>
        <w:t>It</w:t>
      </w:r>
      <w:r w:rsidR="00B117E5" w:rsidRPr="004612AC">
        <w:rPr>
          <w:rStyle w:val="Strong"/>
          <w:rFonts w:ascii="Arial" w:hAnsi="Arial" w:cs="Arial"/>
          <w:b w:val="0"/>
          <w:bCs w:val="0"/>
          <w:color w:val="000000" w:themeColor="text1"/>
          <w:sz w:val="24"/>
          <w:szCs w:val="24"/>
        </w:rPr>
        <w:t xml:space="preserve"> evolved from the practices of the English royal courts after the Norman Conquest in 1066</w:t>
      </w:r>
      <w:r w:rsidR="0058010B" w:rsidRPr="004612AC">
        <w:rPr>
          <w:rStyle w:val="Strong"/>
          <w:rFonts w:ascii="Arial" w:hAnsi="Arial" w:cs="Arial"/>
          <w:b w:val="0"/>
          <w:bCs w:val="0"/>
          <w:color w:val="000000" w:themeColor="text1"/>
          <w:sz w:val="24"/>
          <w:szCs w:val="24"/>
        </w:rPr>
        <w:t xml:space="preserve"> and was created by the King</w:t>
      </w:r>
      <w:r w:rsidR="00B117E5" w:rsidRPr="004612AC">
        <w:rPr>
          <w:rStyle w:val="Strong"/>
          <w:rFonts w:ascii="Arial" w:hAnsi="Arial" w:cs="Arial"/>
          <w:b w:val="0"/>
          <w:bCs w:val="0"/>
          <w:color w:val="000000" w:themeColor="text1"/>
          <w:sz w:val="24"/>
          <w:szCs w:val="24"/>
        </w:rPr>
        <w:t>.</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Courts of local jurisdiction were organised within feudal structures and administered by feudal lords.</w:t>
      </w:r>
      <w:r w:rsidR="00B117E5" w:rsidRPr="004612AC">
        <w:rPr>
          <w:rStyle w:val="apple-converted-space"/>
          <w:rFonts w:ascii="Arial" w:hAnsi="Arial" w:cs="Arial"/>
          <w:color w:val="000000" w:themeColor="text1"/>
          <w:sz w:val="24"/>
          <w:szCs w:val="24"/>
        </w:rPr>
        <w:t> </w:t>
      </w:r>
      <w:r w:rsidR="00B117E5" w:rsidRPr="004612AC">
        <w:rPr>
          <w:rStyle w:val="Strong"/>
          <w:rFonts w:ascii="Arial" w:hAnsi="Arial" w:cs="Arial"/>
          <w:b w:val="0"/>
          <w:bCs w:val="0"/>
          <w:color w:val="000000" w:themeColor="text1"/>
          <w:sz w:val="24"/>
          <w:szCs w:val="24"/>
        </w:rPr>
        <w:t>As part of the Royal Courts, also known as the Courts of Common Pleas, there were three courts: the King's Bench, the Court of Common Pleas, and the Exchequer</w:t>
      </w:r>
      <w:r w:rsidR="00B71629" w:rsidRPr="004612AC">
        <w:rPr>
          <w:rStyle w:val="Strong"/>
          <w:rFonts w:ascii="Arial" w:hAnsi="Arial" w:cs="Arial"/>
          <w:b w:val="0"/>
          <w:bCs w:val="0"/>
          <w:color w:val="000000" w:themeColor="text1"/>
          <w:sz w:val="24"/>
          <w:szCs w:val="24"/>
        </w:rPr>
        <w:t xml:space="preserve"> </w:t>
      </w:r>
      <w:r w:rsidR="00B117E5" w:rsidRPr="004612AC">
        <w:rPr>
          <w:rStyle w:val="Strong"/>
          <w:rFonts w:ascii="Arial" w:hAnsi="Arial" w:cs="Arial"/>
          <w:b w:val="0"/>
          <w:bCs w:val="0"/>
          <w:color w:val="000000" w:themeColor="text1"/>
          <w:sz w:val="24"/>
          <w:szCs w:val="24"/>
        </w:rPr>
        <w:t xml:space="preserve">(Ramjohn, 2019). </w:t>
      </w:r>
    </w:p>
    <w:p w14:paraId="6B29CAD5" w14:textId="77777777" w:rsidR="00433252" w:rsidRPr="004612AC" w:rsidRDefault="00433252" w:rsidP="001425DB">
      <w:pPr>
        <w:spacing w:line="360" w:lineRule="auto"/>
        <w:rPr>
          <w:rStyle w:val="apple-converted-space"/>
          <w:rFonts w:ascii="Arial" w:hAnsi="Arial" w:cs="Arial"/>
          <w:color w:val="000000" w:themeColor="text1"/>
          <w:sz w:val="24"/>
          <w:szCs w:val="24"/>
        </w:rPr>
      </w:pPr>
    </w:p>
    <w:p w14:paraId="5C01F7EA" w14:textId="67E87B7A" w:rsidR="00C64471" w:rsidRPr="004612AC" w:rsidRDefault="00C64471" w:rsidP="001425DB">
      <w:pPr>
        <w:spacing w:line="360" w:lineRule="auto"/>
        <w:rPr>
          <w:rStyle w:val="apple-converted-space"/>
          <w:rFonts w:ascii="Arial" w:hAnsi="Arial" w:cs="Arial"/>
          <w:color w:val="000000" w:themeColor="text1"/>
          <w:sz w:val="24"/>
          <w:szCs w:val="24"/>
        </w:rPr>
      </w:pPr>
      <w:r w:rsidRPr="004612AC">
        <w:rPr>
          <w:rFonts w:ascii="Arial" w:hAnsi="Arial" w:cs="Arial"/>
          <w:color w:val="000000" w:themeColor="text1"/>
          <w:sz w:val="24"/>
          <w:szCs w:val="24"/>
        </w:rPr>
        <w:t>T</w:t>
      </w:r>
      <w:r w:rsidR="00E7359E" w:rsidRPr="004612AC">
        <w:rPr>
          <w:rFonts w:ascii="Arial" w:hAnsi="Arial" w:cs="Arial"/>
          <w:color w:val="000000" w:themeColor="text1"/>
          <w:sz w:val="24"/>
          <w:szCs w:val="24"/>
        </w:rPr>
        <w:t xml:space="preserve">o elaborate, the </w:t>
      </w:r>
      <w:r w:rsidRPr="004612AC">
        <w:rPr>
          <w:rFonts w:ascii="Arial" w:hAnsi="Arial" w:cs="Arial"/>
          <w:color w:val="000000" w:themeColor="text1"/>
          <w:sz w:val="24"/>
          <w:szCs w:val="24"/>
        </w:rPr>
        <w:t xml:space="preserve">common law system was </w:t>
      </w:r>
      <w:r w:rsidR="00433252">
        <w:rPr>
          <w:rFonts w:ascii="Arial" w:hAnsi="Arial" w:cs="Arial"/>
          <w:color w:val="000000" w:themeColor="text1"/>
          <w:sz w:val="24"/>
          <w:szCs w:val="24"/>
        </w:rPr>
        <w:t xml:space="preserve">restrictive, and </w:t>
      </w:r>
      <w:r w:rsidR="00433252" w:rsidRPr="004612AC">
        <w:rPr>
          <w:rStyle w:val="apple-converted-space"/>
          <w:rFonts w:ascii="Arial" w:hAnsi="Arial" w:cs="Arial"/>
          <w:color w:val="000000" w:themeColor="text1"/>
          <w:sz w:val="24"/>
          <w:szCs w:val="24"/>
        </w:rPr>
        <w:t>the overall attitude of the judges was strict and inflexible</w:t>
      </w:r>
      <w:r w:rsidRPr="004612AC">
        <w:rPr>
          <w:rFonts w:ascii="Arial" w:hAnsi="Arial" w:cs="Arial"/>
          <w:color w:val="000000" w:themeColor="text1"/>
          <w:sz w:val="24"/>
          <w:szCs w:val="24"/>
        </w:rPr>
        <w:t>.</w:t>
      </w:r>
      <w:r w:rsidRPr="004612AC">
        <w:rPr>
          <w:rStyle w:val="apple-converted-space"/>
          <w:rFonts w:ascii="Arial" w:hAnsi="Arial" w:cs="Arial"/>
          <w:color w:val="000000" w:themeColor="text1"/>
          <w:sz w:val="24"/>
          <w:szCs w:val="24"/>
        </w:rPr>
        <w:t> </w:t>
      </w:r>
      <w:r w:rsidRPr="004612AC">
        <w:rPr>
          <w:rStyle w:val="issue-underline"/>
          <w:rFonts w:ascii="Arial" w:hAnsi="Arial" w:cs="Arial"/>
          <w:color w:val="000000" w:themeColor="text1"/>
          <w:sz w:val="24"/>
          <w:szCs w:val="24"/>
        </w:rPr>
        <w:t>Nonetheless,</w:t>
      </w:r>
      <w:r w:rsidRPr="004612AC">
        <w:rPr>
          <w:rStyle w:val="apple-converted-space"/>
          <w:rFonts w:ascii="Arial" w:hAnsi="Arial" w:cs="Arial"/>
          <w:color w:val="000000" w:themeColor="text1"/>
          <w:sz w:val="24"/>
          <w:szCs w:val="24"/>
        </w:rPr>
        <w:t> </w:t>
      </w:r>
      <w:r w:rsidRPr="004612AC">
        <w:rPr>
          <w:rFonts w:ascii="Arial" w:hAnsi="Arial" w:cs="Arial"/>
          <w:color w:val="000000" w:themeColor="text1"/>
          <w:sz w:val="24"/>
          <w:szCs w:val="24"/>
        </w:rPr>
        <w:t>claimants could petition the King if no remedy had been awarded or was available.</w:t>
      </w:r>
      <w:r w:rsidRPr="004612AC">
        <w:rPr>
          <w:rStyle w:val="apple-converted-space"/>
          <w:rFonts w:ascii="Arial" w:hAnsi="Arial" w:cs="Arial"/>
          <w:color w:val="000000" w:themeColor="text1"/>
          <w:sz w:val="24"/>
          <w:szCs w:val="24"/>
        </w:rPr>
        <w:t> </w:t>
      </w:r>
      <w:r w:rsidR="00FF335B" w:rsidRPr="00FF335B">
        <w:rPr>
          <w:rFonts w:ascii="Arial" w:hAnsi="Arial" w:cs="Arial"/>
          <w:sz w:val="24"/>
          <w:szCs w:val="24"/>
        </w:rPr>
        <w:t>It was eventually the Lord Chancellor who was delegated this responsibility by the King.</w:t>
      </w:r>
      <w:r w:rsidR="00FF335B" w:rsidRPr="00FF335B">
        <w:rPr>
          <w:rStyle w:val="apple-converted-space"/>
          <w:rFonts w:ascii="Arial" w:hAnsi="Arial" w:cs="Arial"/>
          <w:color w:val="000000"/>
          <w:sz w:val="24"/>
          <w:szCs w:val="24"/>
        </w:rPr>
        <w:t> </w:t>
      </w:r>
      <w:r w:rsidR="00FF335B" w:rsidRPr="00FF335B">
        <w:rPr>
          <w:rFonts w:ascii="Arial" w:hAnsi="Arial" w:cs="Arial"/>
          <w:sz w:val="24"/>
          <w:szCs w:val="24"/>
        </w:rPr>
        <w:t>Biblical notions of fairness and justice were most likely considered by the Lord Chancellor in determining whether a remedy should be granted.</w:t>
      </w:r>
      <w:r w:rsidR="00931DCF">
        <w:rPr>
          <w:rFonts w:ascii="Arial" w:hAnsi="Arial" w:cs="Arial"/>
          <w:color w:val="000000" w:themeColor="text1"/>
          <w:sz w:val="24"/>
          <w:szCs w:val="24"/>
        </w:rPr>
        <w:t xml:space="preserve"> </w:t>
      </w:r>
      <w:r w:rsidR="00BA22F1" w:rsidRPr="004612AC">
        <w:rPr>
          <w:rFonts w:ascii="Arial" w:hAnsi="Arial" w:cs="Arial"/>
          <w:color w:val="000000" w:themeColor="text1"/>
          <w:sz w:val="24"/>
          <w:szCs w:val="24"/>
        </w:rPr>
        <w:t>H</w:t>
      </w:r>
      <w:r w:rsidRPr="004612AC">
        <w:rPr>
          <w:rFonts w:ascii="Arial" w:hAnsi="Arial" w:cs="Arial"/>
          <w:color w:val="000000" w:themeColor="text1"/>
          <w:sz w:val="24"/>
          <w:szCs w:val="24"/>
        </w:rPr>
        <w:t>owever, the Lord Chancellor's decision was influenced by his conscience.</w:t>
      </w:r>
      <w:r w:rsidRPr="004612AC">
        <w:rPr>
          <w:rStyle w:val="apple-converted-space"/>
          <w:rFonts w:ascii="Arial" w:hAnsi="Arial" w:cs="Arial"/>
          <w:color w:val="000000" w:themeColor="text1"/>
          <w:sz w:val="24"/>
          <w:szCs w:val="24"/>
        </w:rPr>
        <w:t> </w:t>
      </w:r>
      <w:r w:rsidRPr="004612AC">
        <w:rPr>
          <w:rFonts w:ascii="Arial" w:hAnsi="Arial" w:cs="Arial"/>
          <w:color w:val="000000" w:themeColor="text1"/>
          <w:sz w:val="24"/>
          <w:szCs w:val="24"/>
        </w:rPr>
        <w:t>As a discretionary system, equity developed through the exercise of conscience</w:t>
      </w:r>
      <w:r w:rsidR="00031EA7" w:rsidRPr="004612AC">
        <w:rPr>
          <w:rFonts w:ascii="Arial" w:hAnsi="Arial" w:cs="Arial"/>
          <w:color w:val="000000" w:themeColor="text1"/>
          <w:sz w:val="24"/>
          <w:szCs w:val="24"/>
        </w:rPr>
        <w:t xml:space="preserve"> </w:t>
      </w:r>
      <w:r w:rsidR="00A57850" w:rsidRPr="004612AC">
        <w:rPr>
          <w:rFonts w:ascii="Arial" w:hAnsi="Arial" w:cs="Arial"/>
          <w:color w:val="000000" w:themeColor="text1"/>
          <w:sz w:val="24"/>
          <w:szCs w:val="24"/>
        </w:rPr>
        <w:t xml:space="preserve">(Davies and Virgo, 2019). </w:t>
      </w:r>
    </w:p>
    <w:p w14:paraId="05E10ECB" w14:textId="77777777" w:rsidR="0058010B" w:rsidRPr="004612AC" w:rsidRDefault="0058010B" w:rsidP="00B117E5">
      <w:pPr>
        <w:spacing w:line="360" w:lineRule="auto"/>
        <w:rPr>
          <w:rStyle w:val="Strong"/>
          <w:rFonts w:ascii="Arial" w:hAnsi="Arial" w:cs="Arial"/>
          <w:b w:val="0"/>
          <w:bCs w:val="0"/>
          <w:color w:val="000000" w:themeColor="text1"/>
          <w:sz w:val="24"/>
          <w:szCs w:val="24"/>
        </w:rPr>
      </w:pPr>
    </w:p>
    <w:p w14:paraId="084EFE65" w14:textId="0BEC3887" w:rsidR="00A55851" w:rsidRPr="004612AC" w:rsidRDefault="00E7359E" w:rsidP="00B117E5">
      <w:pPr>
        <w:spacing w:line="360" w:lineRule="auto"/>
        <w:rPr>
          <w:rStyle w:val="apple-converted-space"/>
          <w:rFonts w:ascii="-webkit-standard" w:hAnsi="-webkit-standard"/>
          <w:color w:val="000000" w:themeColor="text1"/>
          <w:sz w:val="27"/>
          <w:szCs w:val="27"/>
        </w:rPr>
      </w:pPr>
      <w:r w:rsidRPr="004612AC">
        <w:rPr>
          <w:rFonts w:ascii="Arial" w:hAnsi="Arial" w:cs="Arial"/>
          <w:color w:val="000000" w:themeColor="text1"/>
          <w:sz w:val="24"/>
          <w:szCs w:val="24"/>
        </w:rPr>
        <w:t>Furthermore, t</w:t>
      </w:r>
      <w:r w:rsidR="00B117E5" w:rsidRPr="004612AC">
        <w:rPr>
          <w:rFonts w:ascii="Arial" w:hAnsi="Arial" w:cs="Arial"/>
          <w:color w:val="000000" w:themeColor="text1"/>
          <w:sz w:val="24"/>
          <w:szCs w:val="24"/>
        </w:rPr>
        <w:t>he common law frequently caused</w:t>
      </w:r>
      <w:r w:rsidR="00B117E5" w:rsidRPr="004612AC">
        <w:rPr>
          <w:rStyle w:val="apple-converted-space"/>
          <w:rFonts w:ascii="Arial" w:hAnsi="Arial" w:cs="Arial"/>
          <w:color w:val="000000" w:themeColor="text1"/>
          <w:sz w:val="24"/>
          <w:szCs w:val="24"/>
        </w:rPr>
        <w:t> </w:t>
      </w:r>
      <w:r w:rsidR="00B117E5" w:rsidRPr="004612AC">
        <w:rPr>
          <w:rStyle w:val="issue-underline"/>
          <w:rFonts w:ascii="Arial" w:hAnsi="Arial" w:cs="Arial"/>
          <w:color w:val="000000" w:themeColor="text1"/>
          <w:sz w:val="24"/>
          <w:szCs w:val="24"/>
        </w:rPr>
        <w:t>issues</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with the writ system.</w:t>
      </w:r>
      <w:r w:rsidR="00B117E5" w:rsidRPr="004612AC">
        <w:rPr>
          <w:rStyle w:val="apple-converted-space"/>
          <w:rFonts w:ascii="Arial" w:hAnsi="Arial" w:cs="Arial"/>
          <w:color w:val="000000" w:themeColor="text1"/>
          <w:sz w:val="24"/>
          <w:szCs w:val="24"/>
        </w:rPr>
        <w:t xml:space="preserve"> It was established that </w:t>
      </w:r>
      <w:r w:rsidR="00B117E5" w:rsidRPr="004612AC">
        <w:rPr>
          <w:rFonts w:ascii="Arial" w:hAnsi="Arial" w:cs="Arial"/>
          <w:color w:val="000000" w:themeColor="text1"/>
          <w:sz w:val="24"/>
          <w:szCs w:val="24"/>
        </w:rPr>
        <w:t>the chancellor must grant a writ if someone wants to bring a case to the royal court.</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The use of old writs was</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acceptable, however,</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there were</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limitations</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to</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using</w:t>
      </w:r>
      <w:r w:rsidR="00B117E5" w:rsidRPr="004612AC">
        <w:rPr>
          <w:rStyle w:val="apple-converted-space"/>
          <w:rFonts w:ascii="Arial" w:hAnsi="Arial" w:cs="Arial"/>
          <w:color w:val="000000" w:themeColor="text1"/>
          <w:sz w:val="24"/>
          <w:szCs w:val="24"/>
        </w:rPr>
        <w:t> </w:t>
      </w:r>
      <w:r w:rsidR="00B117E5" w:rsidRPr="004612AC">
        <w:rPr>
          <w:rStyle w:val="issue-underline"/>
          <w:rFonts w:ascii="Arial" w:hAnsi="Arial" w:cs="Arial"/>
          <w:color w:val="000000" w:themeColor="text1"/>
          <w:sz w:val="24"/>
          <w:szCs w:val="24"/>
        </w:rPr>
        <w:t xml:space="preserve">new </w:t>
      </w:r>
      <w:r w:rsidR="00B117E5" w:rsidRPr="004612AC">
        <w:rPr>
          <w:rFonts w:ascii="Arial" w:hAnsi="Arial" w:cs="Arial"/>
          <w:color w:val="000000" w:themeColor="text1"/>
          <w:sz w:val="24"/>
          <w:szCs w:val="24"/>
        </w:rPr>
        <w:t>ones due to the need for</w:t>
      </w:r>
      <w:r w:rsidR="00B117E5" w:rsidRPr="004612AC">
        <w:rPr>
          <w:rStyle w:val="apple-converted-space"/>
          <w:rFonts w:ascii="Arial" w:hAnsi="Arial" w:cs="Arial"/>
          <w:color w:val="000000" w:themeColor="text1"/>
          <w:sz w:val="24"/>
          <w:szCs w:val="24"/>
        </w:rPr>
        <w:t> </w:t>
      </w:r>
      <w:r w:rsidR="00B117E5" w:rsidRPr="004612AC">
        <w:rPr>
          <w:rStyle w:val="issue-underline"/>
          <w:rFonts w:ascii="Arial" w:hAnsi="Arial" w:cs="Arial"/>
          <w:color w:val="000000" w:themeColor="text1"/>
          <w:sz w:val="24"/>
          <w:szCs w:val="24"/>
        </w:rPr>
        <w:t>new</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 xml:space="preserve">remedies to be imposed, </w:t>
      </w:r>
      <w:r w:rsidR="00B117E5" w:rsidRPr="004612AC">
        <w:rPr>
          <w:rFonts w:ascii="Arial" w:hAnsi="Arial" w:cs="Arial"/>
          <w:color w:val="000000" w:themeColor="text1"/>
          <w:sz w:val="24"/>
          <w:szCs w:val="24"/>
        </w:rPr>
        <w:lastRenderedPageBreak/>
        <w:t xml:space="preserve">which the </w:t>
      </w:r>
      <w:r w:rsidR="00A84EE5">
        <w:rPr>
          <w:rFonts w:ascii="Arial" w:hAnsi="Arial" w:cs="Arial"/>
          <w:color w:val="000000" w:themeColor="text1"/>
          <w:sz w:val="24"/>
          <w:szCs w:val="24"/>
        </w:rPr>
        <w:t>King's</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Council</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did not want. Therefore, no</w:t>
      </w:r>
      <w:r w:rsidR="00B117E5" w:rsidRPr="004612AC">
        <w:rPr>
          <w:rStyle w:val="apple-converted-space"/>
          <w:rFonts w:ascii="Arial" w:hAnsi="Arial" w:cs="Arial"/>
          <w:color w:val="000000" w:themeColor="text1"/>
          <w:sz w:val="24"/>
          <w:szCs w:val="24"/>
        </w:rPr>
        <w:t> </w:t>
      </w:r>
      <w:r w:rsidR="00B117E5" w:rsidRPr="004612AC">
        <w:rPr>
          <w:rStyle w:val="issue-underline"/>
          <w:rFonts w:ascii="Arial" w:hAnsi="Arial" w:cs="Arial"/>
          <w:color w:val="000000" w:themeColor="text1"/>
          <w:sz w:val="24"/>
          <w:szCs w:val="24"/>
        </w:rPr>
        <w:t>new</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writs could be issued without permission from the King's Council in the</w:t>
      </w:r>
      <w:r w:rsidR="00B117E5" w:rsidRPr="004612AC">
        <w:rPr>
          <w:rStyle w:val="apple-converted-space"/>
          <w:rFonts w:ascii="Arial" w:hAnsi="Arial" w:cs="Arial"/>
          <w:color w:val="000000" w:themeColor="text1"/>
          <w:sz w:val="24"/>
          <w:szCs w:val="24"/>
        </w:rPr>
        <w:t> </w:t>
      </w:r>
      <w:r w:rsidR="00727188" w:rsidRPr="004612AC">
        <w:rPr>
          <w:rStyle w:val="apple-converted-space"/>
          <w:rFonts w:ascii="Arial" w:hAnsi="Arial" w:cs="Arial"/>
          <w:color w:val="000000" w:themeColor="text1"/>
          <w:sz w:val="24"/>
          <w:szCs w:val="24"/>
        </w:rPr>
        <w:t>(</w:t>
      </w:r>
      <w:r w:rsidR="00B117E5" w:rsidRPr="004612AC">
        <w:rPr>
          <w:rStyle w:val="issue-underline"/>
          <w:rFonts w:ascii="Arial" w:hAnsi="Arial" w:cs="Arial"/>
          <w:color w:val="000000" w:themeColor="text1"/>
          <w:sz w:val="24"/>
          <w:szCs w:val="24"/>
        </w:rPr>
        <w:t>Provision of Oxford</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1248). This resulted in many cases</w:t>
      </w:r>
      <w:r w:rsidR="00B117E5" w:rsidRPr="004612AC">
        <w:rPr>
          <w:rStyle w:val="apple-converted-space"/>
          <w:rFonts w:ascii="Arial" w:hAnsi="Arial" w:cs="Arial"/>
          <w:color w:val="000000" w:themeColor="text1"/>
          <w:sz w:val="24"/>
          <w:szCs w:val="24"/>
        </w:rPr>
        <w:t> </w:t>
      </w:r>
      <w:r w:rsidR="00B117E5" w:rsidRPr="004612AC">
        <w:rPr>
          <w:rStyle w:val="issue-underline"/>
          <w:rFonts w:ascii="Arial" w:hAnsi="Arial" w:cs="Arial"/>
          <w:color w:val="000000" w:themeColor="text1"/>
          <w:sz w:val="24"/>
          <w:szCs w:val="24"/>
        </w:rPr>
        <w:t>becoming</w:t>
      </w:r>
      <w:r w:rsidR="00B117E5" w:rsidRPr="004612AC">
        <w:rPr>
          <w:rStyle w:val="apple-converted-space"/>
          <w:rFonts w:ascii="Arial" w:hAnsi="Arial" w:cs="Arial"/>
          <w:color w:val="000000" w:themeColor="text1"/>
          <w:sz w:val="24"/>
          <w:szCs w:val="24"/>
        </w:rPr>
        <w:t> </w:t>
      </w:r>
      <w:r w:rsidR="00B117E5" w:rsidRPr="004612AC">
        <w:rPr>
          <w:rFonts w:ascii="Arial" w:hAnsi="Arial" w:cs="Arial"/>
          <w:color w:val="000000" w:themeColor="text1"/>
          <w:sz w:val="24"/>
          <w:szCs w:val="24"/>
        </w:rPr>
        <w:t>unsolved.</w:t>
      </w:r>
      <w:r w:rsidR="00B117E5" w:rsidRPr="004612AC">
        <w:rPr>
          <w:rStyle w:val="apple-converted-space"/>
          <w:rFonts w:ascii="-webkit-standard" w:hAnsi="-webkit-standard"/>
          <w:color w:val="000000" w:themeColor="text1"/>
          <w:sz w:val="27"/>
          <w:szCs w:val="27"/>
        </w:rPr>
        <w:t> </w:t>
      </w:r>
      <w:r w:rsidR="00BA5B28" w:rsidRPr="004612AC">
        <w:rPr>
          <w:rFonts w:ascii="Arial" w:hAnsi="Arial" w:cs="Arial"/>
          <w:color w:val="000000" w:themeColor="text1"/>
          <w:sz w:val="24"/>
          <w:szCs w:val="24"/>
        </w:rPr>
        <w:t>The number of petitions to the Chancellor grew over the fifteenth and sixteenth centuries, resulting in common lawsuits, which established the technical and inflexible forms of action, leading at the time to a situation in which a just case might fail because of the lack of formalities (Oldham, 2005)</w:t>
      </w:r>
    </w:p>
    <w:p w14:paraId="6C1C7982" w14:textId="0DB0D5CD" w:rsidR="00A55851" w:rsidRPr="00707E67" w:rsidRDefault="00546102" w:rsidP="0053655C">
      <w:pPr>
        <w:pStyle w:val="pb-2"/>
        <w:spacing w:line="360" w:lineRule="auto"/>
        <w:rPr>
          <w:rStyle w:val="apple-converted-space"/>
          <w:color w:val="000000"/>
        </w:rPr>
      </w:pPr>
      <w:r w:rsidRPr="004612AC">
        <w:rPr>
          <w:rFonts w:ascii="Arial" w:hAnsi="Arial" w:cs="Arial"/>
          <w:color w:val="000000" w:themeColor="text1"/>
        </w:rPr>
        <w:t>A</w:t>
      </w:r>
      <w:r w:rsidR="00E7359E" w:rsidRPr="004612AC">
        <w:rPr>
          <w:rFonts w:ascii="Arial" w:hAnsi="Arial" w:cs="Arial"/>
          <w:color w:val="000000" w:themeColor="text1"/>
        </w:rPr>
        <w:t xml:space="preserve">dditionally, </w:t>
      </w:r>
      <w:r w:rsidR="00707E67">
        <w:rPr>
          <w:rFonts w:ascii="Arial" w:hAnsi="Arial" w:cs="Arial"/>
          <w:color w:val="000000"/>
        </w:rPr>
        <w:t>i</w:t>
      </w:r>
      <w:r w:rsidR="00707E67" w:rsidRPr="00707E67">
        <w:rPr>
          <w:rFonts w:ascii="Arial" w:hAnsi="Arial" w:cs="Arial"/>
          <w:color w:val="000000"/>
        </w:rPr>
        <w:t xml:space="preserve">t was established in the fourteenth century that the law of equity could be used as a fair and just remedy instead of monetary compensation, due to the </w:t>
      </w:r>
      <w:r w:rsidR="00707E67" w:rsidRPr="00707E67">
        <w:rPr>
          <w:rFonts w:ascii="Arial" w:hAnsi="Arial" w:cs="Arial"/>
          <w:color w:val="000000"/>
        </w:rPr>
        <w:t>ins</w:t>
      </w:r>
      <w:r w:rsidR="00707E67">
        <w:rPr>
          <w:rFonts w:ascii="Arial" w:hAnsi="Arial" w:cs="Arial"/>
          <w:color w:val="000000"/>
        </w:rPr>
        <w:t xml:space="preserve">tability </w:t>
      </w:r>
      <w:r w:rsidR="00707E67" w:rsidRPr="00707E67">
        <w:rPr>
          <w:rFonts w:ascii="Arial" w:hAnsi="Arial" w:cs="Arial"/>
          <w:color w:val="000000"/>
        </w:rPr>
        <w:t>of the common</w:t>
      </w:r>
      <w:r w:rsidR="00707E67" w:rsidRPr="00707E67">
        <w:rPr>
          <w:rStyle w:val="apple-converted-space"/>
          <w:rFonts w:ascii="Arial" w:hAnsi="Arial" w:cs="Arial"/>
          <w:color w:val="000000"/>
        </w:rPr>
        <w:t> </w:t>
      </w:r>
      <w:r w:rsidR="00707E67" w:rsidRPr="00707E67">
        <w:rPr>
          <w:rStyle w:val="issue-underline"/>
          <w:rFonts w:ascii="Arial" w:hAnsi="Arial" w:cs="Arial"/>
          <w:color w:val="000000"/>
        </w:rPr>
        <w:t>law, and sometimes</w:t>
      </w:r>
      <w:r w:rsidR="00707E67" w:rsidRPr="00707E67">
        <w:rPr>
          <w:rStyle w:val="apple-converted-space"/>
          <w:rFonts w:ascii="Arial" w:hAnsi="Arial" w:cs="Arial"/>
          <w:color w:val="000000"/>
        </w:rPr>
        <w:t> </w:t>
      </w:r>
      <w:r w:rsidR="00707E67" w:rsidRPr="00707E67">
        <w:rPr>
          <w:rFonts w:ascii="Arial" w:hAnsi="Arial" w:cs="Arial"/>
          <w:color w:val="000000"/>
        </w:rPr>
        <w:t>well-deserving plaintiffs were denied access because of the rigid and narrow</w:t>
      </w:r>
      <w:r w:rsidR="00707E67" w:rsidRPr="00707E67">
        <w:rPr>
          <w:rStyle w:val="apple-converted-space"/>
          <w:rFonts w:ascii="Arial" w:hAnsi="Arial" w:cs="Arial"/>
          <w:color w:val="000000"/>
        </w:rPr>
        <w:t> </w:t>
      </w:r>
      <w:r w:rsidR="00707E67" w:rsidRPr="00707E67">
        <w:rPr>
          <w:rStyle w:val="issue-underline"/>
          <w:rFonts w:ascii="Arial" w:hAnsi="Arial" w:cs="Arial"/>
          <w:color w:val="000000"/>
        </w:rPr>
        <w:t>standards of writs.</w:t>
      </w:r>
      <w:r w:rsidR="00707E67">
        <w:rPr>
          <w:color w:val="000000"/>
        </w:rPr>
        <w:t> </w:t>
      </w:r>
      <w:r w:rsidRPr="004612AC">
        <w:rPr>
          <w:rFonts w:ascii="Arial" w:hAnsi="Arial" w:cs="Arial"/>
          <w:color w:val="000000" w:themeColor="text1"/>
        </w:rPr>
        <w:t>Throughout history, the twelve maxims have been filtered through previous decisions.</w:t>
      </w:r>
      <w:r w:rsidRPr="004612AC">
        <w:rPr>
          <w:rStyle w:val="apple-converted-space"/>
          <w:rFonts w:ascii="Arial" w:hAnsi="Arial" w:cs="Arial"/>
          <w:color w:val="000000" w:themeColor="text1"/>
        </w:rPr>
        <w:t> </w:t>
      </w:r>
      <w:r w:rsidRPr="004612AC">
        <w:rPr>
          <w:rFonts w:ascii="Arial" w:hAnsi="Arial" w:cs="Arial"/>
          <w:color w:val="000000" w:themeColor="text1"/>
        </w:rPr>
        <w:t xml:space="preserve">For those who have not acted </w:t>
      </w:r>
      <w:r w:rsidR="00A84EE5">
        <w:rPr>
          <w:rFonts w:ascii="Arial" w:hAnsi="Arial" w:cs="Arial"/>
          <w:color w:val="000000" w:themeColor="text1"/>
        </w:rPr>
        <w:t>equitably</w:t>
      </w:r>
      <w:r w:rsidRPr="004612AC">
        <w:rPr>
          <w:rFonts w:ascii="Arial" w:hAnsi="Arial" w:cs="Arial"/>
          <w:color w:val="000000" w:themeColor="text1"/>
        </w:rPr>
        <w:t xml:space="preserve">, these maxims limit the grant of equitable remedies (Virgo, 2020). A constant conflict existed between the decisions of the </w:t>
      </w:r>
      <w:r w:rsidR="00A84EE5">
        <w:rPr>
          <w:rFonts w:ascii="Arial" w:hAnsi="Arial" w:cs="Arial"/>
          <w:color w:val="000000" w:themeColor="text1"/>
        </w:rPr>
        <w:t>Court</w:t>
      </w:r>
      <w:r w:rsidRPr="004612AC">
        <w:rPr>
          <w:rFonts w:ascii="Arial" w:hAnsi="Arial" w:cs="Arial"/>
          <w:color w:val="000000" w:themeColor="text1"/>
        </w:rPr>
        <w:t xml:space="preserve"> of </w:t>
      </w:r>
      <w:r w:rsidR="00A84EE5">
        <w:rPr>
          <w:rFonts w:ascii="Arial" w:hAnsi="Arial" w:cs="Arial"/>
          <w:color w:val="000000" w:themeColor="text1"/>
        </w:rPr>
        <w:t>Chancery</w:t>
      </w:r>
      <w:r w:rsidRPr="004612AC">
        <w:rPr>
          <w:rFonts w:ascii="Arial" w:hAnsi="Arial" w:cs="Arial"/>
          <w:color w:val="000000" w:themeColor="text1"/>
        </w:rPr>
        <w:t xml:space="preserve"> and the common law during the seventeenth century.</w:t>
      </w:r>
      <w:r w:rsidRPr="004612AC">
        <w:rPr>
          <w:rStyle w:val="apple-converted-space"/>
          <w:rFonts w:ascii="Arial" w:hAnsi="Arial" w:cs="Arial"/>
          <w:color w:val="000000" w:themeColor="text1"/>
        </w:rPr>
        <w:t> </w:t>
      </w:r>
      <w:r w:rsidRPr="004612AC">
        <w:rPr>
          <w:rFonts w:ascii="Arial" w:hAnsi="Arial" w:cs="Arial"/>
          <w:color w:val="000000" w:themeColor="text1"/>
        </w:rPr>
        <w:t xml:space="preserve">This rivalry was ended in </w:t>
      </w:r>
      <w:r w:rsidR="00727188" w:rsidRPr="004612AC">
        <w:rPr>
          <w:rFonts w:ascii="Arial" w:hAnsi="Arial" w:cs="Arial"/>
          <w:color w:val="000000" w:themeColor="text1"/>
        </w:rPr>
        <w:t>the ‘</w:t>
      </w:r>
      <w:r w:rsidRPr="004612AC">
        <w:rPr>
          <w:rFonts w:ascii="Arial" w:hAnsi="Arial" w:cs="Arial"/>
          <w:color w:val="000000" w:themeColor="text1"/>
        </w:rPr>
        <w:t>Earl of</w:t>
      </w:r>
      <w:r w:rsidRPr="004612AC">
        <w:rPr>
          <w:rStyle w:val="apple-converted-space"/>
          <w:rFonts w:ascii="Arial" w:hAnsi="Arial" w:cs="Arial"/>
          <w:color w:val="000000" w:themeColor="text1"/>
        </w:rPr>
        <w:t> </w:t>
      </w:r>
      <w:r w:rsidRPr="004612AC">
        <w:rPr>
          <w:rFonts w:ascii="Arial" w:hAnsi="Arial" w:cs="Arial"/>
          <w:color w:val="000000" w:themeColor="text1"/>
        </w:rPr>
        <w:t xml:space="preserve">Oxford's </w:t>
      </w:r>
      <w:r w:rsidR="00727188" w:rsidRPr="004612AC">
        <w:rPr>
          <w:rFonts w:ascii="Arial" w:hAnsi="Arial" w:cs="Arial"/>
          <w:color w:val="000000" w:themeColor="text1"/>
        </w:rPr>
        <w:t>C</w:t>
      </w:r>
      <w:r w:rsidRPr="004612AC">
        <w:rPr>
          <w:rFonts w:ascii="Arial" w:hAnsi="Arial" w:cs="Arial"/>
          <w:color w:val="000000" w:themeColor="text1"/>
        </w:rPr>
        <w:t>ase</w:t>
      </w:r>
      <w:r w:rsidR="00727188" w:rsidRPr="004612AC">
        <w:rPr>
          <w:rFonts w:ascii="Arial" w:hAnsi="Arial" w:cs="Arial"/>
          <w:color w:val="000000" w:themeColor="text1"/>
        </w:rPr>
        <w:t>’ (</w:t>
      </w:r>
      <w:r w:rsidRPr="004612AC">
        <w:rPr>
          <w:rFonts w:ascii="Arial" w:hAnsi="Arial" w:cs="Arial"/>
          <w:color w:val="000000" w:themeColor="text1"/>
        </w:rPr>
        <w:t>1615</w:t>
      </w:r>
      <w:r w:rsidR="00727188" w:rsidRPr="004612AC">
        <w:rPr>
          <w:rFonts w:ascii="Arial" w:hAnsi="Arial" w:cs="Arial"/>
          <w:color w:val="000000" w:themeColor="text1"/>
        </w:rPr>
        <w:t>)</w:t>
      </w:r>
      <w:r w:rsidR="00CC0FAC" w:rsidRPr="004612AC">
        <w:rPr>
          <w:rFonts w:ascii="Arial" w:hAnsi="Arial" w:cs="Arial"/>
          <w:color w:val="000000" w:themeColor="text1"/>
        </w:rPr>
        <w:t>, i</w:t>
      </w:r>
      <w:r w:rsidRPr="004612AC">
        <w:rPr>
          <w:rFonts w:ascii="Arial" w:hAnsi="Arial" w:cs="Arial"/>
          <w:color w:val="000000" w:themeColor="text1"/>
        </w:rPr>
        <w:t xml:space="preserve">n which the </w:t>
      </w:r>
      <w:r w:rsidR="00CC0FAC" w:rsidRPr="004612AC">
        <w:rPr>
          <w:rFonts w:ascii="Arial" w:hAnsi="Arial" w:cs="Arial"/>
          <w:color w:val="000000" w:themeColor="text1"/>
        </w:rPr>
        <w:t>K</w:t>
      </w:r>
      <w:r w:rsidRPr="004612AC">
        <w:rPr>
          <w:rFonts w:ascii="Arial" w:hAnsi="Arial" w:cs="Arial"/>
          <w:color w:val="000000" w:themeColor="text1"/>
        </w:rPr>
        <w:t xml:space="preserve">ing stated, </w:t>
      </w:r>
      <w:r w:rsidR="00865770" w:rsidRPr="004612AC">
        <w:rPr>
          <w:rFonts w:ascii="Arial" w:hAnsi="Arial" w:cs="Arial"/>
          <w:color w:val="000000" w:themeColor="text1"/>
        </w:rPr>
        <w:t>“</w:t>
      </w:r>
      <w:r w:rsidRPr="004612AC">
        <w:rPr>
          <w:rFonts w:ascii="Arial" w:hAnsi="Arial" w:cs="Arial"/>
          <w:color w:val="000000" w:themeColor="text1"/>
        </w:rPr>
        <w:t>Where common law and equity conflict equity should prevail</w:t>
      </w:r>
      <w:r w:rsidR="00865770" w:rsidRPr="004612AC">
        <w:rPr>
          <w:rFonts w:ascii="Arial" w:hAnsi="Arial" w:cs="Arial"/>
          <w:color w:val="000000" w:themeColor="text1"/>
        </w:rPr>
        <w:t>”</w:t>
      </w:r>
      <w:r w:rsidRPr="004612AC">
        <w:rPr>
          <w:rFonts w:ascii="Arial" w:hAnsi="Arial" w:cs="Arial"/>
          <w:color w:val="000000" w:themeColor="text1"/>
        </w:rPr>
        <w:t>.</w:t>
      </w:r>
      <w:r w:rsidRPr="004612AC">
        <w:rPr>
          <w:rStyle w:val="apple-converted-space"/>
          <w:rFonts w:ascii="Arial" w:hAnsi="Arial" w:cs="Arial"/>
          <w:color w:val="000000" w:themeColor="text1"/>
        </w:rPr>
        <w:t> </w:t>
      </w:r>
      <w:r w:rsidRPr="004612AC">
        <w:rPr>
          <w:rFonts w:ascii="Arial" w:hAnsi="Arial" w:cs="Arial"/>
          <w:color w:val="000000" w:themeColor="text1"/>
        </w:rPr>
        <w:t>There is now a unified court system, in which common law and equity are decided by the same judges</w:t>
      </w:r>
      <w:r w:rsidR="00727188" w:rsidRPr="004612AC">
        <w:rPr>
          <w:rFonts w:ascii="Arial" w:hAnsi="Arial" w:cs="Arial"/>
          <w:color w:val="000000" w:themeColor="text1"/>
        </w:rPr>
        <w:t xml:space="preserve">. </w:t>
      </w:r>
    </w:p>
    <w:p w14:paraId="41819416" w14:textId="47239650" w:rsidR="00B117E5" w:rsidRPr="004612AC" w:rsidRDefault="00B117E5" w:rsidP="00B117E5">
      <w:pPr>
        <w:pStyle w:val="pb-2"/>
        <w:spacing w:line="360" w:lineRule="auto"/>
        <w:rPr>
          <w:rFonts w:ascii="Arial" w:hAnsi="Arial" w:cs="Arial"/>
          <w:color w:val="000000" w:themeColor="text1"/>
        </w:rPr>
      </w:pPr>
      <w:r w:rsidRPr="004612AC">
        <w:rPr>
          <w:rFonts w:ascii="Arial" w:hAnsi="Arial" w:cs="Arial"/>
          <w:color w:val="000000" w:themeColor="text1"/>
        </w:rPr>
        <w:t xml:space="preserve">Moreover, </w:t>
      </w:r>
      <w:r w:rsidR="00E7359E" w:rsidRPr="004612AC">
        <w:rPr>
          <w:rFonts w:ascii="Arial" w:hAnsi="Arial" w:cs="Arial"/>
          <w:color w:val="000000" w:themeColor="text1"/>
        </w:rPr>
        <w:t>e</w:t>
      </w:r>
      <w:r w:rsidRPr="004612AC">
        <w:rPr>
          <w:rFonts w:ascii="Arial" w:hAnsi="Arial" w:cs="Arial"/>
          <w:color w:val="000000" w:themeColor="text1"/>
        </w:rPr>
        <w:t xml:space="preserve">quity distinguishes itself from </w:t>
      </w:r>
      <w:r w:rsidR="00E7359E" w:rsidRPr="004612AC">
        <w:rPr>
          <w:rFonts w:ascii="Arial" w:hAnsi="Arial" w:cs="Arial"/>
          <w:color w:val="000000" w:themeColor="text1"/>
        </w:rPr>
        <w:t>c</w:t>
      </w:r>
      <w:r w:rsidRPr="004612AC">
        <w:rPr>
          <w:rFonts w:ascii="Arial" w:hAnsi="Arial" w:cs="Arial"/>
          <w:color w:val="000000" w:themeColor="text1"/>
        </w:rPr>
        <w:t xml:space="preserve">ommon </w:t>
      </w:r>
      <w:r w:rsidR="00E7359E" w:rsidRPr="004612AC">
        <w:rPr>
          <w:rFonts w:ascii="Arial" w:hAnsi="Arial" w:cs="Arial"/>
          <w:color w:val="000000" w:themeColor="text1"/>
        </w:rPr>
        <w:t>l</w:t>
      </w:r>
      <w:r w:rsidRPr="004612AC">
        <w:rPr>
          <w:rFonts w:ascii="Arial" w:hAnsi="Arial" w:cs="Arial"/>
          <w:color w:val="000000" w:themeColor="text1"/>
        </w:rPr>
        <w:t>aw in several ways.</w:t>
      </w:r>
      <w:r w:rsidRPr="004612AC">
        <w:rPr>
          <w:rStyle w:val="apple-converted-space"/>
          <w:rFonts w:ascii="Arial" w:hAnsi="Arial" w:cs="Arial"/>
          <w:color w:val="000000" w:themeColor="text1"/>
          <w:sz w:val="27"/>
          <w:szCs w:val="27"/>
        </w:rPr>
        <w:t> </w:t>
      </w:r>
      <w:r w:rsidR="00707E67" w:rsidRPr="00707E67">
        <w:rPr>
          <w:rFonts w:ascii="Arial" w:hAnsi="Arial" w:cs="Arial"/>
        </w:rPr>
        <w:t>To</w:t>
      </w:r>
      <w:r w:rsidR="00707E67" w:rsidRPr="00707E67">
        <w:rPr>
          <w:rFonts w:ascii="Arial" w:hAnsi="Arial" w:cs="Arial"/>
        </w:rPr>
        <w:t xml:space="preserve"> understand equity, one must understand its historical origins.</w:t>
      </w:r>
      <w:r w:rsidRPr="004612AC">
        <w:rPr>
          <w:rFonts w:ascii="Arial" w:hAnsi="Arial" w:cs="Arial"/>
          <w:color w:val="000000" w:themeColor="text1"/>
        </w:rPr>
        <w:t xml:space="preserve"> Equity has developed from this discretionary jurisdiction into a distinct body of law (Watt, 2021).</w:t>
      </w:r>
      <w:r w:rsidRPr="004612AC">
        <w:rPr>
          <w:rStyle w:val="apple-converted-space"/>
          <w:rFonts w:ascii="Arial" w:hAnsi="Arial" w:cs="Arial"/>
          <w:color w:val="000000" w:themeColor="text1"/>
          <w:sz w:val="27"/>
          <w:szCs w:val="27"/>
        </w:rPr>
        <w:t xml:space="preserve"> </w:t>
      </w:r>
      <w:r w:rsidR="00707E67" w:rsidRPr="00707E67">
        <w:rPr>
          <w:rFonts w:ascii="Arial" w:hAnsi="Arial" w:cs="Arial"/>
        </w:rPr>
        <w:t>As this historical relationship between the common law and equity shows, equity has two fundamental features as a body of law.</w:t>
      </w:r>
      <w:r w:rsidR="00707E67" w:rsidRPr="00707E67">
        <w:rPr>
          <w:rFonts w:ascii="Arial" w:hAnsi="Arial" w:cs="Arial"/>
          <w:color w:val="000000"/>
          <w:sz w:val="27"/>
          <w:szCs w:val="27"/>
        </w:rPr>
        <w:t> </w:t>
      </w:r>
      <w:r w:rsidR="00707E67" w:rsidRPr="00707E67">
        <w:rPr>
          <w:rFonts w:ascii="Arial" w:hAnsi="Arial" w:cs="Arial"/>
        </w:rPr>
        <w:t>Due to its purpose of modifying the harshness and rigidity of the common law, equity is characteri</w:t>
      </w:r>
      <w:r w:rsidR="00707E67">
        <w:rPr>
          <w:rFonts w:ascii="Arial" w:hAnsi="Arial" w:cs="Arial"/>
        </w:rPr>
        <w:t>s</w:t>
      </w:r>
      <w:r w:rsidR="00707E67" w:rsidRPr="00707E67">
        <w:rPr>
          <w:rFonts w:ascii="Arial" w:hAnsi="Arial" w:cs="Arial"/>
        </w:rPr>
        <w:t>ed by its flexibility. Secondly, equity serves as a jurisdiction of fairness, justice, and morality, because it is based on the Lord Chancellor's discretion, reflecting his conscience (Griffin, 2022).</w:t>
      </w:r>
      <w:r w:rsidRPr="004612AC">
        <w:rPr>
          <w:rFonts w:ascii="Arial" w:hAnsi="Arial" w:cs="Arial"/>
          <w:color w:val="000000" w:themeColor="text1"/>
        </w:rPr>
        <w:t xml:space="preserve"> </w:t>
      </w:r>
    </w:p>
    <w:p w14:paraId="30EFE32B" w14:textId="69BDF052" w:rsidR="00727188" w:rsidRPr="004612AC" w:rsidRDefault="00E7359E" w:rsidP="00B117E5">
      <w:pPr>
        <w:pStyle w:val="pb-2"/>
        <w:spacing w:line="360" w:lineRule="auto"/>
        <w:rPr>
          <w:rFonts w:ascii="Arial" w:hAnsi="Arial" w:cs="Arial"/>
          <w:color w:val="000000" w:themeColor="text1"/>
        </w:rPr>
      </w:pPr>
      <w:r w:rsidRPr="004612AC">
        <w:rPr>
          <w:rFonts w:ascii="Arial" w:hAnsi="Arial" w:cs="Arial"/>
          <w:color w:val="000000" w:themeColor="text1"/>
        </w:rPr>
        <w:t xml:space="preserve">In addition, </w:t>
      </w:r>
      <w:r w:rsidR="008A4AD7" w:rsidRPr="004612AC">
        <w:rPr>
          <w:rFonts w:ascii="Arial" w:hAnsi="Arial" w:cs="Arial"/>
          <w:color w:val="000000" w:themeColor="text1"/>
        </w:rPr>
        <w:t xml:space="preserve">during the nineteenth century, there were two separate courts for common law and equity. However, these courts caused several issues, creating an unideal system. This led to the creation of the </w:t>
      </w:r>
      <w:r w:rsidR="009F7486" w:rsidRPr="004612AC">
        <w:rPr>
          <w:rFonts w:ascii="Arial" w:hAnsi="Arial" w:cs="Arial"/>
          <w:color w:val="000000" w:themeColor="text1"/>
        </w:rPr>
        <w:t>Judicature Act</w:t>
      </w:r>
      <w:r w:rsidR="008A4AD7" w:rsidRPr="004612AC">
        <w:rPr>
          <w:rFonts w:ascii="Arial" w:hAnsi="Arial" w:cs="Arial"/>
          <w:color w:val="000000" w:themeColor="text1"/>
        </w:rPr>
        <w:t xml:space="preserve">, which </w:t>
      </w:r>
      <w:r w:rsidR="009F7486" w:rsidRPr="004612AC">
        <w:rPr>
          <w:rFonts w:ascii="Arial" w:hAnsi="Arial" w:cs="Arial"/>
          <w:color w:val="000000" w:themeColor="text1"/>
        </w:rPr>
        <w:t xml:space="preserve">came into effect in 1875, </w:t>
      </w:r>
      <w:r w:rsidR="008A4AD7" w:rsidRPr="004612AC">
        <w:rPr>
          <w:rFonts w:ascii="Arial" w:hAnsi="Arial" w:cs="Arial"/>
          <w:color w:val="000000" w:themeColor="text1"/>
        </w:rPr>
        <w:t xml:space="preserve">resulting in a </w:t>
      </w:r>
      <w:r w:rsidR="009F7486" w:rsidRPr="004612AC">
        <w:rPr>
          <w:rFonts w:ascii="Arial" w:hAnsi="Arial" w:cs="Arial"/>
          <w:color w:val="000000" w:themeColor="text1"/>
        </w:rPr>
        <w:t xml:space="preserve">revolution of equity. It was under this Act that equity and </w:t>
      </w:r>
      <w:r w:rsidR="009F7486" w:rsidRPr="004612AC">
        <w:rPr>
          <w:rFonts w:ascii="Arial" w:hAnsi="Arial" w:cs="Arial"/>
          <w:color w:val="000000" w:themeColor="text1"/>
        </w:rPr>
        <w:lastRenderedPageBreak/>
        <w:t>common law were administered in the same courts. This led to the use of equitable remedies by the common law courts to a limited extent. It merged administration with principles instead of separating the two. Under section 25 of this Act, however, equity should prevail over common law in cases where there are conflicts or variances between the two</w:t>
      </w:r>
      <w:r w:rsidR="00727188" w:rsidRPr="004612AC">
        <w:rPr>
          <w:rFonts w:ascii="Arial" w:hAnsi="Arial" w:cs="Arial"/>
          <w:color w:val="000000" w:themeColor="text1"/>
        </w:rPr>
        <w:t xml:space="preserve"> (Judicature Act, (1873) Amendment Act, 1875). </w:t>
      </w:r>
    </w:p>
    <w:p w14:paraId="5BD2AF3E" w14:textId="5DEB1187" w:rsidR="00380E91" w:rsidRPr="004612AC" w:rsidRDefault="00380E91" w:rsidP="00B117E5">
      <w:pPr>
        <w:pStyle w:val="pb-2"/>
        <w:spacing w:line="360" w:lineRule="auto"/>
        <w:rPr>
          <w:rFonts w:ascii="Arial" w:hAnsi="Arial" w:cs="Arial"/>
          <w:color w:val="000000" w:themeColor="text1"/>
        </w:rPr>
      </w:pPr>
      <w:r w:rsidRPr="004612AC">
        <w:rPr>
          <w:rFonts w:ascii="Arial" w:hAnsi="Arial" w:cs="Arial"/>
          <w:color w:val="000000" w:themeColor="text1"/>
        </w:rPr>
        <w:t>In order for the rules of equity to become more structured, two forces had to act.</w:t>
      </w:r>
      <w:r w:rsidRPr="004612AC">
        <w:rPr>
          <w:rStyle w:val="apple-converted-space"/>
          <w:rFonts w:ascii="Arial" w:hAnsi="Arial" w:cs="Arial"/>
          <w:color w:val="000000" w:themeColor="text1"/>
        </w:rPr>
        <w:t> </w:t>
      </w:r>
      <w:r w:rsidRPr="004612AC">
        <w:rPr>
          <w:rFonts w:ascii="Arial" w:hAnsi="Arial" w:cs="Arial"/>
          <w:color w:val="000000" w:themeColor="text1"/>
        </w:rPr>
        <w:t>The doctrine of precedent increased in importance with an increase in case law being published and with more common law lawyers practising and adjudicating in the Chancery.</w:t>
      </w:r>
      <w:r w:rsidRPr="004612AC">
        <w:rPr>
          <w:rStyle w:val="apple-converted-space"/>
          <w:rFonts w:ascii="Arial" w:hAnsi="Arial" w:cs="Arial"/>
          <w:color w:val="000000" w:themeColor="text1"/>
        </w:rPr>
        <w:t> </w:t>
      </w:r>
      <w:r w:rsidRPr="004612AC">
        <w:rPr>
          <w:rFonts w:ascii="Arial" w:hAnsi="Arial" w:cs="Arial"/>
          <w:color w:val="000000" w:themeColor="text1"/>
        </w:rPr>
        <w:t>The Chancellors themselves also enacted a series of reforms.</w:t>
      </w:r>
      <w:r w:rsidRPr="004612AC">
        <w:rPr>
          <w:rStyle w:val="apple-converted-space"/>
          <w:rFonts w:ascii="Arial" w:hAnsi="Arial" w:cs="Arial"/>
          <w:color w:val="000000" w:themeColor="text1"/>
        </w:rPr>
        <w:t> </w:t>
      </w:r>
      <w:r w:rsidRPr="004612AC">
        <w:rPr>
          <w:rFonts w:ascii="Arial" w:hAnsi="Arial" w:cs="Arial"/>
          <w:color w:val="000000" w:themeColor="text1"/>
        </w:rPr>
        <w:t>Rather than allow</w:t>
      </w:r>
      <w:r w:rsidR="00076369" w:rsidRPr="004612AC">
        <w:rPr>
          <w:rFonts w:ascii="Arial" w:hAnsi="Arial" w:cs="Arial"/>
          <w:color w:val="000000" w:themeColor="text1"/>
        </w:rPr>
        <w:t>ing</w:t>
      </w:r>
      <w:r w:rsidRPr="004612AC">
        <w:rPr>
          <w:rFonts w:ascii="Arial" w:hAnsi="Arial" w:cs="Arial"/>
          <w:color w:val="000000" w:themeColor="text1"/>
        </w:rPr>
        <w:t xml:space="preserve"> cases to be decided based on inclinations, Lord Ellesmere and Lord Nottingham began systemati</w:t>
      </w:r>
      <w:r w:rsidR="004950CD" w:rsidRPr="004612AC">
        <w:rPr>
          <w:rFonts w:ascii="Arial" w:hAnsi="Arial" w:cs="Arial"/>
          <w:color w:val="000000" w:themeColor="text1"/>
        </w:rPr>
        <w:t>s</w:t>
      </w:r>
      <w:r w:rsidRPr="004612AC">
        <w:rPr>
          <w:rFonts w:ascii="Arial" w:hAnsi="Arial" w:cs="Arial"/>
          <w:color w:val="000000" w:themeColor="text1"/>
        </w:rPr>
        <w:t xml:space="preserve">ing the rules in the late </w:t>
      </w:r>
      <w:r w:rsidR="00865770" w:rsidRPr="004612AC">
        <w:rPr>
          <w:rFonts w:ascii="Arial" w:hAnsi="Arial" w:cs="Arial"/>
          <w:color w:val="000000" w:themeColor="text1"/>
        </w:rPr>
        <w:t>fifteen</w:t>
      </w:r>
      <w:r w:rsidRPr="004612AC">
        <w:rPr>
          <w:rFonts w:ascii="Arial" w:hAnsi="Arial" w:cs="Arial"/>
          <w:color w:val="000000" w:themeColor="text1"/>
        </w:rPr>
        <w:t xml:space="preserve"> and early </w:t>
      </w:r>
      <w:r w:rsidR="00865770" w:rsidRPr="004612AC">
        <w:rPr>
          <w:rFonts w:ascii="Arial" w:hAnsi="Arial" w:cs="Arial"/>
          <w:color w:val="000000" w:themeColor="text1"/>
        </w:rPr>
        <w:t xml:space="preserve">sixteen </w:t>
      </w:r>
      <w:r w:rsidR="00A84EE5">
        <w:rPr>
          <w:rFonts w:ascii="Arial" w:hAnsi="Arial" w:cs="Arial"/>
          <w:color w:val="000000" w:themeColor="text1"/>
        </w:rPr>
        <w:t>hundred</w:t>
      </w:r>
      <w:r w:rsidR="002A24D8">
        <w:rPr>
          <w:rFonts w:ascii="Arial" w:hAnsi="Arial" w:cs="Arial"/>
          <w:color w:val="000000" w:themeColor="text1"/>
        </w:rPr>
        <w:t>s</w:t>
      </w:r>
      <w:r w:rsidR="00BA5B28" w:rsidRPr="004612AC">
        <w:rPr>
          <w:rFonts w:ascii="Arial" w:hAnsi="Arial" w:cs="Arial"/>
          <w:color w:val="000000" w:themeColor="text1"/>
        </w:rPr>
        <w:t xml:space="preserve"> </w:t>
      </w:r>
      <w:r w:rsidR="00022F47" w:rsidRPr="004612AC">
        <w:rPr>
          <w:rFonts w:ascii="Arial" w:hAnsi="Arial" w:cs="Arial"/>
          <w:color w:val="000000" w:themeColor="text1"/>
        </w:rPr>
        <w:t>(</w:t>
      </w:r>
      <w:proofErr w:type="spellStart"/>
      <w:r w:rsidR="00022F47" w:rsidRPr="004612AC">
        <w:rPr>
          <w:rFonts w:ascii="Arial" w:hAnsi="Arial" w:cs="Arial"/>
          <w:color w:val="000000" w:themeColor="text1"/>
        </w:rPr>
        <w:t>Schatzberger</w:t>
      </w:r>
      <w:proofErr w:type="spellEnd"/>
      <w:r w:rsidR="00022F47" w:rsidRPr="004612AC">
        <w:rPr>
          <w:rFonts w:ascii="Arial" w:hAnsi="Arial" w:cs="Arial"/>
          <w:color w:val="000000" w:themeColor="text1"/>
        </w:rPr>
        <w:t xml:space="preserve">, 2020). </w:t>
      </w:r>
      <w:r w:rsidRPr="004612AC">
        <w:rPr>
          <w:rFonts w:ascii="Arial" w:hAnsi="Arial" w:cs="Arial"/>
          <w:color w:val="000000" w:themeColor="text1"/>
        </w:rPr>
        <w:t xml:space="preserve"> In </w:t>
      </w:r>
      <w:r w:rsidR="00022F47" w:rsidRPr="004612AC">
        <w:rPr>
          <w:rFonts w:ascii="Arial" w:hAnsi="Arial" w:cs="Arial"/>
          <w:color w:val="000000" w:themeColor="text1"/>
        </w:rPr>
        <w:t>‘</w:t>
      </w:r>
      <w:r w:rsidRPr="004612AC">
        <w:rPr>
          <w:rFonts w:ascii="Arial" w:hAnsi="Arial" w:cs="Arial"/>
          <w:color w:val="000000" w:themeColor="text1"/>
        </w:rPr>
        <w:t>Cook v Fountain</w:t>
      </w:r>
      <w:r w:rsidR="00022F47" w:rsidRPr="004612AC">
        <w:rPr>
          <w:rFonts w:ascii="Arial" w:hAnsi="Arial" w:cs="Arial"/>
          <w:color w:val="000000" w:themeColor="text1"/>
        </w:rPr>
        <w:t xml:space="preserve">’ </w:t>
      </w:r>
      <w:r w:rsidRPr="004612AC">
        <w:rPr>
          <w:rFonts w:ascii="Arial" w:hAnsi="Arial" w:cs="Arial"/>
          <w:color w:val="000000" w:themeColor="text1"/>
        </w:rPr>
        <w:t xml:space="preserve">(1676), </w:t>
      </w:r>
      <w:r w:rsidR="00707E67" w:rsidRPr="00707E67">
        <w:rPr>
          <w:rFonts w:ascii="Arial" w:hAnsi="Arial" w:cs="Arial"/>
        </w:rPr>
        <w:t>i</w:t>
      </w:r>
      <w:r w:rsidR="00707E67" w:rsidRPr="00707E67">
        <w:rPr>
          <w:rFonts w:ascii="Arial" w:hAnsi="Arial" w:cs="Arial"/>
        </w:rPr>
        <w:t xml:space="preserve">t is clear from Lord Nottingham's comments that equity is </w:t>
      </w:r>
      <w:r w:rsidR="00707E67" w:rsidRPr="00707E67">
        <w:rPr>
          <w:rFonts w:ascii="Arial" w:hAnsi="Arial" w:cs="Arial"/>
        </w:rPr>
        <w:t>harsher,</w:t>
      </w:r>
      <w:r w:rsidR="00707E67" w:rsidRPr="00707E67">
        <w:rPr>
          <w:rFonts w:ascii="Arial" w:hAnsi="Arial" w:cs="Arial"/>
        </w:rPr>
        <w:t xml:space="preserve"> and more </w:t>
      </w:r>
      <w:r w:rsidR="00707E67" w:rsidRPr="00707E67">
        <w:rPr>
          <w:rFonts w:ascii="Arial" w:hAnsi="Arial" w:cs="Arial"/>
        </w:rPr>
        <w:t>rule based</w:t>
      </w:r>
      <w:r w:rsidR="00707E67" w:rsidRPr="00707E67">
        <w:rPr>
          <w:rFonts w:ascii="Arial" w:hAnsi="Arial" w:cs="Arial"/>
        </w:rPr>
        <w:t xml:space="preserve">. Following his statement: "I proceed merely by </w:t>
      </w:r>
      <w:proofErr w:type="spellStart"/>
      <w:r w:rsidR="00707E67" w:rsidRPr="00707E67">
        <w:rPr>
          <w:rFonts w:ascii="Arial" w:hAnsi="Arial" w:cs="Arial"/>
        </w:rPr>
        <w:t>civilis</w:t>
      </w:r>
      <w:proofErr w:type="spellEnd"/>
      <w:r w:rsidR="00707E67" w:rsidRPr="00707E67">
        <w:rPr>
          <w:rFonts w:ascii="Arial" w:hAnsi="Arial" w:cs="Arial"/>
        </w:rPr>
        <w:t xml:space="preserve"> et </w:t>
      </w:r>
      <w:proofErr w:type="spellStart"/>
      <w:r w:rsidR="00707E67" w:rsidRPr="00707E67">
        <w:rPr>
          <w:rFonts w:ascii="Arial" w:hAnsi="Arial" w:cs="Arial"/>
        </w:rPr>
        <w:t>politica</w:t>
      </w:r>
      <w:proofErr w:type="spellEnd"/>
      <w:r w:rsidR="00707E67" w:rsidRPr="00707E67">
        <w:rPr>
          <w:rFonts w:ascii="Arial" w:hAnsi="Arial" w:cs="Arial"/>
        </w:rPr>
        <w:t xml:space="preserve"> and in accordance with certain measures.", a substantive body of equitable standards and principles was developed.</w:t>
      </w:r>
      <w:r w:rsidR="00707E67">
        <w:rPr>
          <w:rFonts w:ascii="Arial" w:hAnsi="Arial" w:cs="Arial"/>
        </w:rPr>
        <w:t xml:space="preserve"> </w:t>
      </w:r>
      <w:r w:rsidR="00FD3A62">
        <w:rPr>
          <w:rFonts w:ascii="Arial" w:hAnsi="Arial" w:cs="Arial"/>
          <w:color w:val="000000" w:themeColor="text1"/>
        </w:rPr>
        <w:t>This</w:t>
      </w:r>
      <w:r w:rsidR="00D01EB3">
        <w:rPr>
          <w:rFonts w:ascii="Arial" w:hAnsi="Arial" w:cs="Arial"/>
          <w:color w:val="000000" w:themeColor="text1"/>
        </w:rPr>
        <w:t xml:space="preserve"> statement demonstrates how equity can also be restrictive, </w:t>
      </w:r>
      <w:r w:rsidR="00E32E39">
        <w:rPr>
          <w:rFonts w:ascii="Arial" w:hAnsi="Arial" w:cs="Arial"/>
          <w:color w:val="000000" w:themeColor="text1"/>
        </w:rPr>
        <w:t>which influences injustice</w:t>
      </w:r>
      <w:r w:rsidR="00FD3A62">
        <w:rPr>
          <w:rFonts w:ascii="Arial" w:hAnsi="Arial" w:cs="Arial"/>
          <w:color w:val="000000" w:themeColor="text1"/>
        </w:rPr>
        <w:t>s</w:t>
      </w:r>
      <w:r w:rsidR="00E32E39">
        <w:rPr>
          <w:rFonts w:ascii="Arial" w:hAnsi="Arial" w:cs="Arial"/>
          <w:color w:val="000000" w:themeColor="text1"/>
        </w:rPr>
        <w:t xml:space="preserve">. </w:t>
      </w:r>
    </w:p>
    <w:p w14:paraId="2369B630" w14:textId="13F36C14" w:rsidR="0053655C" w:rsidRPr="004612AC" w:rsidRDefault="00A57850" w:rsidP="00B117E5">
      <w:pPr>
        <w:pStyle w:val="pb-2"/>
        <w:spacing w:line="360" w:lineRule="auto"/>
        <w:rPr>
          <w:rFonts w:ascii="Arial" w:hAnsi="Arial" w:cs="Arial"/>
          <w:color w:val="000000" w:themeColor="text1"/>
        </w:rPr>
      </w:pPr>
      <w:r w:rsidRPr="004612AC">
        <w:rPr>
          <w:rFonts w:ascii="Arial" w:hAnsi="Arial" w:cs="Arial"/>
          <w:color w:val="000000" w:themeColor="text1"/>
        </w:rPr>
        <w:t xml:space="preserve">Duddington (2009) </w:t>
      </w:r>
      <w:r w:rsidR="0089314D" w:rsidRPr="004612AC">
        <w:rPr>
          <w:rFonts w:ascii="Arial" w:hAnsi="Arial" w:cs="Arial"/>
          <w:color w:val="000000" w:themeColor="text1"/>
        </w:rPr>
        <w:t xml:space="preserve">specifies </w:t>
      </w:r>
      <w:r w:rsidR="00E7359E" w:rsidRPr="004612AC">
        <w:rPr>
          <w:rFonts w:ascii="Arial" w:hAnsi="Arial" w:cs="Arial"/>
          <w:color w:val="000000" w:themeColor="text1"/>
        </w:rPr>
        <w:t>the</w:t>
      </w:r>
      <w:r w:rsidR="00865770" w:rsidRPr="004612AC">
        <w:rPr>
          <w:rFonts w:ascii="Arial" w:hAnsi="Arial" w:cs="Arial"/>
          <w:color w:val="000000" w:themeColor="text1"/>
        </w:rPr>
        <w:t>re are</w:t>
      </w:r>
      <w:r w:rsidR="00E7359E" w:rsidRPr="004612AC">
        <w:rPr>
          <w:rFonts w:ascii="Arial" w:hAnsi="Arial" w:cs="Arial"/>
          <w:color w:val="000000" w:themeColor="text1"/>
        </w:rPr>
        <w:t xml:space="preserve"> </w:t>
      </w:r>
      <w:r w:rsidR="0053655C" w:rsidRPr="004612AC">
        <w:rPr>
          <w:rFonts w:ascii="Arial" w:hAnsi="Arial" w:cs="Arial"/>
          <w:color w:val="000000" w:themeColor="text1"/>
        </w:rPr>
        <w:t>two rules created for the court of chancery</w:t>
      </w:r>
      <w:r w:rsidR="00865770" w:rsidRPr="004612AC">
        <w:rPr>
          <w:rFonts w:ascii="Arial" w:hAnsi="Arial" w:cs="Arial"/>
          <w:color w:val="000000" w:themeColor="text1"/>
        </w:rPr>
        <w:t xml:space="preserve">; </w:t>
      </w:r>
      <w:r w:rsidR="0053655C" w:rsidRPr="004612AC">
        <w:rPr>
          <w:rFonts w:ascii="Arial" w:hAnsi="Arial" w:cs="Arial"/>
          <w:color w:val="000000" w:themeColor="text1"/>
        </w:rPr>
        <w:t>The defendant could be integrated, and the only remedy was an injunction. A penalty of imprisonment was issued for failing to follow this outcome. Th</w:t>
      </w:r>
      <w:r w:rsidR="00BA5B28" w:rsidRPr="004612AC">
        <w:rPr>
          <w:rFonts w:ascii="Arial" w:hAnsi="Arial" w:cs="Arial"/>
          <w:color w:val="000000" w:themeColor="text1"/>
        </w:rPr>
        <w:t>e</w:t>
      </w:r>
      <w:r w:rsidR="0053655C" w:rsidRPr="004612AC">
        <w:rPr>
          <w:rFonts w:ascii="Arial" w:hAnsi="Arial" w:cs="Arial"/>
          <w:color w:val="000000" w:themeColor="text1"/>
        </w:rPr>
        <w:t xml:space="preserve"> foundation of equity </w:t>
      </w:r>
      <w:r w:rsidR="00BA5B28" w:rsidRPr="004612AC">
        <w:rPr>
          <w:rFonts w:ascii="Arial" w:hAnsi="Arial" w:cs="Arial"/>
          <w:color w:val="000000" w:themeColor="text1"/>
        </w:rPr>
        <w:t xml:space="preserve">following the ‘Earl of Oxford’s case’ </w:t>
      </w:r>
      <w:r w:rsidR="0053655C" w:rsidRPr="004612AC">
        <w:rPr>
          <w:rFonts w:ascii="Arial" w:hAnsi="Arial" w:cs="Arial"/>
          <w:color w:val="000000" w:themeColor="text1"/>
        </w:rPr>
        <w:t>continued</w:t>
      </w:r>
      <w:r w:rsidR="00CC0FAC" w:rsidRPr="004612AC">
        <w:rPr>
          <w:rFonts w:ascii="Arial" w:hAnsi="Arial" w:cs="Arial"/>
          <w:color w:val="000000" w:themeColor="text1"/>
        </w:rPr>
        <w:t>, where in the eighteenth century, Lord Nottingham created the law of perpetuities, where a court order concern</w:t>
      </w:r>
      <w:r w:rsidR="0089314D" w:rsidRPr="004612AC">
        <w:rPr>
          <w:rFonts w:ascii="Arial" w:hAnsi="Arial" w:cs="Arial"/>
          <w:color w:val="000000" w:themeColor="text1"/>
        </w:rPr>
        <w:t>ed</w:t>
      </w:r>
      <w:r w:rsidR="00CC0FAC" w:rsidRPr="004612AC">
        <w:rPr>
          <w:rFonts w:ascii="Arial" w:hAnsi="Arial" w:cs="Arial"/>
          <w:color w:val="000000" w:themeColor="text1"/>
        </w:rPr>
        <w:t xml:space="preserve"> awarding damages in a particular amount of time. As of the nineteenth century, it would be the individual’s choice of which court to attend. However, it was established that equity kept growing, leading to disputes between the two courts becoming unable to do each other’s </w:t>
      </w:r>
      <w:r w:rsidR="0089314D" w:rsidRPr="004612AC">
        <w:rPr>
          <w:rFonts w:ascii="Arial" w:hAnsi="Arial" w:cs="Arial"/>
          <w:color w:val="000000" w:themeColor="text1"/>
        </w:rPr>
        <w:t xml:space="preserve">roles. </w:t>
      </w:r>
    </w:p>
    <w:p w14:paraId="194C9134" w14:textId="72D4365C" w:rsidR="00757531" w:rsidRPr="004612AC" w:rsidRDefault="00757531" w:rsidP="00B117E5">
      <w:pPr>
        <w:pStyle w:val="pb-2"/>
        <w:spacing w:line="360" w:lineRule="auto"/>
        <w:rPr>
          <w:rFonts w:ascii="Arial" w:hAnsi="Arial" w:cs="Arial"/>
          <w:color w:val="000000" w:themeColor="text1"/>
        </w:rPr>
      </w:pPr>
      <w:r w:rsidRPr="004612AC">
        <w:rPr>
          <w:rFonts w:ascii="Arial" w:hAnsi="Arial" w:cs="Arial"/>
          <w:color w:val="000000" w:themeColor="text1"/>
        </w:rPr>
        <w:t xml:space="preserve">Among the leading cases illustrating the difference between modern equity and older equity, </w:t>
      </w:r>
      <w:r w:rsidR="00022F47" w:rsidRPr="004612AC">
        <w:rPr>
          <w:rFonts w:ascii="Arial" w:hAnsi="Arial" w:cs="Arial"/>
          <w:color w:val="000000" w:themeColor="text1"/>
        </w:rPr>
        <w:t>‘</w:t>
      </w:r>
      <w:r w:rsidRPr="004612AC">
        <w:rPr>
          <w:rFonts w:ascii="Arial" w:hAnsi="Arial" w:cs="Arial"/>
          <w:color w:val="000000" w:themeColor="text1"/>
        </w:rPr>
        <w:t>Walsh v Lonsdale</w:t>
      </w:r>
      <w:r w:rsidR="00022F47" w:rsidRPr="004612AC">
        <w:rPr>
          <w:rFonts w:ascii="Arial" w:hAnsi="Arial" w:cs="Arial"/>
          <w:color w:val="000000" w:themeColor="text1"/>
        </w:rPr>
        <w:t>’</w:t>
      </w:r>
      <w:r w:rsidRPr="004612AC">
        <w:rPr>
          <w:rFonts w:ascii="Arial" w:hAnsi="Arial" w:cs="Arial"/>
          <w:color w:val="000000" w:themeColor="text1"/>
        </w:rPr>
        <w:t xml:space="preserve"> </w:t>
      </w:r>
      <w:r w:rsidR="00022F47" w:rsidRPr="004612AC">
        <w:rPr>
          <w:rFonts w:ascii="Arial" w:hAnsi="Arial" w:cs="Arial"/>
          <w:color w:val="000000" w:themeColor="text1"/>
        </w:rPr>
        <w:t>(</w:t>
      </w:r>
      <w:r w:rsidRPr="004612AC">
        <w:rPr>
          <w:rFonts w:ascii="Arial" w:hAnsi="Arial" w:cs="Arial"/>
          <w:color w:val="000000" w:themeColor="text1"/>
        </w:rPr>
        <w:t>1882</w:t>
      </w:r>
      <w:r w:rsidR="00022F47" w:rsidRPr="004612AC">
        <w:rPr>
          <w:rFonts w:ascii="Arial" w:hAnsi="Arial" w:cs="Arial"/>
          <w:color w:val="000000" w:themeColor="text1"/>
        </w:rPr>
        <w:t>)</w:t>
      </w:r>
      <w:r w:rsidRPr="004612AC">
        <w:rPr>
          <w:rFonts w:ascii="Arial" w:hAnsi="Arial" w:cs="Arial"/>
          <w:color w:val="000000" w:themeColor="text1"/>
        </w:rPr>
        <w:t xml:space="preserve"> illustrates how equity supplements common law when there are no appropriate remedies.</w:t>
      </w:r>
      <w:r w:rsidRPr="004612AC">
        <w:rPr>
          <w:rStyle w:val="apple-converted-space"/>
          <w:rFonts w:ascii="Arial" w:hAnsi="Arial" w:cs="Arial"/>
          <w:color w:val="000000" w:themeColor="text1"/>
          <w:sz w:val="27"/>
          <w:szCs w:val="27"/>
        </w:rPr>
        <w:t> </w:t>
      </w:r>
      <w:r w:rsidR="001B19BF" w:rsidRPr="001B19BF">
        <w:rPr>
          <w:rFonts w:ascii="Arial" w:hAnsi="Arial" w:cs="Arial"/>
        </w:rPr>
        <w:t xml:space="preserve">The landlord was entitled to claim the rent in advance due to the terms of the executory lease agreement. Specific performance was ordered in this case, but by the same court rather than by a different court. This </w:t>
      </w:r>
      <w:r w:rsidR="001B19BF" w:rsidRPr="001B19BF">
        <w:rPr>
          <w:rFonts w:ascii="Arial" w:hAnsi="Arial" w:cs="Arial"/>
        </w:rPr>
        <w:lastRenderedPageBreak/>
        <w:t>decision demonstrates the profound impact of the Judicature Act on legal administration.</w:t>
      </w:r>
      <w:r w:rsidR="001B19BF">
        <w:t> </w:t>
      </w:r>
      <w:r w:rsidRPr="004612AC">
        <w:rPr>
          <w:rFonts w:ascii="Arial" w:hAnsi="Arial" w:cs="Arial"/>
          <w:color w:val="000000" w:themeColor="text1"/>
        </w:rPr>
        <w:t xml:space="preserve"> </w:t>
      </w:r>
    </w:p>
    <w:p w14:paraId="20C089AC" w14:textId="0834E92D" w:rsidR="009F7486" w:rsidRPr="004612AC" w:rsidRDefault="00A57850" w:rsidP="00B117E5">
      <w:pPr>
        <w:pStyle w:val="pb-2"/>
        <w:spacing w:line="360" w:lineRule="auto"/>
        <w:rPr>
          <w:rFonts w:ascii="Arial" w:hAnsi="Arial" w:cs="Arial"/>
          <w:color w:val="000000" w:themeColor="text1"/>
        </w:rPr>
      </w:pPr>
      <w:r w:rsidRPr="004612AC">
        <w:rPr>
          <w:rFonts w:ascii="Arial" w:hAnsi="Arial" w:cs="Arial"/>
          <w:color w:val="000000" w:themeColor="text1"/>
        </w:rPr>
        <w:t xml:space="preserve">Bray (2020) explains that </w:t>
      </w:r>
      <w:r w:rsidR="00931DCF">
        <w:rPr>
          <w:rFonts w:ascii="Arial" w:hAnsi="Arial" w:cs="Arial"/>
          <w:color w:val="000000" w:themeColor="text1"/>
        </w:rPr>
        <w:t>the development of equity provided more flexible answers,</w:t>
      </w:r>
      <w:r w:rsidR="009A620B" w:rsidRPr="004612AC">
        <w:rPr>
          <w:rFonts w:ascii="Arial" w:hAnsi="Arial" w:cs="Arial"/>
          <w:color w:val="000000" w:themeColor="text1"/>
        </w:rPr>
        <w:t xml:space="preserve"> sometimes more suited to particular circumstances.</w:t>
      </w:r>
      <w:r w:rsidR="009A620B" w:rsidRPr="004612AC">
        <w:rPr>
          <w:rStyle w:val="apple-converted-space"/>
          <w:rFonts w:ascii="Arial" w:hAnsi="Arial" w:cs="Arial"/>
          <w:color w:val="000000" w:themeColor="text1"/>
        </w:rPr>
        <w:t> </w:t>
      </w:r>
      <w:r w:rsidR="00A84EE5">
        <w:rPr>
          <w:rStyle w:val="apple-converted-space"/>
          <w:rFonts w:ascii="Arial" w:hAnsi="Arial" w:cs="Arial"/>
          <w:color w:val="000000" w:themeColor="text1"/>
        </w:rPr>
        <w:t>Several equitable remedies could</w:t>
      </w:r>
      <w:r w:rsidR="009A620B" w:rsidRPr="004612AC">
        <w:rPr>
          <w:rFonts w:ascii="Arial" w:hAnsi="Arial" w:cs="Arial"/>
          <w:color w:val="000000" w:themeColor="text1"/>
        </w:rPr>
        <w:t xml:space="preserve"> be used to resolve cases. These remedies included injunctions, specific performance, promissory estoppel, rescission, and rectification.</w:t>
      </w:r>
      <w:r w:rsidR="009A620B" w:rsidRPr="004612AC">
        <w:rPr>
          <w:rStyle w:val="apple-converted-space"/>
          <w:rFonts w:ascii="Arial" w:hAnsi="Arial" w:cs="Arial"/>
          <w:color w:val="000000" w:themeColor="text1"/>
        </w:rPr>
        <w:t> </w:t>
      </w:r>
      <w:r w:rsidR="009A620B" w:rsidRPr="004612AC">
        <w:rPr>
          <w:rFonts w:ascii="Arial" w:hAnsi="Arial" w:cs="Arial"/>
          <w:color w:val="000000" w:themeColor="text1"/>
        </w:rPr>
        <w:t>As part of the injunction procedure, judges can order parties to perform specific acts or transactions or, on the contrary, refrain from doing so.</w:t>
      </w:r>
      <w:r w:rsidR="009A620B" w:rsidRPr="004612AC">
        <w:rPr>
          <w:rStyle w:val="apple-converted-space"/>
          <w:rFonts w:ascii="Arial" w:hAnsi="Arial" w:cs="Arial"/>
          <w:color w:val="000000" w:themeColor="text1"/>
        </w:rPr>
        <w:t> </w:t>
      </w:r>
      <w:r w:rsidR="009A620B" w:rsidRPr="004612AC">
        <w:rPr>
          <w:rFonts w:ascii="Arial" w:hAnsi="Arial" w:cs="Arial"/>
          <w:color w:val="000000" w:themeColor="text1"/>
        </w:rPr>
        <w:t xml:space="preserve">This remedy </w:t>
      </w:r>
      <w:r w:rsidR="00F67C08" w:rsidRPr="004612AC">
        <w:rPr>
          <w:rFonts w:ascii="Arial" w:hAnsi="Arial" w:cs="Arial"/>
          <w:color w:val="000000" w:themeColor="text1"/>
        </w:rPr>
        <w:t>is seen</w:t>
      </w:r>
      <w:r w:rsidR="009A620B" w:rsidRPr="004612AC">
        <w:rPr>
          <w:rFonts w:ascii="Arial" w:hAnsi="Arial" w:cs="Arial"/>
          <w:color w:val="000000" w:themeColor="text1"/>
        </w:rPr>
        <w:t xml:space="preserve"> in</w:t>
      </w:r>
      <w:r w:rsidR="009A620B" w:rsidRPr="004612AC">
        <w:rPr>
          <w:rStyle w:val="apple-converted-space"/>
          <w:rFonts w:ascii="Arial" w:hAnsi="Arial" w:cs="Arial"/>
          <w:color w:val="000000" w:themeColor="text1"/>
        </w:rPr>
        <w:t> </w:t>
      </w:r>
      <w:r w:rsidR="009A620B" w:rsidRPr="004612AC">
        <w:rPr>
          <w:rStyle w:val="issue-underline"/>
          <w:rFonts w:ascii="Arial" w:hAnsi="Arial" w:cs="Arial"/>
          <w:color w:val="000000" w:themeColor="text1"/>
        </w:rPr>
        <w:t>the case of</w:t>
      </w:r>
      <w:r w:rsidR="009A620B" w:rsidRPr="004612AC">
        <w:rPr>
          <w:rFonts w:ascii="Arial" w:hAnsi="Arial" w:cs="Arial"/>
          <w:color w:val="000000" w:themeColor="text1"/>
        </w:rPr>
        <w:t> </w:t>
      </w:r>
      <w:r w:rsidR="00022F47" w:rsidRPr="004612AC">
        <w:rPr>
          <w:rFonts w:ascii="Arial" w:hAnsi="Arial" w:cs="Arial"/>
          <w:color w:val="000000" w:themeColor="text1"/>
        </w:rPr>
        <w:t>‘</w:t>
      </w:r>
      <w:r w:rsidR="009A620B" w:rsidRPr="004612AC">
        <w:rPr>
          <w:rStyle w:val="Emphasis"/>
          <w:rFonts w:ascii="Arial" w:hAnsi="Arial" w:cs="Arial"/>
          <w:i w:val="0"/>
          <w:iCs w:val="0"/>
          <w:color w:val="000000" w:themeColor="text1"/>
        </w:rPr>
        <w:t>Warner Bros. V Nelson</w:t>
      </w:r>
      <w:r w:rsidR="00022F47" w:rsidRPr="004612AC">
        <w:rPr>
          <w:rStyle w:val="Emphasis"/>
          <w:rFonts w:ascii="Arial" w:hAnsi="Arial" w:cs="Arial"/>
          <w:i w:val="0"/>
          <w:iCs w:val="0"/>
          <w:color w:val="000000" w:themeColor="text1"/>
        </w:rPr>
        <w:t>’</w:t>
      </w:r>
      <w:r w:rsidR="009A620B" w:rsidRPr="004612AC">
        <w:rPr>
          <w:rStyle w:val="Emphasis"/>
          <w:rFonts w:ascii="Arial" w:hAnsi="Arial" w:cs="Arial"/>
          <w:color w:val="000000" w:themeColor="text1"/>
        </w:rPr>
        <w:t> </w:t>
      </w:r>
      <w:r w:rsidR="00022F47" w:rsidRPr="004612AC">
        <w:rPr>
          <w:rFonts w:ascii="Arial" w:hAnsi="Arial" w:cs="Arial"/>
          <w:color w:val="000000" w:themeColor="text1"/>
        </w:rPr>
        <w:t>(</w:t>
      </w:r>
      <w:r w:rsidR="009A620B" w:rsidRPr="004612AC">
        <w:rPr>
          <w:rFonts w:ascii="Arial" w:hAnsi="Arial" w:cs="Arial"/>
          <w:color w:val="000000" w:themeColor="text1"/>
        </w:rPr>
        <w:t>1937</w:t>
      </w:r>
      <w:r w:rsidR="00022F47" w:rsidRPr="004612AC">
        <w:rPr>
          <w:rFonts w:ascii="Arial" w:hAnsi="Arial" w:cs="Arial"/>
          <w:color w:val="000000" w:themeColor="text1"/>
        </w:rPr>
        <w:t>)</w:t>
      </w:r>
      <w:r w:rsidR="009A620B" w:rsidRPr="004612AC">
        <w:rPr>
          <w:rFonts w:ascii="Arial" w:hAnsi="Arial" w:cs="Arial"/>
          <w:color w:val="000000" w:themeColor="text1"/>
        </w:rPr>
        <w:t>.</w:t>
      </w:r>
      <w:r w:rsidR="009A620B" w:rsidRPr="004612AC">
        <w:rPr>
          <w:rStyle w:val="apple-converted-space"/>
          <w:rFonts w:ascii="Arial" w:hAnsi="Arial" w:cs="Arial"/>
          <w:color w:val="000000" w:themeColor="text1"/>
        </w:rPr>
        <w:t> </w:t>
      </w:r>
      <w:r w:rsidR="001B19BF" w:rsidRPr="001B19BF">
        <w:rPr>
          <w:rFonts w:ascii="Arial" w:hAnsi="Arial" w:cs="Arial"/>
        </w:rPr>
        <w:t>It was in this case that a film star named Bette Davis violated her contract with Warner Brothers Pictures by working for another studio.</w:t>
      </w:r>
      <w:r w:rsidR="009A620B" w:rsidRPr="004612AC">
        <w:rPr>
          <w:rStyle w:val="apple-converted-space"/>
          <w:rFonts w:ascii="Arial" w:hAnsi="Arial" w:cs="Arial"/>
          <w:color w:val="000000" w:themeColor="text1"/>
        </w:rPr>
        <w:t> </w:t>
      </w:r>
      <w:r w:rsidR="009A620B" w:rsidRPr="004612AC">
        <w:rPr>
          <w:rFonts w:ascii="Arial" w:hAnsi="Arial" w:cs="Arial"/>
          <w:color w:val="000000" w:themeColor="text1"/>
        </w:rPr>
        <w:t>A negative injunction was awarded to Warner Bros to prevent her from working for anyone else.</w:t>
      </w:r>
      <w:r w:rsidR="009A620B" w:rsidRPr="004612AC">
        <w:rPr>
          <w:rStyle w:val="apple-converted-space"/>
          <w:rFonts w:ascii="Arial" w:hAnsi="Arial" w:cs="Arial"/>
          <w:color w:val="000000" w:themeColor="text1"/>
        </w:rPr>
        <w:t> </w:t>
      </w:r>
      <w:r w:rsidR="009A620B" w:rsidRPr="004612AC">
        <w:rPr>
          <w:rFonts w:ascii="Arial" w:hAnsi="Arial" w:cs="Arial"/>
          <w:color w:val="000000" w:themeColor="text1"/>
        </w:rPr>
        <w:t xml:space="preserve">By filing an injunction, you are not only sanctioning past behaviour but also preventing future misconduct. </w:t>
      </w:r>
    </w:p>
    <w:p w14:paraId="2B86D600" w14:textId="219643E4" w:rsidR="00500000" w:rsidRPr="004612AC" w:rsidRDefault="00BC58CB" w:rsidP="00B117E5">
      <w:pPr>
        <w:pStyle w:val="pb-2"/>
        <w:spacing w:line="360" w:lineRule="auto"/>
        <w:rPr>
          <w:rStyle w:val="apple-converted-space"/>
          <w:rFonts w:ascii="Arial" w:hAnsi="Arial" w:cs="Arial"/>
          <w:color w:val="000000" w:themeColor="text1"/>
        </w:rPr>
      </w:pPr>
      <w:r w:rsidRPr="004612AC">
        <w:rPr>
          <w:rFonts w:ascii="Arial" w:hAnsi="Arial" w:cs="Arial"/>
          <w:color w:val="000000" w:themeColor="text1"/>
        </w:rPr>
        <w:t>Equity continues to evolve in modern times.</w:t>
      </w:r>
      <w:r w:rsidRPr="004612AC">
        <w:rPr>
          <w:rStyle w:val="apple-converted-space"/>
          <w:rFonts w:ascii="Arial" w:hAnsi="Arial" w:cs="Arial"/>
          <w:color w:val="000000" w:themeColor="text1"/>
        </w:rPr>
        <w:t> </w:t>
      </w:r>
      <w:r w:rsidRPr="004612AC">
        <w:rPr>
          <w:rFonts w:ascii="Arial" w:hAnsi="Arial" w:cs="Arial"/>
          <w:color w:val="000000" w:themeColor="text1"/>
        </w:rPr>
        <w:t>As evidenced by Anton Piller Orders, equity plays an increasingly significant role in the civil justice system.</w:t>
      </w:r>
      <w:r w:rsidRPr="001B19BF">
        <w:rPr>
          <w:rStyle w:val="apple-converted-space"/>
          <w:rFonts w:ascii="Arial" w:hAnsi="Arial" w:cs="Arial"/>
          <w:color w:val="000000" w:themeColor="text1"/>
        </w:rPr>
        <w:t> </w:t>
      </w:r>
      <w:r w:rsidR="001B19BF" w:rsidRPr="001B19BF">
        <w:rPr>
          <w:rFonts w:ascii="Arial" w:hAnsi="Arial" w:cs="Arial"/>
        </w:rPr>
        <w:t xml:space="preserve">It was demonstrated by the case of </w:t>
      </w:r>
      <w:r w:rsidR="001B19BF" w:rsidRPr="001B19BF">
        <w:rPr>
          <w:rFonts w:ascii="Arial" w:hAnsi="Arial" w:cs="Arial"/>
        </w:rPr>
        <w:t>‘</w:t>
      </w:r>
      <w:r w:rsidR="001B19BF" w:rsidRPr="001B19BF">
        <w:rPr>
          <w:rFonts w:ascii="Arial" w:hAnsi="Arial" w:cs="Arial"/>
        </w:rPr>
        <w:t>Anton Piller KG v Manufacturing Processes Ltd</w:t>
      </w:r>
      <w:r w:rsidR="001B19BF" w:rsidRPr="001B19BF">
        <w:rPr>
          <w:rFonts w:ascii="Arial" w:hAnsi="Arial" w:cs="Arial"/>
        </w:rPr>
        <w:t>’</w:t>
      </w:r>
      <w:r w:rsidR="001B19BF" w:rsidRPr="001B19BF">
        <w:rPr>
          <w:rFonts w:ascii="Arial" w:hAnsi="Arial" w:cs="Arial"/>
        </w:rPr>
        <w:t xml:space="preserve"> </w:t>
      </w:r>
      <w:r w:rsidR="001B19BF" w:rsidRPr="001B19BF">
        <w:rPr>
          <w:rFonts w:ascii="Arial" w:hAnsi="Arial" w:cs="Arial"/>
        </w:rPr>
        <w:t>(</w:t>
      </w:r>
      <w:r w:rsidR="001B19BF" w:rsidRPr="001B19BF">
        <w:rPr>
          <w:rFonts w:ascii="Arial" w:hAnsi="Arial" w:cs="Arial"/>
        </w:rPr>
        <w:t>1976</w:t>
      </w:r>
      <w:r w:rsidR="001B19BF" w:rsidRPr="001B19BF">
        <w:rPr>
          <w:rFonts w:ascii="Arial" w:hAnsi="Arial" w:cs="Arial"/>
        </w:rPr>
        <w:t>)</w:t>
      </w:r>
      <w:r w:rsidR="001B19BF" w:rsidRPr="001B19BF">
        <w:rPr>
          <w:rFonts w:ascii="Arial" w:hAnsi="Arial" w:cs="Arial"/>
        </w:rPr>
        <w:t xml:space="preserve"> that the court had the authority to search the defendant's premises. </w:t>
      </w:r>
      <w:r w:rsidRPr="004612AC">
        <w:rPr>
          <w:rFonts w:ascii="Arial" w:hAnsi="Arial" w:cs="Arial"/>
          <w:color w:val="000000" w:themeColor="text1"/>
        </w:rPr>
        <w:t>The purpose of this order is to</w:t>
      </w:r>
      <w:r w:rsidRPr="004612AC">
        <w:rPr>
          <w:rStyle w:val="apple-converted-space"/>
          <w:rFonts w:ascii="Arial" w:hAnsi="Arial" w:cs="Arial"/>
          <w:color w:val="000000" w:themeColor="text1"/>
        </w:rPr>
        <w:t> </w:t>
      </w:r>
      <w:r w:rsidRPr="004612AC">
        <w:rPr>
          <w:rFonts w:ascii="Arial" w:hAnsi="Arial" w:cs="Arial"/>
          <w:color w:val="000000" w:themeColor="text1"/>
        </w:rPr>
        <w:t>provide an equitable</w:t>
      </w:r>
      <w:r w:rsidRPr="004612AC">
        <w:rPr>
          <w:rStyle w:val="apple-converted-space"/>
          <w:rFonts w:ascii="Arial" w:hAnsi="Arial" w:cs="Arial"/>
          <w:color w:val="000000" w:themeColor="text1"/>
        </w:rPr>
        <w:t xml:space="preserve"> remedy </w:t>
      </w:r>
      <w:r w:rsidRPr="004612AC">
        <w:rPr>
          <w:rStyle w:val="issue-underline"/>
          <w:rFonts w:ascii="Arial" w:hAnsi="Arial" w:cs="Arial"/>
          <w:color w:val="000000" w:themeColor="text1"/>
        </w:rPr>
        <w:t>for</w:t>
      </w:r>
      <w:r w:rsidRPr="004612AC">
        <w:rPr>
          <w:rStyle w:val="apple-converted-space"/>
          <w:rFonts w:ascii="Arial" w:hAnsi="Arial" w:cs="Arial"/>
          <w:color w:val="000000" w:themeColor="text1"/>
        </w:rPr>
        <w:t> </w:t>
      </w:r>
      <w:r w:rsidRPr="004612AC">
        <w:rPr>
          <w:rFonts w:ascii="Arial" w:hAnsi="Arial" w:cs="Arial"/>
          <w:color w:val="000000" w:themeColor="text1"/>
        </w:rPr>
        <w:t>cases where the common law is inflexible and cannot fairly resolve disputes.</w:t>
      </w:r>
      <w:r w:rsidRPr="004612AC">
        <w:rPr>
          <w:rStyle w:val="apple-converted-space"/>
          <w:rFonts w:ascii="Arial" w:hAnsi="Arial" w:cs="Arial"/>
          <w:color w:val="000000" w:themeColor="text1"/>
        </w:rPr>
        <w:t> </w:t>
      </w:r>
      <w:r w:rsidR="00500000" w:rsidRPr="004612AC">
        <w:rPr>
          <w:rStyle w:val="apple-converted-space"/>
          <w:rFonts w:ascii="Arial" w:hAnsi="Arial" w:cs="Arial"/>
          <w:color w:val="000000" w:themeColor="text1"/>
        </w:rPr>
        <w:t xml:space="preserve">It is only granted when deemed necessary, for example, in cases where it is feared that valuable evidence will be destroyed. This is </w:t>
      </w:r>
      <w:r w:rsidR="00D22026" w:rsidRPr="004612AC">
        <w:rPr>
          <w:rStyle w:val="apple-converted-space"/>
          <w:rFonts w:ascii="Arial" w:hAnsi="Arial" w:cs="Arial"/>
          <w:color w:val="000000" w:themeColor="text1"/>
        </w:rPr>
        <w:t>significant</w:t>
      </w:r>
      <w:r w:rsidR="00500000" w:rsidRPr="004612AC">
        <w:rPr>
          <w:rStyle w:val="apple-converted-space"/>
          <w:rFonts w:ascii="Arial" w:hAnsi="Arial" w:cs="Arial"/>
          <w:color w:val="000000" w:themeColor="text1"/>
        </w:rPr>
        <w:t xml:space="preserve"> within </w:t>
      </w:r>
      <w:proofErr w:type="gramStart"/>
      <w:r w:rsidR="00990EC5" w:rsidRPr="004612AC">
        <w:rPr>
          <w:rStyle w:val="apple-converted-space"/>
          <w:rFonts w:ascii="Arial" w:hAnsi="Arial" w:cs="Arial"/>
          <w:color w:val="000000" w:themeColor="text1"/>
        </w:rPr>
        <w:t>particular</w:t>
      </w:r>
      <w:r w:rsidR="00500000" w:rsidRPr="004612AC">
        <w:rPr>
          <w:rStyle w:val="apple-converted-space"/>
          <w:rFonts w:ascii="Arial" w:hAnsi="Arial" w:cs="Arial"/>
          <w:color w:val="000000" w:themeColor="text1"/>
        </w:rPr>
        <w:t xml:space="preserve"> cases</w:t>
      </w:r>
      <w:proofErr w:type="gramEnd"/>
      <w:r w:rsidR="00500000" w:rsidRPr="004612AC">
        <w:rPr>
          <w:rStyle w:val="apple-converted-space"/>
          <w:rFonts w:ascii="Arial" w:hAnsi="Arial" w:cs="Arial"/>
          <w:color w:val="000000" w:themeColor="text1"/>
        </w:rPr>
        <w:t xml:space="preserve"> as it prevents </w:t>
      </w:r>
      <w:r w:rsidR="00A84EE5">
        <w:rPr>
          <w:rStyle w:val="apple-converted-space"/>
          <w:rFonts w:ascii="Arial" w:hAnsi="Arial" w:cs="Arial"/>
          <w:color w:val="000000" w:themeColor="text1"/>
        </w:rPr>
        <w:t xml:space="preserve">the </w:t>
      </w:r>
      <w:r w:rsidR="00500000" w:rsidRPr="004612AC">
        <w:rPr>
          <w:rStyle w:val="apple-converted-space"/>
          <w:rFonts w:ascii="Arial" w:hAnsi="Arial" w:cs="Arial"/>
          <w:color w:val="000000" w:themeColor="text1"/>
        </w:rPr>
        <w:t>destruction of relevant evidence</w:t>
      </w:r>
      <w:r w:rsidR="00635579" w:rsidRPr="004612AC">
        <w:rPr>
          <w:rStyle w:val="apple-converted-space"/>
          <w:rFonts w:ascii="Arial" w:hAnsi="Arial" w:cs="Arial"/>
          <w:color w:val="000000" w:themeColor="text1"/>
        </w:rPr>
        <w:t xml:space="preserve">, ultimately creating justice for the innocent claimant. </w:t>
      </w:r>
    </w:p>
    <w:p w14:paraId="1600CE76" w14:textId="7134E732" w:rsidR="00635579" w:rsidRPr="004612AC" w:rsidRDefault="00433252" w:rsidP="00B117E5">
      <w:pPr>
        <w:pStyle w:val="pb-2"/>
        <w:spacing w:line="360" w:lineRule="auto"/>
        <w:rPr>
          <w:rFonts w:ascii="Arial" w:hAnsi="Arial" w:cs="Arial"/>
          <w:color w:val="000000" w:themeColor="text1"/>
        </w:rPr>
      </w:pPr>
      <w:r>
        <w:rPr>
          <w:rFonts w:ascii="Arial" w:hAnsi="Arial" w:cs="Arial"/>
          <w:color w:val="000000" w:themeColor="text1"/>
        </w:rPr>
        <w:t>According to Hayton and Mitchell (2005), i</w:t>
      </w:r>
      <w:r w:rsidR="008238BC" w:rsidRPr="004612AC">
        <w:rPr>
          <w:rFonts w:ascii="Arial" w:hAnsi="Arial" w:cs="Arial"/>
          <w:color w:val="000000" w:themeColor="text1"/>
        </w:rPr>
        <w:t xml:space="preserve">n the </w:t>
      </w:r>
      <w:r w:rsidR="00BA5B28" w:rsidRPr="004612AC">
        <w:rPr>
          <w:rFonts w:ascii="Arial" w:hAnsi="Arial" w:cs="Arial"/>
          <w:color w:val="000000" w:themeColor="text1"/>
        </w:rPr>
        <w:t>twenty-first</w:t>
      </w:r>
      <w:r w:rsidR="008238BC" w:rsidRPr="004612AC">
        <w:rPr>
          <w:rFonts w:ascii="Arial" w:hAnsi="Arial" w:cs="Arial"/>
          <w:color w:val="000000" w:themeColor="text1"/>
        </w:rPr>
        <w:t xml:space="preserve"> century, s</w:t>
      </w:r>
      <w:r w:rsidR="00635579" w:rsidRPr="004612AC">
        <w:rPr>
          <w:rFonts w:ascii="Arial" w:hAnsi="Arial" w:cs="Arial"/>
          <w:color w:val="000000" w:themeColor="text1"/>
        </w:rPr>
        <w:t xml:space="preserve">everal disciplines or topics within the English </w:t>
      </w:r>
      <w:r w:rsidR="002D0491" w:rsidRPr="004612AC">
        <w:rPr>
          <w:rFonts w:ascii="Arial" w:hAnsi="Arial" w:cs="Arial"/>
          <w:color w:val="000000" w:themeColor="text1"/>
        </w:rPr>
        <w:t>l</w:t>
      </w:r>
      <w:r w:rsidR="00635579" w:rsidRPr="004612AC">
        <w:rPr>
          <w:rFonts w:ascii="Arial" w:hAnsi="Arial" w:cs="Arial"/>
          <w:color w:val="000000" w:themeColor="text1"/>
        </w:rPr>
        <w:t xml:space="preserve">egal </w:t>
      </w:r>
      <w:r w:rsidR="002D0491" w:rsidRPr="004612AC">
        <w:rPr>
          <w:rFonts w:ascii="Arial" w:hAnsi="Arial" w:cs="Arial"/>
          <w:color w:val="000000" w:themeColor="text1"/>
        </w:rPr>
        <w:t>s</w:t>
      </w:r>
      <w:r w:rsidR="00635579" w:rsidRPr="004612AC">
        <w:rPr>
          <w:rFonts w:ascii="Arial" w:hAnsi="Arial" w:cs="Arial"/>
          <w:color w:val="000000" w:themeColor="text1"/>
        </w:rPr>
        <w:t>ystem demonstrate the importance of equity</w:t>
      </w:r>
      <w:r w:rsidR="008238BC" w:rsidRPr="004612AC">
        <w:rPr>
          <w:rFonts w:ascii="Arial" w:hAnsi="Arial" w:cs="Arial"/>
          <w:color w:val="000000" w:themeColor="text1"/>
        </w:rPr>
        <w:t xml:space="preserve">, </w:t>
      </w:r>
      <w:r w:rsidR="00635579" w:rsidRPr="004612AC">
        <w:rPr>
          <w:rFonts w:ascii="Arial" w:hAnsi="Arial" w:cs="Arial"/>
          <w:color w:val="000000" w:themeColor="text1"/>
        </w:rPr>
        <w:t xml:space="preserve">such as </w:t>
      </w:r>
      <w:r w:rsidR="00322C4D" w:rsidRPr="004612AC">
        <w:rPr>
          <w:rFonts w:ascii="Arial" w:hAnsi="Arial" w:cs="Arial"/>
          <w:color w:val="000000" w:themeColor="text1"/>
        </w:rPr>
        <w:t>c</w:t>
      </w:r>
      <w:r w:rsidR="00635579" w:rsidRPr="004612AC">
        <w:rPr>
          <w:rFonts w:ascii="Arial" w:hAnsi="Arial" w:cs="Arial"/>
          <w:color w:val="000000" w:themeColor="text1"/>
        </w:rPr>
        <w:t xml:space="preserve">ontract </w:t>
      </w:r>
      <w:r w:rsidR="00322C4D" w:rsidRPr="004612AC">
        <w:rPr>
          <w:rFonts w:ascii="Arial" w:hAnsi="Arial" w:cs="Arial"/>
          <w:color w:val="000000" w:themeColor="text1"/>
        </w:rPr>
        <w:t>l</w:t>
      </w:r>
      <w:r w:rsidR="00635579" w:rsidRPr="004612AC">
        <w:rPr>
          <w:rFonts w:ascii="Arial" w:hAnsi="Arial" w:cs="Arial"/>
          <w:color w:val="000000" w:themeColor="text1"/>
        </w:rPr>
        <w:t xml:space="preserve">aw, </w:t>
      </w:r>
      <w:r w:rsidR="00322C4D" w:rsidRPr="004612AC">
        <w:rPr>
          <w:rFonts w:ascii="Arial" w:hAnsi="Arial" w:cs="Arial"/>
          <w:color w:val="000000" w:themeColor="text1"/>
        </w:rPr>
        <w:t>l</w:t>
      </w:r>
      <w:r w:rsidR="00635579" w:rsidRPr="004612AC">
        <w:rPr>
          <w:rFonts w:ascii="Arial" w:hAnsi="Arial" w:cs="Arial"/>
          <w:color w:val="000000" w:themeColor="text1"/>
        </w:rPr>
        <w:t xml:space="preserve">and </w:t>
      </w:r>
      <w:r w:rsidR="00322C4D" w:rsidRPr="004612AC">
        <w:rPr>
          <w:rFonts w:ascii="Arial" w:hAnsi="Arial" w:cs="Arial"/>
          <w:color w:val="000000" w:themeColor="text1"/>
        </w:rPr>
        <w:t>l</w:t>
      </w:r>
      <w:r w:rsidR="00635579" w:rsidRPr="004612AC">
        <w:rPr>
          <w:rFonts w:ascii="Arial" w:hAnsi="Arial" w:cs="Arial"/>
          <w:color w:val="000000" w:themeColor="text1"/>
        </w:rPr>
        <w:t xml:space="preserve">aw, </w:t>
      </w:r>
      <w:r w:rsidR="00322C4D" w:rsidRPr="004612AC">
        <w:rPr>
          <w:rFonts w:ascii="Arial" w:hAnsi="Arial" w:cs="Arial"/>
          <w:color w:val="000000" w:themeColor="text1"/>
        </w:rPr>
        <w:t>t</w:t>
      </w:r>
      <w:r w:rsidR="00635579" w:rsidRPr="004612AC">
        <w:rPr>
          <w:rFonts w:ascii="Arial" w:hAnsi="Arial" w:cs="Arial"/>
          <w:color w:val="000000" w:themeColor="text1"/>
        </w:rPr>
        <w:t xml:space="preserve">ort </w:t>
      </w:r>
      <w:r w:rsidR="00322C4D" w:rsidRPr="004612AC">
        <w:rPr>
          <w:rFonts w:ascii="Arial" w:hAnsi="Arial" w:cs="Arial"/>
          <w:color w:val="000000" w:themeColor="text1"/>
        </w:rPr>
        <w:t>l</w:t>
      </w:r>
      <w:r w:rsidR="00635579" w:rsidRPr="004612AC">
        <w:rPr>
          <w:rFonts w:ascii="Arial" w:hAnsi="Arial" w:cs="Arial"/>
          <w:color w:val="000000" w:themeColor="text1"/>
        </w:rPr>
        <w:t xml:space="preserve">aw, and </w:t>
      </w:r>
      <w:r w:rsidR="00322C4D" w:rsidRPr="004612AC">
        <w:rPr>
          <w:rFonts w:ascii="Arial" w:hAnsi="Arial" w:cs="Arial"/>
          <w:color w:val="000000" w:themeColor="text1"/>
        </w:rPr>
        <w:t>m</w:t>
      </w:r>
      <w:r w:rsidR="00635579" w:rsidRPr="004612AC">
        <w:rPr>
          <w:rFonts w:ascii="Arial" w:hAnsi="Arial" w:cs="Arial"/>
          <w:color w:val="000000" w:themeColor="text1"/>
        </w:rPr>
        <w:t>ortgages.</w:t>
      </w:r>
      <w:r w:rsidR="00635579" w:rsidRPr="004612AC">
        <w:rPr>
          <w:rStyle w:val="apple-converted-space"/>
          <w:rFonts w:ascii="Arial" w:hAnsi="Arial" w:cs="Arial"/>
          <w:color w:val="000000" w:themeColor="text1"/>
          <w:sz w:val="27"/>
          <w:szCs w:val="27"/>
        </w:rPr>
        <w:t> </w:t>
      </w:r>
      <w:r w:rsidR="00635579" w:rsidRPr="004612AC">
        <w:rPr>
          <w:rFonts w:ascii="Arial" w:hAnsi="Arial" w:cs="Arial"/>
          <w:color w:val="000000" w:themeColor="text1"/>
        </w:rPr>
        <w:t xml:space="preserve">The principles of equity are used by Lord Denning in </w:t>
      </w:r>
      <w:r w:rsidR="00322C4D" w:rsidRPr="004612AC">
        <w:rPr>
          <w:rFonts w:ascii="Arial" w:hAnsi="Arial" w:cs="Arial"/>
          <w:color w:val="000000" w:themeColor="text1"/>
        </w:rPr>
        <w:t>c</w:t>
      </w:r>
      <w:r w:rsidR="00635579" w:rsidRPr="004612AC">
        <w:rPr>
          <w:rFonts w:ascii="Arial" w:hAnsi="Arial" w:cs="Arial"/>
          <w:color w:val="000000" w:themeColor="text1"/>
        </w:rPr>
        <w:t>ontract law to resolve contractual disputes, which include estoppel, undue influence, mistake, and equitable remedies.</w:t>
      </w:r>
      <w:r w:rsidR="00635579" w:rsidRPr="004612AC">
        <w:rPr>
          <w:rStyle w:val="apple-converted-space"/>
          <w:rFonts w:ascii="Arial" w:hAnsi="Arial" w:cs="Arial"/>
          <w:color w:val="000000" w:themeColor="text1"/>
          <w:sz w:val="27"/>
          <w:szCs w:val="27"/>
        </w:rPr>
        <w:t> </w:t>
      </w:r>
      <w:r w:rsidR="00635579" w:rsidRPr="004612AC">
        <w:rPr>
          <w:rFonts w:ascii="Arial" w:hAnsi="Arial" w:cs="Arial"/>
          <w:color w:val="000000" w:themeColor="text1"/>
        </w:rPr>
        <w:t xml:space="preserve">The concept of equity is key in </w:t>
      </w:r>
      <w:r w:rsidR="00322C4D" w:rsidRPr="004612AC">
        <w:rPr>
          <w:rFonts w:ascii="Arial" w:hAnsi="Arial" w:cs="Arial"/>
          <w:color w:val="000000" w:themeColor="text1"/>
        </w:rPr>
        <w:t>l</w:t>
      </w:r>
      <w:r w:rsidR="00635579" w:rsidRPr="004612AC">
        <w:rPr>
          <w:rFonts w:ascii="Arial" w:hAnsi="Arial" w:cs="Arial"/>
          <w:color w:val="000000" w:themeColor="text1"/>
        </w:rPr>
        <w:t xml:space="preserve">and </w:t>
      </w:r>
      <w:r w:rsidR="00322C4D" w:rsidRPr="004612AC">
        <w:rPr>
          <w:rFonts w:ascii="Arial" w:hAnsi="Arial" w:cs="Arial"/>
          <w:color w:val="000000" w:themeColor="text1"/>
        </w:rPr>
        <w:t>l</w:t>
      </w:r>
      <w:r w:rsidR="00635579" w:rsidRPr="004612AC">
        <w:rPr>
          <w:rFonts w:ascii="Arial" w:hAnsi="Arial" w:cs="Arial"/>
          <w:color w:val="000000" w:themeColor="text1"/>
        </w:rPr>
        <w:t xml:space="preserve">aw and </w:t>
      </w:r>
      <w:r w:rsidR="00322C4D" w:rsidRPr="004612AC">
        <w:rPr>
          <w:rFonts w:ascii="Arial" w:hAnsi="Arial" w:cs="Arial"/>
          <w:color w:val="000000" w:themeColor="text1"/>
        </w:rPr>
        <w:t>m</w:t>
      </w:r>
      <w:r w:rsidR="00635579" w:rsidRPr="004612AC">
        <w:rPr>
          <w:rFonts w:ascii="Arial" w:hAnsi="Arial" w:cs="Arial"/>
          <w:color w:val="000000" w:themeColor="text1"/>
        </w:rPr>
        <w:t>ortgages.</w:t>
      </w:r>
      <w:r w:rsidR="00635579" w:rsidRPr="004612AC">
        <w:rPr>
          <w:rStyle w:val="apple-converted-space"/>
          <w:rFonts w:ascii="Arial" w:hAnsi="Arial" w:cs="Arial"/>
          <w:color w:val="000000" w:themeColor="text1"/>
          <w:sz w:val="27"/>
          <w:szCs w:val="27"/>
        </w:rPr>
        <w:t> </w:t>
      </w:r>
      <w:r w:rsidR="00635579" w:rsidRPr="004612AC">
        <w:rPr>
          <w:rFonts w:ascii="Arial" w:hAnsi="Arial" w:cs="Arial"/>
          <w:color w:val="000000" w:themeColor="text1"/>
        </w:rPr>
        <w:t xml:space="preserve">To discuss these two topics, equity must be incorporated. During the process of both </w:t>
      </w:r>
      <w:r w:rsidR="00322C4D" w:rsidRPr="004612AC">
        <w:rPr>
          <w:rFonts w:ascii="Arial" w:hAnsi="Arial" w:cs="Arial"/>
          <w:color w:val="000000" w:themeColor="text1"/>
        </w:rPr>
        <w:t>l</w:t>
      </w:r>
      <w:r w:rsidR="00635579" w:rsidRPr="004612AC">
        <w:rPr>
          <w:rFonts w:ascii="Arial" w:hAnsi="Arial" w:cs="Arial"/>
          <w:color w:val="000000" w:themeColor="text1"/>
        </w:rPr>
        <w:t xml:space="preserve">and </w:t>
      </w:r>
      <w:r w:rsidR="00322C4D" w:rsidRPr="004612AC">
        <w:rPr>
          <w:rFonts w:ascii="Arial" w:hAnsi="Arial" w:cs="Arial"/>
          <w:color w:val="000000" w:themeColor="text1"/>
        </w:rPr>
        <w:t>l</w:t>
      </w:r>
      <w:r w:rsidR="00635579" w:rsidRPr="004612AC">
        <w:rPr>
          <w:rFonts w:ascii="Arial" w:hAnsi="Arial" w:cs="Arial"/>
          <w:color w:val="000000" w:themeColor="text1"/>
        </w:rPr>
        <w:t xml:space="preserve">aw and </w:t>
      </w:r>
      <w:r w:rsidR="00322C4D" w:rsidRPr="004612AC">
        <w:rPr>
          <w:rFonts w:ascii="Arial" w:hAnsi="Arial" w:cs="Arial"/>
          <w:color w:val="000000" w:themeColor="text1"/>
        </w:rPr>
        <w:t>m</w:t>
      </w:r>
      <w:r w:rsidR="00635579" w:rsidRPr="004612AC">
        <w:rPr>
          <w:rFonts w:ascii="Arial" w:hAnsi="Arial" w:cs="Arial"/>
          <w:color w:val="000000" w:themeColor="text1"/>
        </w:rPr>
        <w:t xml:space="preserve">ortgages, one of the most </w:t>
      </w:r>
      <w:r w:rsidR="00322C4D" w:rsidRPr="004612AC">
        <w:rPr>
          <w:rFonts w:ascii="Arial" w:hAnsi="Arial" w:cs="Arial"/>
          <w:color w:val="000000" w:themeColor="text1"/>
        </w:rPr>
        <w:t>evident</w:t>
      </w:r>
      <w:r w:rsidR="00635579" w:rsidRPr="004612AC">
        <w:rPr>
          <w:rFonts w:ascii="Arial" w:hAnsi="Arial" w:cs="Arial"/>
          <w:color w:val="000000" w:themeColor="text1"/>
        </w:rPr>
        <w:t xml:space="preserve"> examples of equity is trust, and its connection to undue influence.</w:t>
      </w:r>
      <w:r w:rsidR="00635579" w:rsidRPr="004612AC">
        <w:rPr>
          <w:rStyle w:val="apple-converted-space"/>
          <w:rFonts w:ascii="Arial" w:hAnsi="Arial" w:cs="Arial"/>
          <w:color w:val="000000" w:themeColor="text1"/>
          <w:sz w:val="27"/>
          <w:szCs w:val="27"/>
        </w:rPr>
        <w:t> </w:t>
      </w:r>
    </w:p>
    <w:p w14:paraId="17EF8DB2" w14:textId="34C624A6" w:rsidR="006D55BC" w:rsidRPr="004612AC" w:rsidRDefault="00A54A2A" w:rsidP="00B117E5">
      <w:pPr>
        <w:pStyle w:val="pb-2"/>
        <w:spacing w:line="360" w:lineRule="auto"/>
        <w:rPr>
          <w:rFonts w:ascii="Arial" w:hAnsi="Arial" w:cs="Arial"/>
          <w:color w:val="000000" w:themeColor="text1"/>
        </w:rPr>
      </w:pPr>
      <w:r w:rsidRPr="004612AC">
        <w:rPr>
          <w:rFonts w:ascii="Arial" w:hAnsi="Arial" w:cs="Arial"/>
          <w:color w:val="000000" w:themeColor="text1"/>
        </w:rPr>
        <w:lastRenderedPageBreak/>
        <w:t xml:space="preserve">In contrast, </w:t>
      </w:r>
      <w:r w:rsidR="008238BC" w:rsidRPr="004612AC">
        <w:rPr>
          <w:rFonts w:ascii="Arial" w:hAnsi="Arial" w:cs="Arial"/>
          <w:color w:val="000000" w:themeColor="text1"/>
        </w:rPr>
        <w:t>t</w:t>
      </w:r>
      <w:r w:rsidR="006D55BC" w:rsidRPr="004612AC">
        <w:rPr>
          <w:rFonts w:ascii="Arial" w:hAnsi="Arial" w:cs="Arial"/>
          <w:color w:val="000000" w:themeColor="text1"/>
        </w:rPr>
        <w:t>he field of equity has undergone a lot of change over the years, with commentators left to navigate and make sense of those changes.</w:t>
      </w:r>
      <w:r w:rsidR="006D55BC" w:rsidRPr="004612AC">
        <w:rPr>
          <w:rStyle w:val="apple-converted-space"/>
          <w:rFonts w:ascii="Arial" w:hAnsi="Arial" w:cs="Arial"/>
          <w:color w:val="000000" w:themeColor="text1"/>
          <w:sz w:val="27"/>
          <w:szCs w:val="27"/>
        </w:rPr>
        <w:t> </w:t>
      </w:r>
      <w:r w:rsidR="006D55BC" w:rsidRPr="004612AC">
        <w:rPr>
          <w:rFonts w:ascii="Arial" w:hAnsi="Arial" w:cs="Arial"/>
          <w:color w:val="000000" w:themeColor="text1"/>
        </w:rPr>
        <w:t>It could be argued that the fusion of these two systems was the beginning of equity's decline to fill in the gaps within the law, or the beginning of its primacy.</w:t>
      </w:r>
      <w:r w:rsidR="006D55BC" w:rsidRPr="004612AC">
        <w:rPr>
          <w:rStyle w:val="apple-converted-space"/>
          <w:rFonts w:ascii="Arial" w:hAnsi="Arial" w:cs="Arial"/>
          <w:color w:val="000000" w:themeColor="text1"/>
          <w:sz w:val="27"/>
          <w:szCs w:val="27"/>
        </w:rPr>
        <w:t> </w:t>
      </w:r>
      <w:r w:rsidR="006D55BC" w:rsidRPr="004612AC">
        <w:rPr>
          <w:rFonts w:ascii="Arial" w:hAnsi="Arial" w:cs="Arial"/>
          <w:color w:val="000000" w:themeColor="text1"/>
        </w:rPr>
        <w:t>As a result of this debate, it is argued whether the two systems are becoming blurred, or whether this blurring is a result of a purported ‘fusion fallacy’, used to critici</w:t>
      </w:r>
      <w:r w:rsidR="002D0491" w:rsidRPr="004612AC">
        <w:rPr>
          <w:rFonts w:ascii="Arial" w:hAnsi="Arial" w:cs="Arial"/>
          <w:color w:val="000000" w:themeColor="text1"/>
        </w:rPr>
        <w:t>s</w:t>
      </w:r>
      <w:r w:rsidR="006D55BC" w:rsidRPr="004612AC">
        <w:rPr>
          <w:rFonts w:ascii="Arial" w:hAnsi="Arial" w:cs="Arial"/>
          <w:color w:val="000000" w:themeColor="text1"/>
        </w:rPr>
        <w:t>e proponents such as Lord Denning for believing that equity and common law are indistinguishable</w:t>
      </w:r>
      <w:r w:rsidR="00F94241" w:rsidRPr="004612AC">
        <w:rPr>
          <w:rFonts w:ascii="Arial" w:hAnsi="Arial" w:cs="Arial"/>
          <w:color w:val="000000" w:themeColor="text1"/>
        </w:rPr>
        <w:t xml:space="preserve"> (Griffin, 2022). </w:t>
      </w:r>
      <w:r w:rsidR="001B19BF" w:rsidRPr="001B19BF">
        <w:rPr>
          <w:rFonts w:ascii="Arial" w:hAnsi="Arial" w:cs="Arial"/>
        </w:rPr>
        <w:t>The line between equity and the common law is blurring, but not yet completely merged, according to some arguments that equitable remedies are used to protect common law rights.</w:t>
      </w:r>
      <w:r w:rsidR="001B19BF">
        <w:t xml:space="preserve"> </w:t>
      </w:r>
      <w:r w:rsidR="00224DA6" w:rsidRPr="004612AC">
        <w:rPr>
          <w:rFonts w:ascii="Arial" w:hAnsi="Arial" w:cs="Arial"/>
          <w:color w:val="000000" w:themeColor="text1"/>
        </w:rPr>
        <w:t xml:space="preserve">Essentially, equity and the common law oppose each other in a dynamic </w:t>
      </w:r>
      <w:r w:rsidR="0089314D" w:rsidRPr="004612AC">
        <w:rPr>
          <w:rFonts w:ascii="Arial" w:hAnsi="Arial" w:cs="Arial"/>
          <w:color w:val="000000" w:themeColor="text1"/>
        </w:rPr>
        <w:t xml:space="preserve">way, </w:t>
      </w:r>
      <w:r w:rsidR="00224DA6" w:rsidRPr="004612AC">
        <w:rPr>
          <w:rFonts w:ascii="Arial" w:hAnsi="Arial" w:cs="Arial"/>
          <w:color w:val="000000" w:themeColor="text1"/>
        </w:rPr>
        <w:t xml:space="preserve">in which legal certainty and justice (equity) are continually at odds. There is no permanent solution to either of these twin objectives of the law. </w:t>
      </w:r>
      <w:r w:rsidR="00A84EE5">
        <w:rPr>
          <w:rFonts w:ascii="Arial" w:hAnsi="Arial" w:cs="Arial"/>
          <w:color w:val="000000" w:themeColor="text1"/>
        </w:rPr>
        <w:t>Modern</w:t>
      </w:r>
      <w:r w:rsidR="00224DA6" w:rsidRPr="004612AC">
        <w:rPr>
          <w:rFonts w:ascii="Arial" w:hAnsi="Arial" w:cs="Arial"/>
          <w:color w:val="000000" w:themeColor="text1"/>
        </w:rPr>
        <w:t xml:space="preserve"> commentators prefer to emphasi</w:t>
      </w:r>
      <w:r w:rsidR="00C3561B" w:rsidRPr="004612AC">
        <w:rPr>
          <w:rFonts w:ascii="Arial" w:hAnsi="Arial" w:cs="Arial"/>
          <w:color w:val="000000" w:themeColor="text1"/>
        </w:rPr>
        <w:t>s</w:t>
      </w:r>
      <w:r w:rsidR="00224DA6" w:rsidRPr="004612AC">
        <w:rPr>
          <w:rFonts w:ascii="Arial" w:hAnsi="Arial" w:cs="Arial"/>
          <w:color w:val="000000" w:themeColor="text1"/>
        </w:rPr>
        <w:t xml:space="preserve">e the differences between equity and common law rather than amalgamate them, valuing their strengths instead of their amalgamation. </w:t>
      </w:r>
      <w:r w:rsidR="00A25576" w:rsidRPr="00A25576">
        <w:rPr>
          <w:rFonts w:ascii="Arial" w:hAnsi="Arial" w:cs="Arial"/>
        </w:rPr>
        <w:t>A co-dependent relationship between equity and the common law, as illustrated in the literature, does not require war, fusion, or separation.</w:t>
      </w:r>
      <w:r w:rsidR="00A25576">
        <w:rPr>
          <w:rFonts w:ascii="Arial" w:hAnsi="Arial" w:cs="Arial"/>
          <w:color w:val="000000" w:themeColor="text1"/>
        </w:rPr>
        <w:t xml:space="preserve"> </w:t>
      </w:r>
      <w:r w:rsidR="00433252">
        <w:rPr>
          <w:rFonts w:ascii="Arial" w:hAnsi="Arial" w:cs="Arial"/>
          <w:color w:val="000000" w:themeColor="text1"/>
        </w:rPr>
        <w:t xml:space="preserve">(Baker, 2019). </w:t>
      </w:r>
    </w:p>
    <w:p w14:paraId="2C716BDD" w14:textId="5555E117" w:rsidR="00224DA6" w:rsidRPr="004612AC" w:rsidRDefault="008238BC" w:rsidP="00224DA6">
      <w:pPr>
        <w:pStyle w:val="pb-2"/>
        <w:spacing w:line="360" w:lineRule="auto"/>
        <w:rPr>
          <w:rFonts w:ascii="Arial" w:hAnsi="Arial" w:cs="Arial"/>
          <w:color w:val="000000" w:themeColor="text1"/>
        </w:rPr>
      </w:pPr>
      <w:r w:rsidRPr="004612AC">
        <w:rPr>
          <w:rFonts w:ascii="Arial" w:hAnsi="Arial" w:cs="Arial"/>
          <w:color w:val="000000" w:themeColor="text1"/>
        </w:rPr>
        <w:t>Consequently,</w:t>
      </w:r>
      <w:r w:rsidR="00A25576">
        <w:rPr>
          <w:rFonts w:ascii="Arial" w:hAnsi="Arial" w:cs="Arial"/>
          <w:color w:val="000000" w:themeColor="text1"/>
        </w:rPr>
        <w:t xml:space="preserve"> </w:t>
      </w:r>
      <w:r w:rsidR="00A25576" w:rsidRPr="00A25576">
        <w:rPr>
          <w:rFonts w:ascii="Arial" w:hAnsi="Arial" w:cs="Arial"/>
        </w:rPr>
        <w:t>a</w:t>
      </w:r>
      <w:r w:rsidR="00A25576" w:rsidRPr="00A25576">
        <w:rPr>
          <w:rFonts w:ascii="Arial" w:hAnsi="Arial" w:cs="Arial"/>
        </w:rPr>
        <w:t xml:space="preserve">s common law areas such as trusts law have developed, as has the requirement for certainty, </w:t>
      </w:r>
      <w:r w:rsidR="00923840">
        <w:rPr>
          <w:rFonts w:ascii="Arial" w:hAnsi="Arial" w:cs="Arial"/>
        </w:rPr>
        <w:t xml:space="preserve">and </w:t>
      </w:r>
      <w:r w:rsidR="00A25576" w:rsidRPr="00A25576">
        <w:rPr>
          <w:rFonts w:ascii="Arial" w:hAnsi="Arial" w:cs="Arial"/>
        </w:rPr>
        <w:t>the need for flexibility has grown, giving equity a broader scope.</w:t>
      </w:r>
      <w:r w:rsidR="00224DA6" w:rsidRPr="004612AC">
        <w:rPr>
          <w:rFonts w:ascii="Arial" w:hAnsi="Arial" w:cs="Arial"/>
          <w:color w:val="000000" w:themeColor="text1"/>
        </w:rPr>
        <w:t> It has been argued that the unrestrained expansion of equity into business has potentially done more harm than good, despite this development not finding universal approval. The reason for this is that commercial issues generally require a greater degree of certainty than equity offers. It might therefore become less flexible due to the commercial prominence of English law, resulting in more stringent 'principles' that undermine equity's effectiveness</w:t>
      </w:r>
      <w:r w:rsidR="00561AFE" w:rsidRPr="004612AC">
        <w:rPr>
          <w:rFonts w:ascii="Arial" w:hAnsi="Arial" w:cs="Arial"/>
          <w:color w:val="000000" w:themeColor="text1"/>
        </w:rPr>
        <w:t xml:space="preserve"> (Mofatt, Bean and Probert</w:t>
      </w:r>
      <w:r w:rsidR="004E63F4" w:rsidRPr="004612AC">
        <w:rPr>
          <w:rFonts w:ascii="Arial" w:hAnsi="Arial" w:cs="Arial"/>
          <w:color w:val="000000" w:themeColor="text1"/>
        </w:rPr>
        <w:t xml:space="preserve">, 2009). </w:t>
      </w:r>
    </w:p>
    <w:p w14:paraId="39C59D64" w14:textId="2B5E056C" w:rsidR="00EA6810" w:rsidRPr="004612AC" w:rsidRDefault="004E63F4" w:rsidP="00224DA6">
      <w:pPr>
        <w:pStyle w:val="pb-2"/>
        <w:spacing w:line="360" w:lineRule="auto"/>
        <w:rPr>
          <w:rFonts w:ascii="Arial" w:hAnsi="Arial" w:cs="Arial"/>
          <w:color w:val="000000" w:themeColor="text1"/>
        </w:rPr>
      </w:pPr>
      <w:r w:rsidRPr="004612AC">
        <w:rPr>
          <w:rFonts w:ascii="Arial" w:hAnsi="Arial" w:cs="Arial"/>
          <w:color w:val="000000" w:themeColor="text1"/>
        </w:rPr>
        <w:t>Smit</w:t>
      </w:r>
      <w:r w:rsidR="00BA5B28" w:rsidRPr="004612AC">
        <w:rPr>
          <w:rFonts w:ascii="Arial" w:hAnsi="Arial" w:cs="Arial"/>
          <w:color w:val="000000" w:themeColor="text1"/>
        </w:rPr>
        <w:t xml:space="preserve">h </w:t>
      </w:r>
      <w:r w:rsidRPr="004612AC">
        <w:rPr>
          <w:rFonts w:ascii="Arial" w:hAnsi="Arial" w:cs="Arial"/>
          <w:color w:val="000000" w:themeColor="text1"/>
        </w:rPr>
        <w:t xml:space="preserve">(2020) </w:t>
      </w:r>
      <w:r w:rsidR="008238BC" w:rsidRPr="004612AC">
        <w:rPr>
          <w:rFonts w:ascii="Arial" w:hAnsi="Arial" w:cs="Arial"/>
          <w:color w:val="000000" w:themeColor="text1"/>
        </w:rPr>
        <w:t xml:space="preserve">also </w:t>
      </w:r>
      <w:r w:rsidRPr="004612AC">
        <w:rPr>
          <w:rFonts w:ascii="Arial" w:hAnsi="Arial" w:cs="Arial"/>
          <w:color w:val="000000" w:themeColor="text1"/>
        </w:rPr>
        <w:t>states that t</w:t>
      </w:r>
      <w:r w:rsidR="00EA6810" w:rsidRPr="004612AC">
        <w:rPr>
          <w:rFonts w:ascii="Arial" w:hAnsi="Arial" w:cs="Arial"/>
          <w:color w:val="000000" w:themeColor="text1"/>
        </w:rPr>
        <w:t xml:space="preserve">here can indeed be a rigidity to equity's application just as </w:t>
      </w:r>
      <w:r w:rsidR="00990EC5" w:rsidRPr="004612AC">
        <w:rPr>
          <w:rFonts w:ascii="Arial" w:hAnsi="Arial" w:cs="Arial"/>
          <w:color w:val="000000" w:themeColor="text1"/>
        </w:rPr>
        <w:t xml:space="preserve">it </w:t>
      </w:r>
      <w:r w:rsidR="00EA6810" w:rsidRPr="004612AC">
        <w:rPr>
          <w:rFonts w:ascii="Arial" w:hAnsi="Arial" w:cs="Arial"/>
          <w:color w:val="000000" w:themeColor="text1"/>
        </w:rPr>
        <w:t>exists in the common law</w:t>
      </w:r>
      <w:r w:rsidR="00570BF5" w:rsidRPr="004612AC">
        <w:rPr>
          <w:rFonts w:ascii="Arial" w:hAnsi="Arial" w:cs="Arial"/>
          <w:color w:val="000000" w:themeColor="text1"/>
        </w:rPr>
        <w:t xml:space="preserve"> in modern times</w:t>
      </w:r>
      <w:r w:rsidR="00EA6810" w:rsidRPr="004612AC">
        <w:rPr>
          <w:rFonts w:ascii="Arial" w:hAnsi="Arial" w:cs="Arial"/>
          <w:color w:val="000000" w:themeColor="text1"/>
        </w:rPr>
        <w:t>, being both prescriptive and vague at times to mitigate otherwise unfair outcomes.</w:t>
      </w:r>
      <w:r w:rsidR="00EA6810" w:rsidRPr="004612AC">
        <w:rPr>
          <w:rStyle w:val="apple-converted-space"/>
          <w:rFonts w:ascii="Arial" w:hAnsi="Arial" w:cs="Arial"/>
          <w:color w:val="000000" w:themeColor="text1"/>
          <w:sz w:val="27"/>
          <w:szCs w:val="27"/>
        </w:rPr>
        <w:t> </w:t>
      </w:r>
      <w:r w:rsidR="00EA6810" w:rsidRPr="004612AC">
        <w:rPr>
          <w:rFonts w:ascii="Arial" w:hAnsi="Arial" w:cs="Arial"/>
          <w:color w:val="000000" w:themeColor="text1"/>
        </w:rPr>
        <w:t>According to this proposition, common law and equity are achieving unexpected alignments that may eventually result in their indistinguishability without necessitating fusion.</w:t>
      </w:r>
      <w:r w:rsidR="00EA6810" w:rsidRPr="004612AC">
        <w:rPr>
          <w:rStyle w:val="apple-converted-space"/>
          <w:rFonts w:ascii="Arial" w:hAnsi="Arial" w:cs="Arial"/>
          <w:color w:val="000000" w:themeColor="text1"/>
          <w:sz w:val="27"/>
          <w:szCs w:val="27"/>
        </w:rPr>
        <w:t> </w:t>
      </w:r>
      <w:r w:rsidR="00EA6810" w:rsidRPr="004612AC">
        <w:rPr>
          <w:rFonts w:ascii="Arial" w:hAnsi="Arial" w:cs="Arial"/>
          <w:color w:val="000000" w:themeColor="text1"/>
        </w:rPr>
        <w:t>By examining the gradual development of equity in judicial work and the alignment of equity with flexibility,</w:t>
      </w:r>
      <w:r w:rsidR="00990EC5" w:rsidRPr="004612AC">
        <w:rPr>
          <w:rFonts w:ascii="Arial" w:hAnsi="Arial" w:cs="Arial"/>
          <w:color w:val="000000" w:themeColor="text1"/>
        </w:rPr>
        <w:t xml:space="preserve"> a </w:t>
      </w:r>
      <w:r w:rsidR="00EA6810" w:rsidRPr="004612AC">
        <w:rPr>
          <w:rFonts w:ascii="Arial" w:hAnsi="Arial" w:cs="Arial"/>
          <w:color w:val="000000" w:themeColor="text1"/>
        </w:rPr>
        <w:t xml:space="preserve">limited perspective </w:t>
      </w:r>
      <w:r w:rsidR="00990EC5" w:rsidRPr="004612AC">
        <w:rPr>
          <w:rFonts w:ascii="Arial" w:hAnsi="Arial" w:cs="Arial"/>
          <w:color w:val="000000" w:themeColor="text1"/>
        </w:rPr>
        <w:t xml:space="preserve">can be gained </w:t>
      </w:r>
      <w:r w:rsidR="00EA6810" w:rsidRPr="004612AC">
        <w:rPr>
          <w:rFonts w:ascii="Arial" w:hAnsi="Arial" w:cs="Arial"/>
          <w:color w:val="000000" w:themeColor="text1"/>
        </w:rPr>
        <w:t>on how equity accomplishes justice.</w:t>
      </w:r>
      <w:r w:rsidR="00EA6810" w:rsidRPr="004612AC">
        <w:rPr>
          <w:rStyle w:val="apple-converted-space"/>
          <w:rFonts w:ascii="Arial" w:hAnsi="Arial" w:cs="Arial"/>
          <w:color w:val="000000" w:themeColor="text1"/>
          <w:sz w:val="27"/>
          <w:szCs w:val="27"/>
        </w:rPr>
        <w:t> </w:t>
      </w:r>
      <w:r w:rsidR="00A25576" w:rsidRPr="00A25576">
        <w:rPr>
          <w:rFonts w:ascii="Arial" w:hAnsi="Arial" w:cs="Arial"/>
        </w:rPr>
        <w:t xml:space="preserve">It is possible </w:t>
      </w:r>
      <w:r w:rsidR="00A25576" w:rsidRPr="00A25576">
        <w:rPr>
          <w:rFonts w:ascii="Arial" w:hAnsi="Arial" w:cs="Arial"/>
        </w:rPr>
        <w:lastRenderedPageBreak/>
        <w:t>to understand how equity at its most flexible encapsulates elements of rigidity when we examine equitable remedies, the purest form of equity.</w:t>
      </w:r>
      <w:r w:rsidR="00A25576" w:rsidRPr="00A25576">
        <w:rPr>
          <w:rFonts w:ascii="Arial" w:hAnsi="Arial" w:cs="Arial"/>
          <w:color w:val="000000"/>
          <w:sz w:val="27"/>
          <w:szCs w:val="27"/>
        </w:rPr>
        <w:t> </w:t>
      </w:r>
      <w:r w:rsidR="00A25576" w:rsidRPr="00A25576">
        <w:rPr>
          <w:rFonts w:ascii="Arial" w:hAnsi="Arial" w:cs="Arial"/>
        </w:rPr>
        <w:t>The effectiveness of an intervention will increase when there is a duality between apparent counterposing variables.</w:t>
      </w:r>
      <w:r w:rsidR="00A25576">
        <w:rPr>
          <w:rFonts w:ascii="-webkit-standard" w:hAnsi="-webkit-standard"/>
          <w:color w:val="000000"/>
          <w:sz w:val="27"/>
          <w:szCs w:val="27"/>
        </w:rPr>
        <w:t> </w:t>
      </w:r>
      <w:r w:rsidR="00EA6810" w:rsidRPr="004612AC">
        <w:rPr>
          <w:rFonts w:ascii="Arial" w:hAnsi="Arial" w:cs="Arial"/>
          <w:color w:val="000000" w:themeColor="text1"/>
        </w:rPr>
        <w:t>Comparing equitable remedies with constructive trusts</w:t>
      </w:r>
      <w:r w:rsidR="00EA6810" w:rsidRPr="004612AC">
        <w:rPr>
          <w:color w:val="000000" w:themeColor="text1"/>
        </w:rPr>
        <w:t xml:space="preserve"> </w:t>
      </w:r>
      <w:r w:rsidR="00EA6810" w:rsidRPr="004612AC">
        <w:rPr>
          <w:rFonts w:ascii="Arial" w:hAnsi="Arial" w:cs="Arial"/>
          <w:color w:val="000000" w:themeColor="text1"/>
        </w:rPr>
        <w:t xml:space="preserve">reveals that this phenomenon extends further than equitable remedies alone. </w:t>
      </w:r>
    </w:p>
    <w:p w14:paraId="49817FA0" w14:textId="444C9398" w:rsidR="00FC5395" w:rsidRPr="004612AC" w:rsidRDefault="00FC5395" w:rsidP="00224DA6">
      <w:pPr>
        <w:pStyle w:val="pb-2"/>
        <w:spacing w:line="360" w:lineRule="auto"/>
        <w:rPr>
          <w:rFonts w:ascii="Arial" w:hAnsi="Arial" w:cs="Arial"/>
          <w:color w:val="000000" w:themeColor="text1"/>
        </w:rPr>
      </w:pPr>
      <w:r w:rsidRPr="004612AC">
        <w:rPr>
          <w:rFonts w:ascii="Arial" w:hAnsi="Arial" w:cs="Arial"/>
          <w:color w:val="000000" w:themeColor="text1"/>
        </w:rPr>
        <w:t xml:space="preserve">Equally important </w:t>
      </w:r>
      <w:r w:rsidR="00A84EE5">
        <w:rPr>
          <w:rFonts w:ascii="Arial" w:hAnsi="Arial" w:cs="Arial"/>
          <w:color w:val="000000" w:themeColor="text1"/>
        </w:rPr>
        <w:t>is</w:t>
      </w:r>
      <w:r w:rsidRPr="004612AC">
        <w:rPr>
          <w:rFonts w:ascii="Arial" w:hAnsi="Arial" w:cs="Arial"/>
          <w:color w:val="000000" w:themeColor="text1"/>
        </w:rPr>
        <w:t xml:space="preserve"> how some judges have </w:t>
      </w:r>
      <w:r w:rsidR="008238BC" w:rsidRPr="004612AC">
        <w:rPr>
          <w:rFonts w:ascii="Arial" w:hAnsi="Arial" w:cs="Arial"/>
          <w:color w:val="000000" w:themeColor="text1"/>
        </w:rPr>
        <w:t xml:space="preserve">recently </w:t>
      </w:r>
      <w:r w:rsidRPr="004612AC">
        <w:rPr>
          <w:rFonts w:ascii="Arial" w:hAnsi="Arial" w:cs="Arial"/>
          <w:color w:val="000000" w:themeColor="text1"/>
        </w:rPr>
        <w:t>revived older equitable powers in the twentieth and twenty-first centuries, yet others have avoided extending their powers for fear that certainty and predictability would be lost</w:t>
      </w:r>
      <w:r w:rsidR="003851A4">
        <w:rPr>
          <w:rFonts w:ascii="Arial" w:hAnsi="Arial" w:cs="Arial"/>
          <w:color w:val="000000" w:themeColor="text1"/>
        </w:rPr>
        <w:t xml:space="preserve">. </w:t>
      </w:r>
      <w:r w:rsidR="00A25576" w:rsidRPr="00A25576">
        <w:rPr>
          <w:rFonts w:ascii="Arial" w:hAnsi="Arial" w:cs="Arial"/>
        </w:rPr>
        <w:t>There is often an argument that the legislature should reform the law rather than judges.</w:t>
      </w:r>
      <w:r w:rsidR="00A25576" w:rsidRPr="00A25576">
        <w:rPr>
          <w:rFonts w:ascii="Arial" w:hAnsi="Arial" w:cs="Arial"/>
          <w:color w:val="000000"/>
        </w:rPr>
        <w:t> Many people argue that legislation does not do enough to correct</w:t>
      </w:r>
      <w:r w:rsidR="00A25576" w:rsidRPr="00A25576">
        <w:rPr>
          <w:rStyle w:val="apple-converted-space"/>
          <w:rFonts w:ascii="Arial" w:hAnsi="Arial" w:cs="Arial"/>
          <w:color w:val="000000"/>
        </w:rPr>
        <w:t> </w:t>
      </w:r>
      <w:r w:rsidR="00A25576" w:rsidRPr="00A25576">
        <w:rPr>
          <w:rStyle w:val="issue-underline"/>
          <w:rFonts w:ascii="Arial" w:hAnsi="Arial" w:cs="Arial"/>
          <w:color w:val="000000"/>
        </w:rPr>
        <w:t>injustice,</w:t>
      </w:r>
      <w:r w:rsidR="00A25576" w:rsidRPr="00A25576">
        <w:rPr>
          <w:rStyle w:val="apple-converted-space"/>
          <w:rFonts w:ascii="Arial" w:hAnsi="Arial" w:cs="Arial"/>
          <w:color w:val="000000"/>
        </w:rPr>
        <w:t> </w:t>
      </w:r>
      <w:r w:rsidR="00A25576" w:rsidRPr="00A25576">
        <w:rPr>
          <w:rFonts w:ascii="Arial" w:hAnsi="Arial" w:cs="Arial"/>
          <w:color w:val="000000"/>
        </w:rPr>
        <w:t>that it creates a multitude of rigidities and anomalies and potential</w:t>
      </w:r>
      <w:r w:rsidR="00A25576" w:rsidRPr="00A25576">
        <w:rPr>
          <w:rStyle w:val="apple-converted-space"/>
          <w:rFonts w:ascii="Arial" w:hAnsi="Arial" w:cs="Arial"/>
          <w:color w:val="000000"/>
        </w:rPr>
        <w:t> </w:t>
      </w:r>
      <w:r w:rsidR="00A25576" w:rsidRPr="00A25576">
        <w:rPr>
          <w:rFonts w:ascii="Arial" w:hAnsi="Arial" w:cs="Arial"/>
        </w:rPr>
        <w:t>injustices</w:t>
      </w:r>
      <w:r w:rsidR="00A25576" w:rsidRPr="00A25576">
        <w:rPr>
          <w:rStyle w:val="apple-converted-space"/>
          <w:rFonts w:ascii="Arial" w:hAnsi="Arial" w:cs="Arial"/>
          <w:color w:val="000000"/>
        </w:rPr>
        <w:t> </w:t>
      </w:r>
      <w:r w:rsidR="00A25576" w:rsidRPr="00A25576">
        <w:rPr>
          <w:rFonts w:ascii="Arial" w:hAnsi="Arial" w:cs="Arial"/>
          <w:color w:val="000000"/>
        </w:rPr>
        <w:t>when applied to unforeseen situations.</w:t>
      </w:r>
      <w:r w:rsidR="00A25576" w:rsidRPr="00A25576">
        <w:rPr>
          <w:rStyle w:val="apple-converted-space"/>
          <w:rFonts w:ascii="Arial" w:hAnsi="Arial" w:cs="Arial"/>
          <w:color w:val="000000"/>
        </w:rPr>
        <w:t> </w:t>
      </w:r>
      <w:r w:rsidR="00A25576" w:rsidRPr="00A25576">
        <w:rPr>
          <w:rFonts w:ascii="Arial" w:hAnsi="Arial" w:cs="Arial"/>
        </w:rPr>
        <w:t>Despite the absence of certainty, a court's primary objective should be to maintain and enhance its powers so that fair, just, and equitable results can be achieved</w:t>
      </w:r>
      <w:r w:rsidR="00A25576">
        <w:rPr>
          <w:rFonts w:ascii="Arial" w:hAnsi="Arial" w:cs="Arial"/>
          <w:color w:val="000000" w:themeColor="text1"/>
        </w:rPr>
        <w:t xml:space="preserve"> </w:t>
      </w:r>
      <w:r w:rsidRPr="004612AC">
        <w:rPr>
          <w:rFonts w:ascii="Arial" w:hAnsi="Arial" w:cs="Arial"/>
          <w:color w:val="000000" w:themeColor="text1"/>
        </w:rPr>
        <w:t xml:space="preserve">(Waddams, 2023). </w:t>
      </w:r>
    </w:p>
    <w:p w14:paraId="6EBDACA1" w14:textId="343AD5EF" w:rsidR="00A54A2A" w:rsidRPr="004612AC" w:rsidRDefault="00A54A2A" w:rsidP="00224DA6">
      <w:pPr>
        <w:pStyle w:val="pb-2"/>
        <w:spacing w:line="360" w:lineRule="auto"/>
        <w:rPr>
          <w:rFonts w:ascii="Arial" w:hAnsi="Arial" w:cs="Arial"/>
          <w:color w:val="000000" w:themeColor="text1"/>
        </w:rPr>
      </w:pPr>
      <w:r w:rsidRPr="004612AC">
        <w:rPr>
          <w:rFonts w:ascii="Arial" w:hAnsi="Arial" w:cs="Arial"/>
          <w:color w:val="000000" w:themeColor="text1"/>
        </w:rPr>
        <w:t>As explained by Hudson and Dignam (2002), there is a problem with equity in that it appears to provide judges with the authority to disregard clear statutory rules when they consider them to be inappropriate.</w:t>
      </w:r>
      <w:r w:rsidRPr="004612AC">
        <w:rPr>
          <w:rStyle w:val="apple-converted-space"/>
          <w:rFonts w:ascii="Arial" w:hAnsi="Arial" w:cs="Arial"/>
          <w:color w:val="000000" w:themeColor="text1"/>
          <w:sz w:val="27"/>
          <w:szCs w:val="27"/>
        </w:rPr>
        <w:t> </w:t>
      </w:r>
      <w:r w:rsidR="00A84EE5" w:rsidRPr="00923840">
        <w:rPr>
          <w:rStyle w:val="apple-converted-space"/>
          <w:rFonts w:ascii="Arial" w:hAnsi="Arial" w:cs="Arial"/>
          <w:color w:val="000000" w:themeColor="text1"/>
        </w:rPr>
        <w:t>Secret</w:t>
      </w:r>
      <w:r w:rsidRPr="004612AC">
        <w:rPr>
          <w:rFonts w:ascii="Arial" w:hAnsi="Arial" w:cs="Arial"/>
          <w:color w:val="000000" w:themeColor="text1"/>
        </w:rPr>
        <w:t xml:space="preserve"> trusts and the principle that statutes should</w:t>
      </w:r>
      <w:r w:rsidR="00BA5B28" w:rsidRPr="004612AC">
        <w:rPr>
          <w:rFonts w:ascii="Arial" w:hAnsi="Arial" w:cs="Arial"/>
          <w:color w:val="000000" w:themeColor="text1"/>
        </w:rPr>
        <w:t xml:space="preserve"> not </w:t>
      </w:r>
      <w:r w:rsidRPr="004612AC">
        <w:rPr>
          <w:rFonts w:ascii="Arial" w:hAnsi="Arial" w:cs="Arial"/>
          <w:color w:val="000000" w:themeColor="text1"/>
        </w:rPr>
        <w:t xml:space="preserve">be used to commit fraud are some of the clearest examples of this tendency in equity, as well as the use of proprietary estoppel in </w:t>
      </w:r>
      <w:r w:rsidR="00C31F04">
        <w:rPr>
          <w:rFonts w:ascii="Arial" w:hAnsi="Arial" w:cs="Arial"/>
          <w:color w:val="000000" w:themeColor="text1"/>
        </w:rPr>
        <w:t>‘</w:t>
      </w:r>
      <w:r w:rsidRPr="004612AC">
        <w:rPr>
          <w:rFonts w:ascii="Arial" w:hAnsi="Arial" w:cs="Arial"/>
          <w:color w:val="000000" w:themeColor="text1"/>
        </w:rPr>
        <w:t>Yaxley v Gotts</w:t>
      </w:r>
      <w:r w:rsidR="00C31F04">
        <w:rPr>
          <w:rFonts w:ascii="Arial" w:hAnsi="Arial" w:cs="Arial"/>
          <w:color w:val="000000" w:themeColor="text1"/>
        </w:rPr>
        <w:t>’</w:t>
      </w:r>
      <w:r w:rsidRPr="004612AC">
        <w:rPr>
          <w:rFonts w:ascii="Arial" w:hAnsi="Arial" w:cs="Arial"/>
          <w:color w:val="000000" w:themeColor="text1"/>
        </w:rPr>
        <w:t xml:space="preserve"> (2000) </w:t>
      </w:r>
      <w:r w:rsidR="00A84EE5">
        <w:rPr>
          <w:rFonts w:ascii="Arial" w:hAnsi="Arial" w:cs="Arial"/>
          <w:color w:val="000000" w:themeColor="text1"/>
        </w:rPr>
        <w:t>to</w:t>
      </w:r>
      <w:r w:rsidRPr="004612AC">
        <w:rPr>
          <w:rFonts w:ascii="Arial" w:hAnsi="Arial" w:cs="Arial"/>
          <w:color w:val="000000" w:themeColor="text1"/>
        </w:rPr>
        <w:t xml:space="preserve"> exhume the doctrine of part performance (which had been expressly overruled by law).</w:t>
      </w:r>
      <w:r w:rsidR="00A84EE5">
        <w:rPr>
          <w:rFonts w:ascii="Arial" w:hAnsi="Arial" w:cs="Arial"/>
          <w:color w:val="000000" w:themeColor="text1"/>
        </w:rPr>
        <w:t xml:space="preserve"> </w:t>
      </w:r>
      <w:r w:rsidRPr="004612AC">
        <w:rPr>
          <w:rFonts w:ascii="Arial" w:hAnsi="Arial" w:cs="Arial"/>
          <w:color w:val="000000" w:themeColor="text1"/>
        </w:rPr>
        <w:t>The courts' attempts to render justice in these cases are evident based on the facts before them.</w:t>
      </w:r>
      <w:r w:rsidRPr="004612AC">
        <w:rPr>
          <w:rStyle w:val="apple-converted-space"/>
          <w:rFonts w:ascii="Arial" w:hAnsi="Arial" w:cs="Arial"/>
          <w:color w:val="000000" w:themeColor="text1"/>
          <w:sz w:val="27"/>
          <w:szCs w:val="27"/>
        </w:rPr>
        <w:t> </w:t>
      </w:r>
      <w:r w:rsidRPr="004612AC">
        <w:rPr>
          <w:rFonts w:ascii="Arial" w:hAnsi="Arial" w:cs="Arial"/>
          <w:color w:val="000000" w:themeColor="text1"/>
        </w:rPr>
        <w:t xml:space="preserve">Despite this, the complaint of the creation of a judicial aristocracy, in which judges abdicate constitutional power to themselves through bills of rights, which accompanied the Human Rights Act </w:t>
      </w:r>
      <w:r w:rsidR="00BA5B28" w:rsidRPr="004612AC">
        <w:rPr>
          <w:rFonts w:ascii="Arial" w:hAnsi="Arial" w:cs="Arial"/>
          <w:color w:val="000000" w:themeColor="text1"/>
        </w:rPr>
        <w:t>(</w:t>
      </w:r>
      <w:r w:rsidRPr="004612AC">
        <w:rPr>
          <w:rFonts w:ascii="Arial" w:hAnsi="Arial" w:cs="Arial"/>
          <w:color w:val="000000" w:themeColor="text1"/>
        </w:rPr>
        <w:t>1998</w:t>
      </w:r>
      <w:r w:rsidR="00BA5B28" w:rsidRPr="004612AC">
        <w:rPr>
          <w:rFonts w:ascii="Arial" w:hAnsi="Arial" w:cs="Arial"/>
          <w:color w:val="000000" w:themeColor="text1"/>
        </w:rPr>
        <w:t>)</w:t>
      </w:r>
      <w:r w:rsidRPr="004612AC">
        <w:rPr>
          <w:rFonts w:ascii="Arial" w:hAnsi="Arial" w:cs="Arial"/>
          <w:color w:val="000000" w:themeColor="text1"/>
        </w:rPr>
        <w:t xml:space="preserve">, must also be considered: </w:t>
      </w:r>
      <w:r w:rsidR="00A84EE5">
        <w:rPr>
          <w:rFonts w:ascii="Arial" w:hAnsi="Arial" w:cs="Arial"/>
          <w:color w:val="000000" w:themeColor="text1"/>
        </w:rPr>
        <w:t>the judges can abrogate</w:t>
      </w:r>
      <w:r w:rsidRPr="004612AC">
        <w:rPr>
          <w:rFonts w:ascii="Arial" w:hAnsi="Arial" w:cs="Arial"/>
          <w:color w:val="000000" w:themeColor="text1"/>
        </w:rPr>
        <w:t xml:space="preserve"> their powers unconstitutionally in the sense that they consider themselves to be empowered to overturn parliamentary decisions.</w:t>
      </w:r>
    </w:p>
    <w:p w14:paraId="39A56C2F" w14:textId="2B4338CF" w:rsidR="00992CF1" w:rsidRPr="004612AC" w:rsidRDefault="004D2228" w:rsidP="00224DA6">
      <w:pPr>
        <w:pStyle w:val="pb-2"/>
        <w:spacing w:line="360" w:lineRule="auto"/>
        <w:rPr>
          <w:rFonts w:ascii="Arial" w:hAnsi="Arial" w:cs="Arial"/>
          <w:color w:val="000000" w:themeColor="text1"/>
        </w:rPr>
      </w:pPr>
      <w:r w:rsidRPr="004612AC">
        <w:rPr>
          <w:rFonts w:ascii="Arial" w:hAnsi="Arial" w:cs="Arial"/>
          <w:color w:val="000000" w:themeColor="text1"/>
        </w:rPr>
        <w:t xml:space="preserve">Nevertheless, </w:t>
      </w:r>
      <w:r w:rsidR="002A24D8" w:rsidRPr="002A24D8">
        <w:rPr>
          <w:rFonts w:ascii="Arial" w:hAnsi="Arial" w:cs="Arial"/>
        </w:rPr>
        <w:t>t</w:t>
      </w:r>
      <w:r w:rsidR="002A24D8" w:rsidRPr="002A24D8">
        <w:rPr>
          <w:rFonts w:ascii="Arial" w:hAnsi="Arial" w:cs="Arial"/>
        </w:rPr>
        <w:t>he common law is moderated and softened by equity, which is a separate system of law.</w:t>
      </w:r>
      <w:r w:rsidR="002A24D8" w:rsidRPr="002A24D8">
        <w:rPr>
          <w:rFonts w:ascii="Arial" w:hAnsi="Arial" w:cs="Arial"/>
          <w:color w:val="000000"/>
          <w:sz w:val="27"/>
          <w:szCs w:val="27"/>
        </w:rPr>
        <w:t> </w:t>
      </w:r>
      <w:r w:rsidR="002A24D8" w:rsidRPr="002A24D8">
        <w:rPr>
          <w:rFonts w:ascii="Arial" w:hAnsi="Arial" w:cs="Arial"/>
        </w:rPr>
        <w:t xml:space="preserve">As Lord Cowper explained in the case of </w:t>
      </w:r>
      <w:r w:rsidR="002A24D8">
        <w:rPr>
          <w:rFonts w:ascii="Arial" w:hAnsi="Arial" w:cs="Arial"/>
        </w:rPr>
        <w:t>‘</w:t>
      </w:r>
      <w:r w:rsidR="002A24D8" w:rsidRPr="002A24D8">
        <w:rPr>
          <w:rFonts w:ascii="Arial" w:hAnsi="Arial" w:cs="Arial"/>
        </w:rPr>
        <w:t>Dudley v Dudley</w:t>
      </w:r>
      <w:r w:rsidR="002A24D8">
        <w:rPr>
          <w:rFonts w:ascii="Arial" w:hAnsi="Arial" w:cs="Arial"/>
        </w:rPr>
        <w:t>’</w:t>
      </w:r>
      <w:r w:rsidR="002A24D8" w:rsidRPr="002A24D8">
        <w:rPr>
          <w:rFonts w:ascii="Arial" w:hAnsi="Arial" w:cs="Arial"/>
        </w:rPr>
        <w:t xml:space="preserve"> (1705), equity is not a part of the law, but a moral virtue that qualifies, moderates, and reforms the rigor, hardness, and edge of it.</w:t>
      </w:r>
      <w:r w:rsidR="002A24D8">
        <w:t xml:space="preserve"> </w:t>
      </w:r>
      <w:r w:rsidRPr="004612AC">
        <w:rPr>
          <w:rFonts w:ascii="Arial" w:hAnsi="Arial" w:cs="Arial"/>
          <w:color w:val="000000" w:themeColor="text1"/>
        </w:rPr>
        <w:t>Without equity, unconscionable conduct would result in an increase</w:t>
      </w:r>
      <w:r w:rsidR="004368D1" w:rsidRPr="004612AC">
        <w:rPr>
          <w:rFonts w:ascii="Arial" w:hAnsi="Arial" w:cs="Arial"/>
          <w:color w:val="000000" w:themeColor="text1"/>
        </w:rPr>
        <w:t>d number</w:t>
      </w:r>
      <w:r w:rsidRPr="004612AC">
        <w:rPr>
          <w:rFonts w:ascii="Arial" w:hAnsi="Arial" w:cs="Arial"/>
          <w:color w:val="000000" w:themeColor="text1"/>
        </w:rPr>
        <w:t xml:space="preserve"> of unfair outcomes</w:t>
      </w:r>
      <w:r w:rsidR="00D20786" w:rsidRPr="004612AC">
        <w:rPr>
          <w:rFonts w:ascii="Arial" w:hAnsi="Arial" w:cs="Arial"/>
          <w:color w:val="000000" w:themeColor="text1"/>
        </w:rPr>
        <w:t xml:space="preserve"> given by the </w:t>
      </w:r>
      <w:r w:rsidR="00D20786" w:rsidRPr="004612AC">
        <w:rPr>
          <w:rFonts w:ascii="Arial" w:hAnsi="Arial" w:cs="Arial"/>
          <w:color w:val="000000" w:themeColor="text1"/>
        </w:rPr>
        <w:lastRenderedPageBreak/>
        <w:t>common law. Additionally, w</w:t>
      </w:r>
      <w:r w:rsidRPr="004612AC">
        <w:rPr>
          <w:rFonts w:ascii="Arial" w:hAnsi="Arial" w:cs="Arial"/>
          <w:color w:val="000000" w:themeColor="text1"/>
        </w:rPr>
        <w:t>ithout</w:t>
      </w:r>
      <w:r w:rsidRPr="004612AC">
        <w:rPr>
          <w:rStyle w:val="apple-converted-space"/>
          <w:rFonts w:ascii="Arial" w:hAnsi="Arial" w:cs="Arial"/>
          <w:color w:val="000000" w:themeColor="text1"/>
        </w:rPr>
        <w:t> </w:t>
      </w:r>
      <w:r w:rsidRPr="004612AC">
        <w:rPr>
          <w:rStyle w:val="issue-underline"/>
          <w:rFonts w:ascii="Arial" w:hAnsi="Arial" w:cs="Arial"/>
          <w:color w:val="000000" w:themeColor="text1"/>
        </w:rPr>
        <w:t>the support of</w:t>
      </w:r>
      <w:r w:rsidRPr="004612AC">
        <w:rPr>
          <w:rStyle w:val="apple-converted-space"/>
          <w:rFonts w:ascii="Arial" w:hAnsi="Arial" w:cs="Arial"/>
          <w:color w:val="000000" w:themeColor="text1"/>
        </w:rPr>
        <w:t> </w:t>
      </w:r>
      <w:r w:rsidRPr="004612AC">
        <w:rPr>
          <w:rFonts w:ascii="Arial" w:hAnsi="Arial" w:cs="Arial"/>
          <w:color w:val="000000" w:themeColor="text1"/>
        </w:rPr>
        <w:t>equitable remedies</w:t>
      </w:r>
      <w:r w:rsidRPr="004612AC">
        <w:rPr>
          <w:rStyle w:val="apple-converted-space"/>
          <w:rFonts w:ascii="Arial" w:hAnsi="Arial" w:cs="Arial"/>
          <w:color w:val="000000" w:themeColor="text1"/>
        </w:rPr>
        <w:t> </w:t>
      </w:r>
      <w:r w:rsidRPr="004612AC">
        <w:rPr>
          <w:rFonts w:ascii="Arial" w:hAnsi="Arial" w:cs="Arial"/>
          <w:color w:val="000000" w:themeColor="text1"/>
        </w:rPr>
        <w:t>to provide</w:t>
      </w:r>
      <w:r w:rsidRPr="004612AC">
        <w:rPr>
          <w:rStyle w:val="apple-converted-space"/>
          <w:rFonts w:ascii="Arial" w:hAnsi="Arial" w:cs="Arial"/>
          <w:color w:val="000000" w:themeColor="text1"/>
        </w:rPr>
        <w:t xml:space="preserve"> relief </w:t>
      </w:r>
      <w:r w:rsidR="00D20786" w:rsidRPr="004612AC">
        <w:rPr>
          <w:rStyle w:val="apple-converted-space"/>
          <w:rFonts w:ascii="Arial" w:hAnsi="Arial" w:cs="Arial"/>
          <w:color w:val="000000" w:themeColor="text1"/>
        </w:rPr>
        <w:t xml:space="preserve">to an </w:t>
      </w:r>
      <w:r w:rsidRPr="004612AC">
        <w:rPr>
          <w:rFonts w:ascii="Arial" w:hAnsi="Arial" w:cs="Arial"/>
          <w:color w:val="000000" w:themeColor="text1"/>
        </w:rPr>
        <w:t xml:space="preserve">adequate and fair </w:t>
      </w:r>
      <w:r w:rsidR="00D20786" w:rsidRPr="004612AC">
        <w:rPr>
          <w:rFonts w:ascii="Arial" w:hAnsi="Arial" w:cs="Arial"/>
          <w:color w:val="000000" w:themeColor="text1"/>
        </w:rPr>
        <w:t xml:space="preserve">degree, the strictness of common law alone would lack certainty and justice for claimants within the justice system. </w:t>
      </w:r>
    </w:p>
    <w:p w14:paraId="0C55D947" w14:textId="5A34A2A1" w:rsidR="00A54A2A" w:rsidRPr="004612AC" w:rsidRDefault="00031EA7" w:rsidP="00224DA6">
      <w:pPr>
        <w:pStyle w:val="pb-2"/>
        <w:spacing w:line="360" w:lineRule="auto"/>
        <w:rPr>
          <w:rFonts w:ascii="Arial" w:hAnsi="Arial" w:cs="Arial"/>
          <w:color w:val="000000" w:themeColor="text1"/>
        </w:rPr>
      </w:pPr>
      <w:r w:rsidRPr="004612AC">
        <w:rPr>
          <w:rFonts w:ascii="Arial" w:hAnsi="Arial" w:cs="Arial"/>
          <w:color w:val="000000" w:themeColor="text1"/>
        </w:rPr>
        <w:t xml:space="preserve">As </w:t>
      </w:r>
      <w:r w:rsidR="00A54A2A" w:rsidRPr="004612AC">
        <w:rPr>
          <w:rFonts w:ascii="Arial" w:hAnsi="Arial" w:cs="Arial"/>
          <w:color w:val="000000" w:themeColor="text1"/>
        </w:rPr>
        <w:t xml:space="preserve">James </w:t>
      </w:r>
      <w:r w:rsidRPr="004612AC">
        <w:rPr>
          <w:rFonts w:ascii="Arial" w:hAnsi="Arial" w:cs="Arial"/>
          <w:color w:val="000000" w:themeColor="text1"/>
        </w:rPr>
        <w:t>LJ s</w:t>
      </w:r>
      <w:r w:rsidR="007C49A7">
        <w:rPr>
          <w:rFonts w:ascii="Arial" w:hAnsi="Arial" w:cs="Arial"/>
          <w:color w:val="000000" w:themeColor="text1"/>
        </w:rPr>
        <w:t>tated</w:t>
      </w:r>
      <w:r w:rsidRPr="004612AC">
        <w:rPr>
          <w:rFonts w:ascii="Arial" w:hAnsi="Arial" w:cs="Arial"/>
          <w:color w:val="000000" w:themeColor="text1"/>
        </w:rPr>
        <w:t xml:space="preserve"> in </w:t>
      </w:r>
      <w:r w:rsidR="00C31F04">
        <w:rPr>
          <w:rFonts w:ascii="Arial" w:hAnsi="Arial" w:cs="Arial"/>
          <w:color w:val="000000" w:themeColor="text1"/>
        </w:rPr>
        <w:t>‘</w:t>
      </w:r>
      <w:r w:rsidRPr="004612AC">
        <w:rPr>
          <w:rFonts w:ascii="Arial" w:hAnsi="Arial" w:cs="Arial"/>
          <w:color w:val="000000" w:themeColor="text1"/>
        </w:rPr>
        <w:t>Fowkes v Pascoe</w:t>
      </w:r>
      <w:r w:rsidR="00C31F04">
        <w:rPr>
          <w:rStyle w:val="apple-converted-space"/>
          <w:rFonts w:ascii="Arial" w:hAnsi="Arial" w:cs="Arial"/>
          <w:color w:val="000000" w:themeColor="text1"/>
          <w:shd w:val="clear" w:color="auto" w:fill="FFFFFF"/>
        </w:rPr>
        <w:t xml:space="preserve">’ </w:t>
      </w:r>
      <w:r w:rsidRPr="004612AC">
        <w:rPr>
          <w:rFonts w:ascii="Arial" w:hAnsi="Arial" w:cs="Arial"/>
          <w:color w:val="000000" w:themeColor="text1"/>
          <w:shd w:val="clear" w:color="auto" w:fill="FFFFFF"/>
        </w:rPr>
        <w:t>(1875)</w:t>
      </w:r>
      <w:r w:rsidR="00A54A2A" w:rsidRPr="004612AC">
        <w:rPr>
          <w:rFonts w:ascii="Arial" w:hAnsi="Arial" w:cs="Arial"/>
          <w:color w:val="000000" w:themeColor="text1"/>
        </w:rPr>
        <w:t>, equity ensures that every individual defendant can "have his story heard", thus raising one's justice. Equity, therefore, can be used to enhance the liberty of individuals in front of the law (whether it is viewed as "the justice system" or more technically "the common law") by allowing judges to break with legal principles and statutes to "do justice" among parties.</w:t>
      </w:r>
      <w:r w:rsidR="00A54A2A" w:rsidRPr="004612AC">
        <w:rPr>
          <w:rStyle w:val="apple-converted-space"/>
          <w:rFonts w:ascii="Arial" w:hAnsi="Arial" w:cs="Arial"/>
          <w:color w:val="000000" w:themeColor="text1"/>
          <w:sz w:val="27"/>
          <w:szCs w:val="27"/>
        </w:rPr>
        <w:t> </w:t>
      </w:r>
      <w:r w:rsidR="00A54A2A" w:rsidRPr="004612AC">
        <w:rPr>
          <w:rFonts w:ascii="Arial" w:hAnsi="Arial" w:cs="Arial"/>
          <w:color w:val="000000" w:themeColor="text1"/>
        </w:rPr>
        <w:t>That is why equity is so</w:t>
      </w:r>
      <w:r w:rsidR="00A54A2A" w:rsidRPr="004612AC">
        <w:rPr>
          <w:rStyle w:val="apple-converted-space"/>
          <w:rFonts w:ascii="Arial" w:hAnsi="Arial" w:cs="Arial"/>
          <w:color w:val="000000" w:themeColor="text1"/>
        </w:rPr>
        <w:t> </w:t>
      </w:r>
      <w:r w:rsidR="00A54A2A" w:rsidRPr="004612AC">
        <w:rPr>
          <w:rStyle w:val="issue-underline"/>
          <w:rFonts w:ascii="Arial" w:hAnsi="Arial" w:cs="Arial"/>
          <w:color w:val="000000" w:themeColor="text1"/>
        </w:rPr>
        <w:t>important</w:t>
      </w:r>
      <w:r w:rsidR="00A54A2A" w:rsidRPr="004612AC">
        <w:rPr>
          <w:rFonts w:ascii="Arial" w:hAnsi="Arial" w:cs="Arial"/>
          <w:color w:val="000000" w:themeColor="text1"/>
        </w:rPr>
        <w:t>. By applying equity, the courts</w:t>
      </w:r>
      <w:r w:rsidR="00A54A2A" w:rsidRPr="004612AC">
        <w:rPr>
          <w:rStyle w:val="apple-converted-space"/>
          <w:rFonts w:ascii="Arial" w:hAnsi="Arial" w:cs="Arial"/>
          <w:color w:val="000000" w:themeColor="text1"/>
        </w:rPr>
        <w:t> </w:t>
      </w:r>
      <w:r w:rsidR="00A54A2A" w:rsidRPr="004612AC">
        <w:rPr>
          <w:rStyle w:val="issue-underline"/>
          <w:rFonts w:ascii="Arial" w:hAnsi="Arial" w:cs="Arial"/>
          <w:color w:val="000000" w:themeColor="text1"/>
        </w:rPr>
        <w:t>can</w:t>
      </w:r>
      <w:r w:rsidR="00A54A2A" w:rsidRPr="004612AC">
        <w:rPr>
          <w:rStyle w:val="apple-converted-space"/>
          <w:rFonts w:ascii="Arial" w:hAnsi="Arial" w:cs="Arial"/>
          <w:color w:val="000000" w:themeColor="text1"/>
        </w:rPr>
        <w:t> </w:t>
      </w:r>
      <w:r w:rsidR="00A54A2A" w:rsidRPr="004612AC">
        <w:rPr>
          <w:rFonts w:ascii="Arial" w:hAnsi="Arial" w:cs="Arial"/>
          <w:color w:val="000000" w:themeColor="text1"/>
        </w:rPr>
        <w:t>judge each case on its facts and by applying contested value judgments to each case.</w:t>
      </w:r>
    </w:p>
    <w:p w14:paraId="5B28A016" w14:textId="7CC7809B" w:rsidR="00D20786" w:rsidRPr="004612AC" w:rsidRDefault="00D20786" w:rsidP="00224DA6">
      <w:pPr>
        <w:pStyle w:val="pb-2"/>
        <w:spacing w:line="360" w:lineRule="auto"/>
        <w:rPr>
          <w:rFonts w:ascii="Arial" w:hAnsi="Arial" w:cs="Arial"/>
          <w:color w:val="000000" w:themeColor="text1"/>
        </w:rPr>
      </w:pPr>
      <w:r w:rsidRPr="004612AC">
        <w:rPr>
          <w:rFonts w:ascii="Arial" w:hAnsi="Arial" w:cs="Arial"/>
          <w:color w:val="000000" w:themeColor="text1"/>
        </w:rPr>
        <w:t xml:space="preserve">To conclude, </w:t>
      </w:r>
      <w:r w:rsidR="001F2552" w:rsidRPr="004612AC">
        <w:rPr>
          <w:rFonts w:ascii="Arial" w:hAnsi="Arial" w:cs="Arial"/>
          <w:color w:val="000000" w:themeColor="text1"/>
        </w:rPr>
        <w:t xml:space="preserve">when it comes to addressing the issue of whether equity can successfully mitigate injustice, there are clear differences in opinion on both sides. Observing the complex nuances of interim injunctions indicates there are no clear-cut answers to this debate. The full facts of a case may not always be available and observing the stronger case alone may not always result in an equitable outcome. Specific performance also suggests that limiting the operation of equitable remedies does not necessarily increase certainty; this illustrates the difficulty in viewing legal systems in terms of two opposing ends, flexibility, and certainty, which do not correspond to reality. Essentially, equity serves to balance competing interests, mitigating against otherwise unjust outcomes, and providing the flexibility necessary for an effective legal system. Although equity has undergone many changes in the past few decades, it continues to play a vital role that is largely ignored in the twenty-first century. To achieve justice, both reliability and fairness must be combined with the common law and not against it. </w:t>
      </w:r>
      <w:r w:rsidR="004E63F4" w:rsidRPr="004612AC">
        <w:rPr>
          <w:rFonts w:ascii="Arial" w:hAnsi="Arial" w:cs="Arial"/>
          <w:color w:val="000000" w:themeColor="text1"/>
        </w:rPr>
        <w:t xml:space="preserve">(Panesar, 2020). </w:t>
      </w:r>
    </w:p>
    <w:p w14:paraId="1A887E90" w14:textId="4A3913BA" w:rsidR="00B117E5" w:rsidRDefault="00B117E5"/>
    <w:p w14:paraId="0AB6B2EC" w14:textId="1DFAADE0" w:rsidR="00C456F4" w:rsidRDefault="00C456F4"/>
    <w:p w14:paraId="34ED2F4F" w14:textId="0A3CC7BD" w:rsidR="00C456F4" w:rsidRDefault="00C456F4"/>
    <w:p w14:paraId="58C74F90" w14:textId="7144201A" w:rsidR="00C456F4" w:rsidRDefault="00C456F4"/>
    <w:p w14:paraId="5D9068A6" w14:textId="080B9508" w:rsidR="00C456F4" w:rsidRDefault="00C456F4"/>
    <w:p w14:paraId="3F60F686" w14:textId="05DE4960" w:rsidR="00C456F4" w:rsidRDefault="00C456F4"/>
    <w:p w14:paraId="3BB1A16C" w14:textId="288A72E5" w:rsidR="00C456F4" w:rsidRDefault="00C456F4"/>
    <w:p w14:paraId="626679AE" w14:textId="1056F4C9" w:rsidR="00C456F4" w:rsidRDefault="00C456F4"/>
    <w:p w14:paraId="55D35CBB" w14:textId="7063AB9D" w:rsidR="007606F8" w:rsidRDefault="007606F8" w:rsidP="00B117E5"/>
    <w:p w14:paraId="3ABB96E1" w14:textId="77777777" w:rsidR="00D6545B" w:rsidRDefault="00D6545B" w:rsidP="00B117E5">
      <w:pPr>
        <w:rPr>
          <w:rFonts w:ascii="Arial" w:hAnsi="Arial" w:cs="Arial"/>
          <w:b/>
          <w:bCs/>
          <w:sz w:val="24"/>
          <w:szCs w:val="24"/>
          <w:u w:val="single"/>
        </w:rPr>
      </w:pPr>
    </w:p>
    <w:p w14:paraId="2043EB55" w14:textId="77777777" w:rsidR="007606F8" w:rsidRDefault="007606F8" w:rsidP="00B117E5">
      <w:pPr>
        <w:rPr>
          <w:rFonts w:ascii="Arial" w:hAnsi="Arial" w:cs="Arial"/>
          <w:b/>
          <w:bCs/>
          <w:sz w:val="24"/>
          <w:szCs w:val="24"/>
          <w:u w:val="single"/>
        </w:rPr>
      </w:pPr>
    </w:p>
    <w:p w14:paraId="0923C3BA" w14:textId="77777777" w:rsidR="007606F8" w:rsidRDefault="007606F8" w:rsidP="00B117E5">
      <w:pPr>
        <w:rPr>
          <w:rFonts w:ascii="Arial" w:hAnsi="Arial" w:cs="Arial"/>
          <w:b/>
          <w:bCs/>
          <w:sz w:val="24"/>
          <w:szCs w:val="24"/>
          <w:u w:val="single"/>
        </w:rPr>
      </w:pPr>
    </w:p>
    <w:p w14:paraId="0A78954F" w14:textId="6D118C7D" w:rsidR="00C456F4" w:rsidRPr="00C456F4" w:rsidRDefault="00B117E5" w:rsidP="00B117E5">
      <w:pPr>
        <w:rPr>
          <w:rFonts w:ascii="Arial" w:hAnsi="Arial" w:cs="Arial"/>
          <w:b/>
          <w:bCs/>
          <w:sz w:val="24"/>
          <w:szCs w:val="24"/>
          <w:u w:val="single"/>
        </w:rPr>
      </w:pPr>
      <w:r>
        <w:rPr>
          <w:rFonts w:ascii="Arial" w:hAnsi="Arial" w:cs="Arial"/>
          <w:b/>
          <w:bCs/>
          <w:sz w:val="24"/>
          <w:szCs w:val="24"/>
          <w:u w:val="single"/>
        </w:rPr>
        <w:lastRenderedPageBreak/>
        <w:t xml:space="preserve">References: </w:t>
      </w:r>
    </w:p>
    <w:p w14:paraId="4F04A46E" w14:textId="77777777" w:rsidR="00C456F4" w:rsidRDefault="00C456F4" w:rsidP="00B117E5">
      <w:pPr>
        <w:rPr>
          <w:rFonts w:ascii="Arial" w:hAnsi="Arial" w:cs="Arial"/>
          <w:sz w:val="24"/>
          <w:szCs w:val="24"/>
        </w:rPr>
      </w:pPr>
    </w:p>
    <w:p w14:paraId="0024FAAA" w14:textId="77777777" w:rsidR="00C456F4" w:rsidRDefault="00C456F4" w:rsidP="00B117E5">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Baker, J (2019), </w:t>
      </w:r>
      <w:r w:rsidRPr="00FC723C">
        <w:rPr>
          <w:rFonts w:ascii="Arial" w:hAnsi="Arial" w:cs="Arial"/>
          <w:i/>
          <w:iCs/>
          <w:color w:val="000000"/>
        </w:rPr>
        <w:t>English Legal History</w:t>
      </w:r>
      <w:r>
        <w:rPr>
          <w:rFonts w:ascii="Arial" w:hAnsi="Arial" w:cs="Arial"/>
          <w:color w:val="000000"/>
        </w:rPr>
        <w:t xml:space="preserve">, Fifth Edition, Oxford University Press. </w:t>
      </w:r>
    </w:p>
    <w:p w14:paraId="25B0F20C" w14:textId="77777777" w:rsidR="00C456F4" w:rsidRDefault="00C456F4" w:rsidP="00B117E5">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Bray, J (2020), A Students Guide to Equity and Trusts, Second Edition, Cambridge University Press. </w:t>
      </w:r>
    </w:p>
    <w:p w14:paraId="1042893C" w14:textId="055FE05A" w:rsidR="00C456F4" w:rsidRDefault="00C456F4" w:rsidP="00B117E5">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Davies, P, S and Virgo, </w:t>
      </w:r>
      <w:r w:rsidR="00A84EE5">
        <w:rPr>
          <w:rFonts w:ascii="Arial" w:hAnsi="Arial" w:cs="Arial"/>
          <w:color w:val="000000"/>
        </w:rPr>
        <w:t>G.</w:t>
      </w:r>
      <w:r>
        <w:rPr>
          <w:rFonts w:ascii="Arial" w:hAnsi="Arial" w:cs="Arial"/>
          <w:color w:val="000000"/>
        </w:rPr>
        <w:t xml:space="preserve"> (2019), Equity and Trusts, Third Edition, Oxford University Press. </w:t>
      </w:r>
    </w:p>
    <w:p w14:paraId="6397809C" w14:textId="77777777" w:rsidR="00C456F4" w:rsidRDefault="00C456F4" w:rsidP="00B117E5">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Duddington</w:t>
      </w:r>
      <w:proofErr w:type="spellEnd"/>
      <w:r>
        <w:rPr>
          <w:rFonts w:ascii="Arial" w:hAnsi="Arial" w:cs="Arial"/>
          <w:color w:val="000000"/>
        </w:rPr>
        <w:t xml:space="preserve">, J (2009), </w:t>
      </w:r>
      <w:r w:rsidRPr="00A57850">
        <w:rPr>
          <w:rFonts w:ascii="Arial" w:hAnsi="Arial" w:cs="Arial"/>
          <w:i/>
          <w:iCs/>
          <w:color w:val="000000"/>
        </w:rPr>
        <w:t>Equity and Trusts</w:t>
      </w:r>
      <w:r>
        <w:rPr>
          <w:rFonts w:ascii="Arial" w:hAnsi="Arial" w:cs="Arial"/>
          <w:color w:val="000000"/>
        </w:rPr>
        <w:t xml:space="preserve">, Second Edition, Pearson. </w:t>
      </w:r>
    </w:p>
    <w:p w14:paraId="462DDB41" w14:textId="77777777" w:rsidR="00C456F4" w:rsidRPr="00FE67CC" w:rsidRDefault="00C456F4" w:rsidP="00B117E5">
      <w:pPr>
        <w:spacing w:before="100" w:beforeAutospacing="1" w:after="100" w:afterAutospacing="1"/>
        <w:rPr>
          <w:rFonts w:ascii="Arial" w:hAnsi="Arial" w:cs="Arial"/>
          <w:sz w:val="24"/>
          <w:szCs w:val="24"/>
        </w:rPr>
      </w:pPr>
      <w:r w:rsidRPr="00FE67CC">
        <w:rPr>
          <w:rFonts w:ascii="Arial" w:hAnsi="Arial" w:cs="Arial"/>
          <w:sz w:val="24"/>
          <w:szCs w:val="24"/>
        </w:rPr>
        <w:t>Elliott, C and Quinn, F (2015), </w:t>
      </w:r>
      <w:r w:rsidRPr="00FE67CC">
        <w:rPr>
          <w:rFonts w:ascii="Arial" w:hAnsi="Arial" w:cs="Arial"/>
          <w:i/>
          <w:iCs/>
          <w:sz w:val="24"/>
          <w:szCs w:val="24"/>
        </w:rPr>
        <w:t>English Legal System</w:t>
      </w:r>
      <w:r w:rsidRPr="00FE67CC">
        <w:rPr>
          <w:rFonts w:ascii="Arial" w:hAnsi="Arial" w:cs="Arial"/>
          <w:sz w:val="24"/>
          <w:szCs w:val="24"/>
        </w:rPr>
        <w:t xml:space="preserve">, Sixteenth Edition, Pearson. </w:t>
      </w:r>
    </w:p>
    <w:p w14:paraId="68412CBF" w14:textId="77777777" w:rsidR="00C456F4" w:rsidRDefault="00C456F4" w:rsidP="00B117E5">
      <w:pPr>
        <w:pStyle w:val="NormalWeb"/>
        <w:spacing w:before="0" w:beforeAutospacing="0" w:after="240" w:afterAutospacing="0" w:line="360" w:lineRule="atLeast"/>
        <w:rPr>
          <w:rStyle w:val="apple-converted-space"/>
          <w:rFonts w:ascii="Arial" w:hAnsi="Arial" w:cs="Arial"/>
          <w:shd w:val="clear" w:color="auto" w:fill="FFFFFF"/>
        </w:rPr>
      </w:pPr>
      <w:r w:rsidRPr="00F94241">
        <w:rPr>
          <w:rFonts w:ascii="Arial" w:hAnsi="Arial" w:cs="Arial"/>
          <w:shd w:val="clear" w:color="auto" w:fill="FFFFFF"/>
        </w:rPr>
        <w:t>Griffin, J. G., (2022) “Equity: Balancing certainty and flexibility to secure justice”,</w:t>
      </w:r>
      <w:r w:rsidRPr="00F94241">
        <w:rPr>
          <w:rStyle w:val="apple-converted-space"/>
          <w:rFonts w:ascii="Arial" w:hAnsi="Arial" w:cs="Arial"/>
          <w:shd w:val="clear" w:color="auto" w:fill="FFFFFF"/>
        </w:rPr>
        <w:t> </w:t>
      </w:r>
      <w:r w:rsidRPr="00F94241">
        <w:rPr>
          <w:rFonts w:ascii="Arial" w:hAnsi="Arial" w:cs="Arial"/>
          <w:i/>
          <w:iCs/>
        </w:rPr>
        <w:t>Fields: journal of Huddersfield student research</w:t>
      </w:r>
      <w:r w:rsidRPr="00F94241">
        <w:rPr>
          <w:rStyle w:val="apple-converted-space"/>
          <w:rFonts w:ascii="Arial" w:hAnsi="Arial" w:cs="Arial"/>
          <w:shd w:val="clear" w:color="auto" w:fill="FFFFFF"/>
        </w:rPr>
        <w:t> </w:t>
      </w:r>
      <w:r w:rsidRPr="00F94241">
        <w:rPr>
          <w:rFonts w:ascii="Arial" w:hAnsi="Arial" w:cs="Arial"/>
          <w:shd w:val="clear" w:color="auto" w:fill="FFFFFF"/>
        </w:rPr>
        <w:t>8(1). Available at:</w:t>
      </w:r>
      <w:r w:rsidRPr="00F94241">
        <w:rPr>
          <w:rStyle w:val="apple-converted-space"/>
          <w:rFonts w:ascii="Arial" w:hAnsi="Arial" w:cs="Arial"/>
          <w:shd w:val="clear" w:color="auto" w:fill="FFFFFF"/>
        </w:rPr>
        <w:t> </w:t>
      </w:r>
      <w:hyperlink r:id="rId5" w:history="1">
        <w:r w:rsidRPr="00EA3656">
          <w:rPr>
            <w:rStyle w:val="Hyperlink"/>
            <w:rFonts w:ascii="Arial" w:hAnsi="Arial" w:cs="Arial"/>
            <w:shd w:val="clear" w:color="auto" w:fill="FFFFFF"/>
          </w:rPr>
          <w:t>https://www.fieldsjournal.org.uk/article/id/982/</w:t>
        </w:r>
      </w:hyperlink>
      <w:r>
        <w:rPr>
          <w:rStyle w:val="apple-converted-space"/>
          <w:rFonts w:ascii="Arial" w:hAnsi="Arial" w:cs="Arial"/>
          <w:shd w:val="clear" w:color="auto" w:fill="FFFFFF"/>
        </w:rPr>
        <w:t>, (Accessed: 11</w:t>
      </w:r>
      <w:r w:rsidRPr="00F94241">
        <w:rPr>
          <w:rStyle w:val="apple-converted-space"/>
          <w:rFonts w:ascii="Arial" w:hAnsi="Arial" w:cs="Arial"/>
          <w:shd w:val="clear" w:color="auto" w:fill="FFFFFF"/>
          <w:vertAlign w:val="superscript"/>
        </w:rPr>
        <w:t>th</w:t>
      </w:r>
      <w:r>
        <w:rPr>
          <w:rStyle w:val="apple-converted-space"/>
          <w:rFonts w:ascii="Arial" w:hAnsi="Arial" w:cs="Arial"/>
          <w:shd w:val="clear" w:color="auto" w:fill="FFFFFF"/>
        </w:rPr>
        <w:t xml:space="preserve"> March 2024). </w:t>
      </w:r>
    </w:p>
    <w:p w14:paraId="275E76F3" w14:textId="77777777" w:rsidR="00C456F4" w:rsidRPr="00F81073" w:rsidRDefault="00C456F4" w:rsidP="00B117E5">
      <w:pPr>
        <w:pStyle w:val="NormalWeb"/>
        <w:spacing w:before="0" w:beforeAutospacing="0" w:after="240" w:afterAutospacing="0" w:line="360" w:lineRule="atLeast"/>
        <w:rPr>
          <w:rFonts w:ascii="Arial" w:hAnsi="Arial" w:cs="Arial"/>
          <w:color w:val="000000"/>
        </w:rPr>
      </w:pPr>
      <w:r w:rsidRPr="00F81073">
        <w:rPr>
          <w:rFonts w:ascii="Arial" w:hAnsi="Arial" w:cs="Arial"/>
          <w:color w:val="000000"/>
        </w:rPr>
        <w:t>Griffin, J.G. (2022)</w:t>
      </w:r>
      <w:r>
        <w:rPr>
          <w:rFonts w:ascii="Arial" w:hAnsi="Arial" w:cs="Arial"/>
          <w:color w:val="000000"/>
        </w:rPr>
        <w:t xml:space="preserve">, </w:t>
      </w:r>
      <w:r w:rsidRPr="00F81073">
        <w:rPr>
          <w:rFonts w:ascii="Arial" w:hAnsi="Arial" w:cs="Arial"/>
          <w:color w:val="000000"/>
        </w:rPr>
        <w:t>Equity: Balancing certainty and flexibility to secure justice</w:t>
      </w:r>
      <w:r>
        <w:rPr>
          <w:rFonts w:ascii="Arial" w:hAnsi="Arial" w:cs="Arial"/>
          <w:color w:val="000000"/>
        </w:rPr>
        <w:t xml:space="preserve">, </w:t>
      </w:r>
      <w:r w:rsidRPr="00F81073">
        <w:rPr>
          <w:rFonts w:ascii="Arial" w:hAnsi="Arial" w:cs="Arial"/>
          <w:i/>
          <w:iCs/>
          <w:color w:val="000000"/>
        </w:rPr>
        <w:t>Fields: journal of Huddersfield student research</w:t>
      </w:r>
      <w:r w:rsidRPr="00F81073">
        <w:rPr>
          <w:rFonts w:ascii="Arial" w:hAnsi="Arial" w:cs="Arial"/>
          <w:color w:val="000000"/>
        </w:rPr>
        <w:t xml:space="preserve">, 8(1). Available at: </w:t>
      </w:r>
      <w:hyperlink r:id="rId6" w:history="1">
        <w:r w:rsidRPr="00F81073">
          <w:rPr>
            <w:rStyle w:val="Hyperlink"/>
            <w:rFonts w:ascii="Arial" w:hAnsi="Arial" w:cs="Arial"/>
          </w:rPr>
          <w:t>https://www.fieldsjournal.org.uk/article/id/982/</w:t>
        </w:r>
      </w:hyperlink>
      <w:r w:rsidRPr="00F81073">
        <w:rPr>
          <w:rFonts w:ascii="Arial" w:hAnsi="Arial" w:cs="Arial"/>
          <w:color w:val="000000"/>
        </w:rPr>
        <w:t>, (Accessed: 23</w:t>
      </w:r>
      <w:r w:rsidRPr="00F81073">
        <w:rPr>
          <w:rFonts w:ascii="Arial" w:hAnsi="Arial" w:cs="Arial"/>
          <w:color w:val="000000"/>
          <w:vertAlign w:val="superscript"/>
        </w:rPr>
        <w:t>rd</w:t>
      </w:r>
      <w:r w:rsidRPr="00F81073">
        <w:rPr>
          <w:rFonts w:ascii="Arial" w:hAnsi="Arial" w:cs="Arial"/>
          <w:color w:val="000000"/>
        </w:rPr>
        <w:t xml:space="preserve"> February 2024). </w:t>
      </w:r>
    </w:p>
    <w:p w14:paraId="6E0620C4" w14:textId="74E835FA" w:rsidR="00C456F4" w:rsidRPr="007C49A7" w:rsidRDefault="00C456F4" w:rsidP="007C49A7">
      <w:pPr>
        <w:pStyle w:val="NormalWeb"/>
        <w:spacing w:before="0" w:beforeAutospacing="0" w:after="240" w:afterAutospacing="0" w:line="360" w:lineRule="atLeast"/>
        <w:rPr>
          <w:rFonts w:ascii="Arial" w:hAnsi="Arial" w:cs="Arial"/>
          <w:color w:val="000000"/>
        </w:rPr>
      </w:pPr>
      <w:r>
        <w:rPr>
          <w:rFonts w:ascii="Arial" w:hAnsi="Arial" w:cs="Arial"/>
          <w:color w:val="000000" w:themeColor="text1"/>
        </w:rPr>
        <w:t xml:space="preserve">Hayton, </w:t>
      </w:r>
      <w:r w:rsidR="00A84EE5">
        <w:rPr>
          <w:rFonts w:ascii="Arial" w:hAnsi="Arial" w:cs="Arial"/>
          <w:color w:val="000000" w:themeColor="text1"/>
        </w:rPr>
        <w:t>D.</w:t>
      </w:r>
      <w:r>
        <w:rPr>
          <w:rFonts w:ascii="Arial" w:hAnsi="Arial" w:cs="Arial"/>
          <w:color w:val="000000" w:themeColor="text1"/>
        </w:rPr>
        <w:t xml:space="preserve"> and Mitchell, C. (2005), The Law of Trusts and Equitable Remedies, Twelfth Edition, Sweet &amp; Maxwell. </w:t>
      </w:r>
    </w:p>
    <w:p w14:paraId="7C23ECE5" w14:textId="77777777" w:rsidR="00C456F4" w:rsidRPr="00FE67CC" w:rsidRDefault="00C456F4" w:rsidP="00B117E5">
      <w:pPr>
        <w:pStyle w:val="NormalWeb"/>
        <w:spacing w:before="0" w:beforeAutospacing="0" w:after="240" w:afterAutospacing="0" w:line="360" w:lineRule="atLeast"/>
        <w:rPr>
          <w:rFonts w:ascii="Arial" w:hAnsi="Arial" w:cs="Arial"/>
          <w:color w:val="000000"/>
        </w:rPr>
      </w:pPr>
      <w:r w:rsidRPr="00FE67CC">
        <w:rPr>
          <w:rFonts w:ascii="Arial" w:hAnsi="Arial" w:cs="Arial"/>
          <w:color w:val="000000"/>
        </w:rPr>
        <w:t>Hudson, A. (2008).</w:t>
      </w:r>
      <w:r w:rsidRPr="00FE67CC">
        <w:rPr>
          <w:rStyle w:val="apple-converted-space"/>
          <w:rFonts w:ascii="Arial" w:hAnsi="Arial" w:cs="Arial"/>
          <w:color w:val="000000"/>
        </w:rPr>
        <w:t> </w:t>
      </w:r>
      <w:r w:rsidRPr="00FE67CC">
        <w:rPr>
          <w:rFonts w:ascii="Arial" w:hAnsi="Arial" w:cs="Arial"/>
          <w:i/>
          <w:iCs/>
          <w:color w:val="000000"/>
        </w:rPr>
        <w:t>The trust as an equitable response</w:t>
      </w:r>
      <w:r w:rsidRPr="00FE67CC">
        <w:rPr>
          <w:rFonts w:ascii="Arial" w:hAnsi="Arial" w:cs="Arial"/>
          <w:color w:val="000000"/>
        </w:rPr>
        <w:t xml:space="preserve">. [online] Available at: </w:t>
      </w:r>
      <w:hyperlink r:id="rId7" w:history="1">
        <w:r w:rsidRPr="00FE67CC">
          <w:rPr>
            <w:rStyle w:val="Hyperlink"/>
            <w:rFonts w:ascii="Arial" w:hAnsi="Arial" w:cs="Arial"/>
          </w:rPr>
          <w:t>http://www.alastairhudson.com/equity/The%20trust%20as%20an%20equitable%20response.pdf</w:t>
        </w:r>
      </w:hyperlink>
      <w:r w:rsidRPr="00FE67CC">
        <w:rPr>
          <w:rFonts w:ascii="Arial" w:hAnsi="Arial" w:cs="Arial"/>
          <w:color w:val="000000"/>
        </w:rPr>
        <w:t>, (Accessed: 26</w:t>
      </w:r>
      <w:r w:rsidRPr="00FE67CC">
        <w:rPr>
          <w:rFonts w:ascii="Arial" w:hAnsi="Arial" w:cs="Arial"/>
          <w:color w:val="000000"/>
          <w:vertAlign w:val="superscript"/>
        </w:rPr>
        <w:t>th</w:t>
      </w:r>
      <w:r w:rsidRPr="00FE67CC">
        <w:rPr>
          <w:rFonts w:ascii="Arial" w:hAnsi="Arial" w:cs="Arial"/>
          <w:color w:val="000000"/>
        </w:rPr>
        <w:t xml:space="preserve"> February 2024). </w:t>
      </w:r>
    </w:p>
    <w:p w14:paraId="09440A66" w14:textId="77777777" w:rsidR="00C456F4" w:rsidRDefault="00C456F4" w:rsidP="007C49A7">
      <w:pPr>
        <w:pStyle w:val="NormalWeb"/>
        <w:spacing w:before="0" w:beforeAutospacing="0" w:after="240" w:afterAutospacing="0" w:line="360" w:lineRule="atLeast"/>
        <w:rPr>
          <w:rFonts w:ascii="Arial" w:hAnsi="Arial" w:cs="Arial"/>
          <w:color w:val="000000"/>
        </w:rPr>
      </w:pPr>
      <w:r w:rsidRPr="007C49A7">
        <w:rPr>
          <w:rFonts w:ascii="Arial" w:hAnsi="Arial" w:cs="Arial"/>
          <w:color w:val="000000"/>
        </w:rPr>
        <w:t>Hudson, A. and Dignam, A. (2002).</w:t>
      </w:r>
      <w:r w:rsidRPr="007C49A7">
        <w:rPr>
          <w:rStyle w:val="apple-converted-space"/>
          <w:rFonts w:ascii="Arial" w:hAnsi="Arial" w:cs="Arial"/>
          <w:color w:val="000000"/>
        </w:rPr>
        <w:t> </w:t>
      </w:r>
      <w:r w:rsidRPr="007C49A7">
        <w:rPr>
          <w:rFonts w:ascii="Arial" w:hAnsi="Arial" w:cs="Arial"/>
          <w:i/>
          <w:iCs/>
          <w:color w:val="000000"/>
        </w:rPr>
        <w:t>Equity, individualisation, and social justice</w:t>
      </w:r>
      <w:r w:rsidRPr="007C49A7">
        <w:rPr>
          <w:rFonts w:ascii="Arial" w:hAnsi="Arial" w:cs="Arial"/>
          <w:color w:val="000000"/>
        </w:rPr>
        <w:t xml:space="preserve">. [online] Available at: </w:t>
      </w:r>
      <w:hyperlink r:id="rId8" w:history="1">
        <w:r w:rsidRPr="007C49A7">
          <w:rPr>
            <w:rStyle w:val="Hyperlink"/>
            <w:rFonts w:ascii="Arial" w:hAnsi="Arial" w:cs="Arial"/>
          </w:rPr>
          <w:t>http://www.alastairhudson.com/equity/Equity-socialjusticethroughindividualisation.pdf</w:t>
        </w:r>
      </w:hyperlink>
      <w:r w:rsidRPr="007C49A7">
        <w:rPr>
          <w:rFonts w:ascii="Arial" w:hAnsi="Arial" w:cs="Arial"/>
          <w:color w:val="000000"/>
        </w:rPr>
        <w:t>, (Accessed: 14</w:t>
      </w:r>
      <w:r w:rsidRPr="007C49A7">
        <w:rPr>
          <w:rFonts w:ascii="Arial" w:hAnsi="Arial" w:cs="Arial"/>
          <w:color w:val="000000"/>
          <w:vertAlign w:val="superscript"/>
        </w:rPr>
        <w:t>th</w:t>
      </w:r>
      <w:r w:rsidRPr="007C49A7">
        <w:rPr>
          <w:rFonts w:ascii="Arial" w:hAnsi="Arial" w:cs="Arial"/>
          <w:color w:val="000000"/>
        </w:rPr>
        <w:t xml:space="preserve"> March 2024). </w:t>
      </w:r>
    </w:p>
    <w:p w14:paraId="124FB29D" w14:textId="3BB3D034" w:rsidR="00C456F4" w:rsidRDefault="00C456F4" w:rsidP="00B117E5">
      <w:pPr>
        <w:pStyle w:val="NormalWeb"/>
        <w:spacing w:before="0" w:beforeAutospacing="0" w:after="240" w:afterAutospacing="0" w:line="360" w:lineRule="atLeast"/>
        <w:rPr>
          <w:rFonts w:ascii="Arial" w:hAnsi="Arial" w:cs="Arial"/>
        </w:rPr>
      </w:pPr>
      <w:proofErr w:type="spellStart"/>
      <w:r>
        <w:rPr>
          <w:rFonts w:ascii="Arial" w:hAnsi="Arial" w:cs="Arial"/>
        </w:rPr>
        <w:t>Mofatt</w:t>
      </w:r>
      <w:proofErr w:type="spellEnd"/>
      <w:r>
        <w:rPr>
          <w:rFonts w:ascii="Arial" w:hAnsi="Arial" w:cs="Arial"/>
        </w:rPr>
        <w:t xml:space="preserve">, G, Bean G, and Probert, </w:t>
      </w:r>
      <w:r w:rsidR="00A84EE5">
        <w:rPr>
          <w:rFonts w:ascii="Arial" w:hAnsi="Arial" w:cs="Arial"/>
        </w:rPr>
        <w:t>R.</w:t>
      </w:r>
      <w:r>
        <w:rPr>
          <w:rFonts w:ascii="Arial" w:hAnsi="Arial" w:cs="Arial"/>
        </w:rPr>
        <w:t xml:space="preserve">, (2009), Trusts Law Text and Materials, Fifth Edition, Cambridge University Press. </w:t>
      </w:r>
    </w:p>
    <w:p w14:paraId="1683F66C" w14:textId="77777777" w:rsidR="00C456F4" w:rsidRDefault="00C456F4" w:rsidP="00B117E5">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Oldham, J (2005), </w:t>
      </w:r>
      <w:r w:rsidRPr="00A57850">
        <w:rPr>
          <w:rFonts w:ascii="Arial" w:hAnsi="Arial" w:cs="Arial"/>
          <w:i/>
          <w:iCs/>
          <w:color w:val="000000"/>
        </w:rPr>
        <w:t>English Common Law in The Age of Mansfield</w:t>
      </w:r>
      <w:r>
        <w:rPr>
          <w:rFonts w:ascii="Arial" w:hAnsi="Arial" w:cs="Arial"/>
          <w:color w:val="000000"/>
        </w:rPr>
        <w:t xml:space="preserve">, University of North Carolina Press. </w:t>
      </w:r>
    </w:p>
    <w:p w14:paraId="5F91485A" w14:textId="77777777" w:rsidR="00C456F4" w:rsidRDefault="00C456F4" w:rsidP="00B117E5">
      <w:pPr>
        <w:pStyle w:val="NormalWeb"/>
        <w:spacing w:before="0" w:beforeAutospacing="0" w:after="240" w:afterAutospacing="0" w:line="360" w:lineRule="atLeast"/>
        <w:rPr>
          <w:rFonts w:ascii="Arial" w:hAnsi="Arial" w:cs="Arial"/>
        </w:rPr>
      </w:pPr>
      <w:r>
        <w:rPr>
          <w:rFonts w:ascii="Arial" w:hAnsi="Arial" w:cs="Arial"/>
        </w:rPr>
        <w:t xml:space="preserve">Panesar, S (2020), Equity and Trusts, Fourth Edition, Pearson. </w:t>
      </w:r>
    </w:p>
    <w:p w14:paraId="63918A99" w14:textId="77777777" w:rsidR="00C456F4" w:rsidRDefault="00C456F4" w:rsidP="00B117E5">
      <w:pPr>
        <w:pStyle w:val="NormalWeb"/>
        <w:spacing w:before="0" w:beforeAutospacing="0" w:after="240" w:afterAutospacing="0" w:line="360" w:lineRule="atLeast"/>
        <w:rPr>
          <w:rFonts w:ascii="Arial" w:hAnsi="Arial" w:cs="Arial"/>
          <w:color w:val="000000"/>
        </w:rPr>
      </w:pPr>
      <w:proofErr w:type="spellStart"/>
      <w:r w:rsidRPr="00DE52C5">
        <w:rPr>
          <w:rFonts w:ascii="Arial" w:hAnsi="Arial" w:cs="Arial"/>
          <w:color w:val="000000"/>
        </w:rPr>
        <w:t>Ramjohn</w:t>
      </w:r>
      <w:proofErr w:type="spellEnd"/>
      <w:r w:rsidRPr="00DE52C5">
        <w:rPr>
          <w:rFonts w:ascii="Arial" w:hAnsi="Arial" w:cs="Arial"/>
          <w:color w:val="000000"/>
        </w:rPr>
        <w:t xml:space="preserve">, M (2019), </w:t>
      </w:r>
      <w:r w:rsidRPr="00DE52C5">
        <w:rPr>
          <w:rFonts w:ascii="Arial" w:hAnsi="Arial" w:cs="Arial"/>
          <w:i/>
          <w:iCs/>
          <w:color w:val="000000"/>
        </w:rPr>
        <w:t>Unlocking Equity and Trusts</w:t>
      </w:r>
      <w:r w:rsidRPr="00DE52C5">
        <w:rPr>
          <w:rFonts w:ascii="Arial" w:hAnsi="Arial" w:cs="Arial"/>
          <w:color w:val="000000"/>
        </w:rPr>
        <w:t xml:space="preserve">, Seventh Edition, Taylor </w:t>
      </w:r>
      <w:r>
        <w:rPr>
          <w:rFonts w:ascii="Arial" w:hAnsi="Arial" w:cs="Arial"/>
          <w:color w:val="000000"/>
        </w:rPr>
        <w:t>&amp;</w:t>
      </w:r>
      <w:r w:rsidRPr="00DE52C5">
        <w:rPr>
          <w:rFonts w:ascii="Arial" w:hAnsi="Arial" w:cs="Arial"/>
          <w:color w:val="000000"/>
        </w:rPr>
        <w:t xml:space="preserve"> Francis. </w:t>
      </w:r>
    </w:p>
    <w:p w14:paraId="617EEA9E" w14:textId="77777777" w:rsidR="00C456F4" w:rsidRDefault="00C456F4" w:rsidP="00B117E5">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lastRenderedPageBreak/>
        <w:t>Schatzberger</w:t>
      </w:r>
      <w:proofErr w:type="spellEnd"/>
      <w:r>
        <w:rPr>
          <w:rFonts w:ascii="Arial" w:hAnsi="Arial" w:cs="Arial"/>
          <w:color w:val="000000"/>
        </w:rPr>
        <w:t xml:space="preserve">, E (2020), </w:t>
      </w:r>
      <w:r w:rsidRPr="00A57850">
        <w:rPr>
          <w:rFonts w:ascii="Arial" w:hAnsi="Arial" w:cs="Arial"/>
          <w:i/>
          <w:iCs/>
          <w:color w:val="000000"/>
        </w:rPr>
        <w:t>Equity and Trusts</w:t>
      </w:r>
      <w:r>
        <w:rPr>
          <w:rFonts w:ascii="Arial" w:hAnsi="Arial" w:cs="Arial"/>
          <w:color w:val="000000"/>
        </w:rPr>
        <w:t xml:space="preserve">, Pearson. </w:t>
      </w:r>
    </w:p>
    <w:p w14:paraId="5CFBA3D6" w14:textId="77777777" w:rsidR="00C456F4" w:rsidRDefault="00C456F4" w:rsidP="00B117E5">
      <w:pPr>
        <w:pStyle w:val="NormalWeb"/>
        <w:spacing w:before="0" w:beforeAutospacing="0" w:after="240" w:afterAutospacing="0" w:line="360" w:lineRule="atLeast"/>
        <w:rPr>
          <w:rFonts w:ascii="Arial" w:hAnsi="Arial" w:cs="Arial"/>
        </w:rPr>
      </w:pPr>
      <w:r>
        <w:rPr>
          <w:rFonts w:ascii="Arial" w:hAnsi="Arial" w:cs="Arial"/>
        </w:rPr>
        <w:t xml:space="preserve">Smith, H, E (2020), The Law of Equity, Oxford University Press. </w:t>
      </w:r>
    </w:p>
    <w:p w14:paraId="3CC92CEC" w14:textId="53515502" w:rsidR="00C456F4" w:rsidRDefault="00C456F4" w:rsidP="00B117E5">
      <w:pPr>
        <w:rPr>
          <w:rFonts w:ascii="Arial" w:hAnsi="Arial" w:cs="Arial"/>
          <w:sz w:val="24"/>
          <w:szCs w:val="24"/>
        </w:rPr>
      </w:pPr>
      <w:r>
        <w:rPr>
          <w:rFonts w:ascii="Arial" w:hAnsi="Arial" w:cs="Arial"/>
          <w:sz w:val="24"/>
          <w:szCs w:val="24"/>
        </w:rPr>
        <w:t xml:space="preserve">Virgo, </w:t>
      </w:r>
      <w:r w:rsidR="00A84EE5">
        <w:rPr>
          <w:rFonts w:ascii="Arial" w:hAnsi="Arial" w:cs="Arial"/>
          <w:sz w:val="24"/>
          <w:szCs w:val="24"/>
        </w:rPr>
        <w:t>G.</w:t>
      </w:r>
      <w:r>
        <w:rPr>
          <w:rFonts w:ascii="Arial" w:hAnsi="Arial" w:cs="Arial"/>
          <w:sz w:val="24"/>
          <w:szCs w:val="24"/>
        </w:rPr>
        <w:t xml:space="preserve"> (2020), </w:t>
      </w:r>
      <w:r w:rsidRPr="00C31B72">
        <w:rPr>
          <w:rFonts w:ascii="Arial" w:hAnsi="Arial" w:cs="Arial"/>
          <w:i/>
          <w:iCs/>
          <w:sz w:val="24"/>
          <w:szCs w:val="24"/>
        </w:rPr>
        <w:t>The Principles of Equity and Trusts</w:t>
      </w:r>
      <w:r>
        <w:rPr>
          <w:rFonts w:ascii="Arial" w:hAnsi="Arial" w:cs="Arial"/>
          <w:sz w:val="24"/>
          <w:szCs w:val="24"/>
        </w:rPr>
        <w:t xml:space="preserve">, Fourth Edition, Oxford University Press. </w:t>
      </w:r>
    </w:p>
    <w:p w14:paraId="0CCD2DF5" w14:textId="77777777" w:rsidR="00C456F4" w:rsidRDefault="00C456F4" w:rsidP="00B117E5">
      <w:pPr>
        <w:pStyle w:val="NormalWeb"/>
        <w:spacing w:before="0" w:beforeAutospacing="0" w:after="240" w:afterAutospacing="0" w:line="360" w:lineRule="atLeast"/>
        <w:rPr>
          <w:rFonts w:ascii="Arial" w:hAnsi="Arial" w:cs="Arial"/>
          <w:color w:val="000000"/>
        </w:rPr>
      </w:pPr>
      <w:r w:rsidRPr="00FC5395">
        <w:rPr>
          <w:rFonts w:ascii="Arial" w:hAnsi="Arial" w:cs="Arial"/>
          <w:color w:val="000000"/>
        </w:rPr>
        <w:t>Waddams, S. (2023).</w:t>
      </w:r>
      <w:r w:rsidRPr="00FC5395">
        <w:rPr>
          <w:rStyle w:val="apple-converted-space"/>
          <w:rFonts w:ascii="Arial" w:hAnsi="Arial" w:cs="Arial"/>
          <w:color w:val="000000"/>
        </w:rPr>
        <w:t> </w:t>
      </w:r>
      <w:r w:rsidRPr="00FC5395">
        <w:rPr>
          <w:rFonts w:ascii="Arial" w:hAnsi="Arial" w:cs="Arial"/>
          <w:i/>
          <w:iCs/>
          <w:color w:val="000000"/>
        </w:rPr>
        <w:t>Equity in English Law</w:t>
      </w:r>
      <w:r w:rsidRPr="00FC5395">
        <w:rPr>
          <w:rFonts w:ascii="Arial" w:hAnsi="Arial" w:cs="Arial"/>
          <w:color w:val="000000"/>
        </w:rPr>
        <w:t xml:space="preserve">. [online] www.elgaronline.com. Available at: </w:t>
      </w:r>
      <w:hyperlink r:id="rId9" w:anchor=":~:text=The%20underlying%20concept%20of%20equity" w:history="1">
        <w:r w:rsidRPr="00FC5395">
          <w:rPr>
            <w:rStyle w:val="Hyperlink"/>
            <w:rFonts w:ascii="Arial" w:hAnsi="Arial" w:cs="Arial"/>
          </w:rPr>
          <w:t>https://www.elgaronline.com/display/book/9781839105609/b-9781839105609.equity.english.law.xml#:~:text=The%20underlying%20concept%20of%20equity</w:t>
        </w:r>
      </w:hyperlink>
      <w:r w:rsidRPr="00FC5395">
        <w:rPr>
          <w:rFonts w:ascii="Arial" w:hAnsi="Arial" w:cs="Arial"/>
          <w:color w:val="000000"/>
        </w:rPr>
        <w:t>, (Accessed: 13</w:t>
      </w:r>
      <w:r w:rsidRPr="00FC5395">
        <w:rPr>
          <w:rFonts w:ascii="Arial" w:hAnsi="Arial" w:cs="Arial"/>
          <w:color w:val="000000"/>
          <w:vertAlign w:val="superscript"/>
        </w:rPr>
        <w:t>th</w:t>
      </w:r>
      <w:r w:rsidRPr="00FC5395">
        <w:rPr>
          <w:rFonts w:ascii="Arial" w:hAnsi="Arial" w:cs="Arial"/>
          <w:color w:val="000000"/>
        </w:rPr>
        <w:t xml:space="preserve"> March 2024). </w:t>
      </w:r>
    </w:p>
    <w:p w14:paraId="3668C9C6" w14:textId="471B3577" w:rsidR="00C456F4" w:rsidRDefault="00C456F4" w:rsidP="00B117E5">
      <w:pPr>
        <w:rPr>
          <w:rFonts w:ascii="Arial" w:hAnsi="Arial" w:cs="Arial"/>
          <w:sz w:val="24"/>
          <w:szCs w:val="24"/>
        </w:rPr>
      </w:pPr>
      <w:r>
        <w:rPr>
          <w:rFonts w:ascii="Arial" w:hAnsi="Arial" w:cs="Arial"/>
          <w:sz w:val="24"/>
          <w:szCs w:val="24"/>
        </w:rPr>
        <w:t xml:space="preserve">Watt, </w:t>
      </w:r>
      <w:r w:rsidR="00A84EE5">
        <w:rPr>
          <w:rFonts w:ascii="Arial" w:hAnsi="Arial" w:cs="Arial"/>
          <w:sz w:val="24"/>
          <w:szCs w:val="24"/>
        </w:rPr>
        <w:t>G.</w:t>
      </w:r>
      <w:r>
        <w:rPr>
          <w:rFonts w:ascii="Arial" w:hAnsi="Arial" w:cs="Arial"/>
          <w:sz w:val="24"/>
          <w:szCs w:val="24"/>
        </w:rPr>
        <w:t xml:space="preserve"> (2021), </w:t>
      </w:r>
      <w:r w:rsidRPr="00F81073">
        <w:rPr>
          <w:rFonts w:ascii="Arial" w:hAnsi="Arial" w:cs="Arial"/>
          <w:i/>
          <w:iCs/>
          <w:sz w:val="24"/>
          <w:szCs w:val="24"/>
        </w:rPr>
        <w:t>Equity and Trusts Law</w:t>
      </w:r>
      <w:r>
        <w:rPr>
          <w:rFonts w:ascii="Arial" w:hAnsi="Arial" w:cs="Arial"/>
          <w:sz w:val="24"/>
          <w:szCs w:val="24"/>
        </w:rPr>
        <w:t xml:space="preserve">, Seventh Edition, Oxford University Press. </w:t>
      </w:r>
    </w:p>
    <w:p w14:paraId="07190386" w14:textId="77777777" w:rsidR="007C49A7" w:rsidRPr="00561AFE" w:rsidRDefault="007C49A7" w:rsidP="00B117E5">
      <w:pPr>
        <w:pStyle w:val="NormalWeb"/>
        <w:spacing w:before="0" w:beforeAutospacing="0" w:after="240" w:afterAutospacing="0" w:line="360" w:lineRule="atLeast"/>
        <w:rPr>
          <w:rFonts w:ascii="Arial" w:hAnsi="Arial" w:cs="Arial"/>
          <w:color w:val="000000"/>
        </w:rPr>
      </w:pPr>
    </w:p>
    <w:p w14:paraId="4DF674D7" w14:textId="77777777" w:rsidR="00B117E5" w:rsidRPr="00BD199F" w:rsidRDefault="00B117E5" w:rsidP="00B117E5">
      <w:pPr>
        <w:pStyle w:val="NormalWeb"/>
        <w:spacing w:before="0" w:beforeAutospacing="0" w:after="240" w:afterAutospacing="0" w:line="360" w:lineRule="atLeast"/>
        <w:rPr>
          <w:rFonts w:ascii="Arial" w:hAnsi="Arial" w:cs="Arial"/>
          <w:b/>
          <w:bCs/>
          <w:color w:val="000000"/>
          <w:u w:val="single"/>
        </w:rPr>
      </w:pPr>
      <w:r w:rsidRPr="00BD199F">
        <w:rPr>
          <w:rFonts w:ascii="Arial" w:hAnsi="Arial" w:cs="Arial"/>
          <w:b/>
          <w:bCs/>
          <w:color w:val="000000"/>
          <w:u w:val="single"/>
        </w:rPr>
        <w:t>Acts:</w:t>
      </w:r>
    </w:p>
    <w:p w14:paraId="03B4949D" w14:textId="77777777" w:rsidR="00C456F4" w:rsidRPr="00727188" w:rsidRDefault="00C456F4" w:rsidP="00727188">
      <w:pPr>
        <w:pStyle w:val="NormalWeb"/>
        <w:spacing w:before="0" w:beforeAutospacing="0" w:after="240" w:afterAutospacing="0" w:line="360" w:lineRule="atLeast"/>
        <w:rPr>
          <w:rFonts w:ascii="Arial" w:hAnsi="Arial" w:cs="Arial"/>
          <w:color w:val="000000"/>
        </w:rPr>
      </w:pPr>
      <w:r w:rsidRPr="004612AC">
        <w:rPr>
          <w:rFonts w:ascii="Arial" w:hAnsi="Arial" w:cs="Arial"/>
          <w:color w:val="000000" w:themeColor="text1"/>
        </w:rPr>
        <w:t>Human Rights Act (1998)</w:t>
      </w:r>
      <w:r>
        <w:rPr>
          <w:rFonts w:ascii="Arial" w:hAnsi="Arial" w:cs="Arial"/>
          <w:color w:val="000000" w:themeColor="text1"/>
        </w:rPr>
        <w:t xml:space="preserve">, </w:t>
      </w:r>
      <w:r w:rsidRPr="00C456F4">
        <w:rPr>
          <w:rFonts w:ascii="Arial" w:hAnsi="Arial" w:cs="Arial"/>
          <w:color w:val="000000"/>
        </w:rPr>
        <w:t>legislation.gov.uk (2018).</w:t>
      </w:r>
      <w:r w:rsidRPr="00C456F4">
        <w:rPr>
          <w:rStyle w:val="apple-converted-space"/>
          <w:rFonts w:ascii="Arial" w:hAnsi="Arial" w:cs="Arial"/>
          <w:color w:val="000000"/>
        </w:rPr>
        <w:t> </w:t>
      </w:r>
      <w:r w:rsidRPr="00C456F4">
        <w:rPr>
          <w:rFonts w:ascii="Arial" w:hAnsi="Arial" w:cs="Arial"/>
          <w:i/>
          <w:iCs/>
          <w:color w:val="000000"/>
        </w:rPr>
        <w:t>Human Rights Act 1998</w:t>
      </w:r>
      <w:r w:rsidRPr="00C456F4">
        <w:rPr>
          <w:rFonts w:ascii="Arial" w:hAnsi="Arial" w:cs="Arial"/>
          <w:color w:val="000000"/>
        </w:rPr>
        <w:t xml:space="preserve">. [online] Legislation.gov.uk. Available at: </w:t>
      </w:r>
      <w:hyperlink r:id="rId10" w:history="1">
        <w:r w:rsidRPr="00BF63FC">
          <w:rPr>
            <w:rStyle w:val="Hyperlink"/>
            <w:rFonts w:ascii="Arial" w:hAnsi="Arial" w:cs="Arial"/>
          </w:rPr>
          <w:t>https://www.legislation.gov.uk/ukpga/1998/42/schedule/1/part/I/chapter/5</w:t>
        </w:r>
      </w:hyperlink>
      <w:r>
        <w:rPr>
          <w:rFonts w:ascii="Arial" w:hAnsi="Arial" w:cs="Arial"/>
          <w:color w:val="000000"/>
        </w:rPr>
        <w:t>, (Accessed: 13</w:t>
      </w:r>
      <w:r w:rsidRPr="00C456F4">
        <w:rPr>
          <w:rFonts w:ascii="Arial" w:hAnsi="Arial" w:cs="Arial"/>
          <w:color w:val="000000"/>
          <w:vertAlign w:val="superscript"/>
        </w:rPr>
        <w:t>th</w:t>
      </w:r>
      <w:r>
        <w:rPr>
          <w:rFonts w:ascii="Arial" w:hAnsi="Arial" w:cs="Arial"/>
          <w:color w:val="000000"/>
        </w:rPr>
        <w:t xml:space="preserve"> March 2024). </w:t>
      </w:r>
    </w:p>
    <w:p w14:paraId="41B5FB10" w14:textId="77777777" w:rsidR="00C456F4" w:rsidRDefault="00C456F4" w:rsidP="00727188">
      <w:pPr>
        <w:pStyle w:val="NormalWeb"/>
        <w:spacing w:before="0" w:beforeAutospacing="0" w:after="240" w:afterAutospacing="0" w:line="360" w:lineRule="atLeast"/>
        <w:rPr>
          <w:rFonts w:ascii="Arial" w:hAnsi="Arial" w:cs="Arial"/>
          <w:color w:val="000000"/>
        </w:rPr>
      </w:pPr>
      <w:r w:rsidRPr="00022F47">
        <w:rPr>
          <w:rFonts w:ascii="Arial" w:hAnsi="Arial" w:cs="Arial"/>
          <w:color w:val="000000"/>
        </w:rPr>
        <w:t xml:space="preserve">Judicature Act (1873) Amendment Act </w:t>
      </w:r>
      <w:r>
        <w:rPr>
          <w:rFonts w:ascii="Arial" w:hAnsi="Arial" w:cs="Arial"/>
          <w:color w:val="000000"/>
        </w:rPr>
        <w:t>(</w:t>
      </w:r>
      <w:r w:rsidRPr="00022F47">
        <w:rPr>
          <w:rFonts w:ascii="Arial" w:hAnsi="Arial" w:cs="Arial"/>
          <w:color w:val="000000"/>
        </w:rPr>
        <w:t>1875</w:t>
      </w:r>
      <w:r>
        <w:rPr>
          <w:rFonts w:ascii="Arial" w:hAnsi="Arial" w:cs="Arial"/>
          <w:color w:val="000000"/>
        </w:rPr>
        <w:t>)</w:t>
      </w:r>
      <w:r w:rsidRPr="00022F47">
        <w:rPr>
          <w:rFonts w:ascii="Arial" w:hAnsi="Arial" w:cs="Arial"/>
          <w:color w:val="000000"/>
        </w:rPr>
        <w:t>.</w:t>
      </w:r>
      <w:r w:rsidRPr="00727188">
        <w:rPr>
          <w:rFonts w:ascii="Arial" w:hAnsi="Arial" w:cs="Arial"/>
          <w:color w:val="000000"/>
        </w:rPr>
        <w:t xml:space="preserve"> Legislation.gov.uk. (2024).</w:t>
      </w:r>
      <w:r w:rsidRPr="00727188">
        <w:rPr>
          <w:rStyle w:val="apple-converted-space"/>
          <w:rFonts w:ascii="Arial" w:hAnsi="Arial" w:cs="Arial"/>
          <w:color w:val="000000"/>
        </w:rPr>
        <w:t> </w:t>
      </w:r>
      <w:r w:rsidRPr="00727188">
        <w:rPr>
          <w:rFonts w:ascii="Arial" w:hAnsi="Arial" w:cs="Arial"/>
          <w:i/>
          <w:iCs/>
          <w:color w:val="000000"/>
        </w:rPr>
        <w:t>Supreme Court of Judicature Act (1873) Amendment Act 1875</w:t>
      </w:r>
      <w:r w:rsidRPr="00727188">
        <w:rPr>
          <w:rFonts w:ascii="Arial" w:hAnsi="Arial" w:cs="Arial"/>
          <w:color w:val="000000"/>
        </w:rPr>
        <w:t xml:space="preserve">. [online] Available at: </w:t>
      </w:r>
      <w:hyperlink r:id="rId11" w:history="1">
        <w:r w:rsidRPr="00727188">
          <w:rPr>
            <w:rStyle w:val="Hyperlink"/>
            <w:rFonts w:ascii="Arial" w:hAnsi="Arial" w:cs="Arial"/>
          </w:rPr>
          <w:t>https://www.legislation.gov.uk/ukpga/1875/77/enacted</w:t>
        </w:r>
      </w:hyperlink>
      <w:r w:rsidRPr="00727188">
        <w:rPr>
          <w:rFonts w:ascii="Arial" w:hAnsi="Arial" w:cs="Arial"/>
          <w:color w:val="000000"/>
        </w:rPr>
        <w:t>, (Accessed: 27</w:t>
      </w:r>
      <w:r w:rsidRPr="00727188">
        <w:rPr>
          <w:rFonts w:ascii="Arial" w:hAnsi="Arial" w:cs="Arial"/>
          <w:color w:val="000000"/>
          <w:vertAlign w:val="superscript"/>
        </w:rPr>
        <w:t>th</w:t>
      </w:r>
      <w:r w:rsidRPr="00727188">
        <w:rPr>
          <w:rFonts w:ascii="Arial" w:hAnsi="Arial" w:cs="Arial"/>
          <w:color w:val="000000"/>
        </w:rPr>
        <w:t xml:space="preserve"> February 2024). </w:t>
      </w:r>
    </w:p>
    <w:p w14:paraId="7D6D7F35" w14:textId="77777777" w:rsidR="00C456F4" w:rsidRDefault="00C456F4" w:rsidP="00B117E5">
      <w:pPr>
        <w:pStyle w:val="NormalWeb"/>
        <w:spacing w:before="0" w:beforeAutospacing="0" w:after="240" w:afterAutospacing="0" w:line="360" w:lineRule="atLeast"/>
        <w:rPr>
          <w:rFonts w:ascii="Arial" w:hAnsi="Arial" w:cs="Arial"/>
          <w:color w:val="000000"/>
        </w:rPr>
      </w:pPr>
      <w:r w:rsidRPr="00BD199F">
        <w:rPr>
          <w:rStyle w:val="issue-underline"/>
          <w:rFonts w:ascii="Arial" w:hAnsi="Arial" w:cs="Arial"/>
          <w:color w:val="000000"/>
        </w:rPr>
        <w:t>Provision of Oxford</w:t>
      </w:r>
      <w:r w:rsidRPr="00BD199F">
        <w:rPr>
          <w:rStyle w:val="apple-converted-space"/>
          <w:rFonts w:ascii="Arial" w:hAnsi="Arial" w:cs="Arial"/>
          <w:color w:val="000000"/>
        </w:rPr>
        <w:t> (</w:t>
      </w:r>
      <w:r w:rsidRPr="00BD199F">
        <w:rPr>
          <w:rFonts w:ascii="Arial" w:hAnsi="Arial" w:cs="Arial"/>
          <w:color w:val="000000"/>
        </w:rPr>
        <w:t>1248), UK Parliament,</w:t>
      </w:r>
      <w:r w:rsidRPr="00BD199F">
        <w:rPr>
          <w:rStyle w:val="apple-converted-space"/>
          <w:rFonts w:ascii="Arial" w:hAnsi="Arial" w:cs="Arial"/>
          <w:color w:val="000000"/>
        </w:rPr>
        <w:t> </w:t>
      </w:r>
      <w:r w:rsidRPr="00BD199F">
        <w:rPr>
          <w:rFonts w:ascii="Arial" w:hAnsi="Arial" w:cs="Arial"/>
          <w:i/>
          <w:iCs/>
          <w:color w:val="000000"/>
        </w:rPr>
        <w:t>The Provisions of Oxford</w:t>
      </w:r>
      <w:r w:rsidRPr="00BD199F">
        <w:rPr>
          <w:rFonts w:ascii="Arial" w:hAnsi="Arial" w:cs="Arial"/>
          <w:color w:val="000000"/>
        </w:rPr>
        <w:t xml:space="preserve">. [online] Available at: </w:t>
      </w:r>
      <w:hyperlink r:id="rId12" w:history="1">
        <w:r w:rsidRPr="00BD199F">
          <w:rPr>
            <w:rStyle w:val="Hyperlink"/>
            <w:rFonts w:ascii="Arial" w:hAnsi="Arial" w:cs="Arial"/>
          </w:rPr>
          <w:t>https://www.parliament.uk/about/living-heritage/evolutionofparliament/originsofparliament/birthofparliament/overview/simondemontfort/provisionsoxford/</w:t>
        </w:r>
      </w:hyperlink>
      <w:r w:rsidRPr="00BD199F">
        <w:rPr>
          <w:rFonts w:ascii="Arial" w:hAnsi="Arial" w:cs="Arial"/>
          <w:color w:val="000000"/>
        </w:rPr>
        <w:t>, (Accessed: 27</w:t>
      </w:r>
      <w:r w:rsidRPr="00BD199F">
        <w:rPr>
          <w:rFonts w:ascii="Arial" w:hAnsi="Arial" w:cs="Arial"/>
          <w:color w:val="000000"/>
          <w:vertAlign w:val="superscript"/>
        </w:rPr>
        <w:t>th</w:t>
      </w:r>
      <w:r w:rsidRPr="00BD199F">
        <w:rPr>
          <w:rFonts w:ascii="Arial" w:hAnsi="Arial" w:cs="Arial"/>
          <w:color w:val="000000"/>
        </w:rPr>
        <w:t xml:space="preserve"> February 2024). </w:t>
      </w:r>
    </w:p>
    <w:p w14:paraId="2E84C19E" w14:textId="77777777" w:rsidR="00727188" w:rsidRDefault="00727188" w:rsidP="00727188">
      <w:pPr>
        <w:pStyle w:val="NormalWeb"/>
        <w:spacing w:before="0" w:beforeAutospacing="0" w:after="240" w:afterAutospacing="0" w:line="360" w:lineRule="atLeast"/>
        <w:rPr>
          <w:color w:val="000000"/>
        </w:rPr>
      </w:pPr>
    </w:p>
    <w:p w14:paraId="25F09641" w14:textId="77777777" w:rsidR="00B117E5" w:rsidRDefault="00B117E5" w:rsidP="00B117E5">
      <w:pPr>
        <w:rPr>
          <w:rFonts w:ascii="Arial" w:hAnsi="Arial" w:cs="Arial"/>
          <w:b/>
          <w:bCs/>
          <w:sz w:val="24"/>
          <w:szCs w:val="24"/>
          <w:u w:val="single"/>
        </w:rPr>
      </w:pPr>
      <w:r>
        <w:rPr>
          <w:rFonts w:ascii="Arial" w:hAnsi="Arial" w:cs="Arial"/>
          <w:b/>
          <w:bCs/>
          <w:sz w:val="24"/>
          <w:szCs w:val="24"/>
          <w:u w:val="single"/>
        </w:rPr>
        <w:t>Case Law:</w:t>
      </w:r>
    </w:p>
    <w:p w14:paraId="2304B3B3" w14:textId="77777777" w:rsidR="00C456F4" w:rsidRDefault="00C456F4">
      <w:pPr>
        <w:rPr>
          <w:rFonts w:ascii="Arial" w:hAnsi="Arial" w:cs="Arial"/>
          <w:color w:val="000000" w:themeColor="text1"/>
          <w:sz w:val="24"/>
          <w:szCs w:val="24"/>
        </w:rPr>
      </w:pPr>
    </w:p>
    <w:p w14:paraId="066EAC87" w14:textId="72AA374B" w:rsidR="00C456F4" w:rsidRDefault="00C456F4">
      <w:pPr>
        <w:rPr>
          <w:rFonts w:ascii="Arial" w:hAnsi="Arial" w:cs="Arial"/>
          <w:sz w:val="24"/>
          <w:szCs w:val="24"/>
        </w:rPr>
      </w:pPr>
      <w:r w:rsidRPr="002D0491">
        <w:rPr>
          <w:rFonts w:ascii="Arial" w:hAnsi="Arial" w:cs="Arial"/>
          <w:sz w:val="24"/>
          <w:szCs w:val="24"/>
        </w:rPr>
        <w:t>‘Anton Piller KG v Manufacturing Processes Ltd’ (1976)</w:t>
      </w:r>
      <w:r>
        <w:rPr>
          <w:rFonts w:ascii="Arial" w:hAnsi="Arial" w:cs="Arial"/>
          <w:sz w:val="24"/>
          <w:szCs w:val="24"/>
        </w:rPr>
        <w:t xml:space="preserve"> Ch. 55, (Accessed: 25</w:t>
      </w:r>
      <w:r w:rsidRPr="00C456F4">
        <w:rPr>
          <w:rFonts w:ascii="Arial" w:hAnsi="Arial" w:cs="Arial"/>
          <w:sz w:val="24"/>
          <w:szCs w:val="24"/>
          <w:vertAlign w:val="superscript"/>
        </w:rPr>
        <w:t>th</w:t>
      </w:r>
      <w:r>
        <w:rPr>
          <w:rFonts w:ascii="Arial" w:hAnsi="Arial" w:cs="Arial"/>
          <w:sz w:val="24"/>
          <w:szCs w:val="24"/>
        </w:rPr>
        <w:t xml:space="preserve"> February 2024). </w:t>
      </w:r>
    </w:p>
    <w:p w14:paraId="0718389A" w14:textId="77777777" w:rsidR="00C456F4" w:rsidRDefault="00C456F4">
      <w:pPr>
        <w:rPr>
          <w:rFonts w:ascii="Arial" w:hAnsi="Arial" w:cs="Arial"/>
          <w:sz w:val="24"/>
          <w:szCs w:val="24"/>
        </w:rPr>
      </w:pPr>
    </w:p>
    <w:p w14:paraId="5EDD69FE" w14:textId="47402544" w:rsidR="00C456F4" w:rsidRDefault="00C456F4" w:rsidP="00B117E5">
      <w:pPr>
        <w:rPr>
          <w:rFonts w:ascii="Arial" w:hAnsi="Arial" w:cs="Arial"/>
          <w:color w:val="000000"/>
          <w:sz w:val="24"/>
          <w:szCs w:val="24"/>
        </w:rPr>
      </w:pPr>
      <w:r>
        <w:rPr>
          <w:rFonts w:ascii="Arial" w:hAnsi="Arial" w:cs="Arial"/>
          <w:color w:val="000000"/>
          <w:sz w:val="24"/>
          <w:szCs w:val="24"/>
        </w:rPr>
        <w:t>‘Cook v Fountain’ (1676) 3 Swan 585, (Accessed: 10</w:t>
      </w:r>
      <w:r w:rsidRPr="00C456F4">
        <w:rPr>
          <w:rFonts w:ascii="Arial" w:hAnsi="Arial" w:cs="Arial"/>
          <w:color w:val="000000"/>
          <w:sz w:val="24"/>
          <w:szCs w:val="24"/>
          <w:vertAlign w:val="superscript"/>
        </w:rPr>
        <w:t>th</w:t>
      </w:r>
      <w:r>
        <w:rPr>
          <w:rFonts w:ascii="Arial" w:hAnsi="Arial" w:cs="Arial"/>
          <w:color w:val="000000"/>
          <w:sz w:val="24"/>
          <w:szCs w:val="24"/>
        </w:rPr>
        <w:t xml:space="preserve"> March 2024). </w:t>
      </w:r>
    </w:p>
    <w:p w14:paraId="02E279D3" w14:textId="77777777" w:rsidR="00C456F4" w:rsidRPr="00F67C08" w:rsidRDefault="00C456F4" w:rsidP="00B117E5">
      <w:pPr>
        <w:rPr>
          <w:rFonts w:ascii="Arial" w:hAnsi="Arial" w:cs="Arial"/>
          <w:sz w:val="36"/>
          <w:szCs w:val="36"/>
        </w:rPr>
      </w:pPr>
    </w:p>
    <w:p w14:paraId="6F3822E4" w14:textId="45683824" w:rsidR="00C456F4" w:rsidRDefault="00C456F4">
      <w:pPr>
        <w:rPr>
          <w:rFonts w:ascii="Arial" w:hAnsi="Arial" w:cs="Arial"/>
          <w:sz w:val="24"/>
          <w:szCs w:val="24"/>
        </w:rPr>
      </w:pPr>
      <w:r>
        <w:rPr>
          <w:rFonts w:ascii="Arial" w:hAnsi="Arial" w:cs="Arial"/>
          <w:sz w:val="24"/>
          <w:szCs w:val="24"/>
        </w:rPr>
        <w:t>‘Dudley v Dudley’ (1705) Prec Ch 241; 24 ER 118, (Accessed: 12</w:t>
      </w:r>
      <w:r w:rsidRPr="00C456F4">
        <w:rPr>
          <w:rFonts w:ascii="Arial" w:hAnsi="Arial" w:cs="Arial"/>
          <w:sz w:val="24"/>
          <w:szCs w:val="24"/>
          <w:vertAlign w:val="superscript"/>
        </w:rPr>
        <w:t>th</w:t>
      </w:r>
      <w:r>
        <w:rPr>
          <w:rFonts w:ascii="Arial" w:hAnsi="Arial" w:cs="Arial"/>
          <w:sz w:val="24"/>
          <w:szCs w:val="24"/>
        </w:rPr>
        <w:t xml:space="preserve"> March 2024). </w:t>
      </w:r>
    </w:p>
    <w:p w14:paraId="4A3EA887" w14:textId="77777777" w:rsidR="00C456F4" w:rsidRDefault="00C456F4">
      <w:pPr>
        <w:rPr>
          <w:rFonts w:ascii="Arial" w:hAnsi="Arial" w:cs="Arial"/>
          <w:sz w:val="24"/>
          <w:szCs w:val="24"/>
        </w:rPr>
      </w:pPr>
    </w:p>
    <w:p w14:paraId="579F7B10" w14:textId="60D41FA7" w:rsidR="00C456F4" w:rsidRDefault="00C456F4" w:rsidP="00B117E5">
      <w:pPr>
        <w:rPr>
          <w:rFonts w:ascii="Arial" w:hAnsi="Arial" w:cs="Arial"/>
          <w:sz w:val="24"/>
          <w:szCs w:val="24"/>
        </w:rPr>
      </w:pPr>
      <w:r>
        <w:rPr>
          <w:rFonts w:ascii="Arial" w:hAnsi="Arial" w:cs="Arial"/>
          <w:sz w:val="24"/>
          <w:szCs w:val="24"/>
        </w:rPr>
        <w:t>‘Earl of Oxford’s case’ (1615) 21 ER 485, (Accessed: 27</w:t>
      </w:r>
      <w:r w:rsidRPr="00C456F4">
        <w:rPr>
          <w:rFonts w:ascii="Arial" w:hAnsi="Arial" w:cs="Arial"/>
          <w:sz w:val="24"/>
          <w:szCs w:val="24"/>
          <w:vertAlign w:val="superscript"/>
        </w:rPr>
        <w:t>th</w:t>
      </w:r>
      <w:r>
        <w:rPr>
          <w:rFonts w:ascii="Arial" w:hAnsi="Arial" w:cs="Arial"/>
          <w:sz w:val="24"/>
          <w:szCs w:val="24"/>
        </w:rPr>
        <w:t xml:space="preserve"> February 2024).</w:t>
      </w:r>
    </w:p>
    <w:p w14:paraId="44CF36FD" w14:textId="77777777" w:rsidR="00C456F4" w:rsidRDefault="00C456F4" w:rsidP="00B117E5">
      <w:pPr>
        <w:rPr>
          <w:rFonts w:ascii="Arial" w:hAnsi="Arial" w:cs="Arial"/>
          <w:sz w:val="24"/>
          <w:szCs w:val="24"/>
        </w:rPr>
      </w:pPr>
    </w:p>
    <w:p w14:paraId="1C4106EE" w14:textId="5C7D6246" w:rsidR="00C456F4" w:rsidRDefault="00C456F4">
      <w:pPr>
        <w:rPr>
          <w:rFonts w:ascii="Arial" w:hAnsi="Arial" w:cs="Arial"/>
          <w:color w:val="000000" w:themeColor="text1"/>
          <w:sz w:val="24"/>
          <w:szCs w:val="24"/>
          <w:shd w:val="clear" w:color="auto" w:fill="FFFFFF"/>
        </w:rPr>
      </w:pPr>
      <w:r>
        <w:rPr>
          <w:rFonts w:ascii="Arial" w:hAnsi="Arial" w:cs="Arial"/>
          <w:color w:val="000000" w:themeColor="text1"/>
        </w:rPr>
        <w:lastRenderedPageBreak/>
        <w:t>‘</w:t>
      </w:r>
      <w:proofErr w:type="spellStart"/>
      <w:r w:rsidRPr="004612AC">
        <w:rPr>
          <w:rFonts w:ascii="Arial" w:hAnsi="Arial" w:cs="Arial"/>
          <w:color w:val="000000" w:themeColor="text1"/>
          <w:sz w:val="24"/>
          <w:szCs w:val="24"/>
        </w:rPr>
        <w:t>Fowkes</w:t>
      </w:r>
      <w:proofErr w:type="spellEnd"/>
      <w:r w:rsidRPr="004612AC">
        <w:rPr>
          <w:rFonts w:ascii="Arial" w:hAnsi="Arial" w:cs="Arial"/>
          <w:color w:val="000000" w:themeColor="text1"/>
          <w:sz w:val="24"/>
          <w:szCs w:val="24"/>
        </w:rPr>
        <w:t xml:space="preserve"> v Pascoe</w:t>
      </w:r>
      <w:r>
        <w:rPr>
          <w:rStyle w:val="apple-converted-space"/>
          <w:rFonts w:ascii="Arial" w:hAnsi="Arial" w:cs="Arial"/>
          <w:color w:val="000000" w:themeColor="text1"/>
          <w:shd w:val="clear" w:color="auto" w:fill="FFFFFF"/>
        </w:rPr>
        <w:t xml:space="preserve">’ </w:t>
      </w:r>
      <w:r w:rsidRPr="004612AC">
        <w:rPr>
          <w:rFonts w:ascii="Arial" w:hAnsi="Arial" w:cs="Arial"/>
          <w:color w:val="000000" w:themeColor="text1"/>
          <w:sz w:val="24"/>
          <w:szCs w:val="24"/>
          <w:shd w:val="clear" w:color="auto" w:fill="FFFFFF"/>
        </w:rPr>
        <w:t>(1875)</w:t>
      </w:r>
      <w:r>
        <w:rPr>
          <w:rFonts w:ascii="Arial" w:hAnsi="Arial" w:cs="Arial"/>
          <w:color w:val="000000" w:themeColor="text1"/>
          <w:sz w:val="24"/>
          <w:szCs w:val="24"/>
          <w:shd w:val="clear" w:color="auto" w:fill="FFFFFF"/>
        </w:rPr>
        <w:t xml:space="preserve"> LR 10 Ch App 343, (Accessed: 13</w:t>
      </w:r>
      <w:r w:rsidRPr="00C456F4">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March 2024). </w:t>
      </w:r>
    </w:p>
    <w:p w14:paraId="512FF384" w14:textId="77777777" w:rsidR="00C456F4" w:rsidRPr="00C31F04" w:rsidRDefault="00C456F4">
      <w:pPr>
        <w:rPr>
          <w:rFonts w:ascii="Arial" w:hAnsi="Arial" w:cs="Arial"/>
          <w:color w:val="000000"/>
          <w:sz w:val="24"/>
          <w:szCs w:val="24"/>
        </w:rPr>
      </w:pPr>
    </w:p>
    <w:p w14:paraId="05B3A471" w14:textId="379DF1DC" w:rsidR="00C456F4" w:rsidRDefault="00C456F4">
      <w:pPr>
        <w:rPr>
          <w:rFonts w:ascii="Arial" w:hAnsi="Arial" w:cs="Arial"/>
          <w:sz w:val="24"/>
          <w:szCs w:val="24"/>
        </w:rPr>
      </w:pPr>
      <w:r w:rsidRPr="00022F47">
        <w:rPr>
          <w:rFonts w:ascii="Arial" w:hAnsi="Arial" w:cs="Arial"/>
          <w:sz w:val="24"/>
          <w:szCs w:val="24"/>
        </w:rPr>
        <w:t>‘Walsh v Lonsdale’ (1882)</w:t>
      </w:r>
      <w:r>
        <w:rPr>
          <w:rFonts w:ascii="Arial" w:hAnsi="Arial" w:cs="Arial"/>
          <w:sz w:val="24"/>
          <w:szCs w:val="24"/>
        </w:rPr>
        <w:t xml:space="preserve"> 21 ChD 9, (Accessed: 9</w:t>
      </w:r>
      <w:r w:rsidRPr="00C456F4">
        <w:rPr>
          <w:rFonts w:ascii="Arial" w:hAnsi="Arial" w:cs="Arial"/>
          <w:sz w:val="24"/>
          <w:szCs w:val="24"/>
          <w:vertAlign w:val="superscript"/>
        </w:rPr>
        <w:t>th</w:t>
      </w:r>
      <w:r>
        <w:rPr>
          <w:rFonts w:ascii="Arial" w:hAnsi="Arial" w:cs="Arial"/>
          <w:sz w:val="24"/>
          <w:szCs w:val="24"/>
        </w:rPr>
        <w:t xml:space="preserve"> March 2024). </w:t>
      </w:r>
    </w:p>
    <w:p w14:paraId="415455C5" w14:textId="77777777" w:rsidR="00C456F4" w:rsidRDefault="00C456F4">
      <w:pPr>
        <w:rPr>
          <w:rFonts w:ascii="Arial" w:hAnsi="Arial" w:cs="Arial"/>
          <w:sz w:val="24"/>
          <w:szCs w:val="24"/>
        </w:rPr>
      </w:pPr>
    </w:p>
    <w:p w14:paraId="57B83D92" w14:textId="5B6B4008" w:rsidR="00C456F4" w:rsidRDefault="00C456F4">
      <w:pPr>
        <w:rPr>
          <w:rFonts w:ascii="Arial" w:hAnsi="Arial" w:cs="Arial"/>
          <w:color w:val="000000"/>
          <w:sz w:val="24"/>
          <w:szCs w:val="24"/>
        </w:rPr>
      </w:pPr>
      <w:r w:rsidRPr="00022F47">
        <w:rPr>
          <w:rFonts w:ascii="Arial" w:hAnsi="Arial" w:cs="Arial"/>
          <w:color w:val="000000"/>
          <w:sz w:val="24"/>
          <w:szCs w:val="24"/>
        </w:rPr>
        <w:t>‘</w:t>
      </w:r>
      <w:r w:rsidRPr="00022F47">
        <w:rPr>
          <w:rStyle w:val="Emphasis"/>
          <w:rFonts w:ascii="Arial" w:hAnsi="Arial" w:cs="Arial"/>
          <w:i w:val="0"/>
          <w:iCs w:val="0"/>
          <w:color w:val="000000"/>
          <w:sz w:val="24"/>
          <w:szCs w:val="24"/>
        </w:rPr>
        <w:t>Warner Bros. V Nelson’</w:t>
      </w:r>
      <w:r w:rsidRPr="00022F47">
        <w:rPr>
          <w:rStyle w:val="Emphasis"/>
          <w:rFonts w:ascii="Arial" w:hAnsi="Arial" w:cs="Arial"/>
          <w:color w:val="000000"/>
          <w:sz w:val="24"/>
          <w:szCs w:val="24"/>
        </w:rPr>
        <w:t> </w:t>
      </w:r>
      <w:r w:rsidRPr="00022F47">
        <w:rPr>
          <w:rFonts w:ascii="Arial" w:hAnsi="Arial" w:cs="Arial"/>
          <w:color w:val="000000"/>
          <w:sz w:val="24"/>
          <w:szCs w:val="24"/>
        </w:rPr>
        <w:t>(1937)</w:t>
      </w:r>
      <w:r>
        <w:rPr>
          <w:rFonts w:ascii="Arial" w:hAnsi="Arial" w:cs="Arial"/>
          <w:color w:val="000000"/>
          <w:sz w:val="24"/>
          <w:szCs w:val="24"/>
        </w:rPr>
        <w:t xml:space="preserve"> 1 KB 209, (Accessed: 26</w:t>
      </w:r>
      <w:r w:rsidRPr="00C456F4">
        <w:rPr>
          <w:rFonts w:ascii="Arial" w:hAnsi="Arial" w:cs="Arial"/>
          <w:color w:val="000000"/>
          <w:sz w:val="24"/>
          <w:szCs w:val="24"/>
          <w:vertAlign w:val="superscript"/>
        </w:rPr>
        <w:t>th</w:t>
      </w:r>
      <w:r>
        <w:rPr>
          <w:rFonts w:ascii="Arial" w:hAnsi="Arial" w:cs="Arial"/>
          <w:color w:val="000000"/>
          <w:sz w:val="24"/>
          <w:szCs w:val="24"/>
        </w:rPr>
        <w:t xml:space="preserve"> February 2024). </w:t>
      </w:r>
    </w:p>
    <w:p w14:paraId="3C84481A" w14:textId="77777777" w:rsidR="00C456F4" w:rsidRDefault="00C456F4">
      <w:pPr>
        <w:rPr>
          <w:rFonts w:ascii="Arial" w:hAnsi="Arial" w:cs="Arial"/>
          <w:color w:val="000000"/>
          <w:sz w:val="24"/>
          <w:szCs w:val="24"/>
        </w:rPr>
      </w:pPr>
    </w:p>
    <w:p w14:paraId="521EDE8F" w14:textId="39CED514" w:rsidR="00C456F4" w:rsidRDefault="00C456F4" w:rsidP="00B117E5">
      <w:pPr>
        <w:rPr>
          <w:rStyle w:val="Strong"/>
          <w:rFonts w:ascii="Arial" w:hAnsi="Arial" w:cs="Arial"/>
          <w:b w:val="0"/>
          <w:bCs w:val="0"/>
          <w:color w:val="000000" w:themeColor="text1"/>
          <w:sz w:val="24"/>
          <w:szCs w:val="24"/>
        </w:rPr>
      </w:pPr>
      <w:r w:rsidRPr="00C456F4">
        <w:rPr>
          <w:rStyle w:val="Strong"/>
          <w:rFonts w:ascii="Arial" w:hAnsi="Arial" w:cs="Arial"/>
          <w:b w:val="0"/>
          <w:bCs w:val="0"/>
          <w:color w:val="000000" w:themeColor="text1"/>
          <w:sz w:val="24"/>
          <w:szCs w:val="24"/>
        </w:rPr>
        <w:t>‘Warner Brothers Pictures Inc. v Nelson’ (1937) 1 KB 209</w:t>
      </w:r>
      <w:r>
        <w:rPr>
          <w:rStyle w:val="Strong"/>
          <w:rFonts w:ascii="Arial" w:hAnsi="Arial" w:cs="Arial"/>
          <w:b w:val="0"/>
          <w:bCs w:val="0"/>
          <w:color w:val="000000" w:themeColor="text1"/>
          <w:sz w:val="24"/>
          <w:szCs w:val="24"/>
        </w:rPr>
        <w:t>, (Accessed: 26</w:t>
      </w:r>
      <w:r w:rsidRPr="00C456F4">
        <w:rPr>
          <w:rStyle w:val="Strong"/>
          <w:rFonts w:ascii="Arial" w:hAnsi="Arial" w:cs="Arial"/>
          <w:b w:val="0"/>
          <w:bCs w:val="0"/>
          <w:color w:val="000000" w:themeColor="text1"/>
          <w:sz w:val="24"/>
          <w:szCs w:val="24"/>
          <w:vertAlign w:val="superscript"/>
        </w:rPr>
        <w:t>th</w:t>
      </w:r>
      <w:r>
        <w:rPr>
          <w:rStyle w:val="Strong"/>
          <w:rFonts w:ascii="Arial" w:hAnsi="Arial" w:cs="Arial"/>
          <w:b w:val="0"/>
          <w:bCs w:val="0"/>
          <w:color w:val="000000" w:themeColor="text1"/>
          <w:sz w:val="24"/>
          <w:szCs w:val="24"/>
        </w:rPr>
        <w:t xml:space="preserve"> February 2024). </w:t>
      </w:r>
    </w:p>
    <w:p w14:paraId="4ED12C9E" w14:textId="77777777" w:rsidR="00C456F4" w:rsidRPr="00C456F4" w:rsidRDefault="00C456F4" w:rsidP="00B117E5">
      <w:pPr>
        <w:rPr>
          <w:rStyle w:val="Strong"/>
          <w:rFonts w:ascii="Arial" w:hAnsi="Arial" w:cs="Arial"/>
          <w:b w:val="0"/>
          <w:bCs w:val="0"/>
          <w:color w:val="000000" w:themeColor="text1"/>
          <w:sz w:val="24"/>
          <w:szCs w:val="24"/>
        </w:rPr>
      </w:pPr>
    </w:p>
    <w:p w14:paraId="054CE999" w14:textId="77777777" w:rsidR="00C456F4" w:rsidRDefault="00C456F4">
      <w:pPr>
        <w:rPr>
          <w:rFonts w:ascii="Arial" w:hAnsi="Arial" w:cs="Arial"/>
          <w:color w:val="000000" w:themeColor="text1"/>
          <w:sz w:val="24"/>
          <w:szCs w:val="24"/>
        </w:rPr>
      </w:pPr>
      <w:r>
        <w:rPr>
          <w:rFonts w:ascii="Arial" w:hAnsi="Arial" w:cs="Arial"/>
          <w:color w:val="000000" w:themeColor="text1"/>
          <w:sz w:val="24"/>
          <w:szCs w:val="24"/>
        </w:rPr>
        <w:t>‘</w:t>
      </w:r>
      <w:r w:rsidRPr="00C31F04">
        <w:rPr>
          <w:rFonts w:ascii="Arial" w:hAnsi="Arial" w:cs="Arial"/>
          <w:color w:val="000000" w:themeColor="text1"/>
          <w:sz w:val="24"/>
          <w:szCs w:val="24"/>
        </w:rPr>
        <w:t>Yaxley v Gotts</w:t>
      </w:r>
      <w:r>
        <w:rPr>
          <w:rFonts w:ascii="Arial" w:hAnsi="Arial" w:cs="Arial"/>
          <w:color w:val="000000" w:themeColor="text1"/>
          <w:sz w:val="24"/>
          <w:szCs w:val="24"/>
        </w:rPr>
        <w:t>’</w:t>
      </w:r>
      <w:r w:rsidRPr="00C31F04">
        <w:rPr>
          <w:rFonts w:ascii="Arial" w:hAnsi="Arial" w:cs="Arial"/>
          <w:color w:val="000000" w:themeColor="text1"/>
          <w:sz w:val="24"/>
          <w:szCs w:val="24"/>
        </w:rPr>
        <w:t xml:space="preserve"> (2000)</w:t>
      </w:r>
      <w:r>
        <w:rPr>
          <w:rFonts w:ascii="Arial" w:hAnsi="Arial" w:cs="Arial"/>
          <w:color w:val="000000" w:themeColor="text1"/>
          <w:sz w:val="24"/>
          <w:szCs w:val="24"/>
        </w:rPr>
        <w:t xml:space="preserve"> Ch 162, (Accessed: 13</w:t>
      </w:r>
      <w:r w:rsidRPr="00C456F4">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March 2024). </w:t>
      </w:r>
    </w:p>
    <w:p w14:paraId="4C3037C6" w14:textId="77777777" w:rsidR="00561AFE" w:rsidRDefault="00561AFE">
      <w:pPr>
        <w:rPr>
          <w:rFonts w:ascii="Arial" w:hAnsi="Arial" w:cs="Arial"/>
          <w:color w:val="000000"/>
        </w:rPr>
      </w:pPr>
    </w:p>
    <w:p w14:paraId="7CE17BC4" w14:textId="43CB484E" w:rsidR="00561AFE" w:rsidRPr="002D0491" w:rsidRDefault="00561AFE">
      <w:pPr>
        <w:rPr>
          <w:sz w:val="48"/>
          <w:szCs w:val="48"/>
        </w:rPr>
      </w:pPr>
    </w:p>
    <w:sectPr w:rsidR="00561AFE" w:rsidRPr="002D0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24B1C"/>
    <w:multiLevelType w:val="hybridMultilevel"/>
    <w:tmpl w:val="63A63FD4"/>
    <w:lvl w:ilvl="0" w:tplc="26168D16">
      <w:start w:val="1"/>
      <w:numFmt w:val="bullet"/>
      <w:lvlText w:val="•"/>
      <w:lvlJc w:val="left"/>
      <w:pPr>
        <w:tabs>
          <w:tab w:val="num" w:pos="720"/>
        </w:tabs>
        <w:ind w:left="720" w:hanging="360"/>
      </w:pPr>
      <w:rPr>
        <w:rFonts w:ascii="Arial" w:hAnsi="Arial" w:hint="default"/>
      </w:rPr>
    </w:lvl>
    <w:lvl w:ilvl="1" w:tplc="FDFA0064" w:tentative="1">
      <w:start w:val="1"/>
      <w:numFmt w:val="bullet"/>
      <w:lvlText w:val="•"/>
      <w:lvlJc w:val="left"/>
      <w:pPr>
        <w:tabs>
          <w:tab w:val="num" w:pos="1440"/>
        </w:tabs>
        <w:ind w:left="1440" w:hanging="360"/>
      </w:pPr>
      <w:rPr>
        <w:rFonts w:ascii="Arial" w:hAnsi="Arial" w:hint="default"/>
      </w:rPr>
    </w:lvl>
    <w:lvl w:ilvl="2" w:tplc="437201B6" w:tentative="1">
      <w:start w:val="1"/>
      <w:numFmt w:val="bullet"/>
      <w:lvlText w:val="•"/>
      <w:lvlJc w:val="left"/>
      <w:pPr>
        <w:tabs>
          <w:tab w:val="num" w:pos="2160"/>
        </w:tabs>
        <w:ind w:left="2160" w:hanging="360"/>
      </w:pPr>
      <w:rPr>
        <w:rFonts w:ascii="Arial" w:hAnsi="Arial" w:hint="default"/>
      </w:rPr>
    </w:lvl>
    <w:lvl w:ilvl="3" w:tplc="ECAAE6E0" w:tentative="1">
      <w:start w:val="1"/>
      <w:numFmt w:val="bullet"/>
      <w:lvlText w:val="•"/>
      <w:lvlJc w:val="left"/>
      <w:pPr>
        <w:tabs>
          <w:tab w:val="num" w:pos="2880"/>
        </w:tabs>
        <w:ind w:left="2880" w:hanging="360"/>
      </w:pPr>
      <w:rPr>
        <w:rFonts w:ascii="Arial" w:hAnsi="Arial" w:hint="default"/>
      </w:rPr>
    </w:lvl>
    <w:lvl w:ilvl="4" w:tplc="CFB0502A" w:tentative="1">
      <w:start w:val="1"/>
      <w:numFmt w:val="bullet"/>
      <w:lvlText w:val="•"/>
      <w:lvlJc w:val="left"/>
      <w:pPr>
        <w:tabs>
          <w:tab w:val="num" w:pos="3600"/>
        </w:tabs>
        <w:ind w:left="3600" w:hanging="360"/>
      </w:pPr>
      <w:rPr>
        <w:rFonts w:ascii="Arial" w:hAnsi="Arial" w:hint="default"/>
      </w:rPr>
    </w:lvl>
    <w:lvl w:ilvl="5" w:tplc="E41A70EC" w:tentative="1">
      <w:start w:val="1"/>
      <w:numFmt w:val="bullet"/>
      <w:lvlText w:val="•"/>
      <w:lvlJc w:val="left"/>
      <w:pPr>
        <w:tabs>
          <w:tab w:val="num" w:pos="4320"/>
        </w:tabs>
        <w:ind w:left="4320" w:hanging="360"/>
      </w:pPr>
      <w:rPr>
        <w:rFonts w:ascii="Arial" w:hAnsi="Arial" w:hint="default"/>
      </w:rPr>
    </w:lvl>
    <w:lvl w:ilvl="6" w:tplc="953C923C" w:tentative="1">
      <w:start w:val="1"/>
      <w:numFmt w:val="bullet"/>
      <w:lvlText w:val="•"/>
      <w:lvlJc w:val="left"/>
      <w:pPr>
        <w:tabs>
          <w:tab w:val="num" w:pos="5040"/>
        </w:tabs>
        <w:ind w:left="5040" w:hanging="360"/>
      </w:pPr>
      <w:rPr>
        <w:rFonts w:ascii="Arial" w:hAnsi="Arial" w:hint="default"/>
      </w:rPr>
    </w:lvl>
    <w:lvl w:ilvl="7" w:tplc="915A8B9E" w:tentative="1">
      <w:start w:val="1"/>
      <w:numFmt w:val="bullet"/>
      <w:lvlText w:val="•"/>
      <w:lvlJc w:val="left"/>
      <w:pPr>
        <w:tabs>
          <w:tab w:val="num" w:pos="5760"/>
        </w:tabs>
        <w:ind w:left="5760" w:hanging="360"/>
      </w:pPr>
      <w:rPr>
        <w:rFonts w:ascii="Arial" w:hAnsi="Arial" w:hint="default"/>
      </w:rPr>
    </w:lvl>
    <w:lvl w:ilvl="8" w:tplc="C5D8A3C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7E6A02"/>
    <w:multiLevelType w:val="hybridMultilevel"/>
    <w:tmpl w:val="265271B4"/>
    <w:lvl w:ilvl="0" w:tplc="5530A972">
      <w:start w:val="168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8D343F"/>
    <w:multiLevelType w:val="hybridMultilevel"/>
    <w:tmpl w:val="0EB8F986"/>
    <w:lvl w:ilvl="0" w:tplc="FA0AFF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22134C"/>
    <w:multiLevelType w:val="hybridMultilevel"/>
    <w:tmpl w:val="E76CD148"/>
    <w:lvl w:ilvl="0" w:tplc="34C03C12">
      <w:start w:val="1"/>
      <w:numFmt w:val="bullet"/>
      <w:lvlText w:val="•"/>
      <w:lvlJc w:val="left"/>
      <w:pPr>
        <w:tabs>
          <w:tab w:val="num" w:pos="720"/>
        </w:tabs>
        <w:ind w:left="720" w:hanging="360"/>
      </w:pPr>
      <w:rPr>
        <w:rFonts w:ascii="Arial" w:hAnsi="Arial" w:hint="default"/>
      </w:rPr>
    </w:lvl>
    <w:lvl w:ilvl="1" w:tplc="11183612" w:tentative="1">
      <w:start w:val="1"/>
      <w:numFmt w:val="bullet"/>
      <w:lvlText w:val="•"/>
      <w:lvlJc w:val="left"/>
      <w:pPr>
        <w:tabs>
          <w:tab w:val="num" w:pos="1440"/>
        </w:tabs>
        <w:ind w:left="1440" w:hanging="360"/>
      </w:pPr>
      <w:rPr>
        <w:rFonts w:ascii="Arial" w:hAnsi="Arial" w:hint="default"/>
      </w:rPr>
    </w:lvl>
    <w:lvl w:ilvl="2" w:tplc="C9AC84AC" w:tentative="1">
      <w:start w:val="1"/>
      <w:numFmt w:val="bullet"/>
      <w:lvlText w:val="•"/>
      <w:lvlJc w:val="left"/>
      <w:pPr>
        <w:tabs>
          <w:tab w:val="num" w:pos="2160"/>
        </w:tabs>
        <w:ind w:left="2160" w:hanging="360"/>
      </w:pPr>
      <w:rPr>
        <w:rFonts w:ascii="Arial" w:hAnsi="Arial" w:hint="default"/>
      </w:rPr>
    </w:lvl>
    <w:lvl w:ilvl="3" w:tplc="5A003FA4" w:tentative="1">
      <w:start w:val="1"/>
      <w:numFmt w:val="bullet"/>
      <w:lvlText w:val="•"/>
      <w:lvlJc w:val="left"/>
      <w:pPr>
        <w:tabs>
          <w:tab w:val="num" w:pos="2880"/>
        </w:tabs>
        <w:ind w:left="2880" w:hanging="360"/>
      </w:pPr>
      <w:rPr>
        <w:rFonts w:ascii="Arial" w:hAnsi="Arial" w:hint="default"/>
      </w:rPr>
    </w:lvl>
    <w:lvl w:ilvl="4" w:tplc="C2D4E546" w:tentative="1">
      <w:start w:val="1"/>
      <w:numFmt w:val="bullet"/>
      <w:lvlText w:val="•"/>
      <w:lvlJc w:val="left"/>
      <w:pPr>
        <w:tabs>
          <w:tab w:val="num" w:pos="3600"/>
        </w:tabs>
        <w:ind w:left="3600" w:hanging="360"/>
      </w:pPr>
      <w:rPr>
        <w:rFonts w:ascii="Arial" w:hAnsi="Arial" w:hint="default"/>
      </w:rPr>
    </w:lvl>
    <w:lvl w:ilvl="5" w:tplc="3C38BCDC" w:tentative="1">
      <w:start w:val="1"/>
      <w:numFmt w:val="bullet"/>
      <w:lvlText w:val="•"/>
      <w:lvlJc w:val="left"/>
      <w:pPr>
        <w:tabs>
          <w:tab w:val="num" w:pos="4320"/>
        </w:tabs>
        <w:ind w:left="4320" w:hanging="360"/>
      </w:pPr>
      <w:rPr>
        <w:rFonts w:ascii="Arial" w:hAnsi="Arial" w:hint="default"/>
      </w:rPr>
    </w:lvl>
    <w:lvl w:ilvl="6" w:tplc="CE3C5568" w:tentative="1">
      <w:start w:val="1"/>
      <w:numFmt w:val="bullet"/>
      <w:lvlText w:val="•"/>
      <w:lvlJc w:val="left"/>
      <w:pPr>
        <w:tabs>
          <w:tab w:val="num" w:pos="5040"/>
        </w:tabs>
        <w:ind w:left="5040" w:hanging="360"/>
      </w:pPr>
      <w:rPr>
        <w:rFonts w:ascii="Arial" w:hAnsi="Arial" w:hint="default"/>
      </w:rPr>
    </w:lvl>
    <w:lvl w:ilvl="7" w:tplc="D5FA697E" w:tentative="1">
      <w:start w:val="1"/>
      <w:numFmt w:val="bullet"/>
      <w:lvlText w:val="•"/>
      <w:lvlJc w:val="left"/>
      <w:pPr>
        <w:tabs>
          <w:tab w:val="num" w:pos="5760"/>
        </w:tabs>
        <w:ind w:left="5760" w:hanging="360"/>
      </w:pPr>
      <w:rPr>
        <w:rFonts w:ascii="Arial" w:hAnsi="Arial" w:hint="default"/>
      </w:rPr>
    </w:lvl>
    <w:lvl w:ilvl="8" w:tplc="7200EEE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B34E7D"/>
    <w:multiLevelType w:val="hybridMultilevel"/>
    <w:tmpl w:val="E4949ACA"/>
    <w:lvl w:ilvl="0" w:tplc="295E6D2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327EC7"/>
    <w:multiLevelType w:val="hybridMultilevel"/>
    <w:tmpl w:val="F06ABCA2"/>
    <w:lvl w:ilvl="0" w:tplc="96CA4E16">
      <w:start w:val="3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35A6A"/>
    <w:multiLevelType w:val="hybridMultilevel"/>
    <w:tmpl w:val="B20AC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4527482">
    <w:abstractNumId w:val="2"/>
  </w:num>
  <w:num w:numId="2" w16cid:durableId="603417145">
    <w:abstractNumId w:val="3"/>
  </w:num>
  <w:num w:numId="3" w16cid:durableId="793132156">
    <w:abstractNumId w:val="1"/>
  </w:num>
  <w:num w:numId="4" w16cid:durableId="1187207167">
    <w:abstractNumId w:val="4"/>
  </w:num>
  <w:num w:numId="5" w16cid:durableId="1606381947">
    <w:abstractNumId w:val="5"/>
  </w:num>
  <w:num w:numId="6" w16cid:durableId="235483338">
    <w:abstractNumId w:val="0"/>
  </w:num>
  <w:num w:numId="7" w16cid:durableId="9115433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7E5"/>
    <w:rsid w:val="00022F47"/>
    <w:rsid w:val="00026BA5"/>
    <w:rsid w:val="00031EA7"/>
    <w:rsid w:val="00076369"/>
    <w:rsid w:val="0009401F"/>
    <w:rsid w:val="000D05F1"/>
    <w:rsid w:val="000F6CD2"/>
    <w:rsid w:val="00120841"/>
    <w:rsid w:val="001425DB"/>
    <w:rsid w:val="0014583B"/>
    <w:rsid w:val="00186956"/>
    <w:rsid w:val="001B19BF"/>
    <w:rsid w:val="001F0D38"/>
    <w:rsid w:val="001F2552"/>
    <w:rsid w:val="00224DA6"/>
    <w:rsid w:val="002546CE"/>
    <w:rsid w:val="00294B8B"/>
    <w:rsid w:val="002A24D8"/>
    <w:rsid w:val="002D0491"/>
    <w:rsid w:val="00316191"/>
    <w:rsid w:val="0032223D"/>
    <w:rsid w:val="00322C4D"/>
    <w:rsid w:val="00350AEA"/>
    <w:rsid w:val="003624B5"/>
    <w:rsid w:val="00380E91"/>
    <w:rsid w:val="003851A4"/>
    <w:rsid w:val="003F1F48"/>
    <w:rsid w:val="00433252"/>
    <w:rsid w:val="004368D1"/>
    <w:rsid w:val="004612AC"/>
    <w:rsid w:val="004950CD"/>
    <w:rsid w:val="004B176F"/>
    <w:rsid w:val="004D2228"/>
    <w:rsid w:val="004E63F4"/>
    <w:rsid w:val="00500000"/>
    <w:rsid w:val="00534AD1"/>
    <w:rsid w:val="0053655C"/>
    <w:rsid w:val="00546102"/>
    <w:rsid w:val="00561AFE"/>
    <w:rsid w:val="00570BF5"/>
    <w:rsid w:val="0058010B"/>
    <w:rsid w:val="00635579"/>
    <w:rsid w:val="006B41F3"/>
    <w:rsid w:val="006D55BC"/>
    <w:rsid w:val="00707E67"/>
    <w:rsid w:val="00727188"/>
    <w:rsid w:val="007535E6"/>
    <w:rsid w:val="00757531"/>
    <w:rsid w:val="007606F8"/>
    <w:rsid w:val="00792BF1"/>
    <w:rsid w:val="007C49A7"/>
    <w:rsid w:val="008158FF"/>
    <w:rsid w:val="008238BC"/>
    <w:rsid w:val="00865770"/>
    <w:rsid w:val="0089314D"/>
    <w:rsid w:val="008A4AD7"/>
    <w:rsid w:val="008D35BB"/>
    <w:rsid w:val="009046EA"/>
    <w:rsid w:val="00923840"/>
    <w:rsid w:val="00931DCF"/>
    <w:rsid w:val="00990EC5"/>
    <w:rsid w:val="00992CF1"/>
    <w:rsid w:val="009A620B"/>
    <w:rsid w:val="009F7486"/>
    <w:rsid w:val="00A25576"/>
    <w:rsid w:val="00A54A2A"/>
    <w:rsid w:val="00A55851"/>
    <w:rsid w:val="00A57850"/>
    <w:rsid w:val="00A7054E"/>
    <w:rsid w:val="00A70641"/>
    <w:rsid w:val="00A84EE5"/>
    <w:rsid w:val="00A8625A"/>
    <w:rsid w:val="00AA2879"/>
    <w:rsid w:val="00AB5043"/>
    <w:rsid w:val="00AF0038"/>
    <w:rsid w:val="00B117E5"/>
    <w:rsid w:val="00B71629"/>
    <w:rsid w:val="00B92ADF"/>
    <w:rsid w:val="00BA22F1"/>
    <w:rsid w:val="00BA5B28"/>
    <w:rsid w:val="00BC58CB"/>
    <w:rsid w:val="00C31F04"/>
    <w:rsid w:val="00C3561B"/>
    <w:rsid w:val="00C456F4"/>
    <w:rsid w:val="00C624AB"/>
    <w:rsid w:val="00C64471"/>
    <w:rsid w:val="00CB6D28"/>
    <w:rsid w:val="00CC0FAC"/>
    <w:rsid w:val="00CC4B95"/>
    <w:rsid w:val="00D01EB3"/>
    <w:rsid w:val="00D04087"/>
    <w:rsid w:val="00D15F5F"/>
    <w:rsid w:val="00D20786"/>
    <w:rsid w:val="00D22026"/>
    <w:rsid w:val="00D4327F"/>
    <w:rsid w:val="00D6545B"/>
    <w:rsid w:val="00D760C5"/>
    <w:rsid w:val="00DF1A31"/>
    <w:rsid w:val="00E076DD"/>
    <w:rsid w:val="00E32E39"/>
    <w:rsid w:val="00E7359E"/>
    <w:rsid w:val="00EA6810"/>
    <w:rsid w:val="00F55B78"/>
    <w:rsid w:val="00F67C08"/>
    <w:rsid w:val="00F94241"/>
    <w:rsid w:val="00FC5395"/>
    <w:rsid w:val="00FC723C"/>
    <w:rsid w:val="00FD3A62"/>
    <w:rsid w:val="00FF33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48C762"/>
  <w15:chartTrackingRefBased/>
  <w15:docId w15:val="{12F18B0A-9E97-444E-865E-C27241CAC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7E5"/>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b-2">
    <w:name w:val="pb-2"/>
    <w:basedOn w:val="Normal"/>
    <w:rsid w:val="00B117E5"/>
    <w:pPr>
      <w:spacing w:before="100" w:beforeAutospacing="1" w:after="100" w:afterAutospacing="1"/>
    </w:pPr>
    <w:rPr>
      <w:sz w:val="24"/>
      <w:szCs w:val="24"/>
    </w:rPr>
  </w:style>
  <w:style w:type="character" w:customStyle="1" w:styleId="apple-converted-space">
    <w:name w:val="apple-converted-space"/>
    <w:basedOn w:val="DefaultParagraphFont"/>
    <w:rsid w:val="00B117E5"/>
  </w:style>
  <w:style w:type="character" w:customStyle="1" w:styleId="issue-underline">
    <w:name w:val="issue-underline"/>
    <w:basedOn w:val="DefaultParagraphFont"/>
    <w:rsid w:val="00B117E5"/>
  </w:style>
  <w:style w:type="character" w:styleId="Strong">
    <w:name w:val="Strong"/>
    <w:basedOn w:val="DefaultParagraphFont"/>
    <w:uiPriority w:val="22"/>
    <w:qFormat/>
    <w:rsid w:val="00B117E5"/>
    <w:rPr>
      <w:b/>
      <w:bCs/>
    </w:rPr>
  </w:style>
  <w:style w:type="character" w:styleId="Hyperlink">
    <w:name w:val="Hyperlink"/>
    <w:basedOn w:val="DefaultParagraphFont"/>
    <w:uiPriority w:val="99"/>
    <w:unhideWhenUsed/>
    <w:rsid w:val="00B117E5"/>
    <w:rPr>
      <w:color w:val="0563C1" w:themeColor="hyperlink"/>
      <w:u w:val="single"/>
    </w:rPr>
  </w:style>
  <w:style w:type="paragraph" w:styleId="NormalWeb">
    <w:name w:val="Normal (Web)"/>
    <w:basedOn w:val="Normal"/>
    <w:uiPriority w:val="99"/>
    <w:semiHidden/>
    <w:unhideWhenUsed/>
    <w:rsid w:val="00B117E5"/>
    <w:pPr>
      <w:spacing w:before="100" w:beforeAutospacing="1" w:after="100" w:afterAutospacing="1"/>
    </w:pPr>
    <w:rPr>
      <w:sz w:val="24"/>
      <w:szCs w:val="24"/>
    </w:rPr>
  </w:style>
  <w:style w:type="paragraph" w:styleId="ListParagraph">
    <w:name w:val="List Paragraph"/>
    <w:basedOn w:val="Normal"/>
    <w:uiPriority w:val="34"/>
    <w:qFormat/>
    <w:rsid w:val="001F0D38"/>
    <w:pPr>
      <w:ind w:left="720"/>
      <w:contextualSpacing/>
    </w:pPr>
  </w:style>
  <w:style w:type="character" w:styleId="Emphasis">
    <w:name w:val="Emphasis"/>
    <w:basedOn w:val="DefaultParagraphFont"/>
    <w:uiPriority w:val="20"/>
    <w:qFormat/>
    <w:rsid w:val="009A620B"/>
    <w:rPr>
      <w:i/>
      <w:iCs/>
    </w:rPr>
  </w:style>
  <w:style w:type="character" w:styleId="UnresolvedMention">
    <w:name w:val="Unresolved Mention"/>
    <w:basedOn w:val="DefaultParagraphFont"/>
    <w:uiPriority w:val="99"/>
    <w:semiHidden/>
    <w:unhideWhenUsed/>
    <w:rsid w:val="00F94241"/>
    <w:rPr>
      <w:color w:val="605E5C"/>
      <w:shd w:val="clear" w:color="auto" w:fill="E1DFDD"/>
    </w:rPr>
  </w:style>
  <w:style w:type="paragraph" w:customStyle="1" w:styleId="commentcontentpara">
    <w:name w:val="commentcontentpara"/>
    <w:basedOn w:val="Normal"/>
    <w:rsid w:val="00A7054E"/>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995519">
      <w:bodyDiv w:val="1"/>
      <w:marLeft w:val="0"/>
      <w:marRight w:val="0"/>
      <w:marTop w:val="0"/>
      <w:marBottom w:val="0"/>
      <w:divBdr>
        <w:top w:val="none" w:sz="0" w:space="0" w:color="auto"/>
        <w:left w:val="none" w:sz="0" w:space="0" w:color="auto"/>
        <w:bottom w:val="none" w:sz="0" w:space="0" w:color="auto"/>
        <w:right w:val="none" w:sz="0" w:space="0" w:color="auto"/>
      </w:divBdr>
      <w:divsChild>
        <w:div w:id="2109159625">
          <w:marLeft w:val="0"/>
          <w:marRight w:val="0"/>
          <w:marTop w:val="0"/>
          <w:marBottom w:val="0"/>
          <w:divBdr>
            <w:top w:val="none" w:sz="0" w:space="0" w:color="auto"/>
            <w:left w:val="none" w:sz="0" w:space="0" w:color="auto"/>
            <w:bottom w:val="none" w:sz="0" w:space="0" w:color="auto"/>
            <w:right w:val="none" w:sz="0" w:space="0" w:color="auto"/>
          </w:divBdr>
        </w:div>
      </w:divsChild>
    </w:div>
    <w:div w:id="364525083">
      <w:bodyDiv w:val="1"/>
      <w:marLeft w:val="0"/>
      <w:marRight w:val="0"/>
      <w:marTop w:val="0"/>
      <w:marBottom w:val="0"/>
      <w:divBdr>
        <w:top w:val="none" w:sz="0" w:space="0" w:color="auto"/>
        <w:left w:val="none" w:sz="0" w:space="0" w:color="auto"/>
        <w:bottom w:val="none" w:sz="0" w:space="0" w:color="auto"/>
        <w:right w:val="none" w:sz="0" w:space="0" w:color="auto"/>
      </w:divBdr>
      <w:divsChild>
        <w:div w:id="1670600201">
          <w:marLeft w:val="360"/>
          <w:marRight w:val="0"/>
          <w:marTop w:val="200"/>
          <w:marBottom w:val="0"/>
          <w:divBdr>
            <w:top w:val="none" w:sz="0" w:space="0" w:color="auto"/>
            <w:left w:val="none" w:sz="0" w:space="0" w:color="auto"/>
            <w:bottom w:val="none" w:sz="0" w:space="0" w:color="auto"/>
            <w:right w:val="none" w:sz="0" w:space="0" w:color="auto"/>
          </w:divBdr>
        </w:div>
        <w:div w:id="1274675330">
          <w:marLeft w:val="360"/>
          <w:marRight w:val="0"/>
          <w:marTop w:val="200"/>
          <w:marBottom w:val="0"/>
          <w:divBdr>
            <w:top w:val="none" w:sz="0" w:space="0" w:color="auto"/>
            <w:left w:val="none" w:sz="0" w:space="0" w:color="auto"/>
            <w:bottom w:val="none" w:sz="0" w:space="0" w:color="auto"/>
            <w:right w:val="none" w:sz="0" w:space="0" w:color="auto"/>
          </w:divBdr>
        </w:div>
        <w:div w:id="764612923">
          <w:marLeft w:val="360"/>
          <w:marRight w:val="0"/>
          <w:marTop w:val="200"/>
          <w:marBottom w:val="0"/>
          <w:divBdr>
            <w:top w:val="none" w:sz="0" w:space="0" w:color="auto"/>
            <w:left w:val="none" w:sz="0" w:space="0" w:color="auto"/>
            <w:bottom w:val="none" w:sz="0" w:space="0" w:color="auto"/>
            <w:right w:val="none" w:sz="0" w:space="0" w:color="auto"/>
          </w:divBdr>
        </w:div>
      </w:divsChild>
    </w:div>
    <w:div w:id="539707035">
      <w:bodyDiv w:val="1"/>
      <w:marLeft w:val="0"/>
      <w:marRight w:val="0"/>
      <w:marTop w:val="0"/>
      <w:marBottom w:val="0"/>
      <w:divBdr>
        <w:top w:val="none" w:sz="0" w:space="0" w:color="auto"/>
        <w:left w:val="none" w:sz="0" w:space="0" w:color="auto"/>
        <w:bottom w:val="none" w:sz="0" w:space="0" w:color="auto"/>
        <w:right w:val="none" w:sz="0" w:space="0" w:color="auto"/>
      </w:divBdr>
    </w:div>
    <w:div w:id="643195440">
      <w:bodyDiv w:val="1"/>
      <w:marLeft w:val="0"/>
      <w:marRight w:val="0"/>
      <w:marTop w:val="0"/>
      <w:marBottom w:val="0"/>
      <w:divBdr>
        <w:top w:val="none" w:sz="0" w:space="0" w:color="auto"/>
        <w:left w:val="none" w:sz="0" w:space="0" w:color="auto"/>
        <w:bottom w:val="none" w:sz="0" w:space="0" w:color="auto"/>
        <w:right w:val="none" w:sz="0" w:space="0" w:color="auto"/>
      </w:divBdr>
      <w:divsChild>
        <w:div w:id="652836267">
          <w:marLeft w:val="0"/>
          <w:marRight w:val="0"/>
          <w:marTop w:val="0"/>
          <w:marBottom w:val="0"/>
          <w:divBdr>
            <w:top w:val="none" w:sz="0" w:space="0" w:color="auto"/>
            <w:left w:val="none" w:sz="0" w:space="0" w:color="auto"/>
            <w:bottom w:val="none" w:sz="0" w:space="0" w:color="auto"/>
            <w:right w:val="none" w:sz="0" w:space="0" w:color="auto"/>
          </w:divBdr>
        </w:div>
      </w:divsChild>
    </w:div>
    <w:div w:id="681009478">
      <w:bodyDiv w:val="1"/>
      <w:marLeft w:val="0"/>
      <w:marRight w:val="0"/>
      <w:marTop w:val="0"/>
      <w:marBottom w:val="0"/>
      <w:divBdr>
        <w:top w:val="none" w:sz="0" w:space="0" w:color="auto"/>
        <w:left w:val="none" w:sz="0" w:space="0" w:color="auto"/>
        <w:bottom w:val="none" w:sz="0" w:space="0" w:color="auto"/>
        <w:right w:val="none" w:sz="0" w:space="0" w:color="auto"/>
      </w:divBdr>
      <w:divsChild>
        <w:div w:id="1859347461">
          <w:marLeft w:val="0"/>
          <w:marRight w:val="0"/>
          <w:marTop w:val="0"/>
          <w:marBottom w:val="0"/>
          <w:divBdr>
            <w:top w:val="none" w:sz="0" w:space="0" w:color="auto"/>
            <w:left w:val="none" w:sz="0" w:space="0" w:color="auto"/>
            <w:bottom w:val="none" w:sz="0" w:space="0" w:color="auto"/>
            <w:right w:val="none" w:sz="0" w:space="0" w:color="auto"/>
          </w:divBdr>
        </w:div>
      </w:divsChild>
    </w:div>
    <w:div w:id="1442920637">
      <w:bodyDiv w:val="1"/>
      <w:marLeft w:val="0"/>
      <w:marRight w:val="0"/>
      <w:marTop w:val="0"/>
      <w:marBottom w:val="0"/>
      <w:divBdr>
        <w:top w:val="none" w:sz="0" w:space="0" w:color="auto"/>
        <w:left w:val="none" w:sz="0" w:space="0" w:color="auto"/>
        <w:bottom w:val="none" w:sz="0" w:space="0" w:color="auto"/>
        <w:right w:val="none" w:sz="0" w:space="0" w:color="auto"/>
      </w:divBdr>
    </w:div>
    <w:div w:id="1490561717">
      <w:bodyDiv w:val="1"/>
      <w:marLeft w:val="0"/>
      <w:marRight w:val="0"/>
      <w:marTop w:val="0"/>
      <w:marBottom w:val="0"/>
      <w:divBdr>
        <w:top w:val="none" w:sz="0" w:space="0" w:color="auto"/>
        <w:left w:val="none" w:sz="0" w:space="0" w:color="auto"/>
        <w:bottom w:val="none" w:sz="0" w:space="0" w:color="auto"/>
        <w:right w:val="none" w:sz="0" w:space="0" w:color="auto"/>
      </w:divBdr>
    </w:div>
    <w:div w:id="1527063488">
      <w:bodyDiv w:val="1"/>
      <w:marLeft w:val="0"/>
      <w:marRight w:val="0"/>
      <w:marTop w:val="0"/>
      <w:marBottom w:val="0"/>
      <w:divBdr>
        <w:top w:val="none" w:sz="0" w:space="0" w:color="auto"/>
        <w:left w:val="none" w:sz="0" w:space="0" w:color="auto"/>
        <w:bottom w:val="none" w:sz="0" w:space="0" w:color="auto"/>
        <w:right w:val="none" w:sz="0" w:space="0" w:color="auto"/>
      </w:divBdr>
      <w:divsChild>
        <w:div w:id="1281642237">
          <w:marLeft w:val="360"/>
          <w:marRight w:val="0"/>
          <w:marTop w:val="200"/>
          <w:marBottom w:val="0"/>
          <w:divBdr>
            <w:top w:val="none" w:sz="0" w:space="0" w:color="auto"/>
            <w:left w:val="none" w:sz="0" w:space="0" w:color="auto"/>
            <w:bottom w:val="none" w:sz="0" w:space="0" w:color="auto"/>
            <w:right w:val="none" w:sz="0" w:space="0" w:color="auto"/>
          </w:divBdr>
        </w:div>
        <w:div w:id="1690520099">
          <w:marLeft w:val="360"/>
          <w:marRight w:val="0"/>
          <w:marTop w:val="200"/>
          <w:marBottom w:val="0"/>
          <w:divBdr>
            <w:top w:val="none" w:sz="0" w:space="0" w:color="auto"/>
            <w:left w:val="none" w:sz="0" w:space="0" w:color="auto"/>
            <w:bottom w:val="none" w:sz="0" w:space="0" w:color="auto"/>
            <w:right w:val="none" w:sz="0" w:space="0" w:color="auto"/>
          </w:divBdr>
        </w:div>
        <w:div w:id="135033427">
          <w:marLeft w:val="360"/>
          <w:marRight w:val="0"/>
          <w:marTop w:val="200"/>
          <w:marBottom w:val="0"/>
          <w:divBdr>
            <w:top w:val="none" w:sz="0" w:space="0" w:color="auto"/>
            <w:left w:val="none" w:sz="0" w:space="0" w:color="auto"/>
            <w:bottom w:val="none" w:sz="0" w:space="0" w:color="auto"/>
            <w:right w:val="none" w:sz="0" w:space="0" w:color="auto"/>
          </w:divBdr>
        </w:div>
        <w:div w:id="1771701507">
          <w:marLeft w:val="360"/>
          <w:marRight w:val="0"/>
          <w:marTop w:val="200"/>
          <w:marBottom w:val="0"/>
          <w:divBdr>
            <w:top w:val="none" w:sz="0" w:space="0" w:color="auto"/>
            <w:left w:val="none" w:sz="0" w:space="0" w:color="auto"/>
            <w:bottom w:val="none" w:sz="0" w:space="0" w:color="auto"/>
            <w:right w:val="none" w:sz="0" w:space="0" w:color="auto"/>
          </w:divBdr>
        </w:div>
      </w:divsChild>
    </w:div>
    <w:div w:id="1699039463">
      <w:bodyDiv w:val="1"/>
      <w:marLeft w:val="0"/>
      <w:marRight w:val="0"/>
      <w:marTop w:val="0"/>
      <w:marBottom w:val="0"/>
      <w:divBdr>
        <w:top w:val="none" w:sz="0" w:space="0" w:color="auto"/>
        <w:left w:val="none" w:sz="0" w:space="0" w:color="auto"/>
        <w:bottom w:val="none" w:sz="0" w:space="0" w:color="auto"/>
        <w:right w:val="none" w:sz="0" w:space="0" w:color="auto"/>
      </w:divBdr>
      <w:divsChild>
        <w:div w:id="577246967">
          <w:marLeft w:val="0"/>
          <w:marRight w:val="0"/>
          <w:marTop w:val="0"/>
          <w:marBottom w:val="0"/>
          <w:divBdr>
            <w:top w:val="none" w:sz="0" w:space="0" w:color="auto"/>
            <w:left w:val="none" w:sz="0" w:space="0" w:color="auto"/>
            <w:bottom w:val="none" w:sz="0" w:space="0" w:color="auto"/>
            <w:right w:val="none" w:sz="0" w:space="0" w:color="auto"/>
          </w:divBdr>
        </w:div>
        <w:div w:id="2118601126">
          <w:marLeft w:val="0"/>
          <w:marRight w:val="0"/>
          <w:marTop w:val="0"/>
          <w:marBottom w:val="0"/>
          <w:divBdr>
            <w:top w:val="none" w:sz="0" w:space="0" w:color="auto"/>
            <w:left w:val="none" w:sz="0" w:space="0" w:color="auto"/>
            <w:bottom w:val="none" w:sz="0" w:space="0" w:color="auto"/>
            <w:right w:val="none" w:sz="0" w:space="0" w:color="auto"/>
          </w:divBdr>
        </w:div>
        <w:div w:id="128086247">
          <w:marLeft w:val="0"/>
          <w:marRight w:val="0"/>
          <w:marTop w:val="0"/>
          <w:marBottom w:val="0"/>
          <w:divBdr>
            <w:top w:val="none" w:sz="0" w:space="0" w:color="auto"/>
            <w:left w:val="none" w:sz="0" w:space="0" w:color="auto"/>
            <w:bottom w:val="none" w:sz="0" w:space="0" w:color="auto"/>
            <w:right w:val="none" w:sz="0" w:space="0" w:color="auto"/>
          </w:divBdr>
        </w:div>
      </w:divsChild>
    </w:div>
    <w:div w:id="1887789454">
      <w:bodyDiv w:val="1"/>
      <w:marLeft w:val="0"/>
      <w:marRight w:val="0"/>
      <w:marTop w:val="0"/>
      <w:marBottom w:val="0"/>
      <w:divBdr>
        <w:top w:val="none" w:sz="0" w:space="0" w:color="auto"/>
        <w:left w:val="none" w:sz="0" w:space="0" w:color="auto"/>
        <w:bottom w:val="none" w:sz="0" w:space="0" w:color="auto"/>
        <w:right w:val="none" w:sz="0" w:space="0" w:color="auto"/>
      </w:divBdr>
      <w:divsChild>
        <w:div w:id="787898883">
          <w:marLeft w:val="0"/>
          <w:marRight w:val="0"/>
          <w:marTop w:val="0"/>
          <w:marBottom w:val="0"/>
          <w:divBdr>
            <w:top w:val="none" w:sz="0" w:space="0" w:color="auto"/>
            <w:left w:val="none" w:sz="0" w:space="0" w:color="auto"/>
            <w:bottom w:val="none" w:sz="0" w:space="0" w:color="auto"/>
            <w:right w:val="none" w:sz="0" w:space="0" w:color="auto"/>
          </w:divBdr>
        </w:div>
        <w:div w:id="885024098">
          <w:marLeft w:val="0"/>
          <w:marRight w:val="0"/>
          <w:marTop w:val="0"/>
          <w:marBottom w:val="0"/>
          <w:divBdr>
            <w:top w:val="none" w:sz="0" w:space="0" w:color="auto"/>
            <w:left w:val="none" w:sz="0" w:space="0" w:color="auto"/>
            <w:bottom w:val="none" w:sz="0" w:space="0" w:color="auto"/>
            <w:right w:val="none" w:sz="0" w:space="0" w:color="auto"/>
          </w:divBdr>
        </w:div>
        <w:div w:id="2080324845">
          <w:marLeft w:val="0"/>
          <w:marRight w:val="0"/>
          <w:marTop w:val="0"/>
          <w:marBottom w:val="0"/>
          <w:divBdr>
            <w:top w:val="none" w:sz="0" w:space="0" w:color="auto"/>
            <w:left w:val="none" w:sz="0" w:space="0" w:color="auto"/>
            <w:bottom w:val="none" w:sz="0" w:space="0" w:color="auto"/>
            <w:right w:val="none" w:sz="0" w:space="0" w:color="auto"/>
          </w:divBdr>
        </w:div>
      </w:divsChild>
    </w:div>
    <w:div w:id="2056156035">
      <w:bodyDiv w:val="1"/>
      <w:marLeft w:val="0"/>
      <w:marRight w:val="0"/>
      <w:marTop w:val="0"/>
      <w:marBottom w:val="0"/>
      <w:divBdr>
        <w:top w:val="none" w:sz="0" w:space="0" w:color="auto"/>
        <w:left w:val="none" w:sz="0" w:space="0" w:color="auto"/>
        <w:bottom w:val="none" w:sz="0" w:space="0" w:color="auto"/>
        <w:right w:val="none" w:sz="0" w:space="0" w:color="auto"/>
      </w:divBdr>
      <w:divsChild>
        <w:div w:id="1859467484">
          <w:marLeft w:val="0"/>
          <w:marRight w:val="0"/>
          <w:marTop w:val="0"/>
          <w:marBottom w:val="0"/>
          <w:divBdr>
            <w:top w:val="none" w:sz="0" w:space="0" w:color="auto"/>
            <w:left w:val="none" w:sz="0" w:space="0" w:color="auto"/>
            <w:bottom w:val="none" w:sz="0" w:space="0" w:color="auto"/>
            <w:right w:val="none" w:sz="0" w:space="0" w:color="auto"/>
          </w:divBdr>
        </w:div>
      </w:divsChild>
    </w:div>
    <w:div w:id="2119331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lastairhudson.com/equity/Equity-socialjusticethroughindividualisation.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lastairhudson.com/equity/The%20trust%20as%20an%20equitable%20response.pdf" TargetMode="External"/><Relationship Id="rId12" Type="http://schemas.openxmlformats.org/officeDocument/2006/relationships/hyperlink" Target="https://www.parliament.uk/about/living-heritage/evolutionofparliament/originsofparliament/birthofparliament/overview/simondemontfort/provisionsoxfor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ieldsjournal.org.uk/article/id/982/" TargetMode="External"/><Relationship Id="rId11" Type="http://schemas.openxmlformats.org/officeDocument/2006/relationships/hyperlink" Target="https://www.legislation.gov.uk/ukpga/1875/77/enacted" TargetMode="External"/><Relationship Id="rId5" Type="http://schemas.openxmlformats.org/officeDocument/2006/relationships/hyperlink" Target="https://www.fieldsjournal.org.uk/article/id/982/" TargetMode="External"/><Relationship Id="rId10" Type="http://schemas.openxmlformats.org/officeDocument/2006/relationships/hyperlink" Target="https://www.legislation.gov.uk/ukpga/1998/42/schedule/1/part/I/chapter/5" TargetMode="External"/><Relationship Id="rId4" Type="http://schemas.openxmlformats.org/officeDocument/2006/relationships/webSettings" Target="webSettings.xml"/><Relationship Id="rId9" Type="http://schemas.openxmlformats.org/officeDocument/2006/relationships/hyperlink" Target="https://www.elgaronline.com/display/book/9781839105609/b-9781839105609.equity.english.law.x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634</TotalTime>
  <Pages>11</Pages>
  <Words>3193</Words>
  <Characters>18206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31</cp:revision>
  <dcterms:created xsi:type="dcterms:W3CDTF">2024-02-27T16:00:00Z</dcterms:created>
  <dcterms:modified xsi:type="dcterms:W3CDTF">2024-03-15T23:38:00Z</dcterms:modified>
</cp:coreProperties>
</file>