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292758" w14:textId="77777777" w:rsidR="00B840A8" w:rsidRPr="00CD21EB" w:rsidRDefault="00B840A8" w:rsidP="00CD21EB">
      <w:pPr>
        <w:spacing w:line="360" w:lineRule="auto"/>
        <w:rPr>
          <w:rFonts w:ascii="Arial" w:hAnsi="Arial" w:cs="Arial"/>
          <w:sz w:val="24"/>
          <w:szCs w:val="24"/>
        </w:rPr>
      </w:pPr>
    </w:p>
    <w:p w14:paraId="11D9A914" w14:textId="77777777" w:rsidR="00594EDF" w:rsidRPr="00CD21EB" w:rsidRDefault="00594EDF" w:rsidP="00CD21EB">
      <w:pPr>
        <w:spacing w:line="360" w:lineRule="auto"/>
        <w:rPr>
          <w:rFonts w:ascii="Arial" w:hAnsi="Arial" w:cs="Arial"/>
          <w:sz w:val="24"/>
          <w:szCs w:val="24"/>
        </w:rPr>
      </w:pPr>
    </w:p>
    <w:p w14:paraId="13A2A6CA" w14:textId="5820AC14" w:rsidR="00594EDF" w:rsidRPr="00CD21EB" w:rsidRDefault="00B02CFE" w:rsidP="00CD21EB">
      <w:pPr>
        <w:spacing w:line="360" w:lineRule="auto"/>
        <w:rPr>
          <w:rFonts w:ascii="Arial" w:hAnsi="Arial" w:cs="Arial"/>
          <w:sz w:val="24"/>
          <w:szCs w:val="24"/>
        </w:rPr>
      </w:pPr>
      <w:r w:rsidRPr="00CD21EB">
        <w:rPr>
          <w:rFonts w:ascii="Arial" w:eastAsia="Times New Roman" w:hAnsi="Arial" w:cs="Arial"/>
          <w:noProof/>
          <w:sz w:val="24"/>
          <w:szCs w:val="24"/>
          <w:lang w:eastAsia="en-GB"/>
        </w:rPr>
        <w:drawing>
          <wp:anchor distT="0" distB="0" distL="114300" distR="114300" simplePos="0" relativeHeight="251659264" behindDoc="0" locked="0" layoutInCell="1" allowOverlap="1" wp14:anchorId="787657E0" wp14:editId="6F1619B1">
            <wp:simplePos x="0" y="0"/>
            <wp:positionH relativeFrom="column">
              <wp:posOffset>0</wp:posOffset>
            </wp:positionH>
            <wp:positionV relativeFrom="paragraph">
              <wp:posOffset>285115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51CF8A1" w14:textId="77777777" w:rsidR="00B02CFE" w:rsidRPr="00CD21EB" w:rsidRDefault="00B02CFE" w:rsidP="00CD21EB">
      <w:pPr>
        <w:spacing w:line="360" w:lineRule="auto"/>
        <w:rPr>
          <w:rFonts w:ascii="Arial" w:hAnsi="Arial" w:cs="Arial"/>
          <w:sz w:val="24"/>
          <w:szCs w:val="24"/>
        </w:rPr>
      </w:pPr>
    </w:p>
    <w:p w14:paraId="48B3960D" w14:textId="77777777" w:rsidR="00B02CFE" w:rsidRPr="00CD21EB" w:rsidRDefault="00B02CFE" w:rsidP="00CD21EB">
      <w:pPr>
        <w:spacing w:line="360" w:lineRule="auto"/>
        <w:rPr>
          <w:rFonts w:ascii="Arial" w:hAnsi="Arial" w:cs="Arial"/>
          <w:sz w:val="24"/>
          <w:szCs w:val="24"/>
        </w:rPr>
      </w:pPr>
    </w:p>
    <w:p w14:paraId="36BFE587" w14:textId="77777777" w:rsidR="00B02CFE" w:rsidRPr="00CD21EB" w:rsidRDefault="00B02CFE" w:rsidP="00CD21EB">
      <w:pPr>
        <w:spacing w:line="360" w:lineRule="auto"/>
        <w:rPr>
          <w:rFonts w:ascii="Arial" w:hAnsi="Arial" w:cs="Arial"/>
          <w:sz w:val="24"/>
          <w:szCs w:val="24"/>
        </w:rPr>
      </w:pPr>
    </w:p>
    <w:p w14:paraId="62992443" w14:textId="77777777" w:rsidR="00B02CFE" w:rsidRPr="00CD21EB" w:rsidRDefault="00B02CFE" w:rsidP="00CD21EB">
      <w:pPr>
        <w:spacing w:line="360" w:lineRule="auto"/>
        <w:rPr>
          <w:rFonts w:ascii="Arial" w:hAnsi="Arial" w:cs="Arial"/>
          <w:sz w:val="24"/>
          <w:szCs w:val="24"/>
        </w:rPr>
      </w:pPr>
    </w:p>
    <w:p w14:paraId="332C9369" w14:textId="77777777" w:rsidR="00B02CFE" w:rsidRPr="00CD21EB" w:rsidRDefault="00B02CFE" w:rsidP="00CD21EB">
      <w:pPr>
        <w:spacing w:line="360" w:lineRule="auto"/>
        <w:rPr>
          <w:rFonts w:ascii="Arial" w:hAnsi="Arial" w:cs="Arial"/>
          <w:sz w:val="24"/>
          <w:szCs w:val="24"/>
        </w:rPr>
      </w:pPr>
    </w:p>
    <w:p w14:paraId="763EE0F5" w14:textId="77777777" w:rsidR="00B02CFE" w:rsidRPr="00CD21EB" w:rsidRDefault="00B02CFE" w:rsidP="00CD21EB">
      <w:pPr>
        <w:pStyle w:val="Title"/>
        <w:spacing w:line="360" w:lineRule="auto"/>
        <w:rPr>
          <w:sz w:val="36"/>
          <w:szCs w:val="36"/>
        </w:rPr>
      </w:pPr>
    </w:p>
    <w:p w14:paraId="31BAEABF" w14:textId="24DA2944" w:rsidR="00594EDF" w:rsidRPr="00CD21EB" w:rsidRDefault="00594EDF" w:rsidP="00CD21EB">
      <w:pPr>
        <w:pStyle w:val="Title"/>
        <w:spacing w:line="360" w:lineRule="auto"/>
        <w:rPr>
          <w:sz w:val="36"/>
          <w:szCs w:val="36"/>
        </w:rPr>
      </w:pPr>
      <w:r w:rsidRPr="00CD21EB">
        <w:rPr>
          <w:sz w:val="36"/>
          <w:szCs w:val="36"/>
        </w:rPr>
        <w:t>Programme:</w:t>
      </w:r>
      <w:r w:rsidR="00CD21EB">
        <w:rPr>
          <w:sz w:val="36"/>
          <w:szCs w:val="36"/>
        </w:rPr>
        <w:t xml:space="preserve"> </w:t>
      </w:r>
      <w:r w:rsidRPr="00CD21EB">
        <w:rPr>
          <w:sz w:val="36"/>
          <w:szCs w:val="36"/>
        </w:rPr>
        <w:t xml:space="preserve">BA (Hons) Leadership and Management Skills for the Workplace </w:t>
      </w:r>
    </w:p>
    <w:p w14:paraId="35AB02C6" w14:textId="6FEE0E51" w:rsidR="00594EDF" w:rsidRPr="00CD21EB" w:rsidRDefault="00594EDF" w:rsidP="00CD21EB">
      <w:pPr>
        <w:pStyle w:val="Title"/>
        <w:spacing w:line="360" w:lineRule="auto"/>
        <w:rPr>
          <w:sz w:val="36"/>
          <w:szCs w:val="36"/>
        </w:rPr>
      </w:pPr>
      <w:r w:rsidRPr="00CD21EB">
        <w:rPr>
          <w:sz w:val="36"/>
          <w:szCs w:val="36"/>
        </w:rPr>
        <w:t>Module:</w:t>
      </w:r>
      <w:r w:rsidR="00CD21EB">
        <w:rPr>
          <w:sz w:val="36"/>
          <w:szCs w:val="36"/>
        </w:rPr>
        <w:t xml:space="preserve"> </w:t>
      </w:r>
      <w:r w:rsidRPr="00CD21EB">
        <w:rPr>
          <w:sz w:val="36"/>
          <w:szCs w:val="36"/>
        </w:rPr>
        <w:t xml:space="preserve">Developing and Managing Individuals and Teams </w:t>
      </w:r>
    </w:p>
    <w:p w14:paraId="36827ED4" w14:textId="406DA507" w:rsidR="00594EDF" w:rsidRPr="00CD21EB" w:rsidRDefault="00247254" w:rsidP="00CD21EB">
      <w:pPr>
        <w:pStyle w:val="Title"/>
        <w:spacing w:line="360" w:lineRule="auto"/>
        <w:rPr>
          <w:sz w:val="36"/>
          <w:szCs w:val="36"/>
        </w:rPr>
      </w:pPr>
      <w:r w:rsidRPr="00CD21EB">
        <w:rPr>
          <w:sz w:val="36"/>
          <w:szCs w:val="36"/>
        </w:rPr>
        <w:t>Module code:</w:t>
      </w:r>
      <w:r w:rsidR="00CD21EB">
        <w:rPr>
          <w:sz w:val="36"/>
          <w:szCs w:val="36"/>
        </w:rPr>
        <w:t xml:space="preserve"> </w:t>
      </w:r>
      <w:r w:rsidRPr="00CD21EB">
        <w:rPr>
          <w:sz w:val="36"/>
          <w:szCs w:val="36"/>
        </w:rPr>
        <w:t>LCLM5002</w:t>
      </w:r>
    </w:p>
    <w:p w14:paraId="30282CA6" w14:textId="77777777" w:rsidR="00247254" w:rsidRPr="00CD21EB" w:rsidRDefault="00247254" w:rsidP="00CD21EB">
      <w:pPr>
        <w:spacing w:line="360" w:lineRule="auto"/>
        <w:rPr>
          <w:rFonts w:ascii="Arial" w:hAnsi="Arial" w:cs="Arial"/>
          <w:sz w:val="24"/>
          <w:szCs w:val="24"/>
        </w:rPr>
      </w:pPr>
    </w:p>
    <w:p w14:paraId="33FFCB0B" w14:textId="77777777" w:rsidR="00B02CFE" w:rsidRPr="00CD21EB" w:rsidRDefault="00B02CFE" w:rsidP="00CD21EB">
      <w:pPr>
        <w:spacing w:line="360" w:lineRule="auto"/>
        <w:rPr>
          <w:rFonts w:ascii="Arial" w:hAnsi="Arial" w:cs="Arial"/>
          <w:sz w:val="24"/>
          <w:szCs w:val="24"/>
        </w:rPr>
      </w:pPr>
    </w:p>
    <w:p w14:paraId="34E14D5E" w14:textId="77777777" w:rsidR="00B02CFE" w:rsidRPr="00CD21EB" w:rsidRDefault="00B02CFE" w:rsidP="00CD21EB">
      <w:pPr>
        <w:spacing w:line="360" w:lineRule="auto"/>
        <w:rPr>
          <w:rFonts w:ascii="Arial" w:hAnsi="Arial" w:cs="Arial"/>
          <w:sz w:val="24"/>
          <w:szCs w:val="24"/>
        </w:rPr>
      </w:pPr>
    </w:p>
    <w:p w14:paraId="40598D69" w14:textId="7D126963" w:rsidR="00B02CFE" w:rsidRDefault="00CD21EB" w:rsidP="00CD21EB">
      <w:pPr>
        <w:spacing w:line="360" w:lineRule="auto"/>
        <w:rPr>
          <w:rFonts w:ascii="Arial" w:hAnsi="Arial" w:cs="Arial"/>
          <w:sz w:val="24"/>
          <w:szCs w:val="24"/>
        </w:rPr>
      </w:pPr>
      <w:r>
        <w:rPr>
          <w:rFonts w:ascii="Arial" w:hAnsi="Arial" w:cs="Arial"/>
          <w:sz w:val="24"/>
          <w:szCs w:val="24"/>
        </w:rPr>
        <w:t xml:space="preserve">Student name: Marius </w:t>
      </w:r>
      <w:proofErr w:type="spellStart"/>
      <w:r>
        <w:rPr>
          <w:rFonts w:ascii="Arial" w:hAnsi="Arial" w:cs="Arial"/>
          <w:sz w:val="24"/>
          <w:szCs w:val="24"/>
        </w:rPr>
        <w:t>Croicu</w:t>
      </w:r>
      <w:proofErr w:type="spellEnd"/>
    </w:p>
    <w:p w14:paraId="38382F02" w14:textId="06B8A09B" w:rsidR="00CD21EB" w:rsidRPr="00CD21EB" w:rsidRDefault="00CD21EB" w:rsidP="00CD21EB">
      <w:pPr>
        <w:spacing w:line="360" w:lineRule="auto"/>
        <w:rPr>
          <w:rFonts w:ascii="Arial" w:hAnsi="Arial" w:cs="Arial"/>
          <w:sz w:val="24"/>
          <w:szCs w:val="24"/>
        </w:rPr>
      </w:pPr>
      <w:r>
        <w:rPr>
          <w:rFonts w:ascii="Arial" w:hAnsi="Arial" w:cs="Arial"/>
          <w:sz w:val="24"/>
          <w:szCs w:val="24"/>
        </w:rPr>
        <w:t xml:space="preserve">Student ID: </w:t>
      </w:r>
      <w:r w:rsidR="00083CC5" w:rsidRPr="00887D0B">
        <w:rPr>
          <w:rFonts w:ascii="Arial" w:hAnsi="Arial" w:cs="Arial"/>
          <w:sz w:val="24"/>
          <w:szCs w:val="24"/>
        </w:rPr>
        <w:t>2322337</w:t>
      </w:r>
    </w:p>
    <w:p w14:paraId="09FBA123" w14:textId="77777777" w:rsidR="00B02CFE" w:rsidRPr="00CD21EB" w:rsidRDefault="00B02CFE" w:rsidP="00CD21EB">
      <w:pPr>
        <w:spacing w:line="360" w:lineRule="auto"/>
        <w:rPr>
          <w:rFonts w:ascii="Arial" w:hAnsi="Arial" w:cs="Arial"/>
          <w:sz w:val="24"/>
          <w:szCs w:val="24"/>
        </w:rPr>
      </w:pPr>
    </w:p>
    <w:p w14:paraId="53B49656" w14:textId="77777777" w:rsidR="00B02CFE" w:rsidRPr="00CD21EB" w:rsidRDefault="00B02CFE" w:rsidP="00CD21EB">
      <w:pPr>
        <w:spacing w:line="360" w:lineRule="auto"/>
        <w:rPr>
          <w:rFonts w:ascii="Arial" w:hAnsi="Arial" w:cs="Arial"/>
          <w:sz w:val="24"/>
          <w:szCs w:val="24"/>
        </w:rPr>
      </w:pPr>
    </w:p>
    <w:p w14:paraId="3DB70701" w14:textId="77777777" w:rsidR="00B02CFE" w:rsidRPr="00CD21EB" w:rsidRDefault="00B02CFE" w:rsidP="00CD21EB">
      <w:pPr>
        <w:spacing w:line="360" w:lineRule="auto"/>
        <w:rPr>
          <w:rFonts w:ascii="Arial" w:hAnsi="Arial" w:cs="Arial"/>
          <w:sz w:val="24"/>
          <w:szCs w:val="24"/>
        </w:rPr>
      </w:pPr>
    </w:p>
    <w:p w14:paraId="2AA19C15" w14:textId="77777777" w:rsidR="00B02CFE" w:rsidRPr="00CD21EB" w:rsidRDefault="00B02CFE" w:rsidP="00CD21EB">
      <w:pPr>
        <w:spacing w:line="360" w:lineRule="auto"/>
        <w:rPr>
          <w:rFonts w:ascii="Arial" w:hAnsi="Arial" w:cs="Arial"/>
          <w:sz w:val="24"/>
          <w:szCs w:val="24"/>
        </w:rPr>
      </w:pPr>
    </w:p>
    <w:p w14:paraId="797F52CD" w14:textId="77777777" w:rsidR="00B02CFE" w:rsidRPr="00CD21EB" w:rsidRDefault="00B02CFE" w:rsidP="00CD21EB">
      <w:pPr>
        <w:spacing w:line="360" w:lineRule="auto"/>
        <w:rPr>
          <w:rFonts w:ascii="Arial" w:hAnsi="Arial" w:cs="Arial"/>
          <w:sz w:val="24"/>
          <w:szCs w:val="24"/>
        </w:rPr>
      </w:pPr>
    </w:p>
    <w:p w14:paraId="09D9F899" w14:textId="77777777" w:rsidR="00B02CFE" w:rsidRPr="00CD21EB" w:rsidRDefault="00B02CFE" w:rsidP="00CD21EB">
      <w:pPr>
        <w:spacing w:line="360" w:lineRule="auto"/>
        <w:rPr>
          <w:rFonts w:ascii="Arial" w:hAnsi="Arial" w:cs="Arial"/>
          <w:sz w:val="24"/>
          <w:szCs w:val="24"/>
        </w:rPr>
      </w:pPr>
    </w:p>
    <w:sdt>
      <w:sdtPr>
        <w:rPr>
          <w:rFonts w:asciiTheme="minorHAnsi" w:eastAsiaTheme="minorHAnsi" w:hAnsiTheme="minorHAnsi" w:cstheme="minorBidi"/>
          <w:color w:val="auto"/>
          <w:kern w:val="2"/>
          <w:sz w:val="22"/>
          <w:szCs w:val="22"/>
          <w:lang w:eastAsia="en-US"/>
          <w14:ligatures w14:val="standardContextual"/>
        </w:rPr>
        <w:id w:val="-1481991617"/>
        <w:docPartObj>
          <w:docPartGallery w:val="Table of Contents"/>
          <w:docPartUnique/>
        </w:docPartObj>
      </w:sdtPr>
      <w:sdtEndPr>
        <w:rPr>
          <w:b/>
          <w:bCs/>
        </w:rPr>
      </w:sdtEndPr>
      <w:sdtContent>
        <w:p w14:paraId="76B7E861" w14:textId="7FD97120" w:rsidR="00CD21EB" w:rsidRDefault="00CD21EB">
          <w:pPr>
            <w:pStyle w:val="TOCHeading"/>
          </w:pPr>
          <w:r>
            <w:t>Contents</w:t>
          </w:r>
        </w:p>
        <w:p w14:paraId="66BF962D" w14:textId="51318D6B" w:rsidR="00CD21EB" w:rsidRDefault="00CD21EB">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4063130" w:history="1">
            <w:r w:rsidRPr="000024E9">
              <w:rPr>
                <w:rStyle w:val="Hyperlink"/>
                <w:noProof/>
              </w:rPr>
              <w:t>Introduction</w:t>
            </w:r>
            <w:r>
              <w:rPr>
                <w:noProof/>
                <w:webHidden/>
              </w:rPr>
              <w:tab/>
            </w:r>
            <w:r>
              <w:rPr>
                <w:noProof/>
                <w:webHidden/>
              </w:rPr>
              <w:fldChar w:fldCharType="begin"/>
            </w:r>
            <w:r>
              <w:rPr>
                <w:noProof/>
                <w:webHidden/>
              </w:rPr>
              <w:instrText xml:space="preserve"> PAGEREF _Toc224063130 \h </w:instrText>
            </w:r>
            <w:r>
              <w:rPr>
                <w:noProof/>
                <w:webHidden/>
              </w:rPr>
            </w:r>
            <w:r>
              <w:rPr>
                <w:noProof/>
                <w:webHidden/>
              </w:rPr>
              <w:fldChar w:fldCharType="separate"/>
            </w:r>
            <w:r>
              <w:rPr>
                <w:noProof/>
                <w:webHidden/>
              </w:rPr>
              <w:t>3</w:t>
            </w:r>
            <w:r>
              <w:rPr>
                <w:noProof/>
                <w:webHidden/>
              </w:rPr>
              <w:fldChar w:fldCharType="end"/>
            </w:r>
          </w:hyperlink>
        </w:p>
        <w:p w14:paraId="5EF122FF" w14:textId="496901CD" w:rsidR="00CD21EB" w:rsidRDefault="00CD21EB">
          <w:pPr>
            <w:pStyle w:val="TOC1"/>
            <w:tabs>
              <w:tab w:val="right" w:leader="dot" w:pos="9016"/>
            </w:tabs>
            <w:rPr>
              <w:rFonts w:eastAsiaTheme="minorEastAsia"/>
              <w:noProof/>
              <w:sz w:val="24"/>
              <w:szCs w:val="24"/>
              <w:lang w:eastAsia="en-GB"/>
            </w:rPr>
          </w:pPr>
          <w:hyperlink w:anchor="_Toc224063131" w:history="1">
            <w:r w:rsidRPr="000024E9">
              <w:rPr>
                <w:rStyle w:val="Hyperlink"/>
                <w:noProof/>
              </w:rPr>
              <w:t>Evaluation of Contemporary HR Practices</w:t>
            </w:r>
            <w:r>
              <w:rPr>
                <w:noProof/>
                <w:webHidden/>
              </w:rPr>
              <w:tab/>
            </w:r>
            <w:r>
              <w:rPr>
                <w:noProof/>
                <w:webHidden/>
              </w:rPr>
              <w:fldChar w:fldCharType="begin"/>
            </w:r>
            <w:r>
              <w:rPr>
                <w:noProof/>
                <w:webHidden/>
              </w:rPr>
              <w:instrText xml:space="preserve"> PAGEREF _Toc224063131 \h </w:instrText>
            </w:r>
            <w:r>
              <w:rPr>
                <w:noProof/>
                <w:webHidden/>
              </w:rPr>
            </w:r>
            <w:r>
              <w:rPr>
                <w:noProof/>
                <w:webHidden/>
              </w:rPr>
              <w:fldChar w:fldCharType="separate"/>
            </w:r>
            <w:r>
              <w:rPr>
                <w:noProof/>
                <w:webHidden/>
              </w:rPr>
              <w:t>3</w:t>
            </w:r>
            <w:r>
              <w:rPr>
                <w:noProof/>
                <w:webHidden/>
              </w:rPr>
              <w:fldChar w:fldCharType="end"/>
            </w:r>
          </w:hyperlink>
        </w:p>
        <w:p w14:paraId="63D88AFE" w14:textId="5B4E9025" w:rsidR="00CD21EB" w:rsidRDefault="00CD21EB">
          <w:pPr>
            <w:pStyle w:val="TOC1"/>
            <w:tabs>
              <w:tab w:val="right" w:leader="dot" w:pos="9016"/>
            </w:tabs>
            <w:rPr>
              <w:rFonts w:eastAsiaTheme="minorEastAsia"/>
              <w:noProof/>
              <w:sz w:val="24"/>
              <w:szCs w:val="24"/>
              <w:lang w:eastAsia="en-GB"/>
            </w:rPr>
          </w:pPr>
          <w:hyperlink w:anchor="_Toc224063132" w:history="1">
            <w:r w:rsidRPr="000024E9">
              <w:rPr>
                <w:rStyle w:val="Hyperlink"/>
                <w:noProof/>
              </w:rPr>
              <w:t>Role of Departmental Managers in Implementing HR Practices</w:t>
            </w:r>
            <w:r>
              <w:rPr>
                <w:noProof/>
                <w:webHidden/>
              </w:rPr>
              <w:tab/>
            </w:r>
            <w:r>
              <w:rPr>
                <w:noProof/>
                <w:webHidden/>
              </w:rPr>
              <w:fldChar w:fldCharType="begin"/>
            </w:r>
            <w:r>
              <w:rPr>
                <w:noProof/>
                <w:webHidden/>
              </w:rPr>
              <w:instrText xml:space="preserve"> PAGEREF _Toc224063132 \h </w:instrText>
            </w:r>
            <w:r>
              <w:rPr>
                <w:noProof/>
                <w:webHidden/>
              </w:rPr>
            </w:r>
            <w:r>
              <w:rPr>
                <w:noProof/>
                <w:webHidden/>
              </w:rPr>
              <w:fldChar w:fldCharType="separate"/>
            </w:r>
            <w:r>
              <w:rPr>
                <w:noProof/>
                <w:webHidden/>
              </w:rPr>
              <w:t>6</w:t>
            </w:r>
            <w:r>
              <w:rPr>
                <w:noProof/>
                <w:webHidden/>
              </w:rPr>
              <w:fldChar w:fldCharType="end"/>
            </w:r>
          </w:hyperlink>
        </w:p>
        <w:p w14:paraId="055923DE" w14:textId="4EF103BD" w:rsidR="00CD21EB" w:rsidRDefault="00CD21EB">
          <w:pPr>
            <w:pStyle w:val="TOC1"/>
            <w:tabs>
              <w:tab w:val="right" w:leader="dot" w:pos="9016"/>
            </w:tabs>
            <w:rPr>
              <w:rFonts w:eastAsiaTheme="minorEastAsia"/>
              <w:noProof/>
              <w:sz w:val="24"/>
              <w:szCs w:val="24"/>
              <w:lang w:eastAsia="en-GB"/>
            </w:rPr>
          </w:pPr>
          <w:hyperlink w:anchor="_Toc224063133" w:history="1">
            <w:r w:rsidRPr="000024E9">
              <w:rPr>
                <w:rStyle w:val="Hyperlink"/>
                <w:noProof/>
              </w:rPr>
              <w:t>Conclusion and Recommendations</w:t>
            </w:r>
            <w:r>
              <w:rPr>
                <w:noProof/>
                <w:webHidden/>
              </w:rPr>
              <w:tab/>
            </w:r>
            <w:r>
              <w:rPr>
                <w:noProof/>
                <w:webHidden/>
              </w:rPr>
              <w:fldChar w:fldCharType="begin"/>
            </w:r>
            <w:r>
              <w:rPr>
                <w:noProof/>
                <w:webHidden/>
              </w:rPr>
              <w:instrText xml:space="preserve"> PAGEREF _Toc224063133 \h </w:instrText>
            </w:r>
            <w:r>
              <w:rPr>
                <w:noProof/>
                <w:webHidden/>
              </w:rPr>
            </w:r>
            <w:r>
              <w:rPr>
                <w:noProof/>
                <w:webHidden/>
              </w:rPr>
              <w:fldChar w:fldCharType="separate"/>
            </w:r>
            <w:r>
              <w:rPr>
                <w:noProof/>
                <w:webHidden/>
              </w:rPr>
              <w:t>9</w:t>
            </w:r>
            <w:r>
              <w:rPr>
                <w:noProof/>
                <w:webHidden/>
              </w:rPr>
              <w:fldChar w:fldCharType="end"/>
            </w:r>
          </w:hyperlink>
        </w:p>
        <w:p w14:paraId="47C1BD36" w14:textId="3DE9CD58" w:rsidR="00CD21EB" w:rsidRDefault="00CD21EB">
          <w:pPr>
            <w:pStyle w:val="TOC1"/>
            <w:tabs>
              <w:tab w:val="right" w:leader="dot" w:pos="9016"/>
            </w:tabs>
            <w:rPr>
              <w:rFonts w:eastAsiaTheme="minorEastAsia"/>
              <w:noProof/>
              <w:sz w:val="24"/>
              <w:szCs w:val="24"/>
              <w:lang w:eastAsia="en-GB"/>
            </w:rPr>
          </w:pPr>
          <w:hyperlink w:anchor="_Toc224063134" w:history="1">
            <w:r w:rsidRPr="000024E9">
              <w:rPr>
                <w:rStyle w:val="Hyperlink"/>
                <w:noProof/>
              </w:rPr>
              <w:t>References</w:t>
            </w:r>
            <w:r>
              <w:rPr>
                <w:noProof/>
                <w:webHidden/>
              </w:rPr>
              <w:tab/>
            </w:r>
            <w:r>
              <w:rPr>
                <w:noProof/>
                <w:webHidden/>
              </w:rPr>
              <w:fldChar w:fldCharType="begin"/>
            </w:r>
            <w:r>
              <w:rPr>
                <w:noProof/>
                <w:webHidden/>
              </w:rPr>
              <w:instrText xml:space="preserve"> PAGEREF _Toc224063134 \h </w:instrText>
            </w:r>
            <w:r>
              <w:rPr>
                <w:noProof/>
                <w:webHidden/>
              </w:rPr>
            </w:r>
            <w:r>
              <w:rPr>
                <w:noProof/>
                <w:webHidden/>
              </w:rPr>
              <w:fldChar w:fldCharType="separate"/>
            </w:r>
            <w:r>
              <w:rPr>
                <w:noProof/>
                <w:webHidden/>
              </w:rPr>
              <w:t>10</w:t>
            </w:r>
            <w:r>
              <w:rPr>
                <w:noProof/>
                <w:webHidden/>
              </w:rPr>
              <w:fldChar w:fldCharType="end"/>
            </w:r>
          </w:hyperlink>
        </w:p>
        <w:p w14:paraId="085ABD83" w14:textId="6E8497FB" w:rsidR="00CD21EB" w:rsidRDefault="00CD21EB">
          <w:r>
            <w:rPr>
              <w:b/>
              <w:bCs/>
            </w:rPr>
            <w:fldChar w:fldCharType="end"/>
          </w:r>
        </w:p>
      </w:sdtContent>
    </w:sdt>
    <w:p w14:paraId="721C5ADE" w14:textId="77777777" w:rsidR="00B02CFE" w:rsidRPr="00CD21EB" w:rsidRDefault="00B02CFE" w:rsidP="00CD21EB">
      <w:pPr>
        <w:spacing w:line="360" w:lineRule="auto"/>
        <w:rPr>
          <w:rFonts w:ascii="Arial" w:hAnsi="Arial" w:cs="Arial"/>
          <w:sz w:val="24"/>
          <w:szCs w:val="24"/>
        </w:rPr>
      </w:pPr>
    </w:p>
    <w:p w14:paraId="03BAD28A" w14:textId="77777777" w:rsidR="00B02CFE" w:rsidRPr="00CD21EB" w:rsidRDefault="00B02CFE" w:rsidP="00CD21EB">
      <w:pPr>
        <w:spacing w:line="360" w:lineRule="auto"/>
        <w:rPr>
          <w:rFonts w:ascii="Arial" w:hAnsi="Arial" w:cs="Arial"/>
          <w:sz w:val="24"/>
          <w:szCs w:val="24"/>
        </w:rPr>
      </w:pPr>
    </w:p>
    <w:p w14:paraId="715B08C0" w14:textId="77777777" w:rsidR="00B02CFE" w:rsidRPr="00CD21EB" w:rsidRDefault="00B02CFE" w:rsidP="00CD21EB">
      <w:pPr>
        <w:spacing w:line="360" w:lineRule="auto"/>
        <w:rPr>
          <w:rFonts w:ascii="Arial" w:hAnsi="Arial" w:cs="Arial"/>
          <w:sz w:val="24"/>
          <w:szCs w:val="24"/>
        </w:rPr>
      </w:pPr>
    </w:p>
    <w:p w14:paraId="56B8C0F2" w14:textId="77777777" w:rsidR="00B02CFE" w:rsidRPr="00CD21EB" w:rsidRDefault="00B02CFE" w:rsidP="00CD21EB">
      <w:pPr>
        <w:spacing w:line="360" w:lineRule="auto"/>
        <w:rPr>
          <w:rFonts w:ascii="Arial" w:hAnsi="Arial" w:cs="Arial"/>
          <w:sz w:val="24"/>
          <w:szCs w:val="24"/>
        </w:rPr>
      </w:pPr>
    </w:p>
    <w:p w14:paraId="048B165D" w14:textId="77777777" w:rsidR="00B02CFE" w:rsidRPr="00CD21EB" w:rsidRDefault="00B02CFE" w:rsidP="00CD21EB">
      <w:pPr>
        <w:spacing w:line="360" w:lineRule="auto"/>
        <w:rPr>
          <w:rFonts w:ascii="Arial" w:hAnsi="Arial" w:cs="Arial"/>
          <w:sz w:val="24"/>
          <w:szCs w:val="24"/>
        </w:rPr>
      </w:pPr>
    </w:p>
    <w:p w14:paraId="14652220" w14:textId="77777777" w:rsidR="00B02CFE" w:rsidRPr="00CD21EB" w:rsidRDefault="00B02CFE" w:rsidP="00CD21EB">
      <w:pPr>
        <w:spacing w:line="360" w:lineRule="auto"/>
        <w:rPr>
          <w:rFonts w:ascii="Arial" w:hAnsi="Arial" w:cs="Arial"/>
          <w:sz w:val="24"/>
          <w:szCs w:val="24"/>
        </w:rPr>
      </w:pPr>
    </w:p>
    <w:p w14:paraId="14A22DCD" w14:textId="77777777" w:rsidR="00B02CFE" w:rsidRPr="00CD21EB" w:rsidRDefault="00B02CFE" w:rsidP="00CD21EB">
      <w:pPr>
        <w:spacing w:line="360" w:lineRule="auto"/>
        <w:rPr>
          <w:rFonts w:ascii="Arial" w:hAnsi="Arial" w:cs="Arial"/>
          <w:sz w:val="24"/>
          <w:szCs w:val="24"/>
        </w:rPr>
      </w:pPr>
    </w:p>
    <w:p w14:paraId="6F9DB678" w14:textId="77777777" w:rsidR="00B02CFE" w:rsidRDefault="00B02CFE" w:rsidP="00CD21EB">
      <w:pPr>
        <w:spacing w:line="360" w:lineRule="auto"/>
        <w:rPr>
          <w:rFonts w:ascii="Arial" w:hAnsi="Arial" w:cs="Arial"/>
          <w:sz w:val="24"/>
          <w:szCs w:val="24"/>
        </w:rPr>
      </w:pPr>
    </w:p>
    <w:p w14:paraId="4751D958" w14:textId="77777777" w:rsidR="00CD21EB" w:rsidRDefault="00CD21EB" w:rsidP="00CD21EB">
      <w:pPr>
        <w:spacing w:line="360" w:lineRule="auto"/>
        <w:rPr>
          <w:rFonts w:ascii="Arial" w:hAnsi="Arial" w:cs="Arial"/>
          <w:sz w:val="24"/>
          <w:szCs w:val="24"/>
        </w:rPr>
      </w:pPr>
    </w:p>
    <w:p w14:paraId="254CD2EA" w14:textId="77777777" w:rsidR="00CD21EB" w:rsidRDefault="00CD21EB" w:rsidP="00CD21EB">
      <w:pPr>
        <w:spacing w:line="360" w:lineRule="auto"/>
        <w:rPr>
          <w:rFonts w:ascii="Arial" w:hAnsi="Arial" w:cs="Arial"/>
          <w:sz w:val="24"/>
          <w:szCs w:val="24"/>
        </w:rPr>
      </w:pPr>
    </w:p>
    <w:p w14:paraId="450B6D42" w14:textId="77777777" w:rsidR="00CD21EB" w:rsidRDefault="00CD21EB" w:rsidP="00CD21EB">
      <w:pPr>
        <w:spacing w:line="360" w:lineRule="auto"/>
        <w:rPr>
          <w:rFonts w:ascii="Arial" w:hAnsi="Arial" w:cs="Arial"/>
          <w:sz w:val="24"/>
          <w:szCs w:val="24"/>
        </w:rPr>
      </w:pPr>
    </w:p>
    <w:p w14:paraId="486D5E70" w14:textId="77777777" w:rsidR="00CD21EB" w:rsidRDefault="00CD21EB" w:rsidP="00CD21EB">
      <w:pPr>
        <w:spacing w:line="360" w:lineRule="auto"/>
        <w:rPr>
          <w:rFonts w:ascii="Arial" w:hAnsi="Arial" w:cs="Arial"/>
          <w:sz w:val="24"/>
          <w:szCs w:val="24"/>
        </w:rPr>
      </w:pPr>
    </w:p>
    <w:p w14:paraId="18E25878" w14:textId="77777777" w:rsidR="00CD21EB" w:rsidRDefault="00CD21EB" w:rsidP="00CD21EB">
      <w:pPr>
        <w:spacing w:line="360" w:lineRule="auto"/>
        <w:rPr>
          <w:rFonts w:ascii="Arial" w:hAnsi="Arial" w:cs="Arial"/>
          <w:sz w:val="24"/>
          <w:szCs w:val="24"/>
        </w:rPr>
      </w:pPr>
    </w:p>
    <w:p w14:paraId="5076885B" w14:textId="77777777" w:rsidR="00CD21EB" w:rsidRDefault="00CD21EB" w:rsidP="00CD21EB">
      <w:pPr>
        <w:spacing w:line="360" w:lineRule="auto"/>
        <w:rPr>
          <w:rFonts w:ascii="Arial" w:hAnsi="Arial" w:cs="Arial"/>
          <w:sz w:val="24"/>
          <w:szCs w:val="24"/>
        </w:rPr>
      </w:pPr>
    </w:p>
    <w:p w14:paraId="0B6129B4" w14:textId="77777777" w:rsidR="00CD21EB" w:rsidRDefault="00CD21EB" w:rsidP="00CD21EB">
      <w:pPr>
        <w:spacing w:line="360" w:lineRule="auto"/>
        <w:rPr>
          <w:rFonts w:ascii="Arial" w:hAnsi="Arial" w:cs="Arial"/>
          <w:sz w:val="24"/>
          <w:szCs w:val="24"/>
        </w:rPr>
      </w:pPr>
    </w:p>
    <w:p w14:paraId="1C5A9295" w14:textId="77777777" w:rsidR="00CD21EB" w:rsidRPr="00CD21EB" w:rsidRDefault="00CD21EB" w:rsidP="00CD21EB">
      <w:pPr>
        <w:spacing w:line="360" w:lineRule="auto"/>
        <w:rPr>
          <w:rFonts w:ascii="Arial" w:hAnsi="Arial" w:cs="Arial"/>
          <w:sz w:val="24"/>
          <w:szCs w:val="24"/>
        </w:rPr>
      </w:pPr>
    </w:p>
    <w:p w14:paraId="69E0A470" w14:textId="77777777" w:rsidR="00B02CFE" w:rsidRPr="00CD21EB" w:rsidRDefault="00B02CFE" w:rsidP="00CD21EB">
      <w:pPr>
        <w:spacing w:line="360" w:lineRule="auto"/>
        <w:rPr>
          <w:rFonts w:ascii="Arial" w:hAnsi="Arial" w:cs="Arial"/>
          <w:sz w:val="24"/>
          <w:szCs w:val="24"/>
        </w:rPr>
      </w:pPr>
    </w:p>
    <w:p w14:paraId="32023140" w14:textId="77777777" w:rsidR="00B02CFE" w:rsidRPr="00B02CFE" w:rsidRDefault="00B02CFE" w:rsidP="00CD21EB">
      <w:pPr>
        <w:pStyle w:val="Heading1"/>
      </w:pPr>
      <w:bookmarkStart w:id="0" w:name="_Toc224063130"/>
      <w:r w:rsidRPr="00B02CFE">
        <w:lastRenderedPageBreak/>
        <w:t>Introduction</w:t>
      </w:r>
      <w:bookmarkEnd w:id="0"/>
    </w:p>
    <w:p w14:paraId="19282E22" w14:textId="77777777" w:rsidR="00B02CFE" w:rsidRPr="00B02CFE" w:rsidRDefault="00B02CFE" w:rsidP="00CD21EB">
      <w:pPr>
        <w:spacing w:line="360" w:lineRule="auto"/>
        <w:rPr>
          <w:rFonts w:ascii="Arial" w:hAnsi="Arial" w:cs="Arial"/>
          <w:sz w:val="24"/>
          <w:szCs w:val="24"/>
        </w:rPr>
      </w:pPr>
      <w:r w:rsidRPr="00B02CFE">
        <w:rPr>
          <w:rFonts w:ascii="Arial" w:hAnsi="Arial" w:cs="Arial"/>
          <w:sz w:val="24"/>
          <w:szCs w:val="24"/>
        </w:rPr>
        <w:t xml:space="preserve">Human Resource Management (HRM) is a critical organisational function that focuses on managing employees effectively </w:t>
      </w:r>
      <w:proofErr w:type="gramStart"/>
      <w:r w:rsidRPr="00B02CFE">
        <w:rPr>
          <w:rFonts w:ascii="Arial" w:hAnsi="Arial" w:cs="Arial"/>
          <w:sz w:val="24"/>
          <w:szCs w:val="24"/>
        </w:rPr>
        <w:t>in order to</w:t>
      </w:r>
      <w:proofErr w:type="gramEnd"/>
      <w:r w:rsidRPr="00B02CFE">
        <w:rPr>
          <w:rFonts w:ascii="Arial" w:hAnsi="Arial" w:cs="Arial"/>
          <w:sz w:val="24"/>
          <w:szCs w:val="24"/>
        </w:rPr>
        <w:t xml:space="preserve"> achieve organisational objectives and maintain competitive advantage. Modern organisations operate in highly dynamic environments characterised by rapid technological developments, increasing competition for skilled employees and growing expectations for inclusive workplaces. These developments create significant challenges for HR departments, requiring organisations to adopt strategic approaches to workforce management, talent development and employee engagement (Armstrong and Taylor, 2023).</w:t>
      </w:r>
    </w:p>
    <w:p w14:paraId="357E8593" w14:textId="77777777" w:rsidR="00B02CFE" w:rsidRPr="00B02CFE" w:rsidRDefault="00B02CFE" w:rsidP="00CD21EB">
      <w:pPr>
        <w:spacing w:line="360" w:lineRule="auto"/>
        <w:rPr>
          <w:rFonts w:ascii="Arial" w:hAnsi="Arial" w:cs="Arial"/>
          <w:sz w:val="24"/>
          <w:szCs w:val="24"/>
        </w:rPr>
      </w:pPr>
      <w:r w:rsidRPr="00B02CFE">
        <w:rPr>
          <w:rFonts w:ascii="Arial" w:hAnsi="Arial" w:cs="Arial"/>
          <w:sz w:val="24"/>
          <w:szCs w:val="24"/>
        </w:rPr>
        <w:t xml:space="preserve">Tesco plc is one of the largest retail companies in the United Kingdom and operates a large network of supermarkets, distribution centres and online retail services. The organisation employs hundreds of thousands of employees across different operational areas, which makes effective human resource management essential for maintaining organisational performance and service quality (Tesco, 2024). Tesco has increasingly focused on digital innovation, workforce development and inclusive employment practices </w:t>
      </w:r>
      <w:proofErr w:type="gramStart"/>
      <w:r w:rsidRPr="00B02CFE">
        <w:rPr>
          <w:rFonts w:ascii="Arial" w:hAnsi="Arial" w:cs="Arial"/>
          <w:sz w:val="24"/>
          <w:szCs w:val="24"/>
        </w:rPr>
        <w:t>in order to</w:t>
      </w:r>
      <w:proofErr w:type="gramEnd"/>
      <w:r w:rsidRPr="00B02CFE">
        <w:rPr>
          <w:rFonts w:ascii="Arial" w:hAnsi="Arial" w:cs="Arial"/>
          <w:sz w:val="24"/>
          <w:szCs w:val="24"/>
        </w:rPr>
        <w:t xml:space="preserve"> remain competitive within the retail sector (CIPD, 2023).</w:t>
      </w:r>
    </w:p>
    <w:p w14:paraId="51D72D38" w14:textId="77777777" w:rsidR="00B02CFE" w:rsidRPr="00B02CFE" w:rsidRDefault="00B02CFE" w:rsidP="00CD21EB">
      <w:pPr>
        <w:spacing w:line="360" w:lineRule="auto"/>
        <w:rPr>
          <w:rFonts w:ascii="Arial" w:hAnsi="Arial" w:cs="Arial"/>
          <w:sz w:val="24"/>
          <w:szCs w:val="24"/>
        </w:rPr>
      </w:pPr>
      <w:r w:rsidRPr="00B02CFE">
        <w:rPr>
          <w:rFonts w:ascii="Arial" w:hAnsi="Arial" w:cs="Arial"/>
          <w:sz w:val="24"/>
          <w:szCs w:val="24"/>
        </w:rPr>
        <w:t>This report examines three key HR challenges affecting Tesco: meeting technological advancement, talent acquisition and retention, and diversity, equity and inclusion (DEI). The report also evaluates contemporary HR practices used to address these challenges and critically assesses how departmental managers ensure these practices are implemented effectively.</w:t>
      </w:r>
    </w:p>
    <w:p w14:paraId="36A40E52" w14:textId="77777777" w:rsidR="00B02CFE" w:rsidRPr="00CD21EB" w:rsidRDefault="00B02CFE" w:rsidP="00CD21EB">
      <w:pPr>
        <w:spacing w:line="360" w:lineRule="auto"/>
        <w:rPr>
          <w:rFonts w:ascii="Arial" w:hAnsi="Arial" w:cs="Arial"/>
          <w:sz w:val="24"/>
          <w:szCs w:val="24"/>
        </w:rPr>
      </w:pPr>
    </w:p>
    <w:p w14:paraId="644549F5" w14:textId="77777777" w:rsidR="00156B2C" w:rsidRPr="00CD21EB" w:rsidRDefault="00156B2C" w:rsidP="00CD21EB">
      <w:pPr>
        <w:spacing w:line="360" w:lineRule="auto"/>
        <w:rPr>
          <w:rFonts w:ascii="Arial" w:hAnsi="Arial" w:cs="Arial"/>
          <w:sz w:val="24"/>
          <w:szCs w:val="24"/>
        </w:rPr>
      </w:pPr>
    </w:p>
    <w:p w14:paraId="47441081" w14:textId="77777777" w:rsidR="00156B2C" w:rsidRPr="00156B2C" w:rsidRDefault="00156B2C" w:rsidP="00CD21EB">
      <w:pPr>
        <w:pStyle w:val="Heading1"/>
      </w:pPr>
      <w:bookmarkStart w:id="1" w:name="_Toc224063131"/>
      <w:r w:rsidRPr="00156B2C">
        <w:t>Evaluation of Contemporary HR Practices</w:t>
      </w:r>
      <w:bookmarkEnd w:id="1"/>
    </w:p>
    <w:p w14:paraId="1939FAA9" w14:textId="77777777" w:rsidR="00156B2C" w:rsidRPr="00156B2C" w:rsidRDefault="00156B2C" w:rsidP="00CD21EB">
      <w:pPr>
        <w:spacing w:line="360" w:lineRule="auto"/>
        <w:rPr>
          <w:rFonts w:ascii="Arial" w:hAnsi="Arial" w:cs="Arial"/>
          <w:sz w:val="24"/>
          <w:szCs w:val="24"/>
        </w:rPr>
      </w:pPr>
      <w:r w:rsidRPr="00156B2C">
        <w:rPr>
          <w:rFonts w:ascii="Arial" w:hAnsi="Arial" w:cs="Arial"/>
          <w:sz w:val="24"/>
          <w:szCs w:val="24"/>
        </w:rPr>
        <w:t xml:space="preserve">Organisations increasingly adopt contemporary human resource management practices to address modern workforce challenges such as technological advancement, talent acquisition and retention, and diversity, equity and inclusion (DEI). In large organisations such as Tesco, these practices are essential for improving organisational performance, supporting employee development and </w:t>
      </w:r>
      <w:r w:rsidRPr="00156B2C">
        <w:rPr>
          <w:rFonts w:ascii="Arial" w:hAnsi="Arial" w:cs="Arial"/>
          <w:sz w:val="24"/>
          <w:szCs w:val="24"/>
        </w:rPr>
        <w:lastRenderedPageBreak/>
        <w:t>ensuring long-term sustainability. Evaluating these HR practices helps to understand how effectively they address the challenges identified in the previous section.</w:t>
      </w:r>
    </w:p>
    <w:p w14:paraId="6051D80B" w14:textId="77777777" w:rsidR="00156B2C" w:rsidRPr="00156B2C" w:rsidRDefault="00156B2C" w:rsidP="00CD21EB">
      <w:pPr>
        <w:spacing w:line="360" w:lineRule="auto"/>
        <w:rPr>
          <w:rFonts w:ascii="Arial" w:hAnsi="Arial" w:cs="Arial"/>
          <w:sz w:val="24"/>
          <w:szCs w:val="24"/>
        </w:rPr>
      </w:pPr>
      <w:r w:rsidRPr="00156B2C">
        <w:rPr>
          <w:rFonts w:ascii="Arial" w:hAnsi="Arial" w:cs="Arial"/>
          <w:sz w:val="24"/>
          <w:szCs w:val="24"/>
        </w:rPr>
        <w:t>One important contemporary HR practice used to address technological advancement is the implementation of Human Resource Information Systems (HRIS). HRIS refers to digital platforms that allow organisations to manage employee data, recruitment processes, payroll systems and performance management electronically. According to Strohmeier (2020), digital HR systems enable organisations to improve efficiency, reduce administrative workload and support data-driven decision making. In organisations like Tesco, HRIS allows managers to coordinate workforce planning across multiple stores and locations while also improving communication between departments. Digital HR platforms also support online recruitment processes, which help organisations reach a larger pool of potential candidates. However, the successful implementation of HRIS requires investment in training and infrastructure. Employees must develop digital competencies to use these systems effectively, and organisations must ensure that data security and privacy regulations are properly maintained.</w:t>
      </w:r>
    </w:p>
    <w:p w14:paraId="3EDA161B" w14:textId="77777777" w:rsidR="00156B2C" w:rsidRPr="00156B2C" w:rsidRDefault="00156B2C" w:rsidP="00CD21EB">
      <w:pPr>
        <w:spacing w:line="360" w:lineRule="auto"/>
        <w:rPr>
          <w:rFonts w:ascii="Arial" w:hAnsi="Arial" w:cs="Arial"/>
          <w:sz w:val="24"/>
          <w:szCs w:val="24"/>
        </w:rPr>
      </w:pPr>
      <w:r w:rsidRPr="00156B2C">
        <w:rPr>
          <w:rFonts w:ascii="Arial" w:hAnsi="Arial" w:cs="Arial"/>
          <w:sz w:val="24"/>
          <w:szCs w:val="24"/>
        </w:rPr>
        <w:t>Another contemporary HR practice related to technological advancement is the use of digital learning and development programmes. Online training platforms and e-learning systems allow employees to develop new skills and adapt to changing workplace technologies. Armstrong and Taylor (2023) emphasise that continuous learning is essential for organisations seeking to remain competitive in environments characterised by rapid technological change. Tesco has invested in digital learning platforms that allow employees to access training materials, leadership development programmes and professional development resources. These systems provide flexibility for employees who can complete training modules remotely while balancing work responsibilities. Although digital training systems provide many benefits, organisations must ensure that employees remain motivated to participate in training programmes and that learning outcomes are effectively monitored.</w:t>
      </w:r>
    </w:p>
    <w:p w14:paraId="4F8EEA2A" w14:textId="77777777" w:rsidR="00156B2C" w:rsidRPr="00156B2C" w:rsidRDefault="00156B2C" w:rsidP="00CD21EB">
      <w:pPr>
        <w:spacing w:line="360" w:lineRule="auto"/>
        <w:rPr>
          <w:rFonts w:ascii="Arial" w:hAnsi="Arial" w:cs="Arial"/>
          <w:sz w:val="24"/>
          <w:szCs w:val="24"/>
        </w:rPr>
      </w:pPr>
      <w:r w:rsidRPr="00156B2C">
        <w:rPr>
          <w:rFonts w:ascii="Arial" w:hAnsi="Arial" w:cs="Arial"/>
          <w:sz w:val="24"/>
          <w:szCs w:val="24"/>
        </w:rPr>
        <w:t xml:space="preserve">To address challenges related to talent acquisition and retention, organisations implement a range of contemporary HR practices focused on attracting and retaining skilled employees. One widely used approach is employer branding. Employer branding refers to the process of promoting an organisation as an attractive place to </w:t>
      </w:r>
      <w:r w:rsidRPr="00156B2C">
        <w:rPr>
          <w:rFonts w:ascii="Arial" w:hAnsi="Arial" w:cs="Arial"/>
          <w:sz w:val="24"/>
          <w:szCs w:val="24"/>
        </w:rPr>
        <w:lastRenderedPageBreak/>
        <w:t xml:space="preserve">work </w:t>
      </w:r>
      <w:proofErr w:type="gramStart"/>
      <w:r w:rsidRPr="00156B2C">
        <w:rPr>
          <w:rFonts w:ascii="Arial" w:hAnsi="Arial" w:cs="Arial"/>
          <w:sz w:val="24"/>
          <w:szCs w:val="24"/>
        </w:rPr>
        <w:t>in order to</w:t>
      </w:r>
      <w:proofErr w:type="gramEnd"/>
      <w:r w:rsidRPr="00156B2C">
        <w:rPr>
          <w:rFonts w:ascii="Arial" w:hAnsi="Arial" w:cs="Arial"/>
          <w:sz w:val="24"/>
          <w:szCs w:val="24"/>
        </w:rPr>
        <w:t xml:space="preserve"> attract talented candidates. According to Backhaus and Tikoo (2004), organisations with strong employer brands are more likely to attract high-quality applicants and reduce recruitment costs. Tesco promotes its employer brand through career development opportunities, employee benefits and training programmes designed to support employee progression within the company. By communicating these opportunities through recruitment campaigns and corporate communication channels, Tesco can attract candidates who are aligned with its organisational values.</w:t>
      </w:r>
    </w:p>
    <w:p w14:paraId="38BA3DBA" w14:textId="77777777" w:rsidR="00156B2C" w:rsidRPr="00156B2C" w:rsidRDefault="00156B2C" w:rsidP="00CD21EB">
      <w:pPr>
        <w:spacing w:line="360" w:lineRule="auto"/>
        <w:rPr>
          <w:rFonts w:ascii="Arial" w:hAnsi="Arial" w:cs="Arial"/>
          <w:sz w:val="24"/>
          <w:szCs w:val="24"/>
        </w:rPr>
      </w:pPr>
      <w:r w:rsidRPr="00156B2C">
        <w:rPr>
          <w:rFonts w:ascii="Arial" w:hAnsi="Arial" w:cs="Arial"/>
          <w:sz w:val="24"/>
          <w:szCs w:val="24"/>
        </w:rPr>
        <w:t>Employee development programmes are also widely used as a strategy for improving retention. Organisations that provide opportunities for career progression, skills development and leadership training are more likely to retain employees who seek long-term professional growth. Guest (2017) argues that investment in employee development contributes to higher levels of job satisfaction and organisational commitment. Tesco provides training programmes, leadership development initiatives and internal promotion opportunities that allow employees to advance within the organisation. These initiatives encourage employees to remain with the company while also supporting the development of future leaders. Nevertheless, organisations must ensure that development programmes are accessible to all employees and that opportunities are distributed fairly across departments.</w:t>
      </w:r>
    </w:p>
    <w:p w14:paraId="5BDED4B2" w14:textId="77777777" w:rsidR="00156B2C" w:rsidRPr="00156B2C" w:rsidRDefault="00156B2C" w:rsidP="00CD21EB">
      <w:pPr>
        <w:spacing w:line="360" w:lineRule="auto"/>
        <w:rPr>
          <w:rFonts w:ascii="Arial" w:hAnsi="Arial" w:cs="Arial"/>
          <w:sz w:val="24"/>
          <w:szCs w:val="24"/>
        </w:rPr>
      </w:pPr>
      <w:r w:rsidRPr="00156B2C">
        <w:rPr>
          <w:rFonts w:ascii="Arial" w:hAnsi="Arial" w:cs="Arial"/>
          <w:sz w:val="24"/>
          <w:szCs w:val="24"/>
        </w:rPr>
        <w:t>Flexible working practices have also become increasingly important in modern HR management. Flexible work arrangements, including flexible scheduling and remote work opportunities, can improve employee work-life balance and increase job satisfaction. According to CIPD (2023), organisations that provide flexible working arrangements often experience higher employee engagement and lower turnover rates. Within Tesco, flexible working practices can be particularly valuable in supporting employees who work in retail environments with varying schedules. However, implementing flexible work arrangements in operational settings such as retail stores can be challenging because customer service requirements must still be maintained.</w:t>
      </w:r>
    </w:p>
    <w:p w14:paraId="0E929F7D" w14:textId="77777777" w:rsidR="00156B2C" w:rsidRPr="00156B2C" w:rsidRDefault="00156B2C" w:rsidP="00CD21EB">
      <w:pPr>
        <w:spacing w:line="360" w:lineRule="auto"/>
        <w:rPr>
          <w:rFonts w:ascii="Arial" w:hAnsi="Arial" w:cs="Arial"/>
          <w:sz w:val="24"/>
          <w:szCs w:val="24"/>
        </w:rPr>
      </w:pPr>
      <w:r w:rsidRPr="00156B2C">
        <w:rPr>
          <w:rFonts w:ascii="Arial" w:hAnsi="Arial" w:cs="Arial"/>
          <w:sz w:val="24"/>
          <w:szCs w:val="24"/>
        </w:rPr>
        <w:t xml:space="preserve">Diversity, equity and inclusion initiatives represent another important contemporary HR practice. Organisations increasingly recognise that diverse and inclusive </w:t>
      </w:r>
      <w:r w:rsidRPr="00156B2C">
        <w:rPr>
          <w:rFonts w:ascii="Arial" w:hAnsi="Arial" w:cs="Arial"/>
          <w:sz w:val="24"/>
          <w:szCs w:val="24"/>
        </w:rPr>
        <w:lastRenderedPageBreak/>
        <w:t>workplaces contribute to improved creativity, innovation and organisational performance. Shore et al. (2018) highlight that inclusive HR practices create environments where employees from different backgrounds feel valued and respected. Tesco has introduced diversity initiatives that focus on equal opportunity employment, inclusive recruitment processes and leadership development programmes designed to support underrepresented groups within the workforce. These initiatives can strengthen organisational culture and improve employee engagement.</w:t>
      </w:r>
    </w:p>
    <w:p w14:paraId="29FD2453" w14:textId="77777777" w:rsidR="00156B2C" w:rsidRPr="00156B2C" w:rsidRDefault="00156B2C" w:rsidP="00CD21EB">
      <w:pPr>
        <w:spacing w:line="360" w:lineRule="auto"/>
        <w:rPr>
          <w:rFonts w:ascii="Arial" w:hAnsi="Arial" w:cs="Arial"/>
          <w:sz w:val="24"/>
          <w:szCs w:val="24"/>
        </w:rPr>
      </w:pPr>
      <w:r w:rsidRPr="00156B2C">
        <w:rPr>
          <w:rFonts w:ascii="Arial" w:hAnsi="Arial" w:cs="Arial"/>
          <w:sz w:val="24"/>
          <w:szCs w:val="24"/>
        </w:rPr>
        <w:t>Despite the benefits of DEI initiatives, organisations must ensure that diversity policies are supported by practical actions rather than remaining symbolic commitments. Effective diversity management requires ongoing monitoring, employee training and leadership support to ensure that inclusive practices are embedded within organisational culture. HR departments therefore play a critical role in developing policies, monitoring diversity outcomes and promoting inclusive leadership behaviours across the organisation.</w:t>
      </w:r>
    </w:p>
    <w:p w14:paraId="6F675A8B" w14:textId="77777777" w:rsidR="00156B2C" w:rsidRDefault="00156B2C" w:rsidP="00CD21EB">
      <w:pPr>
        <w:spacing w:line="360" w:lineRule="auto"/>
        <w:rPr>
          <w:rFonts w:ascii="Arial" w:hAnsi="Arial" w:cs="Arial"/>
          <w:sz w:val="24"/>
          <w:szCs w:val="24"/>
        </w:rPr>
      </w:pPr>
      <w:r w:rsidRPr="00156B2C">
        <w:rPr>
          <w:rFonts w:ascii="Arial" w:hAnsi="Arial" w:cs="Arial"/>
          <w:sz w:val="24"/>
          <w:szCs w:val="24"/>
        </w:rPr>
        <w:t>Through the implementation of contemporary HR practices such as digital HR systems, employee development programmes, employer branding strategies, flexible working arrangements and diversity initiatives, organisations like Tesco can respond effectively to modern workforce challenges. These practices support organisational adaptability while also improving employee satisfaction, engagement and long-term organisational performance.</w:t>
      </w:r>
    </w:p>
    <w:p w14:paraId="71FA7A3C" w14:textId="77777777" w:rsidR="00CD21EB" w:rsidRDefault="00CD21EB" w:rsidP="00CD21EB">
      <w:pPr>
        <w:spacing w:line="360" w:lineRule="auto"/>
        <w:rPr>
          <w:rFonts w:ascii="Arial" w:hAnsi="Arial" w:cs="Arial"/>
          <w:sz w:val="24"/>
          <w:szCs w:val="24"/>
        </w:rPr>
      </w:pPr>
    </w:p>
    <w:p w14:paraId="33BDF120" w14:textId="77777777" w:rsidR="00CD21EB" w:rsidRDefault="00CD21EB" w:rsidP="00CD21EB">
      <w:pPr>
        <w:spacing w:line="360" w:lineRule="auto"/>
        <w:rPr>
          <w:rFonts w:ascii="Arial" w:hAnsi="Arial" w:cs="Arial"/>
          <w:sz w:val="24"/>
          <w:szCs w:val="24"/>
        </w:rPr>
      </w:pPr>
    </w:p>
    <w:p w14:paraId="75C4000D" w14:textId="77777777" w:rsidR="00CD21EB" w:rsidRPr="00156B2C" w:rsidRDefault="00CD21EB" w:rsidP="00CD21EB">
      <w:pPr>
        <w:spacing w:line="360" w:lineRule="auto"/>
        <w:rPr>
          <w:rFonts w:ascii="Arial" w:hAnsi="Arial" w:cs="Arial"/>
          <w:sz w:val="24"/>
          <w:szCs w:val="24"/>
        </w:rPr>
      </w:pPr>
    </w:p>
    <w:p w14:paraId="01101A3E" w14:textId="77777777" w:rsidR="00526E7C" w:rsidRPr="00526E7C" w:rsidRDefault="00526E7C" w:rsidP="00CD21EB">
      <w:pPr>
        <w:pStyle w:val="Heading1"/>
      </w:pPr>
      <w:bookmarkStart w:id="2" w:name="_Toc224063132"/>
      <w:r w:rsidRPr="00526E7C">
        <w:t>Role of Departmental Managers in Implementing HR Practices</w:t>
      </w:r>
      <w:bookmarkEnd w:id="2"/>
    </w:p>
    <w:p w14:paraId="61CB5CAA" w14:textId="77777777" w:rsidR="00526E7C" w:rsidRPr="00526E7C" w:rsidRDefault="00526E7C" w:rsidP="00CD21EB">
      <w:pPr>
        <w:spacing w:line="360" w:lineRule="auto"/>
        <w:rPr>
          <w:rFonts w:ascii="Arial" w:hAnsi="Arial" w:cs="Arial"/>
          <w:sz w:val="24"/>
          <w:szCs w:val="24"/>
        </w:rPr>
      </w:pPr>
      <w:r w:rsidRPr="00526E7C">
        <w:rPr>
          <w:rFonts w:ascii="Arial" w:hAnsi="Arial" w:cs="Arial"/>
          <w:sz w:val="24"/>
          <w:szCs w:val="24"/>
        </w:rPr>
        <w:t xml:space="preserve">Departmental managers play a crucial role in ensuring that human resource practices are implemented effectively within organisations. While HR departments are responsible for designing policies and strategies, managers at departmental level are responsible for translating these policies into daily workplace practices. Their role </w:t>
      </w:r>
      <w:r w:rsidRPr="00526E7C">
        <w:rPr>
          <w:rFonts w:ascii="Arial" w:hAnsi="Arial" w:cs="Arial"/>
          <w:sz w:val="24"/>
          <w:szCs w:val="24"/>
        </w:rPr>
        <w:lastRenderedPageBreak/>
        <w:t>is particularly important in large organisations such as Tesco, where managers supervise employees across multiple departments and operational environments. Effective managerial involvement ensures that HR practices addressing technological advancement, talent acquisition and retention, and diversity, equity and inclusion are applied consistently across the organisation.</w:t>
      </w:r>
    </w:p>
    <w:p w14:paraId="51AEE30A" w14:textId="77777777" w:rsidR="00526E7C" w:rsidRPr="00526E7C" w:rsidRDefault="00526E7C" w:rsidP="00CD21EB">
      <w:pPr>
        <w:spacing w:line="360" w:lineRule="auto"/>
        <w:rPr>
          <w:rFonts w:ascii="Arial" w:hAnsi="Arial" w:cs="Arial"/>
          <w:sz w:val="24"/>
          <w:szCs w:val="24"/>
        </w:rPr>
      </w:pPr>
      <w:r w:rsidRPr="00526E7C">
        <w:rPr>
          <w:rFonts w:ascii="Arial" w:hAnsi="Arial" w:cs="Arial"/>
          <w:sz w:val="24"/>
          <w:szCs w:val="24"/>
        </w:rPr>
        <w:t>One of the key responsibilities of departmental managers is supporting organisational change associated with technological advancement. The introduction of new digital systems, automation tools and online retail technologies requires employees to adapt to new ways of working. Managers therefore play an important role in guiding employees through these transitions by providing clear communication and practical support. According to Kotter (1996), successful organisational change requires leadership that encourages employee engagement and reduces resistance to change. Managers must ensure that employees understand the benefits of new technologies and how these systems contribute to improved efficiency and customer service. At Tesco, managers may support employees by organising training sessions, encouraging participation in digital learning programmes and monitoring employee progress when new technologies are introduced.</w:t>
      </w:r>
    </w:p>
    <w:p w14:paraId="3D48D08C" w14:textId="77777777" w:rsidR="00526E7C" w:rsidRPr="00526E7C" w:rsidRDefault="00526E7C" w:rsidP="00CD21EB">
      <w:pPr>
        <w:spacing w:line="360" w:lineRule="auto"/>
        <w:rPr>
          <w:rFonts w:ascii="Arial" w:hAnsi="Arial" w:cs="Arial"/>
          <w:sz w:val="24"/>
          <w:szCs w:val="24"/>
        </w:rPr>
      </w:pPr>
      <w:r w:rsidRPr="00526E7C">
        <w:rPr>
          <w:rFonts w:ascii="Arial" w:hAnsi="Arial" w:cs="Arial"/>
          <w:sz w:val="24"/>
          <w:szCs w:val="24"/>
        </w:rPr>
        <w:t>Another important responsibility of departmental managers is supporting effective talent management practices. Recruitment and retention strategies developed by HR departments can only be successful if managers actively support them at operational level. Managers are often involved in recruitment decisions, employee development and performance management processes. According to Armstrong and Taylor (2023), line managers play a key role in identifying employee potential, providing feedback and supporting professional development. At Tesco, managers supervise employees directly and therefore have a strong influence on employee engagement and job satisfaction. By providing constructive feedback, recognising employee achievements and encouraging career development, managers can improve employee motivation and reduce staff turnover.</w:t>
      </w:r>
    </w:p>
    <w:p w14:paraId="2D756380" w14:textId="77777777" w:rsidR="00526E7C" w:rsidRPr="00526E7C" w:rsidRDefault="00526E7C" w:rsidP="00CD21EB">
      <w:pPr>
        <w:spacing w:line="360" w:lineRule="auto"/>
        <w:rPr>
          <w:rFonts w:ascii="Arial" w:hAnsi="Arial" w:cs="Arial"/>
          <w:sz w:val="24"/>
          <w:szCs w:val="24"/>
        </w:rPr>
      </w:pPr>
      <w:r w:rsidRPr="00526E7C">
        <w:rPr>
          <w:rFonts w:ascii="Arial" w:hAnsi="Arial" w:cs="Arial"/>
          <w:sz w:val="24"/>
          <w:szCs w:val="24"/>
        </w:rPr>
        <w:t xml:space="preserve">Performance management is also a central managerial responsibility that contributes to the effective implementation of HR practices. Performance management systems are designed to evaluate employee performance, identify development needs and </w:t>
      </w:r>
      <w:r w:rsidRPr="00526E7C">
        <w:rPr>
          <w:rFonts w:ascii="Arial" w:hAnsi="Arial" w:cs="Arial"/>
          <w:sz w:val="24"/>
          <w:szCs w:val="24"/>
        </w:rPr>
        <w:lastRenderedPageBreak/>
        <w:t xml:space="preserve">ensure that employees contribute effectively to organisational objectives. Managers are responsible for monitoring employee performance, conducting performance reviews and setting individual performance targets. </w:t>
      </w:r>
      <w:proofErr w:type="spellStart"/>
      <w:r w:rsidRPr="00526E7C">
        <w:rPr>
          <w:rFonts w:ascii="Arial" w:hAnsi="Arial" w:cs="Arial"/>
          <w:sz w:val="24"/>
          <w:szCs w:val="24"/>
        </w:rPr>
        <w:t>Aguinis</w:t>
      </w:r>
      <w:proofErr w:type="spellEnd"/>
      <w:r w:rsidRPr="00526E7C">
        <w:rPr>
          <w:rFonts w:ascii="Arial" w:hAnsi="Arial" w:cs="Arial"/>
          <w:sz w:val="24"/>
          <w:szCs w:val="24"/>
        </w:rPr>
        <w:t xml:space="preserve"> (2019) argues that effective performance management systems help organisations align employee performance with strategic goals while also supporting employee development. In the case of Tesco, departmental managers can ensure that employees understand performance expectations and receive regular feedback regarding their progress. This process helps employees improve their skills and maintain high levels of productivity.</w:t>
      </w:r>
    </w:p>
    <w:p w14:paraId="0B76FAC6" w14:textId="77777777" w:rsidR="00526E7C" w:rsidRPr="00526E7C" w:rsidRDefault="00526E7C" w:rsidP="00CD21EB">
      <w:pPr>
        <w:spacing w:line="360" w:lineRule="auto"/>
        <w:rPr>
          <w:rFonts w:ascii="Arial" w:hAnsi="Arial" w:cs="Arial"/>
          <w:sz w:val="24"/>
          <w:szCs w:val="24"/>
        </w:rPr>
      </w:pPr>
      <w:r w:rsidRPr="00526E7C">
        <w:rPr>
          <w:rFonts w:ascii="Arial" w:hAnsi="Arial" w:cs="Arial"/>
          <w:sz w:val="24"/>
          <w:szCs w:val="24"/>
        </w:rPr>
        <w:t>Departmental managers also play a key role in promoting diversity, equity and inclusion within the workplace. While HR departments may develop diversity policies, managers are responsible for ensuring that these policies are implemented fairly in everyday workplace interactions. Inclusive leadership practices encourage managers to treat employees fairly, respect individual differences and promote equal opportunities for career development. According to Shore et al. (2018), inclusive leadership contributes to improved employee engagement and organisational performance. Managers must therefore ensure that recruitment decisions, promotion opportunities and training programmes are accessible to all employees regardless of their background.</w:t>
      </w:r>
    </w:p>
    <w:p w14:paraId="6E7F262A" w14:textId="77777777" w:rsidR="00526E7C" w:rsidRPr="00526E7C" w:rsidRDefault="00526E7C" w:rsidP="00CD21EB">
      <w:pPr>
        <w:spacing w:line="360" w:lineRule="auto"/>
        <w:rPr>
          <w:rFonts w:ascii="Arial" w:hAnsi="Arial" w:cs="Arial"/>
          <w:sz w:val="24"/>
          <w:szCs w:val="24"/>
        </w:rPr>
      </w:pPr>
      <w:r w:rsidRPr="00526E7C">
        <w:rPr>
          <w:rFonts w:ascii="Arial" w:hAnsi="Arial" w:cs="Arial"/>
          <w:sz w:val="24"/>
          <w:szCs w:val="24"/>
        </w:rPr>
        <w:t>Creating an inclusive workplace environment also requires managers to address potential discrimination or bias that may occur within teams. Managers must ensure that employees feel respected and supported regardless of their gender, ethnicity, age or other personal characteristics. This may involve encouraging open communication, addressing conflicts within teams and ensuring that organisational policies related to equality and diversity are consistently applied. By demonstrating inclusive leadership behaviours, managers can strengthen organisational culture and support positive working relationships between employees.</w:t>
      </w:r>
    </w:p>
    <w:p w14:paraId="1EE807DB" w14:textId="77777777" w:rsidR="00526E7C" w:rsidRPr="00526E7C" w:rsidRDefault="00526E7C" w:rsidP="00CD21EB">
      <w:pPr>
        <w:spacing w:line="360" w:lineRule="auto"/>
        <w:rPr>
          <w:rFonts w:ascii="Arial" w:hAnsi="Arial" w:cs="Arial"/>
          <w:sz w:val="24"/>
          <w:szCs w:val="24"/>
        </w:rPr>
      </w:pPr>
      <w:r w:rsidRPr="00526E7C">
        <w:rPr>
          <w:rFonts w:ascii="Arial" w:hAnsi="Arial" w:cs="Arial"/>
          <w:sz w:val="24"/>
          <w:szCs w:val="24"/>
        </w:rPr>
        <w:t xml:space="preserve">Another important responsibility of departmental managers is ensuring that HR policies are implemented with urgency and consistency. Organisations may develop well-designed HR strategies, but their effectiveness depends on how they are applied within daily operations. Managers must therefore monitor whether HR practices are being followed correctly and address any challenges that may arise </w:t>
      </w:r>
      <w:r w:rsidRPr="00526E7C">
        <w:rPr>
          <w:rFonts w:ascii="Arial" w:hAnsi="Arial" w:cs="Arial"/>
          <w:sz w:val="24"/>
          <w:szCs w:val="24"/>
        </w:rPr>
        <w:lastRenderedPageBreak/>
        <w:t>during implementation. For example, managers may track employee participation in training programmes, review recruitment processes or evaluate employee feedback regarding workplace practices. Through active involvement in HR processes, managers can identify potential issues early and work with HR departments to develop solutions.</w:t>
      </w:r>
    </w:p>
    <w:p w14:paraId="468213EE" w14:textId="77777777" w:rsidR="00526E7C" w:rsidRPr="00526E7C" w:rsidRDefault="00526E7C" w:rsidP="00CD21EB">
      <w:pPr>
        <w:spacing w:line="360" w:lineRule="auto"/>
        <w:rPr>
          <w:rFonts w:ascii="Arial" w:hAnsi="Arial" w:cs="Arial"/>
          <w:sz w:val="24"/>
          <w:szCs w:val="24"/>
        </w:rPr>
      </w:pPr>
      <w:r w:rsidRPr="00526E7C">
        <w:rPr>
          <w:rFonts w:ascii="Arial" w:hAnsi="Arial" w:cs="Arial"/>
          <w:sz w:val="24"/>
          <w:szCs w:val="24"/>
        </w:rPr>
        <w:t>Managers also contribute to organisational communication by acting as a link between senior management, HR departments and employees. Clear communication ensures that employees understand organisational policies and expectations. Managers must therefore communicate HR initiatives clearly and encourage employees to participate in training programmes, diversity initiatives and performance management processes. Effective communication can also help build trust between employees and management, which is essential for successful HR implementation.</w:t>
      </w:r>
    </w:p>
    <w:p w14:paraId="07437438" w14:textId="77777777" w:rsidR="00526E7C" w:rsidRDefault="00526E7C" w:rsidP="00CD21EB">
      <w:pPr>
        <w:spacing w:line="360" w:lineRule="auto"/>
        <w:rPr>
          <w:rFonts w:ascii="Arial" w:hAnsi="Arial" w:cs="Arial"/>
          <w:sz w:val="24"/>
          <w:szCs w:val="24"/>
        </w:rPr>
      </w:pPr>
      <w:r w:rsidRPr="00526E7C">
        <w:rPr>
          <w:rFonts w:ascii="Arial" w:hAnsi="Arial" w:cs="Arial"/>
          <w:sz w:val="24"/>
          <w:szCs w:val="24"/>
        </w:rPr>
        <w:t>Through leadership, communication and performance management responsibilities, departmental managers ensure that HR practices are applied effectively within organisations such as Tesco. Their role in supporting technological adaptation, managing employee performance and promoting inclusive workplace cultures is essential for achieving organisational objectives and improving employee engagement.</w:t>
      </w:r>
    </w:p>
    <w:p w14:paraId="7BDF5C82" w14:textId="77777777" w:rsidR="00CD21EB" w:rsidRDefault="00CD21EB" w:rsidP="00CD21EB">
      <w:pPr>
        <w:spacing w:line="360" w:lineRule="auto"/>
        <w:rPr>
          <w:rFonts w:ascii="Arial" w:hAnsi="Arial" w:cs="Arial"/>
          <w:sz w:val="24"/>
          <w:szCs w:val="24"/>
        </w:rPr>
      </w:pPr>
    </w:p>
    <w:p w14:paraId="281AD8FD" w14:textId="77777777" w:rsidR="00CD21EB" w:rsidRPr="00526E7C" w:rsidRDefault="00CD21EB" w:rsidP="00CD21EB">
      <w:pPr>
        <w:spacing w:line="360" w:lineRule="auto"/>
        <w:rPr>
          <w:rFonts w:ascii="Arial" w:hAnsi="Arial" w:cs="Arial"/>
          <w:sz w:val="24"/>
          <w:szCs w:val="24"/>
        </w:rPr>
      </w:pPr>
    </w:p>
    <w:p w14:paraId="20EA004D" w14:textId="77777777" w:rsidR="004A3FCE" w:rsidRPr="004A3FCE" w:rsidRDefault="004A3FCE" w:rsidP="00CD21EB">
      <w:pPr>
        <w:pStyle w:val="Heading1"/>
      </w:pPr>
      <w:bookmarkStart w:id="3" w:name="_Toc224063133"/>
      <w:r w:rsidRPr="004A3FCE">
        <w:t>Conclusion and Recommendations</w:t>
      </w:r>
      <w:bookmarkEnd w:id="3"/>
    </w:p>
    <w:p w14:paraId="26907505" w14:textId="77777777" w:rsidR="001B03F6" w:rsidRPr="001B03F6" w:rsidRDefault="001B03F6" w:rsidP="00CD21EB">
      <w:pPr>
        <w:spacing w:line="360" w:lineRule="auto"/>
        <w:rPr>
          <w:rFonts w:ascii="Arial" w:hAnsi="Arial" w:cs="Arial"/>
          <w:sz w:val="24"/>
          <w:szCs w:val="24"/>
        </w:rPr>
      </w:pPr>
      <w:r w:rsidRPr="001B03F6">
        <w:rPr>
          <w:rFonts w:ascii="Arial" w:hAnsi="Arial" w:cs="Arial"/>
          <w:sz w:val="24"/>
          <w:szCs w:val="24"/>
        </w:rPr>
        <w:t xml:space="preserve">Human resource management is essential for organisational performance, particularly in large organisations such as Tesco where managing a large workforce requires effective strategies and leadership. This report examined three key HR challenges affecting Tesco: technological advancement, talent acquisition and retention, and diversity, equity and inclusion (DEI). The analysis showed that digital transformation, workforce competition and the need for inclusive workplaces are major factors influencing HR practices in modern organisations. Contemporary HR practices such as digital HR systems, employee development programmes, flexible working arrangements and diversity initiatives help organisations respond to these </w:t>
      </w:r>
      <w:r w:rsidRPr="001B03F6">
        <w:rPr>
          <w:rFonts w:ascii="Arial" w:hAnsi="Arial" w:cs="Arial"/>
          <w:sz w:val="24"/>
          <w:szCs w:val="24"/>
        </w:rPr>
        <w:lastRenderedPageBreak/>
        <w:t>challenges. However, the successful implementation of these practices depends strongly on departmental managers who are responsible for supporting employees, monitoring performance and promoting inclusive workplace cultures.</w:t>
      </w:r>
    </w:p>
    <w:p w14:paraId="0EE619AF" w14:textId="77777777" w:rsidR="001B03F6" w:rsidRPr="001B03F6" w:rsidRDefault="001B03F6" w:rsidP="00CD21EB">
      <w:pPr>
        <w:spacing w:line="360" w:lineRule="auto"/>
        <w:rPr>
          <w:rFonts w:ascii="Arial" w:hAnsi="Arial" w:cs="Arial"/>
          <w:sz w:val="24"/>
          <w:szCs w:val="24"/>
        </w:rPr>
      </w:pPr>
      <w:r w:rsidRPr="001B03F6">
        <w:rPr>
          <w:rFonts w:ascii="Arial" w:hAnsi="Arial" w:cs="Arial"/>
          <w:sz w:val="24"/>
          <w:szCs w:val="24"/>
        </w:rPr>
        <w:t>Several recommendations can strengthen HR management within Tesco. The organisation should continue investing in digital training programmes, strengthen talent development initiatives and expand diversity and inclusion policies. In addition, departmental managers should receive further leadership training to ensure that HR practices are implemented consistently across all organisational levels.</w:t>
      </w:r>
    </w:p>
    <w:p w14:paraId="5D2FFDB3" w14:textId="77777777" w:rsidR="00247254" w:rsidRPr="00CD21EB" w:rsidRDefault="00247254" w:rsidP="00CD21EB">
      <w:pPr>
        <w:spacing w:line="360" w:lineRule="auto"/>
        <w:rPr>
          <w:rFonts w:ascii="Arial" w:hAnsi="Arial" w:cs="Arial"/>
          <w:sz w:val="24"/>
          <w:szCs w:val="24"/>
        </w:rPr>
      </w:pPr>
    </w:p>
    <w:p w14:paraId="1064047C" w14:textId="77777777" w:rsidR="00CD21EB" w:rsidRPr="00CD21EB" w:rsidRDefault="00CD21EB" w:rsidP="00CD21EB">
      <w:pPr>
        <w:spacing w:line="360" w:lineRule="auto"/>
        <w:rPr>
          <w:rFonts w:ascii="Arial" w:hAnsi="Arial" w:cs="Arial"/>
          <w:sz w:val="24"/>
          <w:szCs w:val="24"/>
        </w:rPr>
      </w:pPr>
    </w:p>
    <w:p w14:paraId="4E1056AD" w14:textId="77777777" w:rsidR="00CD21EB" w:rsidRDefault="00CD21EB" w:rsidP="00CD21EB">
      <w:pPr>
        <w:spacing w:line="360" w:lineRule="auto"/>
        <w:rPr>
          <w:rFonts w:ascii="Arial" w:hAnsi="Arial" w:cs="Arial"/>
          <w:sz w:val="24"/>
          <w:szCs w:val="24"/>
        </w:rPr>
      </w:pPr>
    </w:p>
    <w:p w14:paraId="67732685" w14:textId="77777777" w:rsidR="00CD21EB" w:rsidRDefault="00CD21EB" w:rsidP="00CD21EB">
      <w:pPr>
        <w:spacing w:line="360" w:lineRule="auto"/>
        <w:rPr>
          <w:rFonts w:ascii="Arial" w:hAnsi="Arial" w:cs="Arial"/>
          <w:sz w:val="24"/>
          <w:szCs w:val="24"/>
        </w:rPr>
      </w:pPr>
    </w:p>
    <w:p w14:paraId="6EE2377F" w14:textId="77777777" w:rsidR="00CD21EB" w:rsidRDefault="00CD21EB" w:rsidP="00CD21EB">
      <w:pPr>
        <w:spacing w:line="360" w:lineRule="auto"/>
        <w:rPr>
          <w:rFonts w:ascii="Arial" w:hAnsi="Arial" w:cs="Arial"/>
          <w:sz w:val="24"/>
          <w:szCs w:val="24"/>
        </w:rPr>
      </w:pPr>
    </w:p>
    <w:p w14:paraId="4F8CF027" w14:textId="77777777" w:rsidR="00CD21EB" w:rsidRDefault="00CD21EB" w:rsidP="00CD21EB">
      <w:pPr>
        <w:spacing w:line="360" w:lineRule="auto"/>
        <w:rPr>
          <w:rFonts w:ascii="Arial" w:hAnsi="Arial" w:cs="Arial"/>
          <w:sz w:val="24"/>
          <w:szCs w:val="24"/>
        </w:rPr>
      </w:pPr>
    </w:p>
    <w:p w14:paraId="48FCC555" w14:textId="77777777" w:rsidR="00CD21EB" w:rsidRDefault="00CD21EB" w:rsidP="00CD21EB">
      <w:pPr>
        <w:spacing w:line="360" w:lineRule="auto"/>
        <w:rPr>
          <w:rFonts w:ascii="Arial" w:hAnsi="Arial" w:cs="Arial"/>
          <w:sz w:val="24"/>
          <w:szCs w:val="24"/>
        </w:rPr>
      </w:pPr>
    </w:p>
    <w:p w14:paraId="46A58080" w14:textId="77777777" w:rsidR="003A2D27" w:rsidRDefault="003A2D27" w:rsidP="00CD21EB">
      <w:pPr>
        <w:spacing w:line="360" w:lineRule="auto"/>
        <w:rPr>
          <w:rFonts w:ascii="Arial" w:hAnsi="Arial" w:cs="Arial"/>
          <w:sz w:val="24"/>
          <w:szCs w:val="24"/>
        </w:rPr>
      </w:pPr>
    </w:p>
    <w:p w14:paraId="78B9B3B3" w14:textId="77777777" w:rsidR="003A2D27" w:rsidRDefault="003A2D27" w:rsidP="00CD21EB">
      <w:pPr>
        <w:spacing w:line="360" w:lineRule="auto"/>
        <w:rPr>
          <w:rFonts w:ascii="Arial" w:hAnsi="Arial" w:cs="Arial"/>
          <w:sz w:val="24"/>
          <w:szCs w:val="24"/>
        </w:rPr>
      </w:pPr>
    </w:p>
    <w:p w14:paraId="516F3FA2" w14:textId="77777777" w:rsidR="003A2D27" w:rsidRDefault="003A2D27" w:rsidP="00CD21EB">
      <w:pPr>
        <w:spacing w:line="360" w:lineRule="auto"/>
        <w:rPr>
          <w:rFonts w:ascii="Arial" w:hAnsi="Arial" w:cs="Arial"/>
          <w:sz w:val="24"/>
          <w:szCs w:val="24"/>
        </w:rPr>
      </w:pPr>
    </w:p>
    <w:p w14:paraId="0BCC9FA9" w14:textId="77777777" w:rsidR="003A2D27" w:rsidRDefault="003A2D27" w:rsidP="00CD21EB">
      <w:pPr>
        <w:spacing w:line="360" w:lineRule="auto"/>
        <w:rPr>
          <w:rFonts w:ascii="Arial" w:hAnsi="Arial" w:cs="Arial"/>
          <w:sz w:val="24"/>
          <w:szCs w:val="24"/>
        </w:rPr>
      </w:pPr>
    </w:p>
    <w:p w14:paraId="120B2BE7" w14:textId="77777777" w:rsidR="003A2D27" w:rsidRDefault="003A2D27" w:rsidP="00CD21EB">
      <w:pPr>
        <w:spacing w:line="360" w:lineRule="auto"/>
        <w:rPr>
          <w:rFonts w:ascii="Arial" w:hAnsi="Arial" w:cs="Arial"/>
          <w:sz w:val="24"/>
          <w:szCs w:val="24"/>
        </w:rPr>
      </w:pPr>
    </w:p>
    <w:p w14:paraId="0290A4F1" w14:textId="77777777" w:rsidR="003A2D27" w:rsidRDefault="003A2D27" w:rsidP="00CD21EB">
      <w:pPr>
        <w:spacing w:line="360" w:lineRule="auto"/>
        <w:rPr>
          <w:rFonts w:ascii="Arial" w:hAnsi="Arial" w:cs="Arial"/>
          <w:sz w:val="24"/>
          <w:szCs w:val="24"/>
        </w:rPr>
      </w:pPr>
    </w:p>
    <w:p w14:paraId="62CAF6D8" w14:textId="77777777" w:rsidR="003A2D27" w:rsidRPr="00CD21EB" w:rsidRDefault="003A2D27" w:rsidP="00CD21EB">
      <w:pPr>
        <w:spacing w:line="360" w:lineRule="auto"/>
        <w:rPr>
          <w:rFonts w:ascii="Arial" w:hAnsi="Arial" w:cs="Arial"/>
          <w:sz w:val="24"/>
          <w:szCs w:val="24"/>
        </w:rPr>
      </w:pPr>
    </w:p>
    <w:p w14:paraId="3DF2A59C" w14:textId="77777777" w:rsidR="00CD21EB" w:rsidRPr="00CD21EB" w:rsidRDefault="00CD21EB" w:rsidP="00CD21EB">
      <w:pPr>
        <w:spacing w:line="360" w:lineRule="auto"/>
        <w:rPr>
          <w:rFonts w:ascii="Arial" w:hAnsi="Arial" w:cs="Arial"/>
          <w:sz w:val="24"/>
          <w:szCs w:val="24"/>
        </w:rPr>
      </w:pPr>
    </w:p>
    <w:p w14:paraId="3A28D30A" w14:textId="77777777" w:rsidR="00CD21EB" w:rsidRPr="00CD21EB" w:rsidRDefault="00CD21EB" w:rsidP="00CD21EB">
      <w:pPr>
        <w:spacing w:line="360" w:lineRule="auto"/>
        <w:rPr>
          <w:rFonts w:ascii="Arial" w:hAnsi="Arial" w:cs="Arial"/>
          <w:sz w:val="24"/>
          <w:szCs w:val="24"/>
        </w:rPr>
      </w:pPr>
    </w:p>
    <w:p w14:paraId="3E3933C1" w14:textId="77777777" w:rsidR="00CD21EB" w:rsidRPr="00CD21EB" w:rsidRDefault="00CD21EB" w:rsidP="00CD21EB">
      <w:pPr>
        <w:pStyle w:val="Heading1"/>
      </w:pPr>
      <w:bookmarkStart w:id="4" w:name="_Toc224063134"/>
      <w:r w:rsidRPr="00CD21EB">
        <w:lastRenderedPageBreak/>
        <w:t>References</w:t>
      </w:r>
      <w:bookmarkEnd w:id="4"/>
    </w:p>
    <w:p w14:paraId="33834623" w14:textId="77777777" w:rsidR="00CD21EB" w:rsidRPr="00CD21EB" w:rsidRDefault="00CD21EB" w:rsidP="00CD21EB">
      <w:pPr>
        <w:spacing w:line="360" w:lineRule="auto"/>
        <w:rPr>
          <w:rFonts w:ascii="Arial" w:hAnsi="Arial" w:cs="Arial"/>
          <w:sz w:val="24"/>
          <w:szCs w:val="24"/>
        </w:rPr>
      </w:pPr>
      <w:r w:rsidRPr="00CD21EB">
        <w:rPr>
          <w:rFonts w:ascii="Arial" w:hAnsi="Arial" w:cs="Arial"/>
          <w:sz w:val="24"/>
          <w:szCs w:val="24"/>
        </w:rPr>
        <w:t xml:space="preserve">Aguinis, H. (2019) </w:t>
      </w:r>
      <w:r w:rsidRPr="00CD21EB">
        <w:rPr>
          <w:rFonts w:ascii="Arial" w:hAnsi="Arial" w:cs="Arial"/>
          <w:i/>
          <w:iCs/>
          <w:sz w:val="24"/>
          <w:szCs w:val="24"/>
        </w:rPr>
        <w:t>Performance management</w:t>
      </w:r>
      <w:r w:rsidRPr="00CD21EB">
        <w:rPr>
          <w:rFonts w:ascii="Arial" w:hAnsi="Arial" w:cs="Arial"/>
          <w:sz w:val="24"/>
          <w:szCs w:val="24"/>
        </w:rPr>
        <w:t xml:space="preserve">. 4th </w:t>
      </w:r>
      <w:proofErr w:type="spellStart"/>
      <w:r w:rsidRPr="00CD21EB">
        <w:rPr>
          <w:rFonts w:ascii="Arial" w:hAnsi="Arial" w:cs="Arial"/>
          <w:sz w:val="24"/>
          <w:szCs w:val="24"/>
        </w:rPr>
        <w:t>edn</w:t>
      </w:r>
      <w:proofErr w:type="spellEnd"/>
      <w:r w:rsidRPr="00CD21EB">
        <w:rPr>
          <w:rFonts w:ascii="Arial" w:hAnsi="Arial" w:cs="Arial"/>
          <w:sz w:val="24"/>
          <w:szCs w:val="24"/>
        </w:rPr>
        <w:t>. Chicago: Chicago Business Press.</w:t>
      </w:r>
    </w:p>
    <w:p w14:paraId="4E266A15" w14:textId="77777777" w:rsidR="00CD21EB" w:rsidRPr="00CD21EB" w:rsidRDefault="00CD21EB" w:rsidP="00CD21EB">
      <w:pPr>
        <w:spacing w:line="360" w:lineRule="auto"/>
        <w:rPr>
          <w:rFonts w:ascii="Arial" w:hAnsi="Arial" w:cs="Arial"/>
          <w:sz w:val="24"/>
          <w:szCs w:val="24"/>
        </w:rPr>
      </w:pPr>
      <w:r w:rsidRPr="00CD21EB">
        <w:rPr>
          <w:rFonts w:ascii="Arial" w:hAnsi="Arial" w:cs="Arial"/>
          <w:sz w:val="24"/>
          <w:szCs w:val="24"/>
        </w:rPr>
        <w:t xml:space="preserve">Armstrong, M. and Taylor, S. (2023) </w:t>
      </w:r>
      <w:r w:rsidRPr="00CD21EB">
        <w:rPr>
          <w:rFonts w:ascii="Arial" w:hAnsi="Arial" w:cs="Arial"/>
          <w:i/>
          <w:iCs/>
          <w:sz w:val="24"/>
          <w:szCs w:val="24"/>
        </w:rPr>
        <w:t>Armstrong’s handbook of human resource management practice</w:t>
      </w:r>
      <w:r w:rsidRPr="00CD21EB">
        <w:rPr>
          <w:rFonts w:ascii="Arial" w:hAnsi="Arial" w:cs="Arial"/>
          <w:sz w:val="24"/>
          <w:szCs w:val="24"/>
        </w:rPr>
        <w:t xml:space="preserve">. 16th </w:t>
      </w:r>
      <w:proofErr w:type="spellStart"/>
      <w:r w:rsidRPr="00CD21EB">
        <w:rPr>
          <w:rFonts w:ascii="Arial" w:hAnsi="Arial" w:cs="Arial"/>
          <w:sz w:val="24"/>
          <w:szCs w:val="24"/>
        </w:rPr>
        <w:t>edn</w:t>
      </w:r>
      <w:proofErr w:type="spellEnd"/>
      <w:r w:rsidRPr="00CD21EB">
        <w:rPr>
          <w:rFonts w:ascii="Arial" w:hAnsi="Arial" w:cs="Arial"/>
          <w:sz w:val="24"/>
          <w:szCs w:val="24"/>
        </w:rPr>
        <w:t>. London: Kogan Page.</w:t>
      </w:r>
    </w:p>
    <w:p w14:paraId="32C07867" w14:textId="77777777" w:rsidR="00CD21EB" w:rsidRPr="00CD21EB" w:rsidRDefault="00CD21EB" w:rsidP="00CD21EB">
      <w:pPr>
        <w:spacing w:line="360" w:lineRule="auto"/>
        <w:rPr>
          <w:rFonts w:ascii="Arial" w:hAnsi="Arial" w:cs="Arial"/>
          <w:sz w:val="24"/>
          <w:szCs w:val="24"/>
        </w:rPr>
      </w:pPr>
      <w:r w:rsidRPr="00CD21EB">
        <w:rPr>
          <w:rFonts w:ascii="Arial" w:hAnsi="Arial" w:cs="Arial"/>
          <w:sz w:val="24"/>
          <w:szCs w:val="24"/>
        </w:rPr>
        <w:t xml:space="preserve">Backhaus, K. and Tikoo, S. (2004) ‘Conceptualizing and researching employer branding’, </w:t>
      </w:r>
      <w:r w:rsidRPr="00CD21EB">
        <w:rPr>
          <w:rFonts w:ascii="Arial" w:hAnsi="Arial" w:cs="Arial"/>
          <w:i/>
          <w:iCs/>
          <w:sz w:val="24"/>
          <w:szCs w:val="24"/>
        </w:rPr>
        <w:t>Career Development International</w:t>
      </w:r>
      <w:r w:rsidRPr="00CD21EB">
        <w:rPr>
          <w:rFonts w:ascii="Arial" w:hAnsi="Arial" w:cs="Arial"/>
          <w:sz w:val="24"/>
          <w:szCs w:val="24"/>
        </w:rPr>
        <w:t>, 9(5), pp. 501–517.</w:t>
      </w:r>
    </w:p>
    <w:p w14:paraId="1CD7D9EB" w14:textId="77777777" w:rsidR="00CD21EB" w:rsidRPr="00CD21EB" w:rsidRDefault="00CD21EB" w:rsidP="00CD21EB">
      <w:pPr>
        <w:spacing w:line="360" w:lineRule="auto"/>
        <w:rPr>
          <w:rFonts w:ascii="Arial" w:hAnsi="Arial" w:cs="Arial"/>
          <w:sz w:val="24"/>
          <w:szCs w:val="24"/>
        </w:rPr>
      </w:pPr>
      <w:r w:rsidRPr="00CD21EB">
        <w:rPr>
          <w:rFonts w:ascii="Arial" w:hAnsi="Arial" w:cs="Arial"/>
          <w:sz w:val="24"/>
          <w:szCs w:val="24"/>
        </w:rPr>
        <w:t xml:space="preserve">Boxall, P. and Purcell, J. (2016) </w:t>
      </w:r>
      <w:r w:rsidRPr="00CD21EB">
        <w:rPr>
          <w:rFonts w:ascii="Arial" w:hAnsi="Arial" w:cs="Arial"/>
          <w:i/>
          <w:iCs/>
          <w:sz w:val="24"/>
          <w:szCs w:val="24"/>
        </w:rPr>
        <w:t>Strategy and human resource management</w:t>
      </w:r>
      <w:r w:rsidRPr="00CD21EB">
        <w:rPr>
          <w:rFonts w:ascii="Arial" w:hAnsi="Arial" w:cs="Arial"/>
          <w:sz w:val="24"/>
          <w:szCs w:val="24"/>
        </w:rPr>
        <w:t xml:space="preserve">. 4th </w:t>
      </w:r>
      <w:proofErr w:type="spellStart"/>
      <w:r w:rsidRPr="00CD21EB">
        <w:rPr>
          <w:rFonts w:ascii="Arial" w:hAnsi="Arial" w:cs="Arial"/>
          <w:sz w:val="24"/>
          <w:szCs w:val="24"/>
        </w:rPr>
        <w:t>edn</w:t>
      </w:r>
      <w:proofErr w:type="spellEnd"/>
      <w:r w:rsidRPr="00CD21EB">
        <w:rPr>
          <w:rFonts w:ascii="Arial" w:hAnsi="Arial" w:cs="Arial"/>
          <w:sz w:val="24"/>
          <w:szCs w:val="24"/>
        </w:rPr>
        <w:t>. London: Palgrave Macmillan.</w:t>
      </w:r>
    </w:p>
    <w:p w14:paraId="1FCFBF53" w14:textId="77777777" w:rsidR="00CD21EB" w:rsidRPr="00CD21EB" w:rsidRDefault="00CD21EB" w:rsidP="00CD21EB">
      <w:pPr>
        <w:spacing w:line="360" w:lineRule="auto"/>
        <w:rPr>
          <w:rFonts w:ascii="Arial" w:hAnsi="Arial" w:cs="Arial"/>
          <w:sz w:val="24"/>
          <w:szCs w:val="24"/>
        </w:rPr>
      </w:pPr>
      <w:r w:rsidRPr="00CD21EB">
        <w:rPr>
          <w:rFonts w:ascii="Arial" w:hAnsi="Arial" w:cs="Arial"/>
          <w:sz w:val="24"/>
          <w:szCs w:val="24"/>
        </w:rPr>
        <w:t xml:space="preserve">CIPD (2023) </w:t>
      </w:r>
      <w:r w:rsidRPr="00CD21EB">
        <w:rPr>
          <w:rFonts w:ascii="Arial" w:hAnsi="Arial" w:cs="Arial"/>
          <w:i/>
          <w:iCs/>
          <w:sz w:val="24"/>
          <w:szCs w:val="24"/>
        </w:rPr>
        <w:t>Flexible working practices and organisational performance</w:t>
      </w:r>
      <w:r w:rsidRPr="00CD21EB">
        <w:rPr>
          <w:rFonts w:ascii="Arial" w:hAnsi="Arial" w:cs="Arial"/>
          <w:sz w:val="24"/>
          <w:szCs w:val="24"/>
        </w:rPr>
        <w:t xml:space="preserve">. London: Chartered Institute of Personnel and Development. Available at: </w:t>
      </w:r>
      <w:hyperlink r:id="rId7" w:tgtFrame="_new" w:history="1">
        <w:r w:rsidRPr="00CD21EB">
          <w:rPr>
            <w:rStyle w:val="Hyperlink"/>
            <w:rFonts w:ascii="Arial" w:hAnsi="Arial" w:cs="Arial"/>
            <w:sz w:val="24"/>
            <w:szCs w:val="24"/>
          </w:rPr>
          <w:t>https://www.cipd.co.uk</w:t>
        </w:r>
      </w:hyperlink>
    </w:p>
    <w:p w14:paraId="7FEB9A68" w14:textId="77777777" w:rsidR="00CD21EB" w:rsidRPr="00CD21EB" w:rsidRDefault="00CD21EB" w:rsidP="00CD21EB">
      <w:pPr>
        <w:spacing w:line="360" w:lineRule="auto"/>
        <w:rPr>
          <w:rFonts w:ascii="Arial" w:hAnsi="Arial" w:cs="Arial"/>
          <w:sz w:val="24"/>
          <w:szCs w:val="24"/>
        </w:rPr>
      </w:pPr>
      <w:r w:rsidRPr="00CD21EB">
        <w:rPr>
          <w:rFonts w:ascii="Arial" w:hAnsi="Arial" w:cs="Arial"/>
          <w:sz w:val="24"/>
          <w:szCs w:val="24"/>
        </w:rPr>
        <w:t xml:space="preserve">Guest, D.E. (2017) ‘Human resource management and employee well-being: Towards a new analytic framework’, </w:t>
      </w:r>
      <w:r w:rsidRPr="00CD21EB">
        <w:rPr>
          <w:rFonts w:ascii="Arial" w:hAnsi="Arial" w:cs="Arial"/>
          <w:i/>
          <w:iCs/>
          <w:sz w:val="24"/>
          <w:szCs w:val="24"/>
        </w:rPr>
        <w:t>Human Resource Management Journal</w:t>
      </w:r>
      <w:r w:rsidRPr="00CD21EB">
        <w:rPr>
          <w:rFonts w:ascii="Arial" w:hAnsi="Arial" w:cs="Arial"/>
          <w:sz w:val="24"/>
          <w:szCs w:val="24"/>
        </w:rPr>
        <w:t>, 27(1), pp. 22–38.</w:t>
      </w:r>
    </w:p>
    <w:p w14:paraId="0C8F7E06" w14:textId="77777777" w:rsidR="00CD21EB" w:rsidRPr="00CD21EB" w:rsidRDefault="00CD21EB" w:rsidP="00CD21EB">
      <w:pPr>
        <w:spacing w:line="360" w:lineRule="auto"/>
        <w:rPr>
          <w:rFonts w:ascii="Arial" w:hAnsi="Arial" w:cs="Arial"/>
          <w:sz w:val="24"/>
          <w:szCs w:val="24"/>
        </w:rPr>
      </w:pPr>
      <w:r w:rsidRPr="00CD21EB">
        <w:rPr>
          <w:rFonts w:ascii="Arial" w:hAnsi="Arial" w:cs="Arial"/>
          <w:sz w:val="24"/>
          <w:szCs w:val="24"/>
        </w:rPr>
        <w:t xml:space="preserve">Kotter, J.P. (1996) </w:t>
      </w:r>
      <w:r w:rsidRPr="00CD21EB">
        <w:rPr>
          <w:rFonts w:ascii="Arial" w:hAnsi="Arial" w:cs="Arial"/>
          <w:i/>
          <w:iCs/>
          <w:sz w:val="24"/>
          <w:szCs w:val="24"/>
        </w:rPr>
        <w:t>Leading change</w:t>
      </w:r>
      <w:r w:rsidRPr="00CD21EB">
        <w:rPr>
          <w:rFonts w:ascii="Arial" w:hAnsi="Arial" w:cs="Arial"/>
          <w:sz w:val="24"/>
          <w:szCs w:val="24"/>
        </w:rPr>
        <w:t>. Boston: Harvard Business School Press.</w:t>
      </w:r>
    </w:p>
    <w:p w14:paraId="77E25191" w14:textId="77777777" w:rsidR="00CD21EB" w:rsidRPr="00CD21EB" w:rsidRDefault="00CD21EB" w:rsidP="00CD21EB">
      <w:pPr>
        <w:spacing w:line="360" w:lineRule="auto"/>
        <w:rPr>
          <w:rFonts w:ascii="Arial" w:hAnsi="Arial" w:cs="Arial"/>
          <w:sz w:val="24"/>
          <w:szCs w:val="24"/>
        </w:rPr>
      </w:pPr>
      <w:r w:rsidRPr="00CD21EB">
        <w:rPr>
          <w:rFonts w:ascii="Arial" w:hAnsi="Arial" w:cs="Arial"/>
          <w:sz w:val="24"/>
          <w:szCs w:val="24"/>
        </w:rPr>
        <w:t xml:space="preserve">Shore, L.M., Cleveland, J.N. and Sanchez, D. (2018) ‘Inclusive workplaces: A review and model’, </w:t>
      </w:r>
      <w:r w:rsidRPr="00CD21EB">
        <w:rPr>
          <w:rFonts w:ascii="Arial" w:hAnsi="Arial" w:cs="Arial"/>
          <w:i/>
          <w:iCs/>
          <w:sz w:val="24"/>
          <w:szCs w:val="24"/>
        </w:rPr>
        <w:t>Human Resource Management Review</w:t>
      </w:r>
      <w:r w:rsidRPr="00CD21EB">
        <w:rPr>
          <w:rFonts w:ascii="Arial" w:hAnsi="Arial" w:cs="Arial"/>
          <w:sz w:val="24"/>
          <w:szCs w:val="24"/>
        </w:rPr>
        <w:t>, 28(2), pp. 176–189.</w:t>
      </w:r>
    </w:p>
    <w:p w14:paraId="40601A04" w14:textId="77777777" w:rsidR="00CD21EB" w:rsidRPr="00CD21EB" w:rsidRDefault="00CD21EB" w:rsidP="00CD21EB">
      <w:pPr>
        <w:spacing w:line="360" w:lineRule="auto"/>
        <w:rPr>
          <w:rFonts w:ascii="Arial" w:hAnsi="Arial" w:cs="Arial"/>
          <w:sz w:val="24"/>
          <w:szCs w:val="24"/>
        </w:rPr>
      </w:pPr>
      <w:r w:rsidRPr="00CD21EB">
        <w:rPr>
          <w:rFonts w:ascii="Arial" w:hAnsi="Arial" w:cs="Arial"/>
          <w:sz w:val="24"/>
          <w:szCs w:val="24"/>
        </w:rPr>
        <w:t xml:space="preserve">Strohmeier, S. (2020) ‘Digital human resource management: A conceptual clarification’, </w:t>
      </w:r>
      <w:r w:rsidRPr="00CD21EB">
        <w:rPr>
          <w:rFonts w:ascii="Arial" w:hAnsi="Arial" w:cs="Arial"/>
          <w:i/>
          <w:iCs/>
          <w:sz w:val="24"/>
          <w:szCs w:val="24"/>
        </w:rPr>
        <w:t>German Journal of Human Resource Management</w:t>
      </w:r>
      <w:r w:rsidRPr="00CD21EB">
        <w:rPr>
          <w:rFonts w:ascii="Arial" w:hAnsi="Arial" w:cs="Arial"/>
          <w:sz w:val="24"/>
          <w:szCs w:val="24"/>
        </w:rPr>
        <w:t>, 34(3), pp. 345–365.</w:t>
      </w:r>
    </w:p>
    <w:p w14:paraId="41D2EC7C" w14:textId="77777777" w:rsidR="00CD21EB" w:rsidRPr="00CD21EB" w:rsidRDefault="00CD21EB" w:rsidP="00CD21EB">
      <w:pPr>
        <w:spacing w:line="360" w:lineRule="auto"/>
        <w:rPr>
          <w:rFonts w:ascii="Arial" w:hAnsi="Arial" w:cs="Arial"/>
          <w:sz w:val="24"/>
          <w:szCs w:val="24"/>
        </w:rPr>
      </w:pPr>
      <w:r w:rsidRPr="00CD21EB">
        <w:rPr>
          <w:rFonts w:ascii="Arial" w:hAnsi="Arial" w:cs="Arial"/>
          <w:sz w:val="24"/>
          <w:szCs w:val="24"/>
        </w:rPr>
        <w:t xml:space="preserve">Tesco (2024) </w:t>
      </w:r>
      <w:r w:rsidRPr="00CD21EB">
        <w:rPr>
          <w:rFonts w:ascii="Arial" w:hAnsi="Arial" w:cs="Arial"/>
          <w:i/>
          <w:iCs/>
          <w:sz w:val="24"/>
          <w:szCs w:val="24"/>
        </w:rPr>
        <w:t>Annual report and financial statements 2024</w:t>
      </w:r>
      <w:r w:rsidRPr="00CD21EB">
        <w:rPr>
          <w:rFonts w:ascii="Arial" w:hAnsi="Arial" w:cs="Arial"/>
          <w:sz w:val="24"/>
          <w:szCs w:val="24"/>
        </w:rPr>
        <w:t xml:space="preserve">. London: Tesco plc. Available at: </w:t>
      </w:r>
      <w:hyperlink r:id="rId8" w:tgtFrame="_new" w:history="1">
        <w:r w:rsidRPr="00CD21EB">
          <w:rPr>
            <w:rStyle w:val="Hyperlink"/>
            <w:rFonts w:ascii="Arial" w:hAnsi="Arial" w:cs="Arial"/>
            <w:sz w:val="24"/>
            <w:szCs w:val="24"/>
          </w:rPr>
          <w:t>https://www.tescoplc.com</w:t>
        </w:r>
      </w:hyperlink>
    </w:p>
    <w:p w14:paraId="49438BF1" w14:textId="77777777" w:rsidR="00CD21EB" w:rsidRPr="00CD21EB" w:rsidRDefault="00CD21EB" w:rsidP="00CD21EB">
      <w:pPr>
        <w:spacing w:line="360" w:lineRule="auto"/>
        <w:rPr>
          <w:rFonts w:ascii="Arial" w:hAnsi="Arial" w:cs="Arial"/>
          <w:sz w:val="24"/>
          <w:szCs w:val="24"/>
        </w:rPr>
      </w:pPr>
    </w:p>
    <w:sectPr w:rsidR="00CD21EB" w:rsidRPr="00CD21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5156"/>
    <w:rsid w:val="00083CC5"/>
    <w:rsid w:val="00156B2C"/>
    <w:rsid w:val="001B03F6"/>
    <w:rsid w:val="00247254"/>
    <w:rsid w:val="003A2D27"/>
    <w:rsid w:val="004A3FCE"/>
    <w:rsid w:val="00526E7C"/>
    <w:rsid w:val="00594EDF"/>
    <w:rsid w:val="00972EDA"/>
    <w:rsid w:val="009F1CC3"/>
    <w:rsid w:val="00B02CFE"/>
    <w:rsid w:val="00B840A8"/>
    <w:rsid w:val="00C533EB"/>
    <w:rsid w:val="00CD21EB"/>
    <w:rsid w:val="00D651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CF05B5"/>
  <w15:chartTrackingRefBased/>
  <w15:docId w15:val="{CB8C4C16-631E-4B0F-A071-9E2DC8ACC2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51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51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51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51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51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51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51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51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51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51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51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51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51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51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51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51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51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5156"/>
    <w:rPr>
      <w:rFonts w:eastAsiaTheme="majorEastAsia" w:cstheme="majorBidi"/>
      <w:color w:val="272727" w:themeColor="text1" w:themeTint="D8"/>
    </w:rPr>
  </w:style>
  <w:style w:type="paragraph" w:styleId="Title">
    <w:name w:val="Title"/>
    <w:basedOn w:val="Normal"/>
    <w:next w:val="Normal"/>
    <w:link w:val="TitleChar"/>
    <w:uiPriority w:val="10"/>
    <w:qFormat/>
    <w:rsid w:val="00D651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51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51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51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5156"/>
    <w:pPr>
      <w:spacing w:before="160"/>
      <w:jc w:val="center"/>
    </w:pPr>
    <w:rPr>
      <w:i/>
      <w:iCs/>
      <w:color w:val="404040" w:themeColor="text1" w:themeTint="BF"/>
    </w:rPr>
  </w:style>
  <w:style w:type="character" w:customStyle="1" w:styleId="QuoteChar">
    <w:name w:val="Quote Char"/>
    <w:basedOn w:val="DefaultParagraphFont"/>
    <w:link w:val="Quote"/>
    <w:uiPriority w:val="29"/>
    <w:rsid w:val="00D65156"/>
    <w:rPr>
      <w:i/>
      <w:iCs/>
      <w:color w:val="404040" w:themeColor="text1" w:themeTint="BF"/>
    </w:rPr>
  </w:style>
  <w:style w:type="paragraph" w:styleId="ListParagraph">
    <w:name w:val="List Paragraph"/>
    <w:basedOn w:val="Normal"/>
    <w:uiPriority w:val="34"/>
    <w:qFormat/>
    <w:rsid w:val="00D65156"/>
    <w:pPr>
      <w:ind w:left="720"/>
      <w:contextualSpacing/>
    </w:pPr>
  </w:style>
  <w:style w:type="character" w:styleId="IntenseEmphasis">
    <w:name w:val="Intense Emphasis"/>
    <w:basedOn w:val="DefaultParagraphFont"/>
    <w:uiPriority w:val="21"/>
    <w:qFormat/>
    <w:rsid w:val="00D65156"/>
    <w:rPr>
      <w:i/>
      <w:iCs/>
      <w:color w:val="0F4761" w:themeColor="accent1" w:themeShade="BF"/>
    </w:rPr>
  </w:style>
  <w:style w:type="paragraph" w:styleId="IntenseQuote">
    <w:name w:val="Intense Quote"/>
    <w:basedOn w:val="Normal"/>
    <w:next w:val="Normal"/>
    <w:link w:val="IntenseQuoteChar"/>
    <w:uiPriority w:val="30"/>
    <w:qFormat/>
    <w:rsid w:val="00D651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5156"/>
    <w:rPr>
      <w:i/>
      <w:iCs/>
      <w:color w:val="0F4761" w:themeColor="accent1" w:themeShade="BF"/>
    </w:rPr>
  </w:style>
  <w:style w:type="character" w:styleId="IntenseReference">
    <w:name w:val="Intense Reference"/>
    <w:basedOn w:val="DefaultParagraphFont"/>
    <w:uiPriority w:val="32"/>
    <w:qFormat/>
    <w:rsid w:val="00D65156"/>
    <w:rPr>
      <w:b/>
      <w:bCs/>
      <w:smallCaps/>
      <w:color w:val="0F4761" w:themeColor="accent1" w:themeShade="BF"/>
      <w:spacing w:val="5"/>
    </w:rPr>
  </w:style>
  <w:style w:type="character" w:styleId="Hyperlink">
    <w:name w:val="Hyperlink"/>
    <w:basedOn w:val="DefaultParagraphFont"/>
    <w:uiPriority w:val="99"/>
    <w:unhideWhenUsed/>
    <w:rsid w:val="00CD21EB"/>
    <w:rPr>
      <w:color w:val="467886" w:themeColor="hyperlink"/>
      <w:u w:val="single"/>
    </w:rPr>
  </w:style>
  <w:style w:type="character" w:styleId="UnresolvedMention">
    <w:name w:val="Unresolved Mention"/>
    <w:basedOn w:val="DefaultParagraphFont"/>
    <w:uiPriority w:val="99"/>
    <w:semiHidden/>
    <w:unhideWhenUsed/>
    <w:rsid w:val="00CD21EB"/>
    <w:rPr>
      <w:color w:val="605E5C"/>
      <w:shd w:val="clear" w:color="auto" w:fill="E1DFDD"/>
    </w:rPr>
  </w:style>
  <w:style w:type="paragraph" w:styleId="TOCHeading">
    <w:name w:val="TOC Heading"/>
    <w:basedOn w:val="Heading1"/>
    <w:next w:val="Normal"/>
    <w:uiPriority w:val="39"/>
    <w:unhideWhenUsed/>
    <w:qFormat/>
    <w:rsid w:val="00CD21EB"/>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CD21E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scoplc.com" TargetMode="External"/><Relationship Id="rId3" Type="http://schemas.openxmlformats.org/officeDocument/2006/relationships/settings" Target="settings.xml"/><Relationship Id="rId7" Type="http://schemas.openxmlformats.org/officeDocument/2006/relationships/hyperlink" Target="https://www.cipd.co.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cid:image001.png@01D0EA4A.2BD679A0"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337CD9-5B83-4C1C-8C63-F92155825B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2480</Words>
  <Characters>15874</Characters>
  <Application>Microsoft Office Word</Application>
  <DocSecurity>0</DocSecurity>
  <Lines>755</Lines>
  <Paragraphs>426</Paragraphs>
  <ScaleCrop>false</ScaleCrop>
  <Company/>
  <LinksUpToDate>false</LinksUpToDate>
  <CharactersWithSpaces>17928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a</dc:creator>
  <cp:keywords/>
  <dc:description/>
  <cp:lastModifiedBy>a a</cp:lastModifiedBy>
  <cp:revision>11</cp:revision>
  <dcterms:created xsi:type="dcterms:W3CDTF">2026-03-10T19:19:00Z</dcterms:created>
  <dcterms:modified xsi:type="dcterms:W3CDTF">2026-03-10T19:27:00Z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fc1ea522-e23e-4899-aa70-0995257ceadc</vt:lpwstr>
  </property>
</Properties>
</file>