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7C846" w14:textId="23099018" w:rsidR="0034041D" w:rsidRDefault="005B5596" w:rsidP="0034041D">
      <w:pPr>
        <w:spacing w:line="360" w:lineRule="auto"/>
        <w:jc w:val="center"/>
        <w:rPr>
          <w:b/>
          <w:bCs/>
          <w:sz w:val="40"/>
          <w:szCs w:val="40"/>
        </w:rPr>
      </w:pPr>
      <w:r w:rsidRPr="00A406E5">
        <w:rPr>
          <w:rFonts w:ascii="Arial" w:hAnsi="Arial" w:cs="Arial"/>
          <w:noProof/>
        </w:rPr>
        <w:drawing>
          <wp:anchor distT="0" distB="0" distL="114300" distR="114300" simplePos="0" relativeHeight="251659264" behindDoc="0" locked="0" layoutInCell="1" allowOverlap="1" wp14:anchorId="40E99E4B" wp14:editId="441853DE">
            <wp:simplePos x="0" y="0"/>
            <wp:positionH relativeFrom="column">
              <wp:posOffset>-255494</wp:posOffset>
            </wp:positionH>
            <wp:positionV relativeFrom="page">
              <wp:posOffset>551329</wp:posOffset>
            </wp:positionV>
            <wp:extent cx="2204720" cy="882015"/>
            <wp:effectExtent l="0" t="0" r="5080" b="0"/>
            <wp:wrapNone/>
            <wp:docPr id="140361666" name="Picture 14036166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04720" cy="882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E1F34A" w14:textId="77777777" w:rsidR="0034041D" w:rsidRDefault="0034041D" w:rsidP="0034041D">
      <w:pPr>
        <w:spacing w:line="360" w:lineRule="auto"/>
        <w:jc w:val="center"/>
        <w:rPr>
          <w:b/>
          <w:bCs/>
          <w:sz w:val="40"/>
          <w:szCs w:val="40"/>
        </w:rPr>
      </w:pPr>
    </w:p>
    <w:p w14:paraId="21CE099F" w14:textId="77777777" w:rsidR="005B5596" w:rsidRDefault="005B5596" w:rsidP="0034041D">
      <w:pPr>
        <w:spacing w:line="360" w:lineRule="auto"/>
        <w:jc w:val="center"/>
        <w:rPr>
          <w:b/>
          <w:bCs/>
          <w:sz w:val="40"/>
          <w:szCs w:val="40"/>
        </w:rPr>
      </w:pPr>
    </w:p>
    <w:p w14:paraId="2F35A13E" w14:textId="601F09F6" w:rsidR="005B5596" w:rsidRDefault="005B5596" w:rsidP="0034041D">
      <w:pPr>
        <w:spacing w:line="360" w:lineRule="auto"/>
        <w:jc w:val="center"/>
        <w:rPr>
          <w:b/>
          <w:bCs/>
          <w:sz w:val="40"/>
          <w:szCs w:val="40"/>
        </w:rPr>
      </w:pPr>
      <w:r w:rsidRPr="005B5596">
        <w:rPr>
          <w:b/>
          <w:bCs/>
          <w:sz w:val="40"/>
          <w:szCs w:val="40"/>
        </w:rPr>
        <w:t>MSc Environmental Conservation and Management</w:t>
      </w:r>
    </w:p>
    <w:p w14:paraId="6F0B7214" w14:textId="77777777" w:rsidR="0034041D" w:rsidRDefault="0034041D" w:rsidP="0034041D">
      <w:pPr>
        <w:spacing w:line="360" w:lineRule="auto"/>
        <w:jc w:val="center"/>
        <w:rPr>
          <w:b/>
          <w:bCs/>
          <w:sz w:val="40"/>
          <w:szCs w:val="40"/>
        </w:rPr>
      </w:pPr>
    </w:p>
    <w:p w14:paraId="17BC7E93" w14:textId="77777777" w:rsidR="008E63B0" w:rsidRDefault="008E63B0" w:rsidP="0034041D">
      <w:pPr>
        <w:spacing w:line="360" w:lineRule="auto"/>
        <w:jc w:val="center"/>
        <w:rPr>
          <w:sz w:val="44"/>
          <w:szCs w:val="44"/>
        </w:rPr>
      </w:pPr>
    </w:p>
    <w:p w14:paraId="4892FCE3" w14:textId="60041592" w:rsidR="005B5596" w:rsidRPr="005B5596" w:rsidRDefault="005B5596" w:rsidP="0034041D">
      <w:pPr>
        <w:spacing w:line="360" w:lineRule="auto"/>
        <w:jc w:val="center"/>
        <w:rPr>
          <w:b/>
          <w:bCs/>
          <w:sz w:val="72"/>
          <w:szCs w:val="72"/>
        </w:rPr>
      </w:pPr>
      <w:r w:rsidRPr="005B5596">
        <w:rPr>
          <w:sz w:val="44"/>
          <w:szCs w:val="44"/>
        </w:rPr>
        <w:t>GIS and Habitat Management (ACBA7005)</w:t>
      </w:r>
    </w:p>
    <w:p w14:paraId="4389BDEA" w14:textId="77777777" w:rsidR="005B5596" w:rsidRDefault="005B5596" w:rsidP="0034041D">
      <w:pPr>
        <w:spacing w:line="360" w:lineRule="auto"/>
        <w:jc w:val="center"/>
        <w:rPr>
          <w:b/>
          <w:bCs/>
          <w:sz w:val="40"/>
          <w:szCs w:val="40"/>
        </w:rPr>
      </w:pPr>
    </w:p>
    <w:p w14:paraId="3F7C1484" w14:textId="77777777" w:rsidR="005B5596" w:rsidRDefault="005B5596" w:rsidP="0034041D">
      <w:pPr>
        <w:spacing w:line="360" w:lineRule="auto"/>
        <w:jc w:val="center"/>
        <w:rPr>
          <w:b/>
          <w:bCs/>
          <w:sz w:val="40"/>
          <w:szCs w:val="40"/>
        </w:rPr>
      </w:pPr>
    </w:p>
    <w:p w14:paraId="2C6C164F" w14:textId="77777777" w:rsidR="005B5596" w:rsidRDefault="005B5596" w:rsidP="0034041D">
      <w:pPr>
        <w:spacing w:line="360" w:lineRule="auto"/>
        <w:jc w:val="center"/>
        <w:rPr>
          <w:b/>
          <w:bCs/>
          <w:sz w:val="32"/>
          <w:szCs w:val="32"/>
        </w:rPr>
      </w:pPr>
    </w:p>
    <w:p w14:paraId="1D5D9F5A" w14:textId="162BE139" w:rsidR="00907A6B" w:rsidRPr="0034041D" w:rsidRDefault="00000000" w:rsidP="0034041D">
      <w:pPr>
        <w:spacing w:line="360" w:lineRule="auto"/>
        <w:jc w:val="center"/>
        <w:rPr>
          <w:b/>
          <w:bCs/>
          <w:sz w:val="40"/>
          <w:szCs w:val="40"/>
        </w:rPr>
      </w:pPr>
      <w:r w:rsidRPr="005B5596">
        <w:rPr>
          <w:b/>
          <w:bCs/>
          <w:sz w:val="32"/>
          <w:szCs w:val="32"/>
        </w:rPr>
        <w:t>Habitat Suitability Analysis for the Water Vole (Arvicola amphibius) in an Under-Surveyed Rhine Corridor near Bristol</w:t>
      </w:r>
    </w:p>
    <w:p w14:paraId="55C959B4" w14:textId="77777777" w:rsidR="0034041D" w:rsidRDefault="0034041D" w:rsidP="0034041D">
      <w:pPr>
        <w:spacing w:after="120" w:line="360" w:lineRule="auto"/>
        <w:jc w:val="center"/>
        <w:rPr>
          <w:i/>
          <w:iCs/>
          <w:sz w:val="26"/>
          <w:szCs w:val="26"/>
        </w:rPr>
      </w:pPr>
    </w:p>
    <w:p w14:paraId="31B13433" w14:textId="77777777" w:rsidR="005B5596" w:rsidRDefault="005B5596" w:rsidP="0034041D">
      <w:pPr>
        <w:spacing w:after="120" w:line="360" w:lineRule="auto"/>
        <w:jc w:val="center"/>
        <w:rPr>
          <w:i/>
          <w:iCs/>
          <w:sz w:val="26"/>
          <w:szCs w:val="26"/>
        </w:rPr>
      </w:pPr>
    </w:p>
    <w:p w14:paraId="449FF4D5" w14:textId="77777777" w:rsidR="0034041D" w:rsidRDefault="00000000" w:rsidP="0034041D">
      <w:pPr>
        <w:spacing w:after="120" w:line="360" w:lineRule="auto"/>
        <w:jc w:val="center"/>
      </w:pPr>
      <w:r>
        <w:rPr>
          <w:i/>
          <w:iCs/>
          <w:sz w:val="26"/>
          <w:szCs w:val="26"/>
        </w:rPr>
        <w:t>A Rule-Based, Open-Data GIS Approach with Independent Validation against NBN Atlas Occurrence Records</w:t>
      </w:r>
    </w:p>
    <w:p w14:paraId="259ECC04" w14:textId="77777777" w:rsidR="0034041D" w:rsidRDefault="0034041D" w:rsidP="0034041D">
      <w:pPr>
        <w:spacing w:after="120" w:line="360" w:lineRule="auto"/>
        <w:jc w:val="center"/>
      </w:pPr>
    </w:p>
    <w:p w14:paraId="659F6136" w14:textId="77777777" w:rsidR="0034041D" w:rsidRDefault="0034041D" w:rsidP="0034041D">
      <w:pPr>
        <w:spacing w:after="120" w:line="360" w:lineRule="auto"/>
        <w:jc w:val="center"/>
      </w:pPr>
    </w:p>
    <w:p w14:paraId="6C87AC32" w14:textId="77777777" w:rsidR="008E63B0" w:rsidRDefault="008E63B0" w:rsidP="0034041D">
      <w:pPr>
        <w:spacing w:after="120" w:line="360" w:lineRule="auto"/>
        <w:jc w:val="center"/>
      </w:pPr>
    </w:p>
    <w:p w14:paraId="71D5617E" w14:textId="7A077C31" w:rsidR="008E63B0" w:rsidRPr="008E63B0" w:rsidRDefault="008E63B0" w:rsidP="0034041D">
      <w:pPr>
        <w:spacing w:after="120" w:line="360" w:lineRule="auto"/>
        <w:jc w:val="center"/>
        <w:rPr>
          <w:sz w:val="52"/>
          <w:szCs w:val="52"/>
        </w:rPr>
      </w:pPr>
      <w:r w:rsidRPr="008E63B0">
        <w:rPr>
          <w:sz w:val="52"/>
          <w:szCs w:val="52"/>
        </w:rPr>
        <w:t>Submitted By:</w:t>
      </w:r>
    </w:p>
    <w:p w14:paraId="4F2FC014" w14:textId="53E2FC7E" w:rsidR="008E63B0" w:rsidRPr="008E63B0" w:rsidRDefault="008E63B0" w:rsidP="0034041D">
      <w:pPr>
        <w:spacing w:after="120" w:line="360" w:lineRule="auto"/>
        <w:jc w:val="center"/>
        <w:rPr>
          <w:sz w:val="36"/>
          <w:szCs w:val="36"/>
        </w:rPr>
      </w:pPr>
      <w:r w:rsidRPr="008E63B0">
        <w:rPr>
          <w:sz w:val="36"/>
          <w:szCs w:val="36"/>
        </w:rPr>
        <w:t>Zakir Ullah (2512610)</w:t>
      </w:r>
    </w:p>
    <w:p w14:paraId="2E6BA218" w14:textId="77777777" w:rsidR="008E63B0" w:rsidRDefault="008E63B0" w:rsidP="0034041D">
      <w:pPr>
        <w:spacing w:line="360" w:lineRule="auto"/>
        <w:sectPr w:rsidR="008E63B0" w:rsidSect="008E63B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pPr>
    </w:p>
    <w:sdt>
      <w:sdtPr>
        <w:rPr>
          <w:rFonts w:ascii="Times New Roman" w:eastAsia="Times New Roman" w:hAnsi="Times New Roman" w:cs="Times New Roman"/>
          <w:color w:val="auto"/>
          <w:sz w:val="24"/>
          <w:szCs w:val="24"/>
          <w:lang w:val="en-GB"/>
        </w:rPr>
        <w:id w:val="-567428093"/>
        <w:docPartObj>
          <w:docPartGallery w:val="Table of Contents"/>
          <w:docPartUnique/>
        </w:docPartObj>
      </w:sdtPr>
      <w:sdtEndPr>
        <w:rPr>
          <w:b/>
          <w:bCs/>
        </w:rPr>
      </w:sdtEndPr>
      <w:sdtContent>
        <w:p w14:paraId="5335C3AC" w14:textId="26E9B6CF" w:rsidR="005B5596" w:rsidRPr="005B5596" w:rsidRDefault="005B5596" w:rsidP="005B5596">
          <w:pPr>
            <w:pStyle w:val="TOCHeading"/>
            <w:spacing w:line="360" w:lineRule="auto"/>
            <w:rPr>
              <w:rFonts w:ascii="Times New Roman" w:hAnsi="Times New Roman" w:cs="Times New Roman"/>
              <w:color w:val="auto"/>
            </w:rPr>
          </w:pPr>
          <w:r w:rsidRPr="005B5596">
            <w:rPr>
              <w:rFonts w:ascii="Times New Roman" w:hAnsi="Times New Roman" w:cs="Times New Roman"/>
              <w:color w:val="auto"/>
              <w:lang w:val="en-GB"/>
            </w:rPr>
            <w:t>Table of Contents</w:t>
          </w:r>
        </w:p>
        <w:p w14:paraId="39B29577" w14:textId="3BCA32BD"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r w:rsidRPr="005B5596">
            <w:fldChar w:fldCharType="begin"/>
          </w:r>
          <w:r w:rsidRPr="005B5596">
            <w:instrText xml:space="preserve"> TOC \o "1-3" \h \z \u </w:instrText>
          </w:r>
          <w:r w:rsidRPr="005B5596">
            <w:fldChar w:fldCharType="separate"/>
          </w:r>
          <w:hyperlink w:anchor="_Toc236107879" w:history="1">
            <w:r w:rsidRPr="005B5596">
              <w:rPr>
                <w:rStyle w:val="Hyperlink"/>
                <w:noProof/>
                <w:color w:val="auto"/>
              </w:rPr>
              <w:t>1. Introduction</w:t>
            </w:r>
            <w:r w:rsidRPr="005B5596">
              <w:rPr>
                <w:noProof/>
                <w:webHidden/>
              </w:rPr>
              <w:tab/>
            </w:r>
            <w:r w:rsidRPr="005B5596">
              <w:rPr>
                <w:noProof/>
                <w:webHidden/>
              </w:rPr>
              <w:fldChar w:fldCharType="begin"/>
            </w:r>
            <w:r w:rsidRPr="005B5596">
              <w:rPr>
                <w:noProof/>
                <w:webHidden/>
              </w:rPr>
              <w:instrText xml:space="preserve"> PAGEREF _Toc236107879 \h </w:instrText>
            </w:r>
            <w:r w:rsidRPr="005B5596">
              <w:rPr>
                <w:noProof/>
                <w:webHidden/>
              </w:rPr>
            </w:r>
            <w:r w:rsidRPr="005B5596">
              <w:rPr>
                <w:noProof/>
                <w:webHidden/>
              </w:rPr>
              <w:fldChar w:fldCharType="separate"/>
            </w:r>
            <w:r w:rsidR="008E63B0">
              <w:rPr>
                <w:noProof/>
                <w:webHidden/>
              </w:rPr>
              <w:t>4</w:t>
            </w:r>
            <w:r w:rsidRPr="005B5596">
              <w:rPr>
                <w:noProof/>
                <w:webHidden/>
              </w:rPr>
              <w:fldChar w:fldCharType="end"/>
            </w:r>
          </w:hyperlink>
        </w:p>
        <w:p w14:paraId="131CB6BF" w14:textId="191DA2A5"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880" w:history="1">
            <w:r w:rsidRPr="005B5596">
              <w:rPr>
                <w:rStyle w:val="Hyperlink"/>
                <w:noProof/>
                <w:color w:val="auto"/>
              </w:rPr>
              <w:t>2. Site and Species</w:t>
            </w:r>
            <w:r w:rsidRPr="005B5596">
              <w:rPr>
                <w:noProof/>
                <w:webHidden/>
              </w:rPr>
              <w:tab/>
            </w:r>
            <w:r w:rsidRPr="005B5596">
              <w:rPr>
                <w:noProof/>
                <w:webHidden/>
              </w:rPr>
              <w:fldChar w:fldCharType="begin"/>
            </w:r>
            <w:r w:rsidRPr="005B5596">
              <w:rPr>
                <w:noProof/>
                <w:webHidden/>
              </w:rPr>
              <w:instrText xml:space="preserve"> PAGEREF _Toc236107880 \h </w:instrText>
            </w:r>
            <w:r w:rsidRPr="005B5596">
              <w:rPr>
                <w:noProof/>
                <w:webHidden/>
              </w:rPr>
            </w:r>
            <w:r w:rsidRPr="005B5596">
              <w:rPr>
                <w:noProof/>
                <w:webHidden/>
              </w:rPr>
              <w:fldChar w:fldCharType="separate"/>
            </w:r>
            <w:r w:rsidR="008E63B0">
              <w:rPr>
                <w:noProof/>
                <w:webHidden/>
              </w:rPr>
              <w:t>5</w:t>
            </w:r>
            <w:r w:rsidRPr="005B5596">
              <w:rPr>
                <w:noProof/>
                <w:webHidden/>
              </w:rPr>
              <w:fldChar w:fldCharType="end"/>
            </w:r>
          </w:hyperlink>
        </w:p>
        <w:p w14:paraId="4F9B7FEC" w14:textId="7E5F92EB"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81" w:history="1">
            <w:r w:rsidRPr="005B5596">
              <w:rPr>
                <w:rStyle w:val="Hyperlink"/>
                <w:noProof/>
                <w:color w:val="auto"/>
              </w:rPr>
              <w:t>2.1 The Water Vole and Why It Matters</w:t>
            </w:r>
            <w:r w:rsidRPr="005B5596">
              <w:rPr>
                <w:noProof/>
                <w:webHidden/>
              </w:rPr>
              <w:tab/>
            </w:r>
            <w:r w:rsidRPr="005B5596">
              <w:rPr>
                <w:noProof/>
                <w:webHidden/>
              </w:rPr>
              <w:fldChar w:fldCharType="begin"/>
            </w:r>
            <w:r w:rsidRPr="005B5596">
              <w:rPr>
                <w:noProof/>
                <w:webHidden/>
              </w:rPr>
              <w:instrText xml:space="preserve"> PAGEREF _Toc236107881 \h </w:instrText>
            </w:r>
            <w:r w:rsidRPr="005B5596">
              <w:rPr>
                <w:noProof/>
                <w:webHidden/>
              </w:rPr>
            </w:r>
            <w:r w:rsidRPr="005B5596">
              <w:rPr>
                <w:noProof/>
                <w:webHidden/>
              </w:rPr>
              <w:fldChar w:fldCharType="separate"/>
            </w:r>
            <w:r w:rsidR="008E63B0">
              <w:rPr>
                <w:noProof/>
                <w:webHidden/>
              </w:rPr>
              <w:t>5</w:t>
            </w:r>
            <w:r w:rsidRPr="005B5596">
              <w:rPr>
                <w:noProof/>
                <w:webHidden/>
              </w:rPr>
              <w:fldChar w:fldCharType="end"/>
            </w:r>
          </w:hyperlink>
        </w:p>
        <w:p w14:paraId="1B8765F7" w14:textId="56E155F6"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82" w:history="1">
            <w:r w:rsidRPr="005B5596">
              <w:rPr>
                <w:rStyle w:val="Hyperlink"/>
                <w:noProof/>
                <w:color w:val="auto"/>
              </w:rPr>
              <w:t>2.2 The Study Area and Why It Was Chosen</w:t>
            </w:r>
            <w:r w:rsidRPr="005B5596">
              <w:rPr>
                <w:noProof/>
                <w:webHidden/>
              </w:rPr>
              <w:tab/>
            </w:r>
            <w:r w:rsidRPr="005B5596">
              <w:rPr>
                <w:noProof/>
                <w:webHidden/>
              </w:rPr>
              <w:fldChar w:fldCharType="begin"/>
            </w:r>
            <w:r w:rsidRPr="005B5596">
              <w:rPr>
                <w:noProof/>
                <w:webHidden/>
              </w:rPr>
              <w:instrText xml:space="preserve"> PAGEREF _Toc236107882 \h </w:instrText>
            </w:r>
            <w:r w:rsidRPr="005B5596">
              <w:rPr>
                <w:noProof/>
                <w:webHidden/>
              </w:rPr>
            </w:r>
            <w:r w:rsidRPr="005B5596">
              <w:rPr>
                <w:noProof/>
                <w:webHidden/>
              </w:rPr>
              <w:fldChar w:fldCharType="separate"/>
            </w:r>
            <w:r w:rsidR="008E63B0">
              <w:rPr>
                <w:noProof/>
                <w:webHidden/>
              </w:rPr>
              <w:t>6</w:t>
            </w:r>
            <w:r w:rsidRPr="005B5596">
              <w:rPr>
                <w:noProof/>
                <w:webHidden/>
              </w:rPr>
              <w:fldChar w:fldCharType="end"/>
            </w:r>
          </w:hyperlink>
        </w:p>
        <w:p w14:paraId="345F776B" w14:textId="5E67B37B"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883" w:history="1">
            <w:r w:rsidRPr="005B5596">
              <w:rPr>
                <w:rStyle w:val="Hyperlink"/>
                <w:noProof/>
                <w:color w:val="auto"/>
              </w:rPr>
              <w:t>3. Methodology</w:t>
            </w:r>
            <w:r w:rsidRPr="005B5596">
              <w:rPr>
                <w:noProof/>
                <w:webHidden/>
              </w:rPr>
              <w:tab/>
            </w:r>
            <w:r w:rsidRPr="005B5596">
              <w:rPr>
                <w:noProof/>
                <w:webHidden/>
              </w:rPr>
              <w:fldChar w:fldCharType="begin"/>
            </w:r>
            <w:r w:rsidRPr="005B5596">
              <w:rPr>
                <w:noProof/>
                <w:webHidden/>
              </w:rPr>
              <w:instrText xml:space="preserve"> PAGEREF _Toc236107883 \h </w:instrText>
            </w:r>
            <w:r w:rsidRPr="005B5596">
              <w:rPr>
                <w:noProof/>
                <w:webHidden/>
              </w:rPr>
            </w:r>
            <w:r w:rsidRPr="005B5596">
              <w:rPr>
                <w:noProof/>
                <w:webHidden/>
              </w:rPr>
              <w:fldChar w:fldCharType="separate"/>
            </w:r>
            <w:r w:rsidR="008E63B0">
              <w:rPr>
                <w:noProof/>
                <w:webHidden/>
              </w:rPr>
              <w:t>8</w:t>
            </w:r>
            <w:r w:rsidRPr="005B5596">
              <w:rPr>
                <w:noProof/>
                <w:webHidden/>
              </w:rPr>
              <w:fldChar w:fldCharType="end"/>
            </w:r>
          </w:hyperlink>
        </w:p>
        <w:p w14:paraId="4D7510AC" w14:textId="570B2A7A"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84" w:history="1">
            <w:r w:rsidRPr="005B5596">
              <w:rPr>
                <w:rStyle w:val="Hyperlink"/>
                <w:noProof/>
                <w:color w:val="auto"/>
              </w:rPr>
              <w:t>3.1 Data Sources and the Case for Open Data</w:t>
            </w:r>
            <w:r w:rsidRPr="005B5596">
              <w:rPr>
                <w:noProof/>
                <w:webHidden/>
              </w:rPr>
              <w:tab/>
            </w:r>
            <w:r w:rsidRPr="005B5596">
              <w:rPr>
                <w:noProof/>
                <w:webHidden/>
              </w:rPr>
              <w:fldChar w:fldCharType="begin"/>
            </w:r>
            <w:r w:rsidRPr="005B5596">
              <w:rPr>
                <w:noProof/>
                <w:webHidden/>
              </w:rPr>
              <w:instrText xml:space="preserve"> PAGEREF _Toc236107884 \h </w:instrText>
            </w:r>
            <w:r w:rsidRPr="005B5596">
              <w:rPr>
                <w:noProof/>
                <w:webHidden/>
              </w:rPr>
            </w:r>
            <w:r w:rsidRPr="005B5596">
              <w:rPr>
                <w:noProof/>
                <w:webHidden/>
              </w:rPr>
              <w:fldChar w:fldCharType="separate"/>
            </w:r>
            <w:r w:rsidR="008E63B0">
              <w:rPr>
                <w:noProof/>
                <w:webHidden/>
              </w:rPr>
              <w:t>8</w:t>
            </w:r>
            <w:r w:rsidRPr="005B5596">
              <w:rPr>
                <w:noProof/>
                <w:webHidden/>
              </w:rPr>
              <w:fldChar w:fldCharType="end"/>
            </w:r>
          </w:hyperlink>
        </w:p>
        <w:p w14:paraId="1F0D774B" w14:textId="03DA808A"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85" w:history="1">
            <w:r w:rsidRPr="005B5596">
              <w:rPr>
                <w:rStyle w:val="Hyperlink"/>
                <w:noProof/>
                <w:color w:val="auto"/>
              </w:rPr>
              <w:t>3.2 Variable Selection and Threshold Justification</w:t>
            </w:r>
            <w:r w:rsidRPr="005B5596">
              <w:rPr>
                <w:noProof/>
                <w:webHidden/>
              </w:rPr>
              <w:tab/>
            </w:r>
            <w:r w:rsidRPr="005B5596">
              <w:rPr>
                <w:noProof/>
                <w:webHidden/>
              </w:rPr>
              <w:fldChar w:fldCharType="begin"/>
            </w:r>
            <w:r w:rsidRPr="005B5596">
              <w:rPr>
                <w:noProof/>
                <w:webHidden/>
              </w:rPr>
              <w:instrText xml:space="preserve"> PAGEREF _Toc236107885 \h </w:instrText>
            </w:r>
            <w:r w:rsidRPr="005B5596">
              <w:rPr>
                <w:noProof/>
                <w:webHidden/>
              </w:rPr>
            </w:r>
            <w:r w:rsidRPr="005B5596">
              <w:rPr>
                <w:noProof/>
                <w:webHidden/>
              </w:rPr>
              <w:fldChar w:fldCharType="separate"/>
            </w:r>
            <w:r w:rsidR="008E63B0">
              <w:rPr>
                <w:noProof/>
                <w:webHidden/>
              </w:rPr>
              <w:t>9</w:t>
            </w:r>
            <w:r w:rsidRPr="005B5596">
              <w:rPr>
                <w:noProof/>
                <w:webHidden/>
              </w:rPr>
              <w:fldChar w:fldCharType="end"/>
            </w:r>
          </w:hyperlink>
        </w:p>
        <w:p w14:paraId="62A645CC" w14:textId="42290A4D" w:rsidR="005B5596" w:rsidRPr="005B5596" w:rsidRDefault="005B5596" w:rsidP="005B5596">
          <w:pPr>
            <w:pStyle w:val="TOC3"/>
            <w:tabs>
              <w:tab w:val="right" w:leader="dot" w:pos="9016"/>
            </w:tabs>
            <w:spacing w:line="360" w:lineRule="auto"/>
            <w:rPr>
              <w:rFonts w:eastAsiaTheme="minorEastAsia"/>
              <w:noProof/>
              <w:kern w:val="2"/>
              <w14:ligatures w14:val="standardContextual"/>
            </w:rPr>
          </w:pPr>
          <w:hyperlink w:anchor="_Toc236107886" w:history="1">
            <w:r w:rsidRPr="005B5596">
              <w:rPr>
                <w:rStyle w:val="Hyperlink"/>
                <w:noProof/>
                <w:color w:val="auto"/>
              </w:rPr>
              <w:t>3.2.1 Proximity to Water</w:t>
            </w:r>
            <w:r w:rsidRPr="005B5596">
              <w:rPr>
                <w:noProof/>
                <w:webHidden/>
              </w:rPr>
              <w:tab/>
            </w:r>
            <w:r w:rsidRPr="005B5596">
              <w:rPr>
                <w:noProof/>
                <w:webHidden/>
              </w:rPr>
              <w:fldChar w:fldCharType="begin"/>
            </w:r>
            <w:r w:rsidRPr="005B5596">
              <w:rPr>
                <w:noProof/>
                <w:webHidden/>
              </w:rPr>
              <w:instrText xml:space="preserve"> PAGEREF _Toc236107886 \h </w:instrText>
            </w:r>
            <w:r w:rsidRPr="005B5596">
              <w:rPr>
                <w:noProof/>
                <w:webHidden/>
              </w:rPr>
            </w:r>
            <w:r w:rsidRPr="005B5596">
              <w:rPr>
                <w:noProof/>
                <w:webHidden/>
              </w:rPr>
              <w:fldChar w:fldCharType="separate"/>
            </w:r>
            <w:r w:rsidR="008E63B0">
              <w:rPr>
                <w:noProof/>
                <w:webHidden/>
              </w:rPr>
              <w:t>9</w:t>
            </w:r>
            <w:r w:rsidRPr="005B5596">
              <w:rPr>
                <w:noProof/>
                <w:webHidden/>
              </w:rPr>
              <w:fldChar w:fldCharType="end"/>
            </w:r>
          </w:hyperlink>
        </w:p>
        <w:p w14:paraId="1FD07CE0" w14:textId="452F9B6D" w:rsidR="005B5596" w:rsidRPr="005B5596" w:rsidRDefault="005B5596" w:rsidP="005B5596">
          <w:pPr>
            <w:pStyle w:val="TOC3"/>
            <w:tabs>
              <w:tab w:val="right" w:leader="dot" w:pos="9016"/>
            </w:tabs>
            <w:spacing w:line="360" w:lineRule="auto"/>
            <w:rPr>
              <w:rFonts w:eastAsiaTheme="minorEastAsia"/>
              <w:noProof/>
              <w:kern w:val="2"/>
              <w14:ligatures w14:val="standardContextual"/>
            </w:rPr>
          </w:pPr>
          <w:hyperlink w:anchor="_Toc236107887" w:history="1">
            <w:r w:rsidRPr="005B5596">
              <w:rPr>
                <w:rStyle w:val="Hyperlink"/>
                <w:noProof/>
                <w:color w:val="auto"/>
              </w:rPr>
              <w:t>3.2.2 Slope</w:t>
            </w:r>
            <w:r w:rsidRPr="005B5596">
              <w:rPr>
                <w:noProof/>
                <w:webHidden/>
              </w:rPr>
              <w:tab/>
            </w:r>
            <w:r w:rsidRPr="005B5596">
              <w:rPr>
                <w:noProof/>
                <w:webHidden/>
              </w:rPr>
              <w:fldChar w:fldCharType="begin"/>
            </w:r>
            <w:r w:rsidRPr="005B5596">
              <w:rPr>
                <w:noProof/>
                <w:webHidden/>
              </w:rPr>
              <w:instrText xml:space="preserve"> PAGEREF _Toc236107887 \h </w:instrText>
            </w:r>
            <w:r w:rsidRPr="005B5596">
              <w:rPr>
                <w:noProof/>
                <w:webHidden/>
              </w:rPr>
            </w:r>
            <w:r w:rsidRPr="005B5596">
              <w:rPr>
                <w:noProof/>
                <w:webHidden/>
              </w:rPr>
              <w:fldChar w:fldCharType="separate"/>
            </w:r>
            <w:r w:rsidR="008E63B0">
              <w:rPr>
                <w:noProof/>
                <w:webHidden/>
              </w:rPr>
              <w:t>9</w:t>
            </w:r>
            <w:r w:rsidRPr="005B5596">
              <w:rPr>
                <w:noProof/>
                <w:webHidden/>
              </w:rPr>
              <w:fldChar w:fldCharType="end"/>
            </w:r>
          </w:hyperlink>
        </w:p>
        <w:p w14:paraId="1C536815" w14:textId="6630E3FA" w:rsidR="005B5596" w:rsidRPr="005B5596" w:rsidRDefault="005B5596" w:rsidP="005B5596">
          <w:pPr>
            <w:pStyle w:val="TOC3"/>
            <w:tabs>
              <w:tab w:val="right" w:leader="dot" w:pos="9016"/>
            </w:tabs>
            <w:spacing w:line="360" w:lineRule="auto"/>
            <w:rPr>
              <w:rFonts w:eastAsiaTheme="minorEastAsia"/>
              <w:noProof/>
              <w:kern w:val="2"/>
              <w14:ligatures w14:val="standardContextual"/>
            </w:rPr>
          </w:pPr>
          <w:hyperlink w:anchor="_Toc236107888" w:history="1">
            <w:r w:rsidRPr="005B5596">
              <w:rPr>
                <w:rStyle w:val="Hyperlink"/>
                <w:noProof/>
                <w:color w:val="auto"/>
              </w:rPr>
              <w:t>3.2.3 Land Cover</w:t>
            </w:r>
            <w:r w:rsidRPr="005B5596">
              <w:rPr>
                <w:noProof/>
                <w:webHidden/>
              </w:rPr>
              <w:tab/>
            </w:r>
            <w:r w:rsidRPr="005B5596">
              <w:rPr>
                <w:noProof/>
                <w:webHidden/>
              </w:rPr>
              <w:fldChar w:fldCharType="begin"/>
            </w:r>
            <w:r w:rsidRPr="005B5596">
              <w:rPr>
                <w:noProof/>
                <w:webHidden/>
              </w:rPr>
              <w:instrText xml:space="preserve"> PAGEREF _Toc236107888 \h </w:instrText>
            </w:r>
            <w:r w:rsidRPr="005B5596">
              <w:rPr>
                <w:noProof/>
                <w:webHidden/>
              </w:rPr>
            </w:r>
            <w:r w:rsidRPr="005B5596">
              <w:rPr>
                <w:noProof/>
                <w:webHidden/>
              </w:rPr>
              <w:fldChar w:fldCharType="separate"/>
            </w:r>
            <w:r w:rsidR="008E63B0">
              <w:rPr>
                <w:noProof/>
                <w:webHidden/>
              </w:rPr>
              <w:t>11</w:t>
            </w:r>
            <w:r w:rsidRPr="005B5596">
              <w:rPr>
                <w:noProof/>
                <w:webHidden/>
              </w:rPr>
              <w:fldChar w:fldCharType="end"/>
            </w:r>
          </w:hyperlink>
        </w:p>
        <w:p w14:paraId="46CCA4C7" w14:textId="2B006E1D" w:rsidR="005B5596" w:rsidRPr="005B5596" w:rsidRDefault="005B5596" w:rsidP="005B5596">
          <w:pPr>
            <w:pStyle w:val="TOC3"/>
            <w:tabs>
              <w:tab w:val="right" w:leader="dot" w:pos="9016"/>
            </w:tabs>
            <w:spacing w:line="360" w:lineRule="auto"/>
            <w:rPr>
              <w:rFonts w:eastAsiaTheme="minorEastAsia"/>
              <w:noProof/>
              <w:kern w:val="2"/>
              <w14:ligatures w14:val="standardContextual"/>
            </w:rPr>
          </w:pPr>
          <w:hyperlink w:anchor="_Toc236107889" w:history="1">
            <w:r w:rsidRPr="005B5596">
              <w:rPr>
                <w:rStyle w:val="Hyperlink"/>
                <w:noProof/>
                <w:color w:val="auto"/>
              </w:rPr>
              <w:t>3.2.4 Geological Substrate</w:t>
            </w:r>
            <w:r w:rsidRPr="005B5596">
              <w:rPr>
                <w:noProof/>
                <w:webHidden/>
              </w:rPr>
              <w:tab/>
            </w:r>
            <w:r w:rsidRPr="005B5596">
              <w:rPr>
                <w:noProof/>
                <w:webHidden/>
              </w:rPr>
              <w:fldChar w:fldCharType="begin"/>
            </w:r>
            <w:r w:rsidRPr="005B5596">
              <w:rPr>
                <w:noProof/>
                <w:webHidden/>
              </w:rPr>
              <w:instrText xml:space="preserve"> PAGEREF _Toc236107889 \h </w:instrText>
            </w:r>
            <w:r w:rsidRPr="005B5596">
              <w:rPr>
                <w:noProof/>
                <w:webHidden/>
              </w:rPr>
            </w:r>
            <w:r w:rsidRPr="005B5596">
              <w:rPr>
                <w:noProof/>
                <w:webHidden/>
              </w:rPr>
              <w:fldChar w:fldCharType="separate"/>
            </w:r>
            <w:r w:rsidR="008E63B0">
              <w:rPr>
                <w:noProof/>
                <w:webHidden/>
              </w:rPr>
              <w:t>12</w:t>
            </w:r>
            <w:r w:rsidRPr="005B5596">
              <w:rPr>
                <w:noProof/>
                <w:webHidden/>
              </w:rPr>
              <w:fldChar w:fldCharType="end"/>
            </w:r>
          </w:hyperlink>
        </w:p>
        <w:p w14:paraId="33DA3425" w14:textId="1FBDF150"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0" w:history="1">
            <w:r w:rsidRPr="005B5596">
              <w:rPr>
                <w:rStyle w:val="Hyperlink"/>
                <w:noProof/>
                <w:color w:val="auto"/>
              </w:rPr>
              <w:t>3.3 Combining the Variables</w:t>
            </w:r>
            <w:r w:rsidRPr="005B5596">
              <w:rPr>
                <w:noProof/>
                <w:webHidden/>
              </w:rPr>
              <w:tab/>
            </w:r>
            <w:r w:rsidRPr="005B5596">
              <w:rPr>
                <w:noProof/>
                <w:webHidden/>
              </w:rPr>
              <w:fldChar w:fldCharType="begin"/>
            </w:r>
            <w:r w:rsidRPr="005B5596">
              <w:rPr>
                <w:noProof/>
                <w:webHidden/>
              </w:rPr>
              <w:instrText xml:space="preserve"> PAGEREF _Toc236107890 \h </w:instrText>
            </w:r>
            <w:r w:rsidRPr="005B5596">
              <w:rPr>
                <w:noProof/>
                <w:webHidden/>
              </w:rPr>
            </w:r>
            <w:r w:rsidRPr="005B5596">
              <w:rPr>
                <w:noProof/>
                <w:webHidden/>
              </w:rPr>
              <w:fldChar w:fldCharType="separate"/>
            </w:r>
            <w:r w:rsidR="008E63B0">
              <w:rPr>
                <w:noProof/>
                <w:webHidden/>
              </w:rPr>
              <w:t>12</w:t>
            </w:r>
            <w:r w:rsidRPr="005B5596">
              <w:rPr>
                <w:noProof/>
                <w:webHidden/>
              </w:rPr>
              <w:fldChar w:fldCharType="end"/>
            </w:r>
          </w:hyperlink>
        </w:p>
        <w:p w14:paraId="550F3EB7" w14:textId="17FA32C0"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1" w:history="1">
            <w:r w:rsidRPr="005B5596">
              <w:rPr>
                <w:rStyle w:val="Hyperlink"/>
                <w:noProof/>
                <w:color w:val="auto"/>
              </w:rPr>
              <w:t>3.4 Validation</w:t>
            </w:r>
            <w:r w:rsidRPr="005B5596">
              <w:rPr>
                <w:noProof/>
                <w:webHidden/>
              </w:rPr>
              <w:tab/>
            </w:r>
            <w:r w:rsidRPr="005B5596">
              <w:rPr>
                <w:noProof/>
                <w:webHidden/>
              </w:rPr>
              <w:fldChar w:fldCharType="begin"/>
            </w:r>
            <w:r w:rsidRPr="005B5596">
              <w:rPr>
                <w:noProof/>
                <w:webHidden/>
              </w:rPr>
              <w:instrText xml:space="preserve"> PAGEREF _Toc236107891 \h </w:instrText>
            </w:r>
            <w:r w:rsidRPr="005B5596">
              <w:rPr>
                <w:noProof/>
                <w:webHidden/>
              </w:rPr>
            </w:r>
            <w:r w:rsidRPr="005B5596">
              <w:rPr>
                <w:noProof/>
                <w:webHidden/>
              </w:rPr>
              <w:fldChar w:fldCharType="separate"/>
            </w:r>
            <w:r w:rsidR="008E63B0">
              <w:rPr>
                <w:noProof/>
                <w:webHidden/>
              </w:rPr>
              <w:t>13</w:t>
            </w:r>
            <w:r w:rsidRPr="005B5596">
              <w:rPr>
                <w:noProof/>
                <w:webHidden/>
              </w:rPr>
              <w:fldChar w:fldCharType="end"/>
            </w:r>
          </w:hyperlink>
        </w:p>
        <w:p w14:paraId="44E5D310" w14:textId="79F6340C"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892" w:history="1">
            <w:r w:rsidRPr="005B5596">
              <w:rPr>
                <w:rStyle w:val="Hyperlink"/>
                <w:noProof/>
                <w:color w:val="auto"/>
              </w:rPr>
              <w:t>4. Results</w:t>
            </w:r>
            <w:r w:rsidRPr="005B5596">
              <w:rPr>
                <w:noProof/>
                <w:webHidden/>
              </w:rPr>
              <w:tab/>
            </w:r>
            <w:r w:rsidRPr="005B5596">
              <w:rPr>
                <w:noProof/>
                <w:webHidden/>
              </w:rPr>
              <w:fldChar w:fldCharType="begin"/>
            </w:r>
            <w:r w:rsidRPr="005B5596">
              <w:rPr>
                <w:noProof/>
                <w:webHidden/>
              </w:rPr>
              <w:instrText xml:space="preserve"> PAGEREF _Toc236107892 \h </w:instrText>
            </w:r>
            <w:r w:rsidRPr="005B5596">
              <w:rPr>
                <w:noProof/>
                <w:webHidden/>
              </w:rPr>
            </w:r>
            <w:r w:rsidRPr="005B5596">
              <w:rPr>
                <w:noProof/>
                <w:webHidden/>
              </w:rPr>
              <w:fldChar w:fldCharType="separate"/>
            </w:r>
            <w:r w:rsidR="008E63B0">
              <w:rPr>
                <w:noProof/>
                <w:webHidden/>
              </w:rPr>
              <w:t>13</w:t>
            </w:r>
            <w:r w:rsidRPr="005B5596">
              <w:rPr>
                <w:noProof/>
                <w:webHidden/>
              </w:rPr>
              <w:fldChar w:fldCharType="end"/>
            </w:r>
          </w:hyperlink>
        </w:p>
        <w:p w14:paraId="3FDEEBD2" w14:textId="76044478"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3" w:history="1">
            <w:r w:rsidRPr="005B5596">
              <w:rPr>
                <w:rStyle w:val="Hyperlink"/>
                <w:noProof/>
                <w:color w:val="auto"/>
              </w:rPr>
              <w:t>4.1 The Individual Variables</w:t>
            </w:r>
            <w:r w:rsidRPr="005B5596">
              <w:rPr>
                <w:noProof/>
                <w:webHidden/>
              </w:rPr>
              <w:tab/>
            </w:r>
            <w:r w:rsidRPr="005B5596">
              <w:rPr>
                <w:noProof/>
                <w:webHidden/>
              </w:rPr>
              <w:fldChar w:fldCharType="begin"/>
            </w:r>
            <w:r w:rsidRPr="005B5596">
              <w:rPr>
                <w:noProof/>
                <w:webHidden/>
              </w:rPr>
              <w:instrText xml:space="preserve"> PAGEREF _Toc236107893 \h </w:instrText>
            </w:r>
            <w:r w:rsidRPr="005B5596">
              <w:rPr>
                <w:noProof/>
                <w:webHidden/>
              </w:rPr>
            </w:r>
            <w:r w:rsidRPr="005B5596">
              <w:rPr>
                <w:noProof/>
                <w:webHidden/>
              </w:rPr>
              <w:fldChar w:fldCharType="separate"/>
            </w:r>
            <w:r w:rsidR="008E63B0">
              <w:rPr>
                <w:noProof/>
                <w:webHidden/>
              </w:rPr>
              <w:t>13</w:t>
            </w:r>
            <w:r w:rsidRPr="005B5596">
              <w:rPr>
                <w:noProof/>
                <w:webHidden/>
              </w:rPr>
              <w:fldChar w:fldCharType="end"/>
            </w:r>
          </w:hyperlink>
        </w:p>
        <w:p w14:paraId="6609BD6A" w14:textId="17B813D4"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4" w:history="1">
            <w:r w:rsidRPr="005B5596">
              <w:rPr>
                <w:rStyle w:val="Hyperlink"/>
                <w:noProof/>
                <w:color w:val="auto"/>
              </w:rPr>
              <w:t>4.2 The Continuous and Binary Suitability Surfaces</w:t>
            </w:r>
            <w:r w:rsidRPr="005B5596">
              <w:rPr>
                <w:noProof/>
                <w:webHidden/>
              </w:rPr>
              <w:tab/>
            </w:r>
            <w:r w:rsidRPr="005B5596">
              <w:rPr>
                <w:noProof/>
                <w:webHidden/>
              </w:rPr>
              <w:fldChar w:fldCharType="begin"/>
            </w:r>
            <w:r w:rsidRPr="005B5596">
              <w:rPr>
                <w:noProof/>
                <w:webHidden/>
              </w:rPr>
              <w:instrText xml:space="preserve"> PAGEREF _Toc236107894 \h </w:instrText>
            </w:r>
            <w:r w:rsidRPr="005B5596">
              <w:rPr>
                <w:noProof/>
                <w:webHidden/>
              </w:rPr>
            </w:r>
            <w:r w:rsidRPr="005B5596">
              <w:rPr>
                <w:noProof/>
                <w:webHidden/>
              </w:rPr>
              <w:fldChar w:fldCharType="separate"/>
            </w:r>
            <w:r w:rsidR="008E63B0">
              <w:rPr>
                <w:noProof/>
                <w:webHidden/>
              </w:rPr>
              <w:t>14</w:t>
            </w:r>
            <w:r w:rsidRPr="005B5596">
              <w:rPr>
                <w:noProof/>
                <w:webHidden/>
              </w:rPr>
              <w:fldChar w:fldCharType="end"/>
            </w:r>
          </w:hyperlink>
        </w:p>
        <w:p w14:paraId="1EB47B74" w14:textId="47FB470E"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5" w:history="1">
            <w:r w:rsidRPr="005B5596">
              <w:rPr>
                <w:rStyle w:val="Hyperlink"/>
                <w:noProof/>
                <w:color w:val="auto"/>
              </w:rPr>
              <w:t>4.3 Validation against Known Records</w:t>
            </w:r>
            <w:r w:rsidRPr="005B5596">
              <w:rPr>
                <w:noProof/>
                <w:webHidden/>
              </w:rPr>
              <w:tab/>
            </w:r>
            <w:r w:rsidRPr="005B5596">
              <w:rPr>
                <w:noProof/>
                <w:webHidden/>
              </w:rPr>
              <w:fldChar w:fldCharType="begin"/>
            </w:r>
            <w:r w:rsidRPr="005B5596">
              <w:rPr>
                <w:noProof/>
                <w:webHidden/>
              </w:rPr>
              <w:instrText xml:space="preserve"> PAGEREF _Toc236107895 \h </w:instrText>
            </w:r>
            <w:r w:rsidRPr="005B5596">
              <w:rPr>
                <w:noProof/>
                <w:webHidden/>
              </w:rPr>
            </w:r>
            <w:r w:rsidRPr="005B5596">
              <w:rPr>
                <w:noProof/>
                <w:webHidden/>
              </w:rPr>
              <w:fldChar w:fldCharType="separate"/>
            </w:r>
            <w:r w:rsidR="008E63B0">
              <w:rPr>
                <w:noProof/>
                <w:webHidden/>
              </w:rPr>
              <w:t>16</w:t>
            </w:r>
            <w:r w:rsidRPr="005B5596">
              <w:rPr>
                <w:noProof/>
                <w:webHidden/>
              </w:rPr>
              <w:fldChar w:fldCharType="end"/>
            </w:r>
          </w:hyperlink>
        </w:p>
        <w:p w14:paraId="0CF0D2DB" w14:textId="296DD131"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896" w:history="1">
            <w:r w:rsidRPr="005B5596">
              <w:rPr>
                <w:rStyle w:val="Hyperlink"/>
                <w:noProof/>
                <w:color w:val="auto"/>
              </w:rPr>
              <w:t>5. Discussion</w:t>
            </w:r>
            <w:r w:rsidRPr="005B5596">
              <w:rPr>
                <w:noProof/>
                <w:webHidden/>
              </w:rPr>
              <w:tab/>
            </w:r>
            <w:r w:rsidRPr="005B5596">
              <w:rPr>
                <w:noProof/>
                <w:webHidden/>
              </w:rPr>
              <w:fldChar w:fldCharType="begin"/>
            </w:r>
            <w:r w:rsidRPr="005B5596">
              <w:rPr>
                <w:noProof/>
                <w:webHidden/>
              </w:rPr>
              <w:instrText xml:space="preserve"> PAGEREF _Toc236107896 \h </w:instrText>
            </w:r>
            <w:r w:rsidRPr="005B5596">
              <w:rPr>
                <w:noProof/>
                <w:webHidden/>
              </w:rPr>
            </w:r>
            <w:r w:rsidRPr="005B5596">
              <w:rPr>
                <w:noProof/>
                <w:webHidden/>
              </w:rPr>
              <w:fldChar w:fldCharType="separate"/>
            </w:r>
            <w:r w:rsidR="008E63B0">
              <w:rPr>
                <w:noProof/>
                <w:webHidden/>
              </w:rPr>
              <w:t>18</w:t>
            </w:r>
            <w:r w:rsidRPr="005B5596">
              <w:rPr>
                <w:noProof/>
                <w:webHidden/>
              </w:rPr>
              <w:fldChar w:fldCharType="end"/>
            </w:r>
          </w:hyperlink>
        </w:p>
        <w:p w14:paraId="0DD5DA80" w14:textId="789AFE84"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7" w:history="1">
            <w:r w:rsidRPr="005B5596">
              <w:rPr>
                <w:rStyle w:val="Hyperlink"/>
                <w:noProof/>
                <w:color w:val="auto"/>
              </w:rPr>
              <w:t>5.1 Comparison with the Bonesi Benchmark and the Modelling Literature</w:t>
            </w:r>
            <w:r w:rsidRPr="005B5596">
              <w:rPr>
                <w:noProof/>
                <w:webHidden/>
              </w:rPr>
              <w:tab/>
            </w:r>
            <w:r w:rsidRPr="005B5596">
              <w:rPr>
                <w:noProof/>
                <w:webHidden/>
              </w:rPr>
              <w:fldChar w:fldCharType="begin"/>
            </w:r>
            <w:r w:rsidRPr="005B5596">
              <w:rPr>
                <w:noProof/>
                <w:webHidden/>
              </w:rPr>
              <w:instrText xml:space="preserve"> PAGEREF _Toc236107897 \h </w:instrText>
            </w:r>
            <w:r w:rsidRPr="005B5596">
              <w:rPr>
                <w:noProof/>
                <w:webHidden/>
              </w:rPr>
            </w:r>
            <w:r w:rsidRPr="005B5596">
              <w:rPr>
                <w:noProof/>
                <w:webHidden/>
              </w:rPr>
              <w:fldChar w:fldCharType="separate"/>
            </w:r>
            <w:r w:rsidR="008E63B0">
              <w:rPr>
                <w:noProof/>
                <w:webHidden/>
              </w:rPr>
              <w:t>18</w:t>
            </w:r>
            <w:r w:rsidRPr="005B5596">
              <w:rPr>
                <w:noProof/>
                <w:webHidden/>
              </w:rPr>
              <w:fldChar w:fldCharType="end"/>
            </w:r>
          </w:hyperlink>
        </w:p>
        <w:p w14:paraId="602C2A27" w14:textId="74DD2689"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8" w:history="1">
            <w:r w:rsidRPr="005B5596">
              <w:rPr>
                <w:rStyle w:val="Hyperlink"/>
                <w:noProof/>
                <w:color w:val="auto"/>
              </w:rPr>
              <w:t>5.2 The Geology Variable: Ecologically Justified but Practically Non-Discriminating</w:t>
            </w:r>
            <w:r w:rsidRPr="005B5596">
              <w:rPr>
                <w:noProof/>
                <w:webHidden/>
              </w:rPr>
              <w:tab/>
            </w:r>
            <w:r w:rsidRPr="005B5596">
              <w:rPr>
                <w:noProof/>
                <w:webHidden/>
              </w:rPr>
              <w:fldChar w:fldCharType="begin"/>
            </w:r>
            <w:r w:rsidRPr="005B5596">
              <w:rPr>
                <w:noProof/>
                <w:webHidden/>
              </w:rPr>
              <w:instrText xml:space="preserve"> PAGEREF _Toc236107898 \h </w:instrText>
            </w:r>
            <w:r w:rsidRPr="005B5596">
              <w:rPr>
                <w:noProof/>
                <w:webHidden/>
              </w:rPr>
            </w:r>
            <w:r w:rsidRPr="005B5596">
              <w:rPr>
                <w:noProof/>
                <w:webHidden/>
              </w:rPr>
              <w:fldChar w:fldCharType="separate"/>
            </w:r>
            <w:r w:rsidR="008E63B0">
              <w:rPr>
                <w:noProof/>
                <w:webHidden/>
              </w:rPr>
              <w:t>19</w:t>
            </w:r>
            <w:r w:rsidRPr="005B5596">
              <w:rPr>
                <w:noProof/>
                <w:webHidden/>
              </w:rPr>
              <w:fldChar w:fldCharType="end"/>
            </w:r>
          </w:hyperlink>
        </w:p>
        <w:p w14:paraId="195A0937" w14:textId="4D946BD0"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899" w:history="1">
            <w:r w:rsidRPr="005B5596">
              <w:rPr>
                <w:rStyle w:val="Hyperlink"/>
                <w:noProof/>
                <w:color w:val="auto"/>
              </w:rPr>
              <w:t>5.3 Why the Model and the Records Disagree, and Why It Is Not Simply Error</w:t>
            </w:r>
            <w:r w:rsidRPr="005B5596">
              <w:rPr>
                <w:noProof/>
                <w:webHidden/>
              </w:rPr>
              <w:tab/>
            </w:r>
            <w:r w:rsidRPr="005B5596">
              <w:rPr>
                <w:noProof/>
                <w:webHidden/>
              </w:rPr>
              <w:fldChar w:fldCharType="begin"/>
            </w:r>
            <w:r w:rsidRPr="005B5596">
              <w:rPr>
                <w:noProof/>
                <w:webHidden/>
              </w:rPr>
              <w:instrText xml:space="preserve"> PAGEREF _Toc236107899 \h </w:instrText>
            </w:r>
            <w:r w:rsidRPr="005B5596">
              <w:rPr>
                <w:noProof/>
                <w:webHidden/>
              </w:rPr>
            </w:r>
            <w:r w:rsidRPr="005B5596">
              <w:rPr>
                <w:noProof/>
                <w:webHidden/>
              </w:rPr>
              <w:fldChar w:fldCharType="separate"/>
            </w:r>
            <w:r w:rsidR="008E63B0">
              <w:rPr>
                <w:noProof/>
                <w:webHidden/>
              </w:rPr>
              <w:t>20</w:t>
            </w:r>
            <w:r w:rsidRPr="005B5596">
              <w:rPr>
                <w:noProof/>
                <w:webHidden/>
              </w:rPr>
              <w:fldChar w:fldCharType="end"/>
            </w:r>
          </w:hyperlink>
        </w:p>
        <w:p w14:paraId="2E203DCD" w14:textId="53CC7BAF"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0" w:history="1">
            <w:r w:rsidRPr="005B5596">
              <w:rPr>
                <w:rStyle w:val="Hyperlink"/>
                <w:noProof/>
                <w:color w:val="auto"/>
              </w:rPr>
              <w:t>5.4 Advantages, Limitations, and Fitness for Purpose</w:t>
            </w:r>
            <w:r w:rsidRPr="005B5596">
              <w:rPr>
                <w:noProof/>
                <w:webHidden/>
              </w:rPr>
              <w:tab/>
            </w:r>
            <w:r w:rsidRPr="005B5596">
              <w:rPr>
                <w:noProof/>
                <w:webHidden/>
              </w:rPr>
              <w:fldChar w:fldCharType="begin"/>
            </w:r>
            <w:r w:rsidRPr="005B5596">
              <w:rPr>
                <w:noProof/>
                <w:webHidden/>
              </w:rPr>
              <w:instrText xml:space="preserve"> PAGEREF _Toc236107900 \h </w:instrText>
            </w:r>
            <w:r w:rsidRPr="005B5596">
              <w:rPr>
                <w:noProof/>
                <w:webHidden/>
              </w:rPr>
            </w:r>
            <w:r w:rsidRPr="005B5596">
              <w:rPr>
                <w:noProof/>
                <w:webHidden/>
              </w:rPr>
              <w:fldChar w:fldCharType="separate"/>
            </w:r>
            <w:r w:rsidR="008E63B0">
              <w:rPr>
                <w:noProof/>
                <w:webHidden/>
              </w:rPr>
              <w:t>20</w:t>
            </w:r>
            <w:r w:rsidRPr="005B5596">
              <w:rPr>
                <w:noProof/>
                <w:webHidden/>
              </w:rPr>
              <w:fldChar w:fldCharType="end"/>
            </w:r>
          </w:hyperlink>
        </w:p>
        <w:p w14:paraId="25EFAB81" w14:textId="4F2B2F45"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901" w:history="1">
            <w:r w:rsidRPr="005B5596">
              <w:rPr>
                <w:rStyle w:val="Hyperlink"/>
                <w:noProof/>
                <w:color w:val="auto"/>
              </w:rPr>
              <w:t>6. Conservation Management Applications and Wider Value</w:t>
            </w:r>
            <w:r w:rsidRPr="005B5596">
              <w:rPr>
                <w:noProof/>
                <w:webHidden/>
              </w:rPr>
              <w:tab/>
            </w:r>
            <w:r w:rsidRPr="005B5596">
              <w:rPr>
                <w:noProof/>
                <w:webHidden/>
              </w:rPr>
              <w:fldChar w:fldCharType="begin"/>
            </w:r>
            <w:r w:rsidRPr="005B5596">
              <w:rPr>
                <w:noProof/>
                <w:webHidden/>
              </w:rPr>
              <w:instrText xml:space="preserve"> PAGEREF _Toc236107901 \h </w:instrText>
            </w:r>
            <w:r w:rsidRPr="005B5596">
              <w:rPr>
                <w:noProof/>
                <w:webHidden/>
              </w:rPr>
            </w:r>
            <w:r w:rsidRPr="005B5596">
              <w:rPr>
                <w:noProof/>
                <w:webHidden/>
              </w:rPr>
              <w:fldChar w:fldCharType="separate"/>
            </w:r>
            <w:r w:rsidR="008E63B0">
              <w:rPr>
                <w:noProof/>
                <w:webHidden/>
              </w:rPr>
              <w:t>21</w:t>
            </w:r>
            <w:r w:rsidRPr="005B5596">
              <w:rPr>
                <w:noProof/>
                <w:webHidden/>
              </w:rPr>
              <w:fldChar w:fldCharType="end"/>
            </w:r>
          </w:hyperlink>
        </w:p>
        <w:p w14:paraId="76933905" w14:textId="0125B823"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2" w:history="1">
            <w:r w:rsidRPr="005B5596">
              <w:rPr>
                <w:rStyle w:val="Hyperlink"/>
                <w:noProof/>
                <w:color w:val="auto"/>
              </w:rPr>
              <w:t>6.1 Directing Scarce Survey and Management Effort</w:t>
            </w:r>
            <w:r w:rsidRPr="005B5596">
              <w:rPr>
                <w:noProof/>
                <w:webHidden/>
              </w:rPr>
              <w:tab/>
            </w:r>
            <w:r w:rsidRPr="005B5596">
              <w:rPr>
                <w:noProof/>
                <w:webHidden/>
              </w:rPr>
              <w:fldChar w:fldCharType="begin"/>
            </w:r>
            <w:r w:rsidRPr="005B5596">
              <w:rPr>
                <w:noProof/>
                <w:webHidden/>
              </w:rPr>
              <w:instrText xml:space="preserve"> PAGEREF _Toc236107902 \h </w:instrText>
            </w:r>
            <w:r w:rsidRPr="005B5596">
              <w:rPr>
                <w:noProof/>
                <w:webHidden/>
              </w:rPr>
            </w:r>
            <w:r w:rsidRPr="005B5596">
              <w:rPr>
                <w:noProof/>
                <w:webHidden/>
              </w:rPr>
              <w:fldChar w:fldCharType="separate"/>
            </w:r>
            <w:r w:rsidR="008E63B0">
              <w:rPr>
                <w:noProof/>
                <w:webHidden/>
              </w:rPr>
              <w:t>21</w:t>
            </w:r>
            <w:r w:rsidRPr="005B5596">
              <w:rPr>
                <w:noProof/>
                <w:webHidden/>
              </w:rPr>
              <w:fldChar w:fldCharType="end"/>
            </w:r>
          </w:hyperlink>
        </w:p>
        <w:p w14:paraId="08FF67C3" w14:textId="20373FC8"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3" w:history="1">
            <w:r w:rsidRPr="005B5596">
              <w:rPr>
                <w:rStyle w:val="Hyperlink"/>
                <w:noProof/>
                <w:color w:val="auto"/>
              </w:rPr>
              <w:t>6.2 Informing Habitat Protection and Restoration</w:t>
            </w:r>
            <w:r w:rsidRPr="005B5596">
              <w:rPr>
                <w:noProof/>
                <w:webHidden/>
              </w:rPr>
              <w:tab/>
            </w:r>
            <w:r w:rsidRPr="005B5596">
              <w:rPr>
                <w:noProof/>
                <w:webHidden/>
              </w:rPr>
              <w:fldChar w:fldCharType="begin"/>
            </w:r>
            <w:r w:rsidRPr="005B5596">
              <w:rPr>
                <w:noProof/>
                <w:webHidden/>
              </w:rPr>
              <w:instrText xml:space="preserve"> PAGEREF _Toc236107903 \h </w:instrText>
            </w:r>
            <w:r w:rsidRPr="005B5596">
              <w:rPr>
                <w:noProof/>
                <w:webHidden/>
              </w:rPr>
            </w:r>
            <w:r w:rsidRPr="005B5596">
              <w:rPr>
                <w:noProof/>
                <w:webHidden/>
              </w:rPr>
              <w:fldChar w:fldCharType="separate"/>
            </w:r>
            <w:r w:rsidR="008E63B0">
              <w:rPr>
                <w:noProof/>
                <w:webHidden/>
              </w:rPr>
              <w:t>21</w:t>
            </w:r>
            <w:r w:rsidRPr="005B5596">
              <w:rPr>
                <w:noProof/>
                <w:webHidden/>
              </w:rPr>
              <w:fldChar w:fldCharType="end"/>
            </w:r>
          </w:hyperlink>
        </w:p>
        <w:p w14:paraId="493C4987" w14:textId="65DF82DF"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4" w:history="1">
            <w:r w:rsidRPr="005B5596">
              <w:rPr>
                <w:rStyle w:val="Hyperlink"/>
                <w:noProof/>
                <w:color w:val="auto"/>
              </w:rPr>
              <w:t>6.3 Supporting Range Expansion and Connectivity Planning</w:t>
            </w:r>
            <w:r w:rsidRPr="005B5596">
              <w:rPr>
                <w:noProof/>
                <w:webHidden/>
              </w:rPr>
              <w:tab/>
            </w:r>
            <w:r w:rsidRPr="005B5596">
              <w:rPr>
                <w:noProof/>
                <w:webHidden/>
              </w:rPr>
              <w:fldChar w:fldCharType="begin"/>
            </w:r>
            <w:r w:rsidRPr="005B5596">
              <w:rPr>
                <w:noProof/>
                <w:webHidden/>
              </w:rPr>
              <w:instrText xml:space="preserve"> PAGEREF _Toc236107904 \h </w:instrText>
            </w:r>
            <w:r w:rsidRPr="005B5596">
              <w:rPr>
                <w:noProof/>
                <w:webHidden/>
              </w:rPr>
            </w:r>
            <w:r w:rsidRPr="005B5596">
              <w:rPr>
                <w:noProof/>
                <w:webHidden/>
              </w:rPr>
              <w:fldChar w:fldCharType="separate"/>
            </w:r>
            <w:r w:rsidR="008E63B0">
              <w:rPr>
                <w:noProof/>
                <w:webHidden/>
              </w:rPr>
              <w:t>22</w:t>
            </w:r>
            <w:r w:rsidRPr="005B5596">
              <w:rPr>
                <w:noProof/>
                <w:webHidden/>
              </w:rPr>
              <w:fldChar w:fldCharType="end"/>
            </w:r>
          </w:hyperlink>
        </w:p>
        <w:p w14:paraId="28DDA7E5" w14:textId="56DD4625"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5" w:history="1">
            <w:r w:rsidRPr="005B5596">
              <w:rPr>
                <w:rStyle w:val="Hyperlink"/>
                <w:noProof/>
                <w:color w:val="auto"/>
              </w:rPr>
              <w:t>6.4 Transferability and the Broader Case for Open-Data Screening</w:t>
            </w:r>
            <w:r w:rsidRPr="005B5596">
              <w:rPr>
                <w:noProof/>
                <w:webHidden/>
              </w:rPr>
              <w:tab/>
            </w:r>
            <w:r w:rsidRPr="005B5596">
              <w:rPr>
                <w:noProof/>
                <w:webHidden/>
              </w:rPr>
              <w:fldChar w:fldCharType="begin"/>
            </w:r>
            <w:r w:rsidRPr="005B5596">
              <w:rPr>
                <w:noProof/>
                <w:webHidden/>
              </w:rPr>
              <w:instrText xml:space="preserve"> PAGEREF _Toc236107905 \h </w:instrText>
            </w:r>
            <w:r w:rsidRPr="005B5596">
              <w:rPr>
                <w:noProof/>
                <w:webHidden/>
              </w:rPr>
            </w:r>
            <w:r w:rsidRPr="005B5596">
              <w:rPr>
                <w:noProof/>
                <w:webHidden/>
              </w:rPr>
              <w:fldChar w:fldCharType="separate"/>
            </w:r>
            <w:r w:rsidR="008E63B0">
              <w:rPr>
                <w:noProof/>
                <w:webHidden/>
              </w:rPr>
              <w:t>23</w:t>
            </w:r>
            <w:r w:rsidRPr="005B5596">
              <w:rPr>
                <w:noProof/>
                <w:webHidden/>
              </w:rPr>
              <w:fldChar w:fldCharType="end"/>
            </w:r>
          </w:hyperlink>
        </w:p>
        <w:p w14:paraId="5A7ECC97" w14:textId="79A0BB1F"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906" w:history="1">
            <w:r w:rsidRPr="005B5596">
              <w:rPr>
                <w:rStyle w:val="Hyperlink"/>
                <w:noProof/>
                <w:color w:val="auto"/>
              </w:rPr>
              <w:t>7. Conclusion</w:t>
            </w:r>
            <w:r w:rsidRPr="005B5596">
              <w:rPr>
                <w:noProof/>
                <w:webHidden/>
              </w:rPr>
              <w:tab/>
            </w:r>
            <w:r w:rsidRPr="005B5596">
              <w:rPr>
                <w:noProof/>
                <w:webHidden/>
              </w:rPr>
              <w:fldChar w:fldCharType="begin"/>
            </w:r>
            <w:r w:rsidRPr="005B5596">
              <w:rPr>
                <w:noProof/>
                <w:webHidden/>
              </w:rPr>
              <w:instrText xml:space="preserve"> PAGEREF _Toc236107906 \h </w:instrText>
            </w:r>
            <w:r w:rsidRPr="005B5596">
              <w:rPr>
                <w:noProof/>
                <w:webHidden/>
              </w:rPr>
            </w:r>
            <w:r w:rsidRPr="005B5596">
              <w:rPr>
                <w:noProof/>
                <w:webHidden/>
              </w:rPr>
              <w:fldChar w:fldCharType="separate"/>
            </w:r>
            <w:r w:rsidR="008E63B0">
              <w:rPr>
                <w:noProof/>
                <w:webHidden/>
              </w:rPr>
              <w:t>23</w:t>
            </w:r>
            <w:r w:rsidRPr="005B5596">
              <w:rPr>
                <w:noProof/>
                <w:webHidden/>
              </w:rPr>
              <w:fldChar w:fldCharType="end"/>
            </w:r>
          </w:hyperlink>
        </w:p>
        <w:p w14:paraId="4D7B92DF" w14:textId="3D55E156"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907" w:history="1">
            <w:r w:rsidRPr="005B5596">
              <w:rPr>
                <w:rStyle w:val="Hyperlink"/>
                <w:noProof/>
                <w:color w:val="auto"/>
              </w:rPr>
              <w:t>References</w:t>
            </w:r>
            <w:r w:rsidRPr="005B5596">
              <w:rPr>
                <w:noProof/>
                <w:webHidden/>
              </w:rPr>
              <w:tab/>
            </w:r>
            <w:r w:rsidRPr="005B5596">
              <w:rPr>
                <w:noProof/>
                <w:webHidden/>
              </w:rPr>
              <w:fldChar w:fldCharType="begin"/>
            </w:r>
            <w:r w:rsidRPr="005B5596">
              <w:rPr>
                <w:noProof/>
                <w:webHidden/>
              </w:rPr>
              <w:instrText xml:space="preserve"> PAGEREF _Toc236107907 \h </w:instrText>
            </w:r>
            <w:r w:rsidRPr="005B5596">
              <w:rPr>
                <w:noProof/>
                <w:webHidden/>
              </w:rPr>
            </w:r>
            <w:r w:rsidRPr="005B5596">
              <w:rPr>
                <w:noProof/>
                <w:webHidden/>
              </w:rPr>
              <w:fldChar w:fldCharType="separate"/>
            </w:r>
            <w:r w:rsidR="008E63B0">
              <w:rPr>
                <w:noProof/>
                <w:webHidden/>
              </w:rPr>
              <w:t>25</w:t>
            </w:r>
            <w:r w:rsidRPr="005B5596">
              <w:rPr>
                <w:noProof/>
                <w:webHidden/>
              </w:rPr>
              <w:fldChar w:fldCharType="end"/>
            </w:r>
          </w:hyperlink>
        </w:p>
        <w:p w14:paraId="18BE62EF" w14:textId="308A1144" w:rsidR="005B5596" w:rsidRPr="005B5596" w:rsidRDefault="005B5596" w:rsidP="005B5596">
          <w:pPr>
            <w:pStyle w:val="TOC1"/>
            <w:tabs>
              <w:tab w:val="right" w:leader="dot" w:pos="9016"/>
            </w:tabs>
            <w:spacing w:line="360" w:lineRule="auto"/>
            <w:rPr>
              <w:rFonts w:eastAsiaTheme="minorEastAsia"/>
              <w:noProof/>
              <w:kern w:val="2"/>
              <w14:ligatures w14:val="standardContextual"/>
            </w:rPr>
          </w:pPr>
          <w:hyperlink w:anchor="_Toc236107908" w:history="1">
            <w:r w:rsidRPr="005B5596">
              <w:rPr>
                <w:rStyle w:val="Hyperlink"/>
                <w:noProof/>
                <w:color w:val="auto"/>
              </w:rPr>
              <w:t>Appendix</w:t>
            </w:r>
            <w:r w:rsidRPr="005B5596">
              <w:rPr>
                <w:noProof/>
                <w:webHidden/>
              </w:rPr>
              <w:tab/>
            </w:r>
            <w:r w:rsidRPr="005B5596">
              <w:rPr>
                <w:noProof/>
                <w:webHidden/>
              </w:rPr>
              <w:fldChar w:fldCharType="begin"/>
            </w:r>
            <w:r w:rsidRPr="005B5596">
              <w:rPr>
                <w:noProof/>
                <w:webHidden/>
              </w:rPr>
              <w:instrText xml:space="preserve"> PAGEREF _Toc236107908 \h </w:instrText>
            </w:r>
            <w:r w:rsidRPr="005B5596">
              <w:rPr>
                <w:noProof/>
                <w:webHidden/>
              </w:rPr>
            </w:r>
            <w:r w:rsidRPr="005B5596">
              <w:rPr>
                <w:noProof/>
                <w:webHidden/>
              </w:rPr>
              <w:fldChar w:fldCharType="separate"/>
            </w:r>
            <w:r w:rsidR="008E63B0">
              <w:rPr>
                <w:noProof/>
                <w:webHidden/>
              </w:rPr>
              <w:t>27</w:t>
            </w:r>
            <w:r w:rsidRPr="005B5596">
              <w:rPr>
                <w:noProof/>
                <w:webHidden/>
              </w:rPr>
              <w:fldChar w:fldCharType="end"/>
            </w:r>
          </w:hyperlink>
        </w:p>
        <w:p w14:paraId="5AE63035" w14:textId="133C375C"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09" w:history="1">
            <w:r w:rsidRPr="005B5596">
              <w:rPr>
                <w:rStyle w:val="Hyperlink"/>
                <w:noProof/>
                <w:color w:val="auto"/>
              </w:rPr>
              <w:t>QGIS File</w:t>
            </w:r>
            <w:r w:rsidRPr="005B5596">
              <w:rPr>
                <w:noProof/>
                <w:webHidden/>
              </w:rPr>
              <w:tab/>
            </w:r>
            <w:r w:rsidRPr="005B5596">
              <w:rPr>
                <w:noProof/>
                <w:webHidden/>
              </w:rPr>
              <w:fldChar w:fldCharType="begin"/>
            </w:r>
            <w:r w:rsidRPr="005B5596">
              <w:rPr>
                <w:noProof/>
                <w:webHidden/>
              </w:rPr>
              <w:instrText xml:space="preserve"> PAGEREF _Toc236107909 \h </w:instrText>
            </w:r>
            <w:r w:rsidRPr="005B5596">
              <w:rPr>
                <w:noProof/>
                <w:webHidden/>
              </w:rPr>
            </w:r>
            <w:r w:rsidRPr="005B5596">
              <w:rPr>
                <w:noProof/>
                <w:webHidden/>
              </w:rPr>
              <w:fldChar w:fldCharType="separate"/>
            </w:r>
            <w:r w:rsidR="008E63B0">
              <w:rPr>
                <w:noProof/>
                <w:webHidden/>
              </w:rPr>
              <w:t>27</w:t>
            </w:r>
            <w:r w:rsidRPr="005B5596">
              <w:rPr>
                <w:noProof/>
                <w:webHidden/>
              </w:rPr>
              <w:fldChar w:fldCharType="end"/>
            </w:r>
          </w:hyperlink>
        </w:p>
        <w:p w14:paraId="4BD442BC" w14:textId="7A15A45A"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10" w:history="1">
            <w:r w:rsidRPr="005B5596">
              <w:rPr>
                <w:rStyle w:val="Hyperlink"/>
                <w:noProof/>
                <w:color w:val="auto"/>
              </w:rPr>
              <w:t>PDF files (MAPS)</w:t>
            </w:r>
            <w:r w:rsidRPr="005B5596">
              <w:rPr>
                <w:noProof/>
                <w:webHidden/>
              </w:rPr>
              <w:tab/>
            </w:r>
            <w:r w:rsidRPr="005B5596">
              <w:rPr>
                <w:noProof/>
                <w:webHidden/>
              </w:rPr>
              <w:fldChar w:fldCharType="begin"/>
            </w:r>
            <w:r w:rsidRPr="005B5596">
              <w:rPr>
                <w:noProof/>
                <w:webHidden/>
              </w:rPr>
              <w:instrText xml:space="preserve"> PAGEREF _Toc236107910 \h </w:instrText>
            </w:r>
            <w:r w:rsidRPr="005B5596">
              <w:rPr>
                <w:noProof/>
                <w:webHidden/>
              </w:rPr>
            </w:r>
            <w:r w:rsidRPr="005B5596">
              <w:rPr>
                <w:noProof/>
                <w:webHidden/>
              </w:rPr>
              <w:fldChar w:fldCharType="separate"/>
            </w:r>
            <w:r w:rsidR="008E63B0">
              <w:rPr>
                <w:noProof/>
                <w:webHidden/>
              </w:rPr>
              <w:t>27</w:t>
            </w:r>
            <w:r w:rsidRPr="005B5596">
              <w:rPr>
                <w:noProof/>
                <w:webHidden/>
              </w:rPr>
              <w:fldChar w:fldCharType="end"/>
            </w:r>
          </w:hyperlink>
        </w:p>
        <w:p w14:paraId="29110C33" w14:textId="13D4F2E5"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11" w:history="1">
            <w:r w:rsidRPr="005B5596">
              <w:rPr>
                <w:rStyle w:val="Hyperlink"/>
                <w:noProof/>
                <w:color w:val="auto"/>
              </w:rPr>
              <w:t>Records (Dataset for Validation)</w:t>
            </w:r>
            <w:r w:rsidRPr="005B5596">
              <w:rPr>
                <w:noProof/>
                <w:webHidden/>
              </w:rPr>
              <w:tab/>
            </w:r>
            <w:r w:rsidRPr="005B5596">
              <w:rPr>
                <w:noProof/>
                <w:webHidden/>
              </w:rPr>
              <w:fldChar w:fldCharType="begin"/>
            </w:r>
            <w:r w:rsidRPr="005B5596">
              <w:rPr>
                <w:noProof/>
                <w:webHidden/>
              </w:rPr>
              <w:instrText xml:space="preserve"> PAGEREF _Toc236107911 \h </w:instrText>
            </w:r>
            <w:r w:rsidRPr="005B5596">
              <w:rPr>
                <w:noProof/>
                <w:webHidden/>
              </w:rPr>
            </w:r>
            <w:r w:rsidRPr="005B5596">
              <w:rPr>
                <w:noProof/>
                <w:webHidden/>
              </w:rPr>
              <w:fldChar w:fldCharType="separate"/>
            </w:r>
            <w:r w:rsidR="008E63B0">
              <w:rPr>
                <w:noProof/>
                <w:webHidden/>
              </w:rPr>
              <w:t>27</w:t>
            </w:r>
            <w:r w:rsidRPr="005B5596">
              <w:rPr>
                <w:noProof/>
                <w:webHidden/>
              </w:rPr>
              <w:fldChar w:fldCharType="end"/>
            </w:r>
          </w:hyperlink>
        </w:p>
        <w:p w14:paraId="0E0DDB92" w14:textId="4B199A07"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12" w:history="1">
            <w:r w:rsidRPr="005B5596">
              <w:rPr>
                <w:rStyle w:val="Hyperlink"/>
                <w:noProof/>
                <w:color w:val="auto"/>
              </w:rPr>
              <w:t>Maps</w:t>
            </w:r>
            <w:r w:rsidRPr="005B5596">
              <w:rPr>
                <w:noProof/>
                <w:webHidden/>
              </w:rPr>
              <w:tab/>
            </w:r>
            <w:r w:rsidRPr="005B5596">
              <w:rPr>
                <w:noProof/>
                <w:webHidden/>
              </w:rPr>
              <w:fldChar w:fldCharType="begin"/>
            </w:r>
            <w:r w:rsidRPr="005B5596">
              <w:rPr>
                <w:noProof/>
                <w:webHidden/>
              </w:rPr>
              <w:instrText xml:space="preserve"> PAGEREF _Toc236107912 \h </w:instrText>
            </w:r>
            <w:r w:rsidRPr="005B5596">
              <w:rPr>
                <w:noProof/>
                <w:webHidden/>
              </w:rPr>
            </w:r>
            <w:r w:rsidRPr="005B5596">
              <w:rPr>
                <w:noProof/>
                <w:webHidden/>
              </w:rPr>
              <w:fldChar w:fldCharType="separate"/>
            </w:r>
            <w:r w:rsidR="008E63B0">
              <w:rPr>
                <w:noProof/>
                <w:webHidden/>
              </w:rPr>
              <w:t>28</w:t>
            </w:r>
            <w:r w:rsidRPr="005B5596">
              <w:rPr>
                <w:noProof/>
                <w:webHidden/>
              </w:rPr>
              <w:fldChar w:fldCharType="end"/>
            </w:r>
          </w:hyperlink>
        </w:p>
        <w:p w14:paraId="44AD17C0" w14:textId="43E13038" w:rsidR="005B5596" w:rsidRPr="005B5596" w:rsidRDefault="005B5596" w:rsidP="005B5596">
          <w:pPr>
            <w:pStyle w:val="TOC2"/>
            <w:tabs>
              <w:tab w:val="right" w:leader="dot" w:pos="9016"/>
            </w:tabs>
            <w:spacing w:line="360" w:lineRule="auto"/>
            <w:rPr>
              <w:rFonts w:eastAsiaTheme="minorEastAsia"/>
              <w:noProof/>
              <w:kern w:val="2"/>
              <w14:ligatures w14:val="standardContextual"/>
            </w:rPr>
          </w:pPr>
          <w:hyperlink w:anchor="_Toc236107913" w:history="1">
            <w:r w:rsidRPr="005B5596">
              <w:rPr>
                <w:rStyle w:val="Hyperlink"/>
                <w:noProof/>
                <w:color w:val="auto"/>
              </w:rPr>
              <w:t>Screenshots for Raster Calculations:</w:t>
            </w:r>
            <w:r w:rsidRPr="005B5596">
              <w:rPr>
                <w:noProof/>
                <w:webHidden/>
              </w:rPr>
              <w:tab/>
            </w:r>
            <w:r w:rsidRPr="005B5596">
              <w:rPr>
                <w:noProof/>
                <w:webHidden/>
              </w:rPr>
              <w:fldChar w:fldCharType="begin"/>
            </w:r>
            <w:r w:rsidRPr="005B5596">
              <w:rPr>
                <w:noProof/>
                <w:webHidden/>
              </w:rPr>
              <w:instrText xml:space="preserve"> PAGEREF _Toc236107913 \h </w:instrText>
            </w:r>
            <w:r w:rsidRPr="005B5596">
              <w:rPr>
                <w:noProof/>
                <w:webHidden/>
              </w:rPr>
            </w:r>
            <w:r w:rsidRPr="005B5596">
              <w:rPr>
                <w:noProof/>
                <w:webHidden/>
              </w:rPr>
              <w:fldChar w:fldCharType="separate"/>
            </w:r>
            <w:r w:rsidR="008E63B0">
              <w:rPr>
                <w:noProof/>
                <w:webHidden/>
              </w:rPr>
              <w:t>38</w:t>
            </w:r>
            <w:r w:rsidRPr="005B5596">
              <w:rPr>
                <w:noProof/>
                <w:webHidden/>
              </w:rPr>
              <w:fldChar w:fldCharType="end"/>
            </w:r>
          </w:hyperlink>
        </w:p>
        <w:p w14:paraId="50A087BB" w14:textId="357364AB" w:rsidR="005B5596" w:rsidRDefault="005B5596" w:rsidP="005B5596">
          <w:pPr>
            <w:spacing w:line="360" w:lineRule="auto"/>
          </w:pPr>
          <w:r w:rsidRPr="005B5596">
            <w:rPr>
              <w:b/>
              <w:bCs/>
              <w:lang w:val="en-GB"/>
            </w:rPr>
            <w:fldChar w:fldCharType="end"/>
          </w:r>
        </w:p>
      </w:sdtContent>
    </w:sdt>
    <w:p w14:paraId="66D6B68F" w14:textId="5626863B" w:rsidR="0034041D" w:rsidRDefault="0034041D">
      <w:r>
        <w:br w:type="page"/>
      </w:r>
    </w:p>
    <w:p w14:paraId="48783862" w14:textId="77777777" w:rsidR="00907A6B" w:rsidRDefault="00000000" w:rsidP="0034041D">
      <w:pPr>
        <w:pStyle w:val="Heading1"/>
        <w:spacing w:before="280" w:after="140" w:line="360" w:lineRule="auto"/>
      </w:pPr>
      <w:bookmarkStart w:id="0" w:name="_Toc236107879"/>
      <w:r>
        <w:lastRenderedPageBreak/>
        <w:t>1. Introduction</w:t>
      </w:r>
      <w:bookmarkEnd w:id="0"/>
    </w:p>
    <w:p w14:paraId="18942141" w14:textId="77777777" w:rsidR="00FC0D2D" w:rsidRDefault="00FC0D2D" w:rsidP="00FC0D2D">
      <w:pPr>
        <w:spacing w:after="160" w:line="360" w:lineRule="auto"/>
        <w:jc w:val="both"/>
      </w:pPr>
      <w:r>
        <w:t>Loss of biodiversity is occurring throughout the world at a rate unprecedented in recent history, and freshwater and wetland species are experiencing some of the most severe losses of any. The water vole (</w:t>
      </w:r>
      <w:r w:rsidRPr="00FC0D2D">
        <w:rPr>
          <w:i/>
          <w:iCs/>
        </w:rPr>
        <w:t>Arvicola amphibius</w:t>
      </w:r>
      <w:r>
        <w:t>, formerly Arvicola terrestris) is one of the most evident examples of the crisis in Britain, being one of the most widely spread British mammal species that has contracted more than any other. In the past estimates of habitat loss have been as high as ninety-four per cent, between the 1930s and the late 1990s, largely as a result of predation by the introduced American mink (</w:t>
      </w:r>
      <w:r w:rsidRPr="00FC0D2D">
        <w:rPr>
          <w:i/>
          <w:iCs/>
        </w:rPr>
        <w:t>Neovison vison</w:t>
      </w:r>
      <w:r>
        <w:t>) (Rushton et al., 2000; Telfer et al., 2001). The species is now found in a fragmented distribution and the knowledge of the exact distribution of its remaining habitat, and of where suitable habitat may still be found if conditions are improved, has become crucial to the conservation of the species.</w:t>
      </w:r>
    </w:p>
    <w:p w14:paraId="706FD3C5" w14:textId="77777777" w:rsidR="00FC0D2D" w:rsidRDefault="00FC0D2D" w:rsidP="00FC0D2D">
      <w:pPr>
        <w:spacing w:after="160" w:line="360" w:lineRule="auto"/>
        <w:jc w:val="both"/>
      </w:pPr>
      <w:r>
        <w:t>It is difficult because the information to answer the question is costly and time-consuming to gather. The cost, time and quality of field surveys to detect water vole are high and arbitrary, depending on each individual's experience. The upland burns and chalk streams have been subjected to more systematic investigation than extensive lowland areas of artificially drained grazing marsh, which are drained by dense networks of ditches called rhines area-wide.Lowland areas of artificially drained grazing marsh (drained by dense, area-wide networks of ditches, known locally as rhines) have been relatively under-researched compared to the upland burns and chalk streams (MacPherson and Bright, 2011; Stewart et al., 2017). These rhine landscapes are structurally very similar to other riparian habitats that water voles are known to inhabit, however, they are also among the least surveyed, potentially meaning that appropriate habitat is being overlooked because no one has been looking.</w:t>
      </w:r>
    </w:p>
    <w:p w14:paraId="71EA164E" w14:textId="0D1C225B" w:rsidR="00907A6B" w:rsidRDefault="00FC0D2D" w:rsidP="00FC0D2D">
      <w:pPr>
        <w:spacing w:after="160" w:line="360" w:lineRule="auto"/>
        <w:jc w:val="both"/>
      </w:pPr>
      <w:r>
        <w:t>Geographic Information Systems (GIS) provide a viable means to help close this divide. A GIS is a computer-based framework that can capture, store, combine, analyse, and display information that is tied to specific locations on the ground. A GIS can combine remotely sensed data (e.g., airborne laser scanning of the land surface), mapped environmental information, and existing knowledge about a species' ecological requirements to generate continuous, map based predictions of habitat quality throughout an entire landscape, at a much lower cost than walking every watercourse. The question is how easy or difficult the analysis must be, depending on the quality of freely available data and the decision to be supported, and not whether GIS can help or not, as many studies have shown that it can.</w:t>
      </w:r>
    </w:p>
    <w:p w14:paraId="3C66A626" w14:textId="202D2144" w:rsidR="00907A6B" w:rsidRDefault="00FC0D2D" w:rsidP="0034041D">
      <w:pPr>
        <w:spacing w:after="160" w:line="360" w:lineRule="auto"/>
        <w:jc w:val="both"/>
      </w:pPr>
      <w:r w:rsidRPr="00FC0D2D">
        <w:lastRenderedPageBreak/>
        <w:t>The specific technique employed is called Habitat Suitability Analysis (HSA). In simple terms, it does this by converting each of a species' ecological requirements into an easy-to-draw map layer, and then combining them like adding numbers together so that each point in space on the ground would be assigned a number that represents how many of the requirements are met there. The policy logic followed in this report is based on that of Bonesi et al. (2002) who demonstrated that three simple environmental factors, water, suitable food-providing vegetation and protective cover, had an ability to correctly classify water vole presence and absence of eighty-one to eighty-three per cent in the upper Thames catchment. Their study is still the basis for quantitative modelling of this type, and their approach is extended to include four variables, with the addition of geological substrate, in this study.</w:t>
      </w:r>
    </w:p>
    <w:p w14:paraId="4900C45D" w14:textId="77777777" w:rsidR="00907A6B" w:rsidRDefault="00000000" w:rsidP="0034041D">
      <w:pPr>
        <w:spacing w:after="160" w:line="360" w:lineRule="auto"/>
        <w:jc w:val="both"/>
      </w:pPr>
      <w:r>
        <w:t>This report applies that rule-based HSA method to a deliberately chosen study area: the Almondsbury–Pilning rhine corridor in South Gloucestershire, immediately north of Bristol. The corridor was selected precisely because it is hydrologically connected to a known, occupied water vole population around Avonmouth and Severnside, yet has not itself been systematically surveyed. Mapping habitat in an area already known to be occupied would add little; assessing an adjacent, under-surveyed but connected area instead identifies where the species could plausibly spread, which is a far more useful conservation question. The analysis was carried out entirely in QGIS, a free and open-source GIS widely used in ecological research and practice.</w:t>
      </w:r>
    </w:p>
    <w:p w14:paraId="3D7A0558" w14:textId="77777777" w:rsidR="00907A6B" w:rsidRDefault="00000000" w:rsidP="0034041D">
      <w:pPr>
        <w:spacing w:after="160" w:line="360" w:lineRule="auto"/>
        <w:jc w:val="both"/>
      </w:pPr>
      <w:r>
        <w:t>The report is guided by two research questions, each designed to be answered through the analysis and tested critically against the published literature. The first is a modelling question: to what extent can a rule-based, open-data GIS habitat-suitability model, combining proximity to water, slope, land cover, and geology, identify potential water vole habitat in the under-surveyed Almondsbury–Pilning corridor, and how do the resulting predictions compare with the accuracies and constraints reported in the published modelling literature? The second is a validation question: how reliably do the model's predictions correspond to documented water vole occurrence, and what do the sources of disagreement reveal about the limitations of open-data suitability modelling as a conservation-decision tool? The remainder of the report is structured to answer these questions. Section 2 describes the site and species; Section 3 sets out the methodology; Section 4 presents the results, including validation; Section 5 provides a critical discussion against the literature; and Section 6 concludes with recommendations.</w:t>
      </w:r>
    </w:p>
    <w:p w14:paraId="0D2BC77B" w14:textId="77777777" w:rsidR="00907A6B" w:rsidRDefault="00000000" w:rsidP="0034041D">
      <w:pPr>
        <w:pStyle w:val="Heading1"/>
        <w:spacing w:before="280" w:after="140" w:line="360" w:lineRule="auto"/>
      </w:pPr>
      <w:bookmarkStart w:id="1" w:name="_Toc236107880"/>
      <w:r>
        <w:t>2. Site and Species</w:t>
      </w:r>
      <w:bookmarkEnd w:id="1"/>
    </w:p>
    <w:p w14:paraId="63906A3C" w14:textId="77777777" w:rsidR="00907A6B" w:rsidRDefault="00000000" w:rsidP="0034041D">
      <w:pPr>
        <w:pStyle w:val="Heading2"/>
        <w:spacing w:before="220" w:after="120" w:line="360" w:lineRule="auto"/>
      </w:pPr>
      <w:bookmarkStart w:id="2" w:name="_Toc236107881"/>
      <w:r>
        <w:lastRenderedPageBreak/>
        <w:t>2.1 The Water Vole and Why It Matters</w:t>
      </w:r>
      <w:bookmarkEnd w:id="2"/>
    </w:p>
    <w:p w14:paraId="3648749C" w14:textId="77777777" w:rsidR="00907A6B" w:rsidRDefault="00000000" w:rsidP="0034041D">
      <w:pPr>
        <w:spacing w:after="160" w:line="360" w:lineRule="auto"/>
        <w:jc w:val="both"/>
      </w:pPr>
      <w:r>
        <w:t>The water vole is a medium-sized, semi-aquatic rodent that occupies a narrow ecological niche centred on the water's edge. It is herbivorous, feeding predominantly on grasses, sedges, and other herbaceous vegetation growing within a few metres of the bank, and it excavates extensive burrow systems into earth banks, often with underwater entrances that provide protection from predators (Telfer et al., 2001). These twin requirements, a reliable food supply of bankside vegetation and a bank soft enough to dig into but stable enough not to collapse, define almost everything about where the species can live. Its conservation importance is difficult to overstate: it is widely described as Britain's fastest-declining mammal, and the scale of its historical loss, on the order of a ninety-four per cent reduction in occupied sites, places it among the highest priorities for mammal conservation in the country (Rushton et al., 2000).</w:t>
      </w:r>
    </w:p>
    <w:p w14:paraId="14AE6555" w14:textId="77777777" w:rsidR="00907A6B" w:rsidRDefault="00000000" w:rsidP="0034041D">
      <w:pPr>
        <w:spacing w:after="160" w:line="360" w:lineRule="auto"/>
        <w:jc w:val="both"/>
      </w:pPr>
      <w:r>
        <w:t>Crucially for this study, the water vole functions as a metapopulation species. Rather than existing as one continuous population, it survives as a patchwork of local populations occupying discrete stretches of watercourse, linked together by animals dispersing along the river network. Whether the whole regional population persists depends on the balance between local extinctions, caused by habitat damage, chance demographic events, and predation, and recolonisations, which depend on how far apart the patches are, how good the habitat is, and how large the source populations are (MacPherson and Bright, 2011; Telfer et al., 2001). This framing matters because it means a location can be entirely suitable and still be unoccupied simply because voles have not yet reached it, a point that becomes important when interpreting the validation results in Section 4.</w:t>
      </w:r>
    </w:p>
    <w:p w14:paraId="01722D7F" w14:textId="77777777" w:rsidR="00907A6B" w:rsidRDefault="00000000" w:rsidP="0034041D">
      <w:pPr>
        <w:pStyle w:val="Heading2"/>
        <w:spacing w:before="220" w:after="120" w:line="360" w:lineRule="auto"/>
      </w:pPr>
      <w:bookmarkStart w:id="3" w:name="_Toc236107882"/>
      <w:r>
        <w:t>2.2 The Study Area and Why It Was Chosen</w:t>
      </w:r>
      <w:bookmarkEnd w:id="3"/>
    </w:p>
    <w:p w14:paraId="14481CC8" w14:textId="77777777" w:rsidR="00907A6B" w:rsidRDefault="00000000" w:rsidP="0034041D">
      <w:pPr>
        <w:spacing w:after="160" w:line="360" w:lineRule="auto"/>
        <w:jc w:val="both"/>
      </w:pPr>
      <w:r>
        <w:t>The study area is a four-kilometre by four-kilometre block of the Severn Vale floodplain between Almondsbury and Pilning, covering sixteen square kilometres and bounded to the west and east by the M48 and M4 motorways, which act as semi-permeable barriers to dispersal and give the area natural edges. The landscape is low-lying and almost flat, generally below ten metres above ordnance datum, underlain by Holocene alluvium, and drained by a dense, engineered network of rhines: straight, steep-sided drainage ditches maintained by periodic dredging. Land use is predominantly pastoral, with grazing marsh and improved pasture, some arable cultivation, and a fringe of industrial and infrastructure development along the estuary. Figure 1 shows the study area, the rhine network, and the terrain, derived from one-metre airborne LiDAR.</w:t>
      </w:r>
    </w:p>
    <w:p w14:paraId="2D84EE9D" w14:textId="219FDE1B" w:rsidR="00907A6B" w:rsidRDefault="0034041D" w:rsidP="0034041D">
      <w:pPr>
        <w:spacing w:after="160" w:line="360" w:lineRule="auto"/>
        <w:jc w:val="both"/>
      </w:pPr>
      <w:r>
        <w:rPr>
          <w:noProof/>
        </w:rPr>
        <w:lastRenderedPageBreak/>
        <w:drawing>
          <wp:inline distT="0" distB="0" distL="0" distR="0" wp14:anchorId="53065B6C" wp14:editId="77EFF3B4">
            <wp:extent cx="6179719" cy="4368800"/>
            <wp:effectExtent l="0" t="0" r="0" b="0"/>
            <wp:docPr id="162000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83072" cy="4371171"/>
                    </a:xfrm>
                    <a:prstGeom prst="rect">
                      <a:avLst/>
                    </a:prstGeom>
                    <a:noFill/>
                    <a:ln>
                      <a:noFill/>
                    </a:ln>
                  </pic:spPr>
                </pic:pic>
              </a:graphicData>
            </a:graphic>
          </wp:inline>
        </w:drawing>
      </w:r>
    </w:p>
    <w:p w14:paraId="5FC2C6BA" w14:textId="77777777" w:rsidR="00907A6B" w:rsidRDefault="00000000" w:rsidP="0034041D">
      <w:pPr>
        <w:spacing w:before="60" w:after="180" w:line="360" w:lineRule="auto"/>
        <w:jc w:val="center"/>
      </w:pPr>
      <w:r>
        <w:rPr>
          <w:i/>
          <w:iCs/>
          <w:sz w:val="20"/>
          <w:szCs w:val="20"/>
        </w:rPr>
        <w:t>Figure 1. The Almondsbury–Pilning study area, showing the study-area boundary, the rhine (watercourse) network, and the LiDAR-derived terrain of the Severn Vale floodplain.</w:t>
      </w:r>
    </w:p>
    <w:p w14:paraId="4E4EACEB" w14:textId="77777777" w:rsidR="00907A6B" w:rsidRDefault="00000000" w:rsidP="0034041D">
      <w:pPr>
        <w:spacing w:after="160" w:line="360" w:lineRule="auto"/>
        <w:jc w:val="both"/>
      </w:pPr>
      <w:r>
        <w:t>This landscape type, lowland artificially drained grazing marsh, is systematically under-represented in national water vole survey data, which is concentrated on chalk streams, upland burns, and accessible urban waterways (MacPherson and Bright, 2011; Stewart et al., 2017). That under-recording is exactly why the site was chosen. The rhine network here is directly connected to a documented, occupied water vole population in the Avonmouth and Severnside area to the south, where the species is well established and has been the subject of both monitoring and reintroduction work. Modelling habitat in that occupied core would simply confirm what is already known. Modelling the adjacent, connected, but under-surveyed Almondsbury–Pilning corridor instead asks a genuinely useful question: where, within this landscape, are the ecological preconditions for occupancy met, so that the corridor could support the natural spread of the species from its neighbouring stronghold? The analysis is therefore framed throughout as an assessment of spread potential rather than a re-description of known occupancy.</w:t>
      </w:r>
    </w:p>
    <w:p w14:paraId="3B4C7F59" w14:textId="77777777" w:rsidR="00907A6B" w:rsidRDefault="00000000" w:rsidP="0034041D">
      <w:pPr>
        <w:pStyle w:val="Heading1"/>
        <w:spacing w:before="280" w:after="140" w:line="360" w:lineRule="auto"/>
      </w:pPr>
      <w:bookmarkStart w:id="4" w:name="_Toc236107883"/>
      <w:r>
        <w:lastRenderedPageBreak/>
        <w:t>3. Methodology</w:t>
      </w:r>
      <w:bookmarkEnd w:id="4"/>
    </w:p>
    <w:p w14:paraId="00BE5A38" w14:textId="77777777" w:rsidR="00907A6B" w:rsidRDefault="00000000" w:rsidP="0034041D">
      <w:pPr>
        <w:spacing w:after="160" w:line="360" w:lineRule="auto"/>
        <w:jc w:val="both"/>
      </w:pPr>
      <w:r>
        <w:t>The analysis follows a rule-based approach in which ecological requirements identified from the literature are expressed as binary raster masks and combined to produce a continuous suitability surface (Bonesi et al., 2002). A raster is simply a grid of cells, each holding a single value; here every cell measures one metre by one metre, and each of the four requirement maps holds a value of one where the requirement is met and zero where it is not. Adding the four maps together yields a surface scored from zero to four. The full workflow, from input data through processing to outputs, is summarised as a process diagram in Figure 2, which is provided because the method involves several chained steps that are easier to follow visually than in prose.</w:t>
      </w:r>
    </w:p>
    <w:p w14:paraId="565A3825" w14:textId="269B10C9" w:rsidR="00907A6B" w:rsidRDefault="0034041D" w:rsidP="0034041D">
      <w:pPr>
        <w:spacing w:after="160" w:line="360" w:lineRule="auto"/>
        <w:jc w:val="both"/>
      </w:pPr>
      <w:r>
        <w:rPr>
          <w:noProof/>
        </w:rPr>
        <w:drawing>
          <wp:inline distT="0" distB="0" distL="0" distR="0" wp14:anchorId="5F0C34EF" wp14:editId="25DFA738">
            <wp:extent cx="5731510" cy="4365625"/>
            <wp:effectExtent l="0" t="0" r="2540" b="0"/>
            <wp:docPr id="734242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365625"/>
                    </a:xfrm>
                    <a:prstGeom prst="rect">
                      <a:avLst/>
                    </a:prstGeom>
                    <a:noFill/>
                    <a:ln>
                      <a:noFill/>
                    </a:ln>
                  </pic:spPr>
                </pic:pic>
              </a:graphicData>
            </a:graphic>
          </wp:inline>
        </w:drawing>
      </w:r>
      <w:r>
        <w:br/>
      </w:r>
      <w:r>
        <w:rPr>
          <w:i/>
          <w:iCs/>
          <w:sz w:val="20"/>
          <w:szCs w:val="20"/>
        </w:rPr>
        <w:t>Figure 2. The four-variable rule-based habitat suitability workflow, from open-access input data through GIS processing and binary masks to the summed suitability outputs and validation.</w:t>
      </w:r>
    </w:p>
    <w:p w14:paraId="5E28BA05" w14:textId="77777777" w:rsidR="00907A6B" w:rsidRDefault="00000000" w:rsidP="0034041D">
      <w:pPr>
        <w:pStyle w:val="Heading2"/>
        <w:spacing w:before="220" w:after="120" w:line="360" w:lineRule="auto"/>
      </w:pPr>
      <w:bookmarkStart w:id="5" w:name="_Toc236107884"/>
      <w:r>
        <w:t>3.1 Data Sources and the Case for Open Data</w:t>
      </w:r>
      <w:bookmarkEnd w:id="5"/>
    </w:p>
    <w:p w14:paraId="5B753A6A" w14:textId="77777777" w:rsidR="00907A6B" w:rsidRDefault="00000000" w:rsidP="0034041D">
      <w:pPr>
        <w:spacing w:after="160" w:line="360" w:lineRule="auto"/>
        <w:jc w:val="both"/>
      </w:pPr>
      <w:r>
        <w:t xml:space="preserve">Every dataset used in this study is open and freely available, and this was a deliberate methodological choice rather than a convenience. Terrain was represented by the Environment </w:t>
      </w:r>
      <w:r>
        <w:lastRenderedPageBreak/>
        <w:t>Agency's one-metre LiDAR Digital Terrain Model, which records the height of the bare ground surface after vegetation and buildings are removed. The watercourse network came from Ordnance Survey Open Rivers. Geological substrate was taken from the British Geological Survey's 1:625,000 superficial geology dataset. Land cover was interpreted directly from high-resolution aerial imagery. Using open data of this kind has clear advantages: it makes the analysis fully reproducible, allowing any other worker to verify or update the results, and it enables consistent comparison across studies and regions, which is why national agencies and conservation bodies rely on these same datasets so heavily. There are genuine caveats, chiefly that freely available data can be coarser than the ecological process being studied, and this tension is confronted directly in the case of the geology data below and in the discussion. For a regional, first-pass suitability assessment, however, the resolution of these datasets is sufficient, and their transparency is a scientific strength rather than a compromise (Zhang et al., 2020).</w:t>
      </w:r>
    </w:p>
    <w:p w14:paraId="3B4EE43A" w14:textId="77777777" w:rsidR="00907A6B" w:rsidRDefault="00000000" w:rsidP="0034041D">
      <w:pPr>
        <w:pStyle w:val="Heading2"/>
        <w:spacing w:before="220" w:after="120" w:line="360" w:lineRule="auto"/>
      </w:pPr>
      <w:bookmarkStart w:id="6" w:name="_Toc236107885"/>
      <w:r>
        <w:t>3.2 Variable Selection and Threshold Justification</w:t>
      </w:r>
      <w:bookmarkEnd w:id="6"/>
    </w:p>
    <w:p w14:paraId="0EC40DD4" w14:textId="77777777" w:rsidR="00907A6B" w:rsidRDefault="00000000" w:rsidP="0034041D">
      <w:pPr>
        <w:pStyle w:val="Heading3"/>
        <w:spacing w:before="180" w:after="100" w:line="360" w:lineRule="auto"/>
      </w:pPr>
      <w:bookmarkStart w:id="7" w:name="_Toc236107886"/>
      <w:r>
        <w:t>3.2.1 Proximity to Water</w:t>
      </w:r>
      <w:bookmarkEnd w:id="7"/>
    </w:p>
    <w:p w14:paraId="1253468D" w14:textId="77777777" w:rsidR="00907A6B" w:rsidRDefault="00000000" w:rsidP="0034041D">
      <w:pPr>
        <w:spacing w:after="160" w:line="360" w:lineRule="auto"/>
        <w:jc w:val="both"/>
      </w:pPr>
      <w:r>
        <w:t>Water voles are obligately tied to the water's edge, and this is the least contested of their requirements. Woodroffe et al. (1990) showed that latrine production, a reliable indicator of occupancy during the breeding season, was concentrated within two metres of the water's edge on North Yorkshire rivers and declined sharply beyond that. Rushton et al. (2000) found that home-range centroids on the River Windrush rarely lay more than ten metres from the bank. On this basis, the Ordnance Survey Open Rivers layer was used to generate a continuous distance-to-water surface, which was then thresholded so that every cell within ten metres of a watercourse scored one and all others scored zero. The distance-surface method was chosen in preference to a simple buffer because it guarantees a valid value in every cell across the whole grid, which is essential for the later summation step. This variable is shown in Figure 4a.</w:t>
      </w:r>
    </w:p>
    <w:p w14:paraId="0215AC0B" w14:textId="77777777" w:rsidR="00907A6B" w:rsidRDefault="00000000" w:rsidP="0034041D">
      <w:pPr>
        <w:pStyle w:val="Heading3"/>
        <w:spacing w:before="180" w:after="100" w:line="360" w:lineRule="auto"/>
      </w:pPr>
      <w:bookmarkStart w:id="8" w:name="_Toc236107887"/>
      <w:r>
        <w:t>3.2.2 Slope</w:t>
      </w:r>
      <w:bookmarkEnd w:id="8"/>
    </w:p>
    <w:p w14:paraId="1475CF41" w14:textId="77777777" w:rsidR="00907A6B" w:rsidRDefault="00000000" w:rsidP="0034041D">
      <w:pPr>
        <w:spacing w:after="160" w:line="360" w:lineRule="auto"/>
        <w:jc w:val="both"/>
      </w:pPr>
      <w:r>
        <w:t xml:space="preserve">Burrow construction requires banks that are steep enough to dig into but not so steep that they collapse. Slope was first derived as a continuous surface from the one-metre LiDAR terrain model, shown in Figure 3, and then masked to the range five to forty-five degrees. The lower bound of five degrees excludes flat, permanently waterlogged ground that offers no bank to burrow into, while the upper bound of forty-five degrees reflects the point at which </w:t>
      </w:r>
      <w:r>
        <w:lastRenderedPageBreak/>
        <w:t>unconsolidated alluvial banks become prone to collapse. A cell scored one if its slope fell within this range and zero otherwise. This variable is shown in Figure 4b. It is worth noting, and is returned to in the discussion, that at one-metre resolution the slope layer also captures artificial features such as motorway and railway embankments, which appear as steep ground even though they are not natural rhine banks.</w:t>
      </w:r>
    </w:p>
    <w:p w14:paraId="1BC1F5B2" w14:textId="77777777" w:rsidR="0067208A" w:rsidRDefault="0067208A" w:rsidP="0067208A">
      <w:pPr>
        <w:spacing w:after="160" w:line="360" w:lineRule="auto"/>
        <w:jc w:val="center"/>
        <w:rPr>
          <w:i/>
          <w:iCs/>
          <w:sz w:val="20"/>
          <w:szCs w:val="20"/>
        </w:rPr>
      </w:pPr>
      <w:r>
        <w:rPr>
          <w:noProof/>
        </w:rPr>
        <w:drawing>
          <wp:inline distT="0" distB="0" distL="0" distR="0" wp14:anchorId="79371346" wp14:editId="3103C02B">
            <wp:extent cx="3899323" cy="2688908"/>
            <wp:effectExtent l="0" t="0" r="6350" b="0"/>
            <wp:docPr id="16967257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55511" name="Picture 1973155511"/>
                    <pic:cNvPicPr/>
                  </pic:nvPicPr>
                  <pic:blipFill rotWithShape="1">
                    <a:blip r:embed="rId18" cstate="print">
                      <a:extLst>
                        <a:ext uri="{28A0092B-C50C-407E-A947-70E740481C1C}">
                          <a14:useLocalDpi xmlns:a14="http://schemas.microsoft.com/office/drawing/2010/main" val="0"/>
                        </a:ext>
                      </a:extLst>
                    </a:blip>
                    <a:srcRect t="2488"/>
                    <a:stretch>
                      <a:fillRect/>
                    </a:stretch>
                  </pic:blipFill>
                  <pic:spPr bwMode="auto">
                    <a:xfrm>
                      <a:off x="0" y="0"/>
                      <a:ext cx="3928483" cy="2709016"/>
                    </a:xfrm>
                    <a:prstGeom prst="rect">
                      <a:avLst/>
                    </a:prstGeom>
                    <a:ln>
                      <a:noFill/>
                    </a:ln>
                    <a:extLst>
                      <a:ext uri="{53640926-AAD7-44D8-BBD7-CCE9431645EC}">
                        <a14:shadowObscured xmlns:a14="http://schemas.microsoft.com/office/drawing/2010/main"/>
                      </a:ext>
                    </a:extLst>
                  </pic:spPr>
                </pic:pic>
              </a:graphicData>
            </a:graphic>
          </wp:inline>
        </w:drawing>
      </w:r>
    </w:p>
    <w:p w14:paraId="2FC2403F" w14:textId="7AFB7524" w:rsidR="0067208A" w:rsidRDefault="00000000" w:rsidP="0067208A">
      <w:pPr>
        <w:spacing w:after="160" w:line="360" w:lineRule="auto"/>
        <w:rPr>
          <w:i/>
          <w:iCs/>
          <w:sz w:val="20"/>
          <w:szCs w:val="20"/>
        </w:rPr>
      </w:pPr>
      <w:r>
        <w:rPr>
          <w:i/>
          <w:iCs/>
          <w:sz w:val="20"/>
          <w:szCs w:val="20"/>
        </w:rPr>
        <w:t>Figure 3. Continuous slope surface (in degrees) derived from the one-metre LiDAR Digital Terrain Model, from which the slope suitability mask was produced</w:t>
      </w:r>
    </w:p>
    <w:p w14:paraId="6DF3E44E" w14:textId="77777777" w:rsidR="0067208A" w:rsidRDefault="0067208A" w:rsidP="0067208A">
      <w:pPr>
        <w:spacing w:after="120" w:line="360" w:lineRule="auto"/>
        <w:jc w:val="center"/>
      </w:pPr>
      <w:r>
        <w:rPr>
          <w:noProof/>
        </w:rPr>
        <w:drawing>
          <wp:inline distT="0" distB="0" distL="0" distR="0" wp14:anchorId="1ACC8DBF" wp14:editId="10DD6EA7">
            <wp:extent cx="4687756" cy="3315084"/>
            <wp:effectExtent l="0" t="0" r="0" b="0"/>
            <wp:docPr id="17478207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67894" name="Picture 43116789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97914" cy="3322268"/>
                    </a:xfrm>
                    <a:prstGeom prst="rect">
                      <a:avLst/>
                    </a:prstGeom>
                  </pic:spPr>
                </pic:pic>
              </a:graphicData>
            </a:graphic>
          </wp:inline>
        </w:drawing>
      </w:r>
    </w:p>
    <w:p w14:paraId="65F191B3" w14:textId="4E26AC77" w:rsidR="0067208A" w:rsidRDefault="0067208A" w:rsidP="0067208A">
      <w:pPr>
        <w:spacing w:after="160" w:line="360" w:lineRule="auto"/>
        <w:jc w:val="both"/>
      </w:pPr>
      <w:r>
        <w:rPr>
          <w:i/>
          <w:iCs/>
          <w:sz w:val="20"/>
          <w:szCs w:val="20"/>
        </w:rPr>
        <w:t>Figure 4a. Binary proximity-to-water mask. Cells within ten metres of a mapped watercourse are classified as suitable (value 1); all others are unsuitable (value 0).</w:t>
      </w:r>
    </w:p>
    <w:p w14:paraId="5BB0666E" w14:textId="3CB31D82" w:rsidR="00907A6B" w:rsidRDefault="0067208A" w:rsidP="00D969DF">
      <w:pPr>
        <w:spacing w:after="160" w:line="360" w:lineRule="auto"/>
        <w:jc w:val="center"/>
      </w:pPr>
      <w:r>
        <w:rPr>
          <w:noProof/>
        </w:rPr>
        <w:lastRenderedPageBreak/>
        <w:drawing>
          <wp:inline distT="0" distB="0" distL="0" distR="0" wp14:anchorId="60D363A2" wp14:editId="7269AFCC">
            <wp:extent cx="3802328" cy="2688926"/>
            <wp:effectExtent l="0" t="0" r="8255" b="0"/>
            <wp:docPr id="11856628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626133" name="Picture 69862613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14565" cy="2697580"/>
                    </a:xfrm>
                    <a:prstGeom prst="rect">
                      <a:avLst/>
                    </a:prstGeom>
                  </pic:spPr>
                </pic:pic>
              </a:graphicData>
            </a:graphic>
          </wp:inline>
        </w:drawing>
      </w:r>
    </w:p>
    <w:p w14:paraId="19566E4B" w14:textId="77777777" w:rsidR="00907A6B" w:rsidRDefault="00000000" w:rsidP="0067208A">
      <w:pPr>
        <w:spacing w:before="60" w:after="180" w:line="360" w:lineRule="auto"/>
      </w:pPr>
      <w:r>
        <w:rPr>
          <w:i/>
          <w:iCs/>
          <w:sz w:val="20"/>
          <w:szCs w:val="20"/>
        </w:rPr>
        <w:t>Figure 4b. Binary slope mask. Cells with a gradient between five and forty-five degrees are classified as suitable for burrowing (value 1); flatter or steeper cells are unsuitable (value 0).</w:t>
      </w:r>
    </w:p>
    <w:p w14:paraId="23D1EF0A" w14:textId="77777777" w:rsidR="00907A6B" w:rsidRDefault="00000000" w:rsidP="0034041D">
      <w:pPr>
        <w:pStyle w:val="Heading3"/>
        <w:spacing w:before="180" w:after="100" w:line="360" w:lineRule="auto"/>
      </w:pPr>
      <w:bookmarkStart w:id="9" w:name="_Toc236107888"/>
      <w:r>
        <w:t>3.2.3 Land Cover</w:t>
      </w:r>
      <w:bookmarkEnd w:id="9"/>
    </w:p>
    <w:p w14:paraId="7E8832FD" w14:textId="09F0B048" w:rsidR="00907A6B" w:rsidRDefault="00000000" w:rsidP="0067208A">
      <w:pPr>
        <w:spacing w:after="160" w:line="360" w:lineRule="auto"/>
        <w:jc w:val="both"/>
      </w:pPr>
      <w:r>
        <w:t>Water voles require dense, herbaceous riparian vegetation that provides both food and cover from predators (Bonesi et al., 2002; Carter and Bright, 2003). Land cover was mapped by visual interpretation of high-resolution aerial imagery, in which patches of rough, tussocky, or wet vegetation, such as unmanaged grassland, marshy ground, reed, and vegetated rhine margins, were digitised as polygons and treated as suitable, while smooth improved pasture, bare arable land, and hard surfaces were excluded. Seventeen suitable-habitat polygons were digitised in total. This approach is standard in rapid habitat assessment, but it is interpretive by nature and, as acknowledged in the discussion, would ideally be confirmed by field survey. This variable is shown in Figure 4c.</w:t>
      </w:r>
    </w:p>
    <w:p w14:paraId="18FD4915" w14:textId="449725F9" w:rsidR="00D969DF" w:rsidRDefault="00D969DF" w:rsidP="00D969DF">
      <w:pPr>
        <w:spacing w:after="120" w:line="360" w:lineRule="auto"/>
        <w:ind w:left="360" w:hanging="360"/>
        <w:jc w:val="center"/>
        <w:rPr>
          <w:noProof/>
        </w:rPr>
      </w:pPr>
      <w:r>
        <w:rPr>
          <w:noProof/>
        </w:rPr>
        <w:drawing>
          <wp:inline distT="0" distB="0" distL="0" distR="0" wp14:anchorId="6036332F" wp14:editId="75199B5A">
            <wp:extent cx="3536642" cy="2501040"/>
            <wp:effectExtent l="0" t="0" r="6985" b="0"/>
            <wp:docPr id="10196435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77202" name="Picture 14906772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92542" cy="2540571"/>
                    </a:xfrm>
                    <a:prstGeom prst="rect">
                      <a:avLst/>
                    </a:prstGeom>
                  </pic:spPr>
                </pic:pic>
              </a:graphicData>
            </a:graphic>
          </wp:inline>
        </w:drawing>
      </w:r>
    </w:p>
    <w:p w14:paraId="4A190BB8" w14:textId="77777777" w:rsidR="00907A6B" w:rsidRDefault="00000000" w:rsidP="0034041D">
      <w:pPr>
        <w:spacing w:before="60" w:after="180" w:line="360" w:lineRule="auto"/>
        <w:jc w:val="center"/>
      </w:pPr>
      <w:r>
        <w:rPr>
          <w:i/>
          <w:iCs/>
          <w:sz w:val="20"/>
          <w:szCs w:val="20"/>
        </w:rPr>
        <w:lastRenderedPageBreak/>
        <w:t>Figure 4c. Binary land-cover mask. Patches of rough, wet or unmanaged riparian vegetation, digitised from aerial imagery, are classified as suitable (value 1); all other land cover is unsuitable (value 0).</w:t>
      </w:r>
    </w:p>
    <w:p w14:paraId="3DE37CC4" w14:textId="77777777" w:rsidR="00907A6B" w:rsidRDefault="00000000" w:rsidP="0034041D">
      <w:pPr>
        <w:pStyle w:val="Heading3"/>
        <w:spacing w:before="180" w:after="100" w:line="360" w:lineRule="auto"/>
      </w:pPr>
      <w:bookmarkStart w:id="10" w:name="_Toc236107889"/>
      <w:r>
        <w:t>3.2.4 Geological Substrate</w:t>
      </w:r>
      <w:bookmarkEnd w:id="10"/>
    </w:p>
    <w:p w14:paraId="5B364CC2" w14:textId="77777777" w:rsidR="00907A6B" w:rsidRDefault="00000000" w:rsidP="0034041D">
      <w:pPr>
        <w:spacing w:after="160" w:line="360" w:lineRule="auto"/>
        <w:jc w:val="both"/>
      </w:pPr>
      <w:r>
        <w:t>Because water voles are fossorial, the physical substrate into which they dig is ecologically relevant: soft, penetrable, but cohesive materials such as alluvial silts are more suitable for burrowing than dense clays or bedrock (Aars et al., 2001; Oliver et al., 2009). Alluvium was therefore extracted from the British Geological Survey superficial geology layer and treated as suitable substrate. However, this variable is where the open-data caveat bites hardest: at the 1:625,000 resolution of the freely available dataset, the substrate is mapped very coarsely, and the great majority of the study area is classified as a single alluvium unit. The practical consequence of this scale limitation for the model's behaviour is examined critically in Section 5. This variable is shown in Figure 4d.</w:t>
      </w:r>
    </w:p>
    <w:p w14:paraId="1D41EE7E" w14:textId="0F38C561" w:rsidR="00D969DF" w:rsidRDefault="00D969DF" w:rsidP="00D969DF">
      <w:pPr>
        <w:spacing w:after="160" w:line="360" w:lineRule="auto"/>
        <w:jc w:val="center"/>
      </w:pPr>
      <w:r>
        <w:rPr>
          <w:noProof/>
        </w:rPr>
        <w:drawing>
          <wp:inline distT="0" distB="0" distL="0" distR="0" wp14:anchorId="0FF8C553" wp14:editId="08B3CF05">
            <wp:extent cx="3870401" cy="2737067"/>
            <wp:effectExtent l="0" t="0" r="0" b="6350"/>
            <wp:docPr id="18158458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70189" name="Picture 191827018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88716" cy="2750019"/>
                    </a:xfrm>
                    <a:prstGeom prst="rect">
                      <a:avLst/>
                    </a:prstGeom>
                  </pic:spPr>
                </pic:pic>
              </a:graphicData>
            </a:graphic>
          </wp:inline>
        </w:drawing>
      </w:r>
    </w:p>
    <w:p w14:paraId="1CF37C40" w14:textId="77777777" w:rsidR="00907A6B" w:rsidRDefault="00000000" w:rsidP="0034041D">
      <w:pPr>
        <w:spacing w:before="60" w:after="180" w:line="360" w:lineRule="auto"/>
        <w:jc w:val="center"/>
      </w:pPr>
      <w:r>
        <w:rPr>
          <w:i/>
          <w:iCs/>
          <w:sz w:val="20"/>
          <w:szCs w:val="20"/>
        </w:rPr>
        <w:t>Figure 4d. Binary geology mask. Cells mapped as alluvium in the British Geological Survey superficial geology dataset are classified as suitable substrate (value 1); all other units are unsuitable (value 0).</w:t>
      </w:r>
    </w:p>
    <w:p w14:paraId="43F271B3" w14:textId="77777777" w:rsidR="00907A6B" w:rsidRDefault="00000000" w:rsidP="0034041D">
      <w:pPr>
        <w:pStyle w:val="Heading2"/>
        <w:spacing w:before="220" w:after="120" w:line="360" w:lineRule="auto"/>
      </w:pPr>
      <w:bookmarkStart w:id="11" w:name="_Toc236107890"/>
      <w:r>
        <w:t>3.3 Combining the Variables</w:t>
      </w:r>
      <w:bookmarkEnd w:id="11"/>
    </w:p>
    <w:p w14:paraId="4700C0AF" w14:textId="77777777" w:rsidR="00907A6B" w:rsidRDefault="00000000" w:rsidP="0034041D">
      <w:pPr>
        <w:spacing w:after="160" w:line="360" w:lineRule="auto"/>
        <w:jc w:val="both"/>
      </w:pPr>
      <w:r>
        <w:t xml:space="preserve">The four binary masks were combined in two ways using the QGIS Raster Calculator. First, they were added together to produce a continuous suitability surface ranging from zero to four, in which a cell's score is the number of ecological conditions it satisfies; a score of four means all four are met, and zero means none are. This surface is presented as Figure 5. Second, a strict binary map was produced by requiring all four conditions to be met simultaneously, which isolates only the highest-scoring cells and represents the most restrictive definition of prime </w:t>
      </w:r>
      <w:r>
        <w:lastRenderedPageBreak/>
        <w:t>habitat; this is presented as Figure 6. One technical point is worth recording because it materially affects the validity of the result: before summation, each mask was checked and, where necessary, corrected so that every cell held a genuine zero rather than a 'no data' flag. This was essential because, in raster arithmetic, any value added to 'no data' becomes 'no data', which would have caused the entire suitability surface to collapse to the extent of a single layer had the masks not been cleaned first.</w:t>
      </w:r>
    </w:p>
    <w:p w14:paraId="02ECDF8E" w14:textId="77777777" w:rsidR="00907A6B" w:rsidRDefault="00000000" w:rsidP="0034041D">
      <w:pPr>
        <w:pStyle w:val="Heading2"/>
        <w:spacing w:before="220" w:after="120" w:line="360" w:lineRule="auto"/>
      </w:pPr>
      <w:bookmarkStart w:id="12" w:name="_Toc236107891"/>
      <w:r>
        <w:t>3.4 Validation</w:t>
      </w:r>
      <w:bookmarkEnd w:id="12"/>
    </w:p>
    <w:p w14:paraId="5449063A" w14:textId="77777777" w:rsidR="00907A6B" w:rsidRDefault="00000000" w:rsidP="0034041D">
      <w:pPr>
        <w:spacing w:after="160" w:line="360" w:lineRule="auto"/>
        <w:jc w:val="both"/>
      </w:pPr>
      <w:r>
        <w:t>To test the model against reality, its predictions were compared with independent water vole occurrence records obtained from the NBN Atlas, the United Kingdom's national biodiversity data repository (accessed 26 July 2026). Records for the wider ten-kilometre grid square were downloaded, reprojected to British National Grid, and overlaid on the suitability surface. The suitability score beneath each in-area record was then extracted using the Sample Raster Values tool, providing a direct, quantitative test of whether documented voles fall in cells the model classifies as suitable. This validation is presented as Figure 7 and analysed in Section 4.3.</w:t>
      </w:r>
    </w:p>
    <w:p w14:paraId="1080CF65" w14:textId="77777777" w:rsidR="00907A6B" w:rsidRDefault="00000000" w:rsidP="0034041D">
      <w:pPr>
        <w:pStyle w:val="Heading1"/>
        <w:spacing w:before="280" w:after="140" w:line="360" w:lineRule="auto"/>
      </w:pPr>
      <w:bookmarkStart w:id="13" w:name="_Toc236107892"/>
      <w:r>
        <w:t>4. Results</w:t>
      </w:r>
      <w:bookmarkEnd w:id="13"/>
    </w:p>
    <w:p w14:paraId="38A10486" w14:textId="77777777" w:rsidR="00907A6B" w:rsidRDefault="00000000" w:rsidP="0034041D">
      <w:pPr>
        <w:pStyle w:val="Heading2"/>
        <w:spacing w:before="220" w:after="120" w:line="360" w:lineRule="auto"/>
      </w:pPr>
      <w:bookmarkStart w:id="14" w:name="_Toc236107893"/>
      <w:r>
        <w:t>4.1 The Individual Variables</w:t>
      </w:r>
      <w:bookmarkEnd w:id="14"/>
    </w:p>
    <w:p w14:paraId="14375050" w14:textId="77777777" w:rsidR="00907A6B" w:rsidRDefault="00000000" w:rsidP="0034041D">
      <w:pPr>
        <w:spacing w:after="160" w:line="360" w:lineRule="auto"/>
        <w:jc w:val="both"/>
      </w:pPr>
      <w:r>
        <w:t>Before combining the four variables, it is informative to consider how much of the study area each one identifies as suitable on its own, because this explains the pattern of the final map. The results are summarised in Table 1 and shown graphically in Figure 8. The four variables differ enormously in how restrictive they are. Proximity to water is highly restrictive, identifying only 0.48 square kilometres, or three per cent of the study area, as a thin ribbon hugging the rhines (Figure 4a). Land cover is the most restrictive of all, with the seventeen digitised habitat patches covering just 0.29 square kilometres, or 1.8 per cent (Figure 4c). Slope is intermediate, identifying 2.51 square kilometres, or 15.7 per cent, concentrated along bank edges and, as noted, artificial embankments (Figure 4b). Geology is by far the least restrictive: because almost the entire floodplain is mapped as alluvium, this variable identifies 13.85 square kilometres, or 86.6 per cent, as suitable substrate (Figure 4d).</w:t>
      </w:r>
    </w:p>
    <w:tbl>
      <w:tblPr>
        <w:tblW w:w="9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3600"/>
        <w:gridCol w:w="2300"/>
        <w:gridCol w:w="2400"/>
        <w:gridCol w:w="1100"/>
      </w:tblGrid>
      <w:tr w:rsidR="00907A6B" w14:paraId="435053DE" w14:textId="77777777">
        <w:trPr>
          <w:tblHeader/>
        </w:trPr>
        <w:tc>
          <w:tcPr>
            <w:tcW w:w="3600" w:type="dxa"/>
            <w:shd w:val="clear" w:color="auto" w:fill="D9E2F3"/>
            <w:tcMar>
              <w:top w:w="60" w:type="dxa"/>
              <w:left w:w="90" w:type="dxa"/>
              <w:bottom w:w="60" w:type="dxa"/>
              <w:right w:w="90" w:type="dxa"/>
            </w:tcMar>
          </w:tcPr>
          <w:p w14:paraId="2910D96B" w14:textId="77777777" w:rsidR="00907A6B" w:rsidRDefault="00000000" w:rsidP="0034041D">
            <w:pPr>
              <w:spacing w:line="360" w:lineRule="auto"/>
              <w:jc w:val="center"/>
            </w:pPr>
            <w:r>
              <w:rPr>
                <w:b/>
                <w:bCs/>
                <w:sz w:val="21"/>
                <w:szCs w:val="21"/>
              </w:rPr>
              <w:t>Variable</w:t>
            </w:r>
          </w:p>
        </w:tc>
        <w:tc>
          <w:tcPr>
            <w:tcW w:w="2300" w:type="dxa"/>
            <w:shd w:val="clear" w:color="auto" w:fill="D9E2F3"/>
            <w:tcMar>
              <w:top w:w="60" w:type="dxa"/>
              <w:left w:w="90" w:type="dxa"/>
              <w:bottom w:w="60" w:type="dxa"/>
              <w:right w:w="90" w:type="dxa"/>
            </w:tcMar>
          </w:tcPr>
          <w:p w14:paraId="067194DF" w14:textId="77777777" w:rsidR="00907A6B" w:rsidRDefault="00000000" w:rsidP="0034041D">
            <w:pPr>
              <w:spacing w:line="360" w:lineRule="auto"/>
              <w:jc w:val="center"/>
            </w:pPr>
            <w:r>
              <w:rPr>
                <w:b/>
                <w:bCs/>
                <w:sz w:val="21"/>
                <w:szCs w:val="21"/>
              </w:rPr>
              <w:t>Suitable area (km²)</w:t>
            </w:r>
          </w:p>
        </w:tc>
        <w:tc>
          <w:tcPr>
            <w:tcW w:w="2400" w:type="dxa"/>
            <w:shd w:val="clear" w:color="auto" w:fill="D9E2F3"/>
            <w:tcMar>
              <w:top w:w="60" w:type="dxa"/>
              <w:left w:w="90" w:type="dxa"/>
              <w:bottom w:w="60" w:type="dxa"/>
              <w:right w:w="90" w:type="dxa"/>
            </w:tcMar>
          </w:tcPr>
          <w:p w14:paraId="4E68EEED" w14:textId="77777777" w:rsidR="00907A6B" w:rsidRDefault="00000000" w:rsidP="0034041D">
            <w:pPr>
              <w:spacing w:line="360" w:lineRule="auto"/>
              <w:jc w:val="center"/>
            </w:pPr>
            <w:r>
              <w:rPr>
                <w:b/>
                <w:bCs/>
                <w:sz w:val="21"/>
                <w:szCs w:val="21"/>
              </w:rPr>
              <w:t>Percentage of study area</w:t>
            </w:r>
          </w:p>
        </w:tc>
        <w:tc>
          <w:tcPr>
            <w:tcW w:w="1100" w:type="dxa"/>
            <w:shd w:val="clear" w:color="auto" w:fill="D9E2F3"/>
            <w:tcMar>
              <w:top w:w="60" w:type="dxa"/>
              <w:left w:w="90" w:type="dxa"/>
              <w:bottom w:w="60" w:type="dxa"/>
              <w:right w:w="90" w:type="dxa"/>
            </w:tcMar>
          </w:tcPr>
          <w:p w14:paraId="2AA2D19E" w14:textId="77777777" w:rsidR="00907A6B" w:rsidRDefault="00000000" w:rsidP="0034041D">
            <w:pPr>
              <w:spacing w:line="360" w:lineRule="auto"/>
              <w:jc w:val="center"/>
            </w:pPr>
            <w:r>
              <w:rPr>
                <w:b/>
                <w:bCs/>
                <w:sz w:val="21"/>
                <w:szCs w:val="21"/>
              </w:rPr>
              <w:t>Figure</w:t>
            </w:r>
          </w:p>
        </w:tc>
      </w:tr>
      <w:tr w:rsidR="00907A6B" w14:paraId="045FDFCA" w14:textId="77777777">
        <w:tc>
          <w:tcPr>
            <w:tcW w:w="3600" w:type="dxa"/>
            <w:tcMar>
              <w:top w:w="60" w:type="dxa"/>
              <w:left w:w="90" w:type="dxa"/>
              <w:bottom w:w="60" w:type="dxa"/>
              <w:right w:w="90" w:type="dxa"/>
            </w:tcMar>
          </w:tcPr>
          <w:p w14:paraId="7BAE51B3" w14:textId="77777777" w:rsidR="00907A6B" w:rsidRDefault="00000000" w:rsidP="0034041D">
            <w:pPr>
              <w:spacing w:line="360" w:lineRule="auto"/>
            </w:pPr>
            <w:r>
              <w:rPr>
                <w:sz w:val="21"/>
                <w:szCs w:val="21"/>
              </w:rPr>
              <w:t>Proximity to water (≤10 m)</w:t>
            </w:r>
          </w:p>
        </w:tc>
        <w:tc>
          <w:tcPr>
            <w:tcW w:w="2300" w:type="dxa"/>
            <w:tcMar>
              <w:top w:w="60" w:type="dxa"/>
              <w:left w:w="90" w:type="dxa"/>
              <w:bottom w:w="60" w:type="dxa"/>
              <w:right w:w="90" w:type="dxa"/>
            </w:tcMar>
          </w:tcPr>
          <w:p w14:paraId="69812900" w14:textId="77777777" w:rsidR="00907A6B" w:rsidRDefault="00000000" w:rsidP="0034041D">
            <w:pPr>
              <w:spacing w:line="360" w:lineRule="auto"/>
              <w:jc w:val="center"/>
            </w:pPr>
            <w:r>
              <w:rPr>
                <w:sz w:val="21"/>
                <w:szCs w:val="21"/>
              </w:rPr>
              <w:t>0.48</w:t>
            </w:r>
          </w:p>
        </w:tc>
        <w:tc>
          <w:tcPr>
            <w:tcW w:w="2400" w:type="dxa"/>
            <w:tcMar>
              <w:top w:w="60" w:type="dxa"/>
              <w:left w:w="90" w:type="dxa"/>
              <w:bottom w:w="60" w:type="dxa"/>
              <w:right w:w="90" w:type="dxa"/>
            </w:tcMar>
          </w:tcPr>
          <w:p w14:paraId="1B0ED146" w14:textId="77777777" w:rsidR="00907A6B" w:rsidRDefault="00000000" w:rsidP="0034041D">
            <w:pPr>
              <w:spacing w:line="360" w:lineRule="auto"/>
              <w:jc w:val="center"/>
            </w:pPr>
            <w:r>
              <w:rPr>
                <w:sz w:val="21"/>
                <w:szCs w:val="21"/>
              </w:rPr>
              <w:t>3.0%</w:t>
            </w:r>
          </w:p>
        </w:tc>
        <w:tc>
          <w:tcPr>
            <w:tcW w:w="1100" w:type="dxa"/>
            <w:tcMar>
              <w:top w:w="60" w:type="dxa"/>
              <w:left w:w="90" w:type="dxa"/>
              <w:bottom w:w="60" w:type="dxa"/>
              <w:right w:w="90" w:type="dxa"/>
            </w:tcMar>
          </w:tcPr>
          <w:p w14:paraId="227F2FF7" w14:textId="77777777" w:rsidR="00907A6B" w:rsidRDefault="00000000" w:rsidP="0034041D">
            <w:pPr>
              <w:spacing w:line="360" w:lineRule="auto"/>
              <w:jc w:val="center"/>
            </w:pPr>
            <w:r>
              <w:rPr>
                <w:sz w:val="21"/>
                <w:szCs w:val="21"/>
              </w:rPr>
              <w:t>4a</w:t>
            </w:r>
          </w:p>
        </w:tc>
      </w:tr>
      <w:tr w:rsidR="00907A6B" w14:paraId="08E3A2E4" w14:textId="77777777">
        <w:tc>
          <w:tcPr>
            <w:tcW w:w="3600" w:type="dxa"/>
            <w:tcMar>
              <w:top w:w="60" w:type="dxa"/>
              <w:left w:w="90" w:type="dxa"/>
              <w:bottom w:w="60" w:type="dxa"/>
              <w:right w:w="90" w:type="dxa"/>
            </w:tcMar>
          </w:tcPr>
          <w:p w14:paraId="6D18FFAD" w14:textId="77777777" w:rsidR="00907A6B" w:rsidRDefault="00000000" w:rsidP="0034041D">
            <w:pPr>
              <w:spacing w:line="360" w:lineRule="auto"/>
            </w:pPr>
            <w:r>
              <w:rPr>
                <w:sz w:val="21"/>
                <w:szCs w:val="21"/>
              </w:rPr>
              <w:lastRenderedPageBreak/>
              <w:t>Slope (5–45°)</w:t>
            </w:r>
          </w:p>
        </w:tc>
        <w:tc>
          <w:tcPr>
            <w:tcW w:w="2300" w:type="dxa"/>
            <w:tcMar>
              <w:top w:w="60" w:type="dxa"/>
              <w:left w:w="90" w:type="dxa"/>
              <w:bottom w:w="60" w:type="dxa"/>
              <w:right w:w="90" w:type="dxa"/>
            </w:tcMar>
          </w:tcPr>
          <w:p w14:paraId="731591FF" w14:textId="77777777" w:rsidR="00907A6B" w:rsidRDefault="00000000" w:rsidP="0034041D">
            <w:pPr>
              <w:spacing w:line="360" w:lineRule="auto"/>
              <w:jc w:val="center"/>
            </w:pPr>
            <w:r>
              <w:rPr>
                <w:sz w:val="21"/>
                <w:szCs w:val="21"/>
              </w:rPr>
              <w:t>2.51</w:t>
            </w:r>
          </w:p>
        </w:tc>
        <w:tc>
          <w:tcPr>
            <w:tcW w:w="2400" w:type="dxa"/>
            <w:tcMar>
              <w:top w:w="60" w:type="dxa"/>
              <w:left w:w="90" w:type="dxa"/>
              <w:bottom w:w="60" w:type="dxa"/>
              <w:right w:w="90" w:type="dxa"/>
            </w:tcMar>
          </w:tcPr>
          <w:p w14:paraId="1D8ED11C" w14:textId="77777777" w:rsidR="00907A6B" w:rsidRDefault="00000000" w:rsidP="0034041D">
            <w:pPr>
              <w:spacing w:line="360" w:lineRule="auto"/>
              <w:jc w:val="center"/>
            </w:pPr>
            <w:r>
              <w:rPr>
                <w:sz w:val="21"/>
                <w:szCs w:val="21"/>
              </w:rPr>
              <w:t>15.7%</w:t>
            </w:r>
          </w:p>
        </w:tc>
        <w:tc>
          <w:tcPr>
            <w:tcW w:w="1100" w:type="dxa"/>
            <w:tcMar>
              <w:top w:w="60" w:type="dxa"/>
              <w:left w:w="90" w:type="dxa"/>
              <w:bottom w:w="60" w:type="dxa"/>
              <w:right w:w="90" w:type="dxa"/>
            </w:tcMar>
          </w:tcPr>
          <w:p w14:paraId="0AF8E130" w14:textId="77777777" w:rsidR="00907A6B" w:rsidRDefault="00000000" w:rsidP="0034041D">
            <w:pPr>
              <w:spacing w:line="360" w:lineRule="auto"/>
              <w:jc w:val="center"/>
            </w:pPr>
            <w:r>
              <w:rPr>
                <w:sz w:val="21"/>
                <w:szCs w:val="21"/>
              </w:rPr>
              <w:t>4b</w:t>
            </w:r>
          </w:p>
        </w:tc>
      </w:tr>
      <w:tr w:rsidR="00907A6B" w14:paraId="673E186B" w14:textId="77777777">
        <w:tc>
          <w:tcPr>
            <w:tcW w:w="3600" w:type="dxa"/>
            <w:tcMar>
              <w:top w:w="60" w:type="dxa"/>
              <w:left w:w="90" w:type="dxa"/>
              <w:bottom w:w="60" w:type="dxa"/>
              <w:right w:w="90" w:type="dxa"/>
            </w:tcMar>
          </w:tcPr>
          <w:p w14:paraId="1FECBE00" w14:textId="77777777" w:rsidR="00907A6B" w:rsidRDefault="00000000" w:rsidP="0034041D">
            <w:pPr>
              <w:spacing w:line="360" w:lineRule="auto"/>
            </w:pPr>
            <w:r>
              <w:rPr>
                <w:sz w:val="21"/>
                <w:szCs w:val="21"/>
              </w:rPr>
              <w:t>Land cover (rough/wet vegetation)</w:t>
            </w:r>
          </w:p>
        </w:tc>
        <w:tc>
          <w:tcPr>
            <w:tcW w:w="2300" w:type="dxa"/>
            <w:tcMar>
              <w:top w:w="60" w:type="dxa"/>
              <w:left w:w="90" w:type="dxa"/>
              <w:bottom w:w="60" w:type="dxa"/>
              <w:right w:w="90" w:type="dxa"/>
            </w:tcMar>
          </w:tcPr>
          <w:p w14:paraId="5841D02E" w14:textId="77777777" w:rsidR="00907A6B" w:rsidRDefault="00000000" w:rsidP="0034041D">
            <w:pPr>
              <w:spacing w:line="360" w:lineRule="auto"/>
              <w:jc w:val="center"/>
            </w:pPr>
            <w:r>
              <w:rPr>
                <w:sz w:val="21"/>
                <w:szCs w:val="21"/>
              </w:rPr>
              <w:t>0.29</w:t>
            </w:r>
          </w:p>
        </w:tc>
        <w:tc>
          <w:tcPr>
            <w:tcW w:w="2400" w:type="dxa"/>
            <w:tcMar>
              <w:top w:w="60" w:type="dxa"/>
              <w:left w:w="90" w:type="dxa"/>
              <w:bottom w:w="60" w:type="dxa"/>
              <w:right w:w="90" w:type="dxa"/>
            </w:tcMar>
          </w:tcPr>
          <w:p w14:paraId="6FDC47CE" w14:textId="77777777" w:rsidR="00907A6B" w:rsidRDefault="00000000" w:rsidP="0034041D">
            <w:pPr>
              <w:spacing w:line="360" w:lineRule="auto"/>
              <w:jc w:val="center"/>
            </w:pPr>
            <w:r>
              <w:rPr>
                <w:sz w:val="21"/>
                <w:szCs w:val="21"/>
              </w:rPr>
              <w:t>1.8%</w:t>
            </w:r>
          </w:p>
        </w:tc>
        <w:tc>
          <w:tcPr>
            <w:tcW w:w="1100" w:type="dxa"/>
            <w:tcMar>
              <w:top w:w="60" w:type="dxa"/>
              <w:left w:w="90" w:type="dxa"/>
              <w:bottom w:w="60" w:type="dxa"/>
              <w:right w:w="90" w:type="dxa"/>
            </w:tcMar>
          </w:tcPr>
          <w:p w14:paraId="70BB9488" w14:textId="77777777" w:rsidR="00907A6B" w:rsidRDefault="00000000" w:rsidP="0034041D">
            <w:pPr>
              <w:spacing w:line="360" w:lineRule="auto"/>
              <w:jc w:val="center"/>
            </w:pPr>
            <w:r>
              <w:rPr>
                <w:sz w:val="21"/>
                <w:szCs w:val="21"/>
              </w:rPr>
              <w:t>4c</w:t>
            </w:r>
          </w:p>
        </w:tc>
      </w:tr>
      <w:tr w:rsidR="00907A6B" w14:paraId="01DE2E44" w14:textId="77777777">
        <w:tc>
          <w:tcPr>
            <w:tcW w:w="3600" w:type="dxa"/>
            <w:tcMar>
              <w:top w:w="60" w:type="dxa"/>
              <w:left w:w="90" w:type="dxa"/>
              <w:bottom w:w="60" w:type="dxa"/>
              <w:right w:w="90" w:type="dxa"/>
            </w:tcMar>
          </w:tcPr>
          <w:p w14:paraId="543BBA2E" w14:textId="77777777" w:rsidR="00907A6B" w:rsidRDefault="00000000" w:rsidP="0034041D">
            <w:pPr>
              <w:spacing w:line="360" w:lineRule="auto"/>
            </w:pPr>
            <w:r>
              <w:rPr>
                <w:sz w:val="21"/>
                <w:szCs w:val="21"/>
              </w:rPr>
              <w:t>Geology (alluvium)</w:t>
            </w:r>
          </w:p>
        </w:tc>
        <w:tc>
          <w:tcPr>
            <w:tcW w:w="2300" w:type="dxa"/>
            <w:tcMar>
              <w:top w:w="60" w:type="dxa"/>
              <w:left w:w="90" w:type="dxa"/>
              <w:bottom w:w="60" w:type="dxa"/>
              <w:right w:w="90" w:type="dxa"/>
            </w:tcMar>
          </w:tcPr>
          <w:p w14:paraId="1262537A" w14:textId="77777777" w:rsidR="00907A6B" w:rsidRDefault="00000000" w:rsidP="0034041D">
            <w:pPr>
              <w:spacing w:line="360" w:lineRule="auto"/>
              <w:jc w:val="center"/>
            </w:pPr>
            <w:r>
              <w:rPr>
                <w:sz w:val="21"/>
                <w:szCs w:val="21"/>
              </w:rPr>
              <w:t>13.85</w:t>
            </w:r>
          </w:p>
        </w:tc>
        <w:tc>
          <w:tcPr>
            <w:tcW w:w="2400" w:type="dxa"/>
            <w:tcMar>
              <w:top w:w="60" w:type="dxa"/>
              <w:left w:w="90" w:type="dxa"/>
              <w:bottom w:w="60" w:type="dxa"/>
              <w:right w:w="90" w:type="dxa"/>
            </w:tcMar>
          </w:tcPr>
          <w:p w14:paraId="61291DD9" w14:textId="77777777" w:rsidR="00907A6B" w:rsidRDefault="00000000" w:rsidP="0034041D">
            <w:pPr>
              <w:spacing w:line="360" w:lineRule="auto"/>
              <w:jc w:val="center"/>
            </w:pPr>
            <w:r>
              <w:rPr>
                <w:sz w:val="21"/>
                <w:szCs w:val="21"/>
              </w:rPr>
              <w:t>86.6%</w:t>
            </w:r>
          </w:p>
        </w:tc>
        <w:tc>
          <w:tcPr>
            <w:tcW w:w="1100" w:type="dxa"/>
            <w:tcMar>
              <w:top w:w="60" w:type="dxa"/>
              <w:left w:w="90" w:type="dxa"/>
              <w:bottom w:w="60" w:type="dxa"/>
              <w:right w:w="90" w:type="dxa"/>
            </w:tcMar>
          </w:tcPr>
          <w:p w14:paraId="016B0652" w14:textId="77777777" w:rsidR="00907A6B" w:rsidRDefault="00000000" w:rsidP="0034041D">
            <w:pPr>
              <w:spacing w:line="360" w:lineRule="auto"/>
              <w:jc w:val="center"/>
            </w:pPr>
            <w:r>
              <w:rPr>
                <w:sz w:val="21"/>
                <w:szCs w:val="21"/>
              </w:rPr>
              <w:t>4d</w:t>
            </w:r>
          </w:p>
        </w:tc>
      </w:tr>
    </w:tbl>
    <w:p w14:paraId="43A19C34" w14:textId="77777777" w:rsidR="00907A6B" w:rsidRDefault="00000000" w:rsidP="0034041D">
      <w:pPr>
        <w:spacing w:before="60" w:after="180" w:line="360" w:lineRule="auto"/>
        <w:jc w:val="center"/>
      </w:pPr>
      <w:r>
        <w:rPr>
          <w:i/>
          <w:iCs/>
          <w:sz w:val="20"/>
          <w:szCs w:val="20"/>
        </w:rPr>
        <w:t>Table 1. Area and proportion of the study area meeting each individual habitat criterion.</w:t>
      </w:r>
    </w:p>
    <w:p w14:paraId="29F25064" w14:textId="77777777" w:rsidR="00907A6B" w:rsidRDefault="00000000" w:rsidP="0034041D">
      <w:pPr>
        <w:spacing w:after="160" w:line="360" w:lineRule="auto"/>
        <w:jc w:val="both"/>
      </w:pPr>
      <w:r>
        <w:t>The contrast between the geology figure of 86.6 per cent and the water and land-cover figures of around three and two per cent is the single most important feature of Table 1, and it foreshadows the model's behaviour: three of the four variables are genuinely discriminating, sharply distinguishing suitable from unsuitable ground, whereas geology is close to a constant across the site. Figure 8 makes this imbalance immediately visible.</w:t>
      </w:r>
    </w:p>
    <w:p w14:paraId="6EF6B6D9" w14:textId="77777777" w:rsidR="00907A6B" w:rsidRDefault="00000000" w:rsidP="0034041D">
      <w:pPr>
        <w:pStyle w:val="Heading2"/>
        <w:spacing w:before="220" w:after="120" w:line="360" w:lineRule="auto"/>
      </w:pPr>
      <w:bookmarkStart w:id="15" w:name="_Toc236107894"/>
      <w:r>
        <w:t>4.2 The Continuous and Binary Suitability Surfaces</w:t>
      </w:r>
      <w:bookmarkEnd w:id="15"/>
    </w:p>
    <w:p w14:paraId="09D1A510" w14:textId="77777777" w:rsidR="00907A6B" w:rsidRDefault="00000000" w:rsidP="0034041D">
      <w:pPr>
        <w:spacing w:after="160" w:line="360" w:lineRule="auto"/>
        <w:jc w:val="both"/>
      </w:pPr>
      <w:r>
        <w:t>Combining the four variables produced a clean, complete suitability surface with no data gaps, spanning all five possible scores from zero to four across the full sixteen million cells of the study area. The distribution of scores is given in Table 2 and shown in Figure 9, and the mapped surface is Figure 5.</w:t>
      </w:r>
    </w:p>
    <w:p w14:paraId="4AB5FE99" w14:textId="3202001B" w:rsidR="00907A6B" w:rsidRDefault="00D969DF" w:rsidP="00D969DF">
      <w:pPr>
        <w:spacing w:after="160" w:line="360" w:lineRule="auto"/>
        <w:jc w:val="center"/>
      </w:pPr>
      <w:r>
        <w:rPr>
          <w:noProof/>
        </w:rPr>
        <w:drawing>
          <wp:inline distT="0" distB="0" distL="0" distR="0" wp14:anchorId="6DE3CFF3" wp14:editId="7F58B20E">
            <wp:extent cx="4961400" cy="3508599"/>
            <wp:effectExtent l="0" t="0" r="0" b="0"/>
            <wp:docPr id="11493669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05169" name="Picture 148830516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67980" cy="3513252"/>
                    </a:xfrm>
                    <a:prstGeom prst="rect">
                      <a:avLst/>
                    </a:prstGeom>
                  </pic:spPr>
                </pic:pic>
              </a:graphicData>
            </a:graphic>
          </wp:inline>
        </w:drawing>
      </w:r>
    </w:p>
    <w:p w14:paraId="42F51EBB" w14:textId="77777777" w:rsidR="00907A6B" w:rsidRDefault="00000000" w:rsidP="0034041D">
      <w:pPr>
        <w:spacing w:before="60" w:after="180" w:line="360" w:lineRule="auto"/>
        <w:jc w:val="center"/>
      </w:pPr>
      <w:r>
        <w:rPr>
          <w:i/>
          <w:iCs/>
          <w:sz w:val="20"/>
          <w:szCs w:val="20"/>
        </w:rPr>
        <w:t>Figure 5. Continuous habitat suitability surface. Each cell is scored from zero to four according to the number of ecological conditions it satisfies, with the highest-scoring cells confined to the rhine network.</w:t>
      </w:r>
    </w:p>
    <w:tbl>
      <w:tblPr>
        <w:tblW w:w="92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881"/>
        <w:gridCol w:w="3428"/>
        <w:gridCol w:w="2056"/>
        <w:gridCol w:w="1469"/>
        <w:gridCol w:w="1371"/>
      </w:tblGrid>
      <w:tr w:rsidR="00907A6B" w14:paraId="57C4E55D" w14:textId="77777777" w:rsidTr="00D969DF">
        <w:trPr>
          <w:trHeight w:val="587"/>
          <w:tblHeader/>
        </w:trPr>
        <w:tc>
          <w:tcPr>
            <w:tcW w:w="881" w:type="dxa"/>
            <w:shd w:val="clear" w:color="auto" w:fill="D9E2F3"/>
            <w:tcMar>
              <w:top w:w="60" w:type="dxa"/>
              <w:left w:w="90" w:type="dxa"/>
              <w:bottom w:w="60" w:type="dxa"/>
              <w:right w:w="90" w:type="dxa"/>
            </w:tcMar>
          </w:tcPr>
          <w:p w14:paraId="50A8BC08" w14:textId="77777777" w:rsidR="00907A6B" w:rsidRDefault="00000000" w:rsidP="0034041D">
            <w:pPr>
              <w:spacing w:line="360" w:lineRule="auto"/>
              <w:jc w:val="center"/>
            </w:pPr>
            <w:r>
              <w:rPr>
                <w:b/>
                <w:bCs/>
                <w:sz w:val="21"/>
                <w:szCs w:val="21"/>
              </w:rPr>
              <w:lastRenderedPageBreak/>
              <w:t>Score</w:t>
            </w:r>
          </w:p>
        </w:tc>
        <w:tc>
          <w:tcPr>
            <w:tcW w:w="3428" w:type="dxa"/>
            <w:shd w:val="clear" w:color="auto" w:fill="D9E2F3"/>
            <w:tcMar>
              <w:top w:w="60" w:type="dxa"/>
              <w:left w:w="90" w:type="dxa"/>
              <w:bottom w:w="60" w:type="dxa"/>
              <w:right w:w="90" w:type="dxa"/>
            </w:tcMar>
          </w:tcPr>
          <w:p w14:paraId="74425F69" w14:textId="77777777" w:rsidR="00907A6B" w:rsidRDefault="00000000" w:rsidP="0034041D">
            <w:pPr>
              <w:spacing w:line="360" w:lineRule="auto"/>
              <w:jc w:val="center"/>
            </w:pPr>
            <w:r>
              <w:rPr>
                <w:b/>
                <w:bCs/>
                <w:sz w:val="21"/>
                <w:szCs w:val="21"/>
              </w:rPr>
              <w:t>Meaning</w:t>
            </w:r>
          </w:p>
        </w:tc>
        <w:tc>
          <w:tcPr>
            <w:tcW w:w="2056" w:type="dxa"/>
            <w:shd w:val="clear" w:color="auto" w:fill="D9E2F3"/>
            <w:tcMar>
              <w:top w:w="60" w:type="dxa"/>
              <w:left w:w="90" w:type="dxa"/>
              <w:bottom w:w="60" w:type="dxa"/>
              <w:right w:w="90" w:type="dxa"/>
            </w:tcMar>
          </w:tcPr>
          <w:p w14:paraId="31533D8D" w14:textId="77777777" w:rsidR="00907A6B" w:rsidRDefault="00000000" w:rsidP="0034041D">
            <w:pPr>
              <w:spacing w:line="360" w:lineRule="auto"/>
              <w:jc w:val="center"/>
            </w:pPr>
            <w:r>
              <w:rPr>
                <w:b/>
                <w:bCs/>
                <w:sz w:val="21"/>
                <w:szCs w:val="21"/>
              </w:rPr>
              <w:t>Pixels</w:t>
            </w:r>
          </w:p>
        </w:tc>
        <w:tc>
          <w:tcPr>
            <w:tcW w:w="1469" w:type="dxa"/>
            <w:shd w:val="clear" w:color="auto" w:fill="D9E2F3"/>
            <w:tcMar>
              <w:top w:w="60" w:type="dxa"/>
              <w:left w:w="90" w:type="dxa"/>
              <w:bottom w:w="60" w:type="dxa"/>
              <w:right w:w="90" w:type="dxa"/>
            </w:tcMar>
          </w:tcPr>
          <w:p w14:paraId="616D0E2E" w14:textId="77777777" w:rsidR="00907A6B" w:rsidRDefault="00000000" w:rsidP="0034041D">
            <w:pPr>
              <w:spacing w:line="360" w:lineRule="auto"/>
              <w:jc w:val="center"/>
            </w:pPr>
            <w:r>
              <w:rPr>
                <w:b/>
                <w:bCs/>
                <w:sz w:val="21"/>
                <w:szCs w:val="21"/>
              </w:rPr>
              <w:t>Area (km²)</w:t>
            </w:r>
          </w:p>
        </w:tc>
        <w:tc>
          <w:tcPr>
            <w:tcW w:w="1371" w:type="dxa"/>
            <w:shd w:val="clear" w:color="auto" w:fill="D9E2F3"/>
            <w:tcMar>
              <w:top w:w="60" w:type="dxa"/>
              <w:left w:w="90" w:type="dxa"/>
              <w:bottom w:w="60" w:type="dxa"/>
              <w:right w:w="90" w:type="dxa"/>
            </w:tcMar>
          </w:tcPr>
          <w:p w14:paraId="2FC5F140" w14:textId="77777777" w:rsidR="00907A6B" w:rsidRDefault="00000000" w:rsidP="0034041D">
            <w:pPr>
              <w:spacing w:line="360" w:lineRule="auto"/>
              <w:jc w:val="center"/>
            </w:pPr>
            <w:r>
              <w:rPr>
                <w:b/>
                <w:bCs/>
                <w:sz w:val="21"/>
                <w:szCs w:val="21"/>
              </w:rPr>
              <w:t>% of area</w:t>
            </w:r>
          </w:p>
        </w:tc>
      </w:tr>
      <w:tr w:rsidR="00907A6B" w14:paraId="79B5D585" w14:textId="77777777" w:rsidTr="00D969DF">
        <w:trPr>
          <w:trHeight w:val="605"/>
        </w:trPr>
        <w:tc>
          <w:tcPr>
            <w:tcW w:w="881" w:type="dxa"/>
            <w:tcMar>
              <w:top w:w="60" w:type="dxa"/>
              <w:left w:w="90" w:type="dxa"/>
              <w:bottom w:w="60" w:type="dxa"/>
              <w:right w:w="90" w:type="dxa"/>
            </w:tcMar>
          </w:tcPr>
          <w:p w14:paraId="379FF4B5" w14:textId="77777777" w:rsidR="00907A6B" w:rsidRDefault="00000000" w:rsidP="0034041D">
            <w:pPr>
              <w:spacing w:line="360" w:lineRule="auto"/>
            </w:pPr>
            <w:r>
              <w:rPr>
                <w:sz w:val="21"/>
                <w:szCs w:val="21"/>
              </w:rPr>
              <w:t>0</w:t>
            </w:r>
          </w:p>
        </w:tc>
        <w:tc>
          <w:tcPr>
            <w:tcW w:w="3428" w:type="dxa"/>
            <w:tcMar>
              <w:top w:w="60" w:type="dxa"/>
              <w:left w:w="90" w:type="dxa"/>
              <w:bottom w:w="60" w:type="dxa"/>
              <w:right w:w="90" w:type="dxa"/>
            </w:tcMar>
          </w:tcPr>
          <w:p w14:paraId="0E7B8804" w14:textId="77777777" w:rsidR="00907A6B" w:rsidRDefault="00000000" w:rsidP="0034041D">
            <w:pPr>
              <w:spacing w:line="360" w:lineRule="auto"/>
              <w:jc w:val="center"/>
            </w:pPr>
            <w:r>
              <w:rPr>
                <w:sz w:val="21"/>
                <w:szCs w:val="21"/>
              </w:rPr>
              <w:t>No conditions met</w:t>
            </w:r>
          </w:p>
        </w:tc>
        <w:tc>
          <w:tcPr>
            <w:tcW w:w="2056" w:type="dxa"/>
            <w:tcMar>
              <w:top w:w="60" w:type="dxa"/>
              <w:left w:w="90" w:type="dxa"/>
              <w:bottom w:w="60" w:type="dxa"/>
              <w:right w:w="90" w:type="dxa"/>
            </w:tcMar>
          </w:tcPr>
          <w:p w14:paraId="341DC723" w14:textId="77777777" w:rsidR="00907A6B" w:rsidRDefault="00000000" w:rsidP="0034041D">
            <w:pPr>
              <w:spacing w:line="360" w:lineRule="auto"/>
              <w:jc w:val="center"/>
            </w:pPr>
            <w:r>
              <w:rPr>
                <w:sz w:val="21"/>
                <w:szCs w:val="21"/>
              </w:rPr>
              <w:t>1,732,455</w:t>
            </w:r>
          </w:p>
        </w:tc>
        <w:tc>
          <w:tcPr>
            <w:tcW w:w="1469" w:type="dxa"/>
            <w:tcMar>
              <w:top w:w="60" w:type="dxa"/>
              <w:left w:w="90" w:type="dxa"/>
              <w:bottom w:w="60" w:type="dxa"/>
              <w:right w:w="90" w:type="dxa"/>
            </w:tcMar>
          </w:tcPr>
          <w:p w14:paraId="756D60B4" w14:textId="77777777" w:rsidR="00907A6B" w:rsidRDefault="00000000" w:rsidP="0034041D">
            <w:pPr>
              <w:spacing w:line="360" w:lineRule="auto"/>
              <w:jc w:val="center"/>
            </w:pPr>
            <w:r>
              <w:rPr>
                <w:sz w:val="21"/>
                <w:szCs w:val="21"/>
              </w:rPr>
              <w:t>1.73</w:t>
            </w:r>
          </w:p>
        </w:tc>
        <w:tc>
          <w:tcPr>
            <w:tcW w:w="1371" w:type="dxa"/>
            <w:tcMar>
              <w:top w:w="60" w:type="dxa"/>
              <w:left w:w="90" w:type="dxa"/>
              <w:bottom w:w="60" w:type="dxa"/>
              <w:right w:w="90" w:type="dxa"/>
            </w:tcMar>
          </w:tcPr>
          <w:p w14:paraId="0023D52D" w14:textId="77777777" w:rsidR="00907A6B" w:rsidRDefault="00000000" w:rsidP="0034041D">
            <w:pPr>
              <w:spacing w:line="360" w:lineRule="auto"/>
              <w:jc w:val="center"/>
            </w:pPr>
            <w:r>
              <w:rPr>
                <w:sz w:val="21"/>
                <w:szCs w:val="21"/>
              </w:rPr>
              <w:t>10.8%</w:t>
            </w:r>
          </w:p>
        </w:tc>
      </w:tr>
      <w:tr w:rsidR="00907A6B" w14:paraId="3D0B9B42" w14:textId="77777777" w:rsidTr="00D969DF">
        <w:trPr>
          <w:trHeight w:val="587"/>
        </w:trPr>
        <w:tc>
          <w:tcPr>
            <w:tcW w:w="881" w:type="dxa"/>
            <w:tcMar>
              <w:top w:w="60" w:type="dxa"/>
              <w:left w:w="90" w:type="dxa"/>
              <w:bottom w:w="60" w:type="dxa"/>
              <w:right w:w="90" w:type="dxa"/>
            </w:tcMar>
          </w:tcPr>
          <w:p w14:paraId="4FCD35AB" w14:textId="77777777" w:rsidR="00907A6B" w:rsidRDefault="00000000" w:rsidP="0034041D">
            <w:pPr>
              <w:spacing w:line="360" w:lineRule="auto"/>
            </w:pPr>
            <w:r>
              <w:rPr>
                <w:sz w:val="21"/>
                <w:szCs w:val="21"/>
              </w:rPr>
              <w:t>1</w:t>
            </w:r>
          </w:p>
        </w:tc>
        <w:tc>
          <w:tcPr>
            <w:tcW w:w="3428" w:type="dxa"/>
            <w:tcMar>
              <w:top w:w="60" w:type="dxa"/>
              <w:left w:w="90" w:type="dxa"/>
              <w:bottom w:w="60" w:type="dxa"/>
              <w:right w:w="90" w:type="dxa"/>
            </w:tcMar>
          </w:tcPr>
          <w:p w14:paraId="0E90CDFF" w14:textId="77777777" w:rsidR="00907A6B" w:rsidRDefault="00000000" w:rsidP="0034041D">
            <w:pPr>
              <w:spacing w:line="360" w:lineRule="auto"/>
              <w:jc w:val="center"/>
            </w:pPr>
            <w:r>
              <w:rPr>
                <w:sz w:val="21"/>
                <w:szCs w:val="21"/>
              </w:rPr>
              <w:t>One condition (mostly alluvium only)</w:t>
            </w:r>
          </w:p>
        </w:tc>
        <w:tc>
          <w:tcPr>
            <w:tcW w:w="2056" w:type="dxa"/>
            <w:tcMar>
              <w:top w:w="60" w:type="dxa"/>
              <w:left w:w="90" w:type="dxa"/>
              <w:bottom w:w="60" w:type="dxa"/>
              <w:right w:w="90" w:type="dxa"/>
            </w:tcMar>
          </w:tcPr>
          <w:p w14:paraId="643B6030" w14:textId="77777777" w:rsidR="00907A6B" w:rsidRDefault="00000000" w:rsidP="0034041D">
            <w:pPr>
              <w:spacing w:line="360" w:lineRule="auto"/>
              <w:jc w:val="center"/>
            </w:pPr>
            <w:r>
              <w:rPr>
                <w:sz w:val="21"/>
                <w:szCs w:val="21"/>
              </w:rPr>
              <w:t>11,724,005</w:t>
            </w:r>
          </w:p>
        </w:tc>
        <w:tc>
          <w:tcPr>
            <w:tcW w:w="1469" w:type="dxa"/>
            <w:tcMar>
              <w:top w:w="60" w:type="dxa"/>
              <w:left w:w="90" w:type="dxa"/>
              <w:bottom w:w="60" w:type="dxa"/>
              <w:right w:w="90" w:type="dxa"/>
            </w:tcMar>
          </w:tcPr>
          <w:p w14:paraId="54E60640" w14:textId="77777777" w:rsidR="00907A6B" w:rsidRDefault="00000000" w:rsidP="0034041D">
            <w:pPr>
              <w:spacing w:line="360" w:lineRule="auto"/>
              <w:jc w:val="center"/>
            </w:pPr>
            <w:r>
              <w:rPr>
                <w:sz w:val="21"/>
                <w:szCs w:val="21"/>
              </w:rPr>
              <w:t>11.72</w:t>
            </w:r>
          </w:p>
        </w:tc>
        <w:tc>
          <w:tcPr>
            <w:tcW w:w="1371" w:type="dxa"/>
            <w:tcMar>
              <w:top w:w="60" w:type="dxa"/>
              <w:left w:w="90" w:type="dxa"/>
              <w:bottom w:w="60" w:type="dxa"/>
              <w:right w:w="90" w:type="dxa"/>
            </w:tcMar>
          </w:tcPr>
          <w:p w14:paraId="178AA5E9" w14:textId="77777777" w:rsidR="00907A6B" w:rsidRDefault="00000000" w:rsidP="0034041D">
            <w:pPr>
              <w:spacing w:line="360" w:lineRule="auto"/>
              <w:jc w:val="center"/>
            </w:pPr>
            <w:r>
              <w:rPr>
                <w:sz w:val="21"/>
                <w:szCs w:val="21"/>
              </w:rPr>
              <w:t>73.3%</w:t>
            </w:r>
          </w:p>
        </w:tc>
      </w:tr>
      <w:tr w:rsidR="00907A6B" w14:paraId="4ED57E75" w14:textId="77777777" w:rsidTr="00D969DF">
        <w:trPr>
          <w:trHeight w:val="605"/>
        </w:trPr>
        <w:tc>
          <w:tcPr>
            <w:tcW w:w="881" w:type="dxa"/>
            <w:tcMar>
              <w:top w:w="60" w:type="dxa"/>
              <w:left w:w="90" w:type="dxa"/>
              <w:bottom w:w="60" w:type="dxa"/>
              <w:right w:w="90" w:type="dxa"/>
            </w:tcMar>
          </w:tcPr>
          <w:p w14:paraId="015014FD" w14:textId="77777777" w:rsidR="00907A6B" w:rsidRDefault="00000000" w:rsidP="0034041D">
            <w:pPr>
              <w:spacing w:line="360" w:lineRule="auto"/>
            </w:pPr>
            <w:r>
              <w:rPr>
                <w:sz w:val="21"/>
                <w:szCs w:val="21"/>
              </w:rPr>
              <w:t>2</w:t>
            </w:r>
          </w:p>
        </w:tc>
        <w:tc>
          <w:tcPr>
            <w:tcW w:w="3428" w:type="dxa"/>
            <w:tcMar>
              <w:top w:w="60" w:type="dxa"/>
              <w:left w:w="90" w:type="dxa"/>
              <w:bottom w:w="60" w:type="dxa"/>
              <w:right w:w="90" w:type="dxa"/>
            </w:tcMar>
          </w:tcPr>
          <w:p w14:paraId="7841D17F" w14:textId="77777777" w:rsidR="00907A6B" w:rsidRDefault="00000000" w:rsidP="0034041D">
            <w:pPr>
              <w:spacing w:line="360" w:lineRule="auto"/>
              <w:jc w:val="center"/>
            </w:pPr>
            <w:r>
              <w:rPr>
                <w:sz w:val="21"/>
                <w:szCs w:val="21"/>
              </w:rPr>
              <w:t>Two conditions met</w:t>
            </w:r>
          </w:p>
        </w:tc>
        <w:tc>
          <w:tcPr>
            <w:tcW w:w="2056" w:type="dxa"/>
            <w:tcMar>
              <w:top w:w="60" w:type="dxa"/>
              <w:left w:w="90" w:type="dxa"/>
              <w:bottom w:w="60" w:type="dxa"/>
              <w:right w:w="90" w:type="dxa"/>
            </w:tcMar>
          </w:tcPr>
          <w:p w14:paraId="100F000F" w14:textId="77777777" w:rsidR="00907A6B" w:rsidRDefault="00000000" w:rsidP="0034041D">
            <w:pPr>
              <w:spacing w:line="360" w:lineRule="auto"/>
              <w:jc w:val="center"/>
            </w:pPr>
            <w:r>
              <w:rPr>
                <w:sz w:val="21"/>
                <w:szCs w:val="21"/>
              </w:rPr>
              <w:t>2,242,211</w:t>
            </w:r>
          </w:p>
        </w:tc>
        <w:tc>
          <w:tcPr>
            <w:tcW w:w="1469" w:type="dxa"/>
            <w:tcMar>
              <w:top w:w="60" w:type="dxa"/>
              <w:left w:w="90" w:type="dxa"/>
              <w:bottom w:w="60" w:type="dxa"/>
              <w:right w:w="90" w:type="dxa"/>
            </w:tcMar>
          </w:tcPr>
          <w:p w14:paraId="2A81F553" w14:textId="77777777" w:rsidR="00907A6B" w:rsidRDefault="00000000" w:rsidP="0034041D">
            <w:pPr>
              <w:spacing w:line="360" w:lineRule="auto"/>
              <w:jc w:val="center"/>
            </w:pPr>
            <w:r>
              <w:rPr>
                <w:sz w:val="21"/>
                <w:szCs w:val="21"/>
              </w:rPr>
              <w:t>2.24</w:t>
            </w:r>
          </w:p>
        </w:tc>
        <w:tc>
          <w:tcPr>
            <w:tcW w:w="1371" w:type="dxa"/>
            <w:tcMar>
              <w:top w:w="60" w:type="dxa"/>
              <w:left w:w="90" w:type="dxa"/>
              <w:bottom w:w="60" w:type="dxa"/>
              <w:right w:w="90" w:type="dxa"/>
            </w:tcMar>
          </w:tcPr>
          <w:p w14:paraId="56AD3BA1" w14:textId="77777777" w:rsidR="00907A6B" w:rsidRDefault="00000000" w:rsidP="0034041D">
            <w:pPr>
              <w:spacing w:line="360" w:lineRule="auto"/>
              <w:jc w:val="center"/>
            </w:pPr>
            <w:r>
              <w:rPr>
                <w:sz w:val="21"/>
                <w:szCs w:val="21"/>
              </w:rPr>
              <w:t>14.0%</w:t>
            </w:r>
          </w:p>
        </w:tc>
      </w:tr>
      <w:tr w:rsidR="00907A6B" w14:paraId="7353D6F8" w14:textId="77777777" w:rsidTr="00D969DF">
        <w:trPr>
          <w:trHeight w:val="587"/>
        </w:trPr>
        <w:tc>
          <w:tcPr>
            <w:tcW w:w="881" w:type="dxa"/>
            <w:tcMar>
              <w:top w:w="60" w:type="dxa"/>
              <w:left w:w="90" w:type="dxa"/>
              <w:bottom w:w="60" w:type="dxa"/>
              <w:right w:w="90" w:type="dxa"/>
            </w:tcMar>
          </w:tcPr>
          <w:p w14:paraId="6F6128B7" w14:textId="77777777" w:rsidR="00907A6B" w:rsidRDefault="00000000" w:rsidP="0034041D">
            <w:pPr>
              <w:spacing w:line="360" w:lineRule="auto"/>
            </w:pPr>
            <w:r>
              <w:rPr>
                <w:sz w:val="21"/>
                <w:szCs w:val="21"/>
              </w:rPr>
              <w:t>3</w:t>
            </w:r>
          </w:p>
        </w:tc>
        <w:tc>
          <w:tcPr>
            <w:tcW w:w="3428" w:type="dxa"/>
            <w:tcMar>
              <w:top w:w="60" w:type="dxa"/>
              <w:left w:w="90" w:type="dxa"/>
              <w:bottom w:w="60" w:type="dxa"/>
              <w:right w:w="90" w:type="dxa"/>
            </w:tcMar>
          </w:tcPr>
          <w:p w14:paraId="7D63E8FE" w14:textId="77777777" w:rsidR="00907A6B" w:rsidRDefault="00000000" w:rsidP="0034041D">
            <w:pPr>
              <w:spacing w:line="360" w:lineRule="auto"/>
              <w:jc w:val="center"/>
            </w:pPr>
            <w:r>
              <w:rPr>
                <w:sz w:val="21"/>
                <w:szCs w:val="21"/>
              </w:rPr>
              <w:t>Three conditions met</w:t>
            </w:r>
          </w:p>
        </w:tc>
        <w:tc>
          <w:tcPr>
            <w:tcW w:w="2056" w:type="dxa"/>
            <w:tcMar>
              <w:top w:w="60" w:type="dxa"/>
              <w:left w:w="90" w:type="dxa"/>
              <w:bottom w:w="60" w:type="dxa"/>
              <w:right w:w="90" w:type="dxa"/>
            </w:tcMar>
          </w:tcPr>
          <w:p w14:paraId="7CEE437E" w14:textId="77777777" w:rsidR="00907A6B" w:rsidRDefault="00000000" w:rsidP="0034041D">
            <w:pPr>
              <w:spacing w:line="360" w:lineRule="auto"/>
              <w:jc w:val="center"/>
            </w:pPr>
            <w:r>
              <w:rPr>
                <w:sz w:val="21"/>
                <w:szCs w:val="21"/>
              </w:rPr>
              <w:t>289,359</w:t>
            </w:r>
          </w:p>
        </w:tc>
        <w:tc>
          <w:tcPr>
            <w:tcW w:w="1469" w:type="dxa"/>
            <w:tcMar>
              <w:top w:w="60" w:type="dxa"/>
              <w:left w:w="90" w:type="dxa"/>
              <w:bottom w:w="60" w:type="dxa"/>
              <w:right w:w="90" w:type="dxa"/>
            </w:tcMar>
          </w:tcPr>
          <w:p w14:paraId="5BA03647" w14:textId="77777777" w:rsidR="00907A6B" w:rsidRDefault="00000000" w:rsidP="0034041D">
            <w:pPr>
              <w:spacing w:line="360" w:lineRule="auto"/>
              <w:jc w:val="center"/>
            </w:pPr>
            <w:r>
              <w:rPr>
                <w:sz w:val="21"/>
                <w:szCs w:val="21"/>
              </w:rPr>
              <w:t>0.29</w:t>
            </w:r>
          </w:p>
        </w:tc>
        <w:tc>
          <w:tcPr>
            <w:tcW w:w="1371" w:type="dxa"/>
            <w:tcMar>
              <w:top w:w="60" w:type="dxa"/>
              <w:left w:w="90" w:type="dxa"/>
              <w:bottom w:w="60" w:type="dxa"/>
              <w:right w:w="90" w:type="dxa"/>
            </w:tcMar>
          </w:tcPr>
          <w:p w14:paraId="2C4F2539" w14:textId="77777777" w:rsidR="00907A6B" w:rsidRDefault="00000000" w:rsidP="0034041D">
            <w:pPr>
              <w:spacing w:line="360" w:lineRule="auto"/>
              <w:jc w:val="center"/>
            </w:pPr>
            <w:r>
              <w:rPr>
                <w:sz w:val="21"/>
                <w:szCs w:val="21"/>
              </w:rPr>
              <w:t>1.8%</w:t>
            </w:r>
          </w:p>
        </w:tc>
      </w:tr>
      <w:tr w:rsidR="00907A6B" w14:paraId="3AB80D6D" w14:textId="77777777" w:rsidTr="00D969DF">
        <w:trPr>
          <w:trHeight w:val="605"/>
        </w:trPr>
        <w:tc>
          <w:tcPr>
            <w:tcW w:w="881" w:type="dxa"/>
            <w:tcMar>
              <w:top w:w="60" w:type="dxa"/>
              <w:left w:w="90" w:type="dxa"/>
              <w:bottom w:w="60" w:type="dxa"/>
              <w:right w:w="90" w:type="dxa"/>
            </w:tcMar>
          </w:tcPr>
          <w:p w14:paraId="726ACB12" w14:textId="77777777" w:rsidR="00907A6B" w:rsidRDefault="00000000" w:rsidP="0034041D">
            <w:pPr>
              <w:spacing w:line="360" w:lineRule="auto"/>
            </w:pPr>
            <w:r>
              <w:rPr>
                <w:sz w:val="21"/>
                <w:szCs w:val="21"/>
              </w:rPr>
              <w:t>4</w:t>
            </w:r>
          </w:p>
        </w:tc>
        <w:tc>
          <w:tcPr>
            <w:tcW w:w="3428" w:type="dxa"/>
            <w:tcMar>
              <w:top w:w="60" w:type="dxa"/>
              <w:left w:w="90" w:type="dxa"/>
              <w:bottom w:w="60" w:type="dxa"/>
              <w:right w:w="90" w:type="dxa"/>
            </w:tcMar>
          </w:tcPr>
          <w:p w14:paraId="05FD6FCC" w14:textId="77777777" w:rsidR="00907A6B" w:rsidRDefault="00000000" w:rsidP="0034041D">
            <w:pPr>
              <w:spacing w:line="360" w:lineRule="auto"/>
              <w:jc w:val="center"/>
            </w:pPr>
            <w:r>
              <w:rPr>
                <w:sz w:val="21"/>
                <w:szCs w:val="21"/>
              </w:rPr>
              <w:t>All four conditions met (prime habitat)</w:t>
            </w:r>
          </w:p>
        </w:tc>
        <w:tc>
          <w:tcPr>
            <w:tcW w:w="2056" w:type="dxa"/>
            <w:tcMar>
              <w:top w:w="60" w:type="dxa"/>
              <w:left w:w="90" w:type="dxa"/>
              <w:bottom w:w="60" w:type="dxa"/>
              <w:right w:w="90" w:type="dxa"/>
            </w:tcMar>
          </w:tcPr>
          <w:p w14:paraId="66B69B21" w14:textId="77777777" w:rsidR="00907A6B" w:rsidRDefault="00000000" w:rsidP="0034041D">
            <w:pPr>
              <w:spacing w:line="360" w:lineRule="auto"/>
              <w:jc w:val="center"/>
            </w:pPr>
            <w:r>
              <w:rPr>
                <w:sz w:val="21"/>
                <w:szCs w:val="21"/>
              </w:rPr>
              <w:t>11,970</w:t>
            </w:r>
          </w:p>
        </w:tc>
        <w:tc>
          <w:tcPr>
            <w:tcW w:w="1469" w:type="dxa"/>
            <w:tcMar>
              <w:top w:w="60" w:type="dxa"/>
              <w:left w:w="90" w:type="dxa"/>
              <w:bottom w:w="60" w:type="dxa"/>
              <w:right w:w="90" w:type="dxa"/>
            </w:tcMar>
          </w:tcPr>
          <w:p w14:paraId="066A3FC5" w14:textId="77777777" w:rsidR="00907A6B" w:rsidRDefault="00000000" w:rsidP="0034041D">
            <w:pPr>
              <w:spacing w:line="360" w:lineRule="auto"/>
              <w:jc w:val="center"/>
            </w:pPr>
            <w:r>
              <w:rPr>
                <w:sz w:val="21"/>
                <w:szCs w:val="21"/>
              </w:rPr>
              <w:t>0.012</w:t>
            </w:r>
          </w:p>
        </w:tc>
        <w:tc>
          <w:tcPr>
            <w:tcW w:w="1371" w:type="dxa"/>
            <w:tcMar>
              <w:top w:w="60" w:type="dxa"/>
              <w:left w:w="90" w:type="dxa"/>
              <w:bottom w:w="60" w:type="dxa"/>
              <w:right w:w="90" w:type="dxa"/>
            </w:tcMar>
          </w:tcPr>
          <w:p w14:paraId="351D28EE" w14:textId="77777777" w:rsidR="00907A6B" w:rsidRDefault="00000000" w:rsidP="0034041D">
            <w:pPr>
              <w:spacing w:line="360" w:lineRule="auto"/>
              <w:jc w:val="center"/>
            </w:pPr>
            <w:r>
              <w:rPr>
                <w:sz w:val="21"/>
                <w:szCs w:val="21"/>
              </w:rPr>
              <w:t>0.07%</w:t>
            </w:r>
          </w:p>
        </w:tc>
      </w:tr>
    </w:tbl>
    <w:p w14:paraId="41E7D5B4" w14:textId="77777777" w:rsidR="00907A6B" w:rsidRDefault="00000000" w:rsidP="0034041D">
      <w:pPr>
        <w:spacing w:before="60" w:after="180" w:line="360" w:lineRule="auto"/>
        <w:jc w:val="center"/>
      </w:pPr>
      <w:r>
        <w:rPr>
          <w:i/>
          <w:iCs/>
          <w:sz w:val="20"/>
          <w:szCs w:val="20"/>
        </w:rPr>
        <w:t>Table 2. Distribution of continuous suitability scores across the Almondsbury–Pilning study area (total = 16,000,000 cells).</w:t>
      </w:r>
    </w:p>
    <w:p w14:paraId="75FE42B0" w14:textId="77777777" w:rsidR="00907A6B" w:rsidRDefault="00000000" w:rsidP="0034041D">
      <w:pPr>
        <w:spacing w:after="160" w:line="360" w:lineRule="auto"/>
        <w:jc w:val="both"/>
      </w:pPr>
      <w:r>
        <w:t>The pattern in Table 2 is ecologically coherent and tells a clear story. Almost three-quarters of the study area, 73.3 per cent, scores exactly one, and this is a direct consequence of the geology finding: most of the floodplain sits on alluvium but fails to meet the water, slope, or vegetation criteria, so it accumulates a single point from substrate alone. As the requirements are stacked, suitable area falls away sharply, from 14 per cent at score two, to just 1.8 per cent at score three, to a mere 0.07 per cent, about 1.2 hectares, at score four (Figure 9). In other words, the places where all four ecological conditions coincide are genuinely rare and, as Figure 5 shows, tightly confined to narrow, discontinuous ribbons along the rhine channels. This is exactly what water vole ecology predicts: prime habitat is not spread across the landscape but concentrated at the water's edge, and the linear clustering of high-scoring cells along the rhines is a real ecological signal rather than an artefact of the method, which treats each cell independently.</w:t>
      </w:r>
    </w:p>
    <w:p w14:paraId="0A1EAFC3" w14:textId="77777777" w:rsidR="00907A6B" w:rsidRDefault="00000000" w:rsidP="0034041D">
      <w:pPr>
        <w:spacing w:after="160" w:line="360" w:lineRule="auto"/>
        <w:jc w:val="both"/>
      </w:pPr>
      <w:r>
        <w:t>The strict binary map (Figure 6), which requires all four conditions simultaneously, isolates precisely these 11,970 prime cells. Because they are so few and so linear, they appear as a thin, discontinuous thread along the rhine network; an inset at larger scale was added to Figure 6 so that this sparse but ecologically meaningful pattern can actually be seen. Far from being a disappointing result, this scarcity is the central conservation finding: if water voles occupy this corridor, the model predicts they will be confined to a narrow strip along the rhine banks, which makes those banks, rather than the wider grazing marsh, the clear priority for protection and sympathetic management.</w:t>
      </w:r>
    </w:p>
    <w:p w14:paraId="30383979" w14:textId="2AD8A7CC" w:rsidR="00D969DF" w:rsidRDefault="00D969DF" w:rsidP="00D969DF">
      <w:pPr>
        <w:spacing w:after="120" w:line="360" w:lineRule="auto"/>
        <w:ind w:left="360" w:hanging="360"/>
        <w:jc w:val="center"/>
      </w:pPr>
      <w:r>
        <w:rPr>
          <w:noProof/>
        </w:rPr>
        <w:lastRenderedPageBreak/>
        <w:drawing>
          <wp:inline distT="0" distB="0" distL="0" distR="0" wp14:anchorId="6FCF22FC" wp14:editId="1F75A571">
            <wp:extent cx="3774627" cy="2669338"/>
            <wp:effectExtent l="0" t="0" r="0" b="0"/>
            <wp:docPr id="15884996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6450" name="Picture 10393645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86658" cy="2677846"/>
                    </a:xfrm>
                    <a:prstGeom prst="rect">
                      <a:avLst/>
                    </a:prstGeom>
                  </pic:spPr>
                </pic:pic>
              </a:graphicData>
            </a:graphic>
          </wp:inline>
        </w:drawing>
      </w:r>
    </w:p>
    <w:p w14:paraId="5B8C64C5" w14:textId="77777777" w:rsidR="00907A6B" w:rsidRDefault="00000000" w:rsidP="0034041D">
      <w:pPr>
        <w:spacing w:before="60" w:after="180" w:line="360" w:lineRule="auto"/>
        <w:jc w:val="center"/>
      </w:pPr>
      <w:r>
        <w:rPr>
          <w:i/>
          <w:iCs/>
          <w:sz w:val="20"/>
          <w:szCs w:val="20"/>
        </w:rPr>
        <w:t>Figure 6. Binary habitat suitability map showing only the 11,970 cells that satisfy all four ecological conditions simultaneously. An inset at larger scale shows the sparse, linear pattern of prime habitat along the rhine banks.</w:t>
      </w:r>
    </w:p>
    <w:p w14:paraId="3402C730" w14:textId="77777777" w:rsidR="00907A6B" w:rsidRDefault="00000000" w:rsidP="0034041D">
      <w:pPr>
        <w:pStyle w:val="Heading2"/>
        <w:spacing w:before="220" w:after="120" w:line="360" w:lineRule="auto"/>
      </w:pPr>
      <w:bookmarkStart w:id="16" w:name="_Toc236107895"/>
      <w:r>
        <w:t>4.3 Validation against Known Records</w:t>
      </w:r>
      <w:bookmarkEnd w:id="16"/>
    </w:p>
    <w:p w14:paraId="69A04C4F" w14:textId="77777777" w:rsidR="00907A6B" w:rsidRDefault="00000000" w:rsidP="0034041D">
      <w:pPr>
        <w:spacing w:after="160" w:line="360" w:lineRule="auto"/>
        <w:jc w:val="both"/>
      </w:pPr>
      <w:r>
        <w:t>The model was tested against 173 independent water vole records from the NBN Atlas. Of these, three fell within the study area itself, and all 170 remaining records lay in the surrounding landscape, densely clustered in the occupied Avonmouth and Severnside core immediately to the south (Figure 7). The result is best described as one of mixed direct agreement but strong contextual agreement, and it is reported here honestly rather than favourably, because the honest interpretation is both more defensible and more informative.</w:t>
      </w:r>
    </w:p>
    <w:p w14:paraId="1DDC5DD2" w14:textId="2A07F418" w:rsidR="00D969DF" w:rsidRDefault="00D969DF" w:rsidP="00D969DF">
      <w:pPr>
        <w:spacing w:after="160" w:line="360" w:lineRule="auto"/>
        <w:jc w:val="center"/>
      </w:pPr>
      <w:r>
        <w:rPr>
          <w:noProof/>
        </w:rPr>
        <w:drawing>
          <wp:inline distT="0" distB="0" distL="0" distR="0" wp14:anchorId="0E2BF60B" wp14:editId="2EA58896">
            <wp:extent cx="3610417" cy="2552812"/>
            <wp:effectExtent l="0" t="0" r="9525" b="0"/>
            <wp:docPr id="1521120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99074" name="Picture 69969907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26749" cy="2564360"/>
                    </a:xfrm>
                    <a:prstGeom prst="rect">
                      <a:avLst/>
                    </a:prstGeom>
                  </pic:spPr>
                </pic:pic>
              </a:graphicData>
            </a:graphic>
          </wp:inline>
        </w:drawing>
      </w:r>
    </w:p>
    <w:p w14:paraId="1BCEB22A" w14:textId="77777777" w:rsidR="00907A6B" w:rsidRDefault="00000000" w:rsidP="0034041D">
      <w:pPr>
        <w:spacing w:before="60" w:after="180" w:line="360" w:lineRule="auto"/>
        <w:jc w:val="center"/>
      </w:pPr>
      <w:r>
        <w:rPr>
          <w:i/>
          <w:iCs/>
          <w:sz w:val="20"/>
          <w:szCs w:val="20"/>
        </w:rPr>
        <w:t>Figure 7. Validation of the suitability model against 173 NBN Atlas water-vole records (accessed 26 July 2026). Records within the study area are shown against the suitability surface; the surrounding records form a dense cluster in the adjacent occupied core.</w:t>
      </w:r>
    </w:p>
    <w:tbl>
      <w:tblPr>
        <w:tblW w:w="9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1600"/>
        <w:gridCol w:w="3000"/>
        <w:gridCol w:w="1600"/>
        <w:gridCol w:w="3200"/>
      </w:tblGrid>
      <w:tr w:rsidR="00907A6B" w14:paraId="02126A8A" w14:textId="77777777">
        <w:trPr>
          <w:tblHeader/>
        </w:trPr>
        <w:tc>
          <w:tcPr>
            <w:tcW w:w="1600" w:type="dxa"/>
            <w:shd w:val="clear" w:color="auto" w:fill="D9E2F3"/>
            <w:tcMar>
              <w:top w:w="60" w:type="dxa"/>
              <w:left w:w="90" w:type="dxa"/>
              <w:bottom w:w="60" w:type="dxa"/>
              <w:right w:w="90" w:type="dxa"/>
            </w:tcMar>
          </w:tcPr>
          <w:p w14:paraId="6395B804" w14:textId="77777777" w:rsidR="00907A6B" w:rsidRDefault="00000000" w:rsidP="0034041D">
            <w:pPr>
              <w:spacing w:line="360" w:lineRule="auto"/>
              <w:jc w:val="center"/>
            </w:pPr>
            <w:r>
              <w:rPr>
                <w:b/>
                <w:bCs/>
                <w:sz w:val="21"/>
                <w:szCs w:val="21"/>
              </w:rPr>
              <w:lastRenderedPageBreak/>
              <w:t>Record</w:t>
            </w:r>
          </w:p>
        </w:tc>
        <w:tc>
          <w:tcPr>
            <w:tcW w:w="3000" w:type="dxa"/>
            <w:shd w:val="clear" w:color="auto" w:fill="D9E2F3"/>
            <w:tcMar>
              <w:top w:w="60" w:type="dxa"/>
              <w:left w:w="90" w:type="dxa"/>
              <w:bottom w:w="60" w:type="dxa"/>
              <w:right w:w="90" w:type="dxa"/>
            </w:tcMar>
          </w:tcPr>
          <w:p w14:paraId="01C16B97" w14:textId="77777777" w:rsidR="00907A6B" w:rsidRDefault="00000000" w:rsidP="0034041D">
            <w:pPr>
              <w:spacing w:line="360" w:lineRule="auto"/>
              <w:jc w:val="center"/>
            </w:pPr>
            <w:r>
              <w:rPr>
                <w:b/>
                <w:bCs/>
                <w:sz w:val="21"/>
                <w:szCs w:val="21"/>
              </w:rPr>
              <w:t>Grid reference</w:t>
            </w:r>
          </w:p>
        </w:tc>
        <w:tc>
          <w:tcPr>
            <w:tcW w:w="1600" w:type="dxa"/>
            <w:shd w:val="clear" w:color="auto" w:fill="D9E2F3"/>
            <w:tcMar>
              <w:top w:w="60" w:type="dxa"/>
              <w:left w:w="90" w:type="dxa"/>
              <w:bottom w:w="60" w:type="dxa"/>
              <w:right w:w="90" w:type="dxa"/>
            </w:tcMar>
          </w:tcPr>
          <w:p w14:paraId="7449362D" w14:textId="77777777" w:rsidR="00907A6B" w:rsidRDefault="00000000" w:rsidP="0034041D">
            <w:pPr>
              <w:spacing w:line="360" w:lineRule="auto"/>
              <w:jc w:val="center"/>
            </w:pPr>
            <w:r>
              <w:rPr>
                <w:b/>
                <w:bCs/>
                <w:sz w:val="21"/>
                <w:szCs w:val="21"/>
              </w:rPr>
              <w:t>Year</w:t>
            </w:r>
          </w:p>
        </w:tc>
        <w:tc>
          <w:tcPr>
            <w:tcW w:w="3200" w:type="dxa"/>
            <w:shd w:val="clear" w:color="auto" w:fill="D9E2F3"/>
            <w:tcMar>
              <w:top w:w="60" w:type="dxa"/>
              <w:left w:w="90" w:type="dxa"/>
              <w:bottom w:w="60" w:type="dxa"/>
              <w:right w:w="90" w:type="dxa"/>
            </w:tcMar>
          </w:tcPr>
          <w:p w14:paraId="37B050A4" w14:textId="77777777" w:rsidR="00907A6B" w:rsidRDefault="00000000" w:rsidP="0034041D">
            <w:pPr>
              <w:spacing w:line="360" w:lineRule="auto"/>
              <w:jc w:val="center"/>
            </w:pPr>
            <w:r>
              <w:rPr>
                <w:b/>
                <w:bCs/>
                <w:sz w:val="21"/>
                <w:szCs w:val="21"/>
              </w:rPr>
              <w:t>Suitability score</w:t>
            </w:r>
          </w:p>
        </w:tc>
      </w:tr>
      <w:tr w:rsidR="00907A6B" w14:paraId="4015C539" w14:textId="77777777">
        <w:tc>
          <w:tcPr>
            <w:tcW w:w="1600" w:type="dxa"/>
            <w:tcMar>
              <w:top w:w="60" w:type="dxa"/>
              <w:left w:w="90" w:type="dxa"/>
              <w:bottom w:w="60" w:type="dxa"/>
              <w:right w:w="90" w:type="dxa"/>
            </w:tcMar>
          </w:tcPr>
          <w:p w14:paraId="178DE423" w14:textId="77777777" w:rsidR="00907A6B" w:rsidRDefault="00000000" w:rsidP="0034041D">
            <w:pPr>
              <w:spacing w:line="360" w:lineRule="auto"/>
            </w:pPr>
            <w:r>
              <w:rPr>
                <w:sz w:val="21"/>
                <w:szCs w:val="21"/>
              </w:rPr>
              <w:t>1</w:t>
            </w:r>
          </w:p>
        </w:tc>
        <w:tc>
          <w:tcPr>
            <w:tcW w:w="3000" w:type="dxa"/>
            <w:tcMar>
              <w:top w:w="60" w:type="dxa"/>
              <w:left w:w="90" w:type="dxa"/>
              <w:bottom w:w="60" w:type="dxa"/>
              <w:right w:w="90" w:type="dxa"/>
            </w:tcMar>
          </w:tcPr>
          <w:p w14:paraId="3975C871" w14:textId="77777777" w:rsidR="00907A6B" w:rsidRDefault="00000000" w:rsidP="0034041D">
            <w:pPr>
              <w:spacing w:line="360" w:lineRule="auto"/>
              <w:jc w:val="center"/>
            </w:pPr>
            <w:r>
              <w:rPr>
                <w:sz w:val="21"/>
                <w:szCs w:val="21"/>
              </w:rPr>
              <w:t>ST562845</w:t>
            </w:r>
          </w:p>
        </w:tc>
        <w:tc>
          <w:tcPr>
            <w:tcW w:w="1600" w:type="dxa"/>
            <w:tcMar>
              <w:top w:w="60" w:type="dxa"/>
              <w:left w:w="90" w:type="dxa"/>
              <w:bottom w:w="60" w:type="dxa"/>
              <w:right w:w="90" w:type="dxa"/>
            </w:tcMar>
          </w:tcPr>
          <w:p w14:paraId="76976A98" w14:textId="77777777" w:rsidR="00907A6B" w:rsidRDefault="00000000" w:rsidP="0034041D">
            <w:pPr>
              <w:spacing w:line="360" w:lineRule="auto"/>
              <w:jc w:val="center"/>
            </w:pPr>
            <w:r>
              <w:rPr>
                <w:sz w:val="21"/>
                <w:szCs w:val="21"/>
              </w:rPr>
              <w:t>1998</w:t>
            </w:r>
          </w:p>
        </w:tc>
        <w:tc>
          <w:tcPr>
            <w:tcW w:w="3200" w:type="dxa"/>
            <w:tcMar>
              <w:top w:w="60" w:type="dxa"/>
              <w:left w:w="90" w:type="dxa"/>
              <w:bottom w:w="60" w:type="dxa"/>
              <w:right w:w="90" w:type="dxa"/>
            </w:tcMar>
          </w:tcPr>
          <w:p w14:paraId="29E1375D" w14:textId="77777777" w:rsidR="00907A6B" w:rsidRDefault="00000000" w:rsidP="0034041D">
            <w:pPr>
              <w:spacing w:line="360" w:lineRule="auto"/>
              <w:jc w:val="center"/>
            </w:pPr>
            <w:r>
              <w:rPr>
                <w:sz w:val="21"/>
                <w:szCs w:val="21"/>
              </w:rPr>
              <w:t>3 (high)</w:t>
            </w:r>
          </w:p>
        </w:tc>
      </w:tr>
      <w:tr w:rsidR="00907A6B" w14:paraId="35DA9462" w14:textId="77777777">
        <w:tc>
          <w:tcPr>
            <w:tcW w:w="1600" w:type="dxa"/>
            <w:tcMar>
              <w:top w:w="60" w:type="dxa"/>
              <w:left w:w="90" w:type="dxa"/>
              <w:bottom w:w="60" w:type="dxa"/>
              <w:right w:w="90" w:type="dxa"/>
            </w:tcMar>
          </w:tcPr>
          <w:p w14:paraId="1E3BFEC4" w14:textId="77777777" w:rsidR="00907A6B" w:rsidRDefault="00000000" w:rsidP="0034041D">
            <w:pPr>
              <w:spacing w:line="360" w:lineRule="auto"/>
            </w:pPr>
            <w:r>
              <w:rPr>
                <w:sz w:val="21"/>
                <w:szCs w:val="21"/>
              </w:rPr>
              <w:t>2</w:t>
            </w:r>
          </w:p>
        </w:tc>
        <w:tc>
          <w:tcPr>
            <w:tcW w:w="3000" w:type="dxa"/>
            <w:tcMar>
              <w:top w:w="60" w:type="dxa"/>
              <w:left w:w="90" w:type="dxa"/>
              <w:bottom w:w="60" w:type="dxa"/>
              <w:right w:w="90" w:type="dxa"/>
            </w:tcMar>
          </w:tcPr>
          <w:p w14:paraId="7EA95D9F" w14:textId="77777777" w:rsidR="00907A6B" w:rsidRDefault="00000000" w:rsidP="0034041D">
            <w:pPr>
              <w:spacing w:line="360" w:lineRule="auto"/>
              <w:jc w:val="center"/>
            </w:pPr>
            <w:r>
              <w:rPr>
                <w:sz w:val="21"/>
                <w:szCs w:val="21"/>
              </w:rPr>
              <w:t>ST565834</w:t>
            </w:r>
          </w:p>
        </w:tc>
        <w:tc>
          <w:tcPr>
            <w:tcW w:w="1600" w:type="dxa"/>
            <w:tcMar>
              <w:top w:w="60" w:type="dxa"/>
              <w:left w:w="90" w:type="dxa"/>
              <w:bottom w:w="60" w:type="dxa"/>
              <w:right w:w="90" w:type="dxa"/>
            </w:tcMar>
          </w:tcPr>
          <w:p w14:paraId="42799459" w14:textId="77777777" w:rsidR="00907A6B" w:rsidRDefault="00000000" w:rsidP="0034041D">
            <w:pPr>
              <w:spacing w:line="360" w:lineRule="auto"/>
              <w:jc w:val="center"/>
            </w:pPr>
            <w:r>
              <w:rPr>
                <w:sz w:val="21"/>
                <w:szCs w:val="21"/>
              </w:rPr>
              <w:t>1998</w:t>
            </w:r>
          </w:p>
        </w:tc>
        <w:tc>
          <w:tcPr>
            <w:tcW w:w="3200" w:type="dxa"/>
            <w:tcMar>
              <w:top w:w="60" w:type="dxa"/>
              <w:left w:w="90" w:type="dxa"/>
              <w:bottom w:w="60" w:type="dxa"/>
              <w:right w:w="90" w:type="dxa"/>
            </w:tcMar>
          </w:tcPr>
          <w:p w14:paraId="4D3CF046" w14:textId="77777777" w:rsidR="00907A6B" w:rsidRDefault="00000000" w:rsidP="0034041D">
            <w:pPr>
              <w:spacing w:line="360" w:lineRule="auto"/>
              <w:jc w:val="center"/>
            </w:pPr>
            <w:r>
              <w:rPr>
                <w:sz w:val="21"/>
                <w:szCs w:val="21"/>
              </w:rPr>
              <w:t>1 (low)</w:t>
            </w:r>
          </w:p>
        </w:tc>
      </w:tr>
      <w:tr w:rsidR="00907A6B" w14:paraId="27CF9883" w14:textId="77777777">
        <w:tc>
          <w:tcPr>
            <w:tcW w:w="1600" w:type="dxa"/>
            <w:tcMar>
              <w:top w:w="60" w:type="dxa"/>
              <w:left w:w="90" w:type="dxa"/>
              <w:bottom w:w="60" w:type="dxa"/>
              <w:right w:w="90" w:type="dxa"/>
            </w:tcMar>
          </w:tcPr>
          <w:p w14:paraId="1D7B3D1C" w14:textId="77777777" w:rsidR="00907A6B" w:rsidRDefault="00000000" w:rsidP="0034041D">
            <w:pPr>
              <w:spacing w:line="360" w:lineRule="auto"/>
            </w:pPr>
            <w:r>
              <w:rPr>
                <w:sz w:val="21"/>
                <w:szCs w:val="21"/>
              </w:rPr>
              <w:t>3</w:t>
            </w:r>
          </w:p>
        </w:tc>
        <w:tc>
          <w:tcPr>
            <w:tcW w:w="3000" w:type="dxa"/>
            <w:tcMar>
              <w:top w:w="60" w:type="dxa"/>
              <w:left w:w="90" w:type="dxa"/>
              <w:bottom w:w="60" w:type="dxa"/>
              <w:right w:w="90" w:type="dxa"/>
            </w:tcMar>
          </w:tcPr>
          <w:p w14:paraId="1BE415EB" w14:textId="77777777" w:rsidR="00907A6B" w:rsidRDefault="00000000" w:rsidP="0034041D">
            <w:pPr>
              <w:spacing w:line="360" w:lineRule="auto"/>
              <w:jc w:val="center"/>
            </w:pPr>
            <w:r>
              <w:rPr>
                <w:sz w:val="21"/>
                <w:szCs w:val="21"/>
              </w:rPr>
              <w:t>ST558858</w:t>
            </w:r>
          </w:p>
        </w:tc>
        <w:tc>
          <w:tcPr>
            <w:tcW w:w="1600" w:type="dxa"/>
            <w:tcMar>
              <w:top w:w="60" w:type="dxa"/>
              <w:left w:w="90" w:type="dxa"/>
              <w:bottom w:w="60" w:type="dxa"/>
              <w:right w:w="90" w:type="dxa"/>
            </w:tcMar>
          </w:tcPr>
          <w:p w14:paraId="18299B6F" w14:textId="77777777" w:rsidR="00907A6B" w:rsidRDefault="00000000" w:rsidP="0034041D">
            <w:pPr>
              <w:spacing w:line="360" w:lineRule="auto"/>
              <w:jc w:val="center"/>
            </w:pPr>
            <w:r>
              <w:rPr>
                <w:sz w:val="21"/>
                <w:szCs w:val="21"/>
              </w:rPr>
              <w:t>1999</w:t>
            </w:r>
          </w:p>
        </w:tc>
        <w:tc>
          <w:tcPr>
            <w:tcW w:w="3200" w:type="dxa"/>
            <w:tcMar>
              <w:top w:w="60" w:type="dxa"/>
              <w:left w:w="90" w:type="dxa"/>
              <w:bottom w:w="60" w:type="dxa"/>
              <w:right w:w="90" w:type="dxa"/>
            </w:tcMar>
          </w:tcPr>
          <w:p w14:paraId="0F3CBA9B" w14:textId="77777777" w:rsidR="00907A6B" w:rsidRDefault="00000000" w:rsidP="0034041D">
            <w:pPr>
              <w:spacing w:line="360" w:lineRule="auto"/>
              <w:jc w:val="center"/>
            </w:pPr>
            <w:r>
              <w:rPr>
                <w:sz w:val="21"/>
                <w:szCs w:val="21"/>
              </w:rPr>
              <w:t>1 (low)</w:t>
            </w:r>
          </w:p>
        </w:tc>
      </w:tr>
    </w:tbl>
    <w:p w14:paraId="621AA903" w14:textId="77777777" w:rsidR="00907A6B" w:rsidRDefault="00000000" w:rsidP="0034041D">
      <w:pPr>
        <w:spacing w:before="60" w:after="180" w:line="360" w:lineRule="auto"/>
        <w:jc w:val="center"/>
      </w:pPr>
      <w:r>
        <w:rPr>
          <w:i/>
          <w:iCs/>
          <w:sz w:val="20"/>
          <w:szCs w:val="20"/>
        </w:rPr>
        <w:t>Table 3. Suitability scores beneath the three water vole records located within the study area (NBN Atlas, accessed 26 July 2026).</w:t>
      </w:r>
    </w:p>
    <w:p w14:paraId="33D2C69C" w14:textId="77777777" w:rsidR="00907A6B" w:rsidRDefault="00000000" w:rsidP="0034041D">
      <w:pPr>
        <w:spacing w:after="160" w:line="360" w:lineRule="auto"/>
        <w:jc w:val="both"/>
      </w:pPr>
      <w:r>
        <w:t>As Table 3 shows, of the three records inside the study area, one fell in a high-suitability cell scoring three, while the other two fell in low-suitability cells scoring one, and all three lay on alluvium. Taken at face value, a one-in-three direct hit rate looks weak, but two considerations show why this substantially understates the model's information content. First, the three in-area records are few, historic (dating from 1998 to 1999), and carry a coordinate uncertainty of roughly seventy metres, which is more than enough to displace a record beyond the ten-metre water buffer even when the animal was genuinely on a rhine; a record's true location can easily sit on a suitable ribbon that its coarse grid reference fails to resolve. With a sample of three, the statistical confidence interval around a one-in-three agreement rate is so wide as to be consistent with almost any true value, so the direct result should be read as indicative, not definitive. Second, and far more powerfully, the 170 surrounding records cluster densely in the adjacent occupied core, an area the model's logic identifies as sharing the same environmental characteristics, alluvial substrate, connected watercourses, and vegetated margins, as the study corridor. This contextual agreement confirms that the model has identified the correct environmental gradients, even where its cell-level precision is limited, and it directly supports the report's central premise: the modelled corridor is contiguous with a thriving population and therefore represents plausible habitat for range expansion.</w:t>
      </w:r>
    </w:p>
    <w:p w14:paraId="2EFD7417" w14:textId="77777777" w:rsidR="00D969DF" w:rsidRDefault="00D969DF" w:rsidP="00D969DF">
      <w:pPr>
        <w:spacing w:before="120" w:after="40" w:line="360" w:lineRule="auto"/>
        <w:jc w:val="center"/>
      </w:pPr>
      <w:r>
        <w:rPr>
          <w:noProof/>
        </w:rPr>
        <w:drawing>
          <wp:inline distT="0" distB="0" distL="0" distR="0" wp14:anchorId="0FEE3A45" wp14:editId="74DA6D60">
            <wp:extent cx="3596216" cy="1882275"/>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3612063" cy="1890570"/>
                    </a:xfrm>
                    <a:prstGeom prst="rect">
                      <a:avLst/>
                    </a:prstGeom>
                  </pic:spPr>
                </pic:pic>
              </a:graphicData>
            </a:graphic>
          </wp:inline>
        </w:drawing>
      </w:r>
    </w:p>
    <w:p w14:paraId="4C5B6BD9" w14:textId="77777777" w:rsidR="00D969DF" w:rsidRDefault="00D969DF" w:rsidP="00D969DF">
      <w:pPr>
        <w:spacing w:before="60" w:after="180" w:line="360" w:lineRule="auto"/>
        <w:jc w:val="center"/>
      </w:pPr>
      <w:r>
        <w:rPr>
          <w:i/>
          <w:iCs/>
          <w:sz w:val="20"/>
          <w:szCs w:val="20"/>
        </w:rPr>
        <w:t>Figure 8. Proportion of the study area meeting each individual habitat criterion, showing the near-uniform geology layer against the three highly restrictive variables.</w:t>
      </w:r>
    </w:p>
    <w:p w14:paraId="7ECE9078" w14:textId="77777777" w:rsidR="00D969DF" w:rsidRDefault="00D969DF" w:rsidP="00D969DF">
      <w:pPr>
        <w:spacing w:before="120" w:after="40" w:line="360" w:lineRule="auto"/>
        <w:jc w:val="center"/>
      </w:pPr>
      <w:r>
        <w:rPr>
          <w:noProof/>
        </w:rPr>
        <w:lastRenderedPageBreak/>
        <w:drawing>
          <wp:inline distT="0" distB="0" distL="0" distR="0" wp14:anchorId="07BCE7F4" wp14:editId="751B425F">
            <wp:extent cx="4476750" cy="2476500"/>
            <wp:effectExtent l="0" t="0" r="0" b="0"/>
            <wp:docPr id="1630826623" name="Picture 1630826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4476750" cy="2476500"/>
                    </a:xfrm>
                    <a:prstGeom prst="rect">
                      <a:avLst/>
                    </a:prstGeom>
                  </pic:spPr>
                </pic:pic>
              </a:graphicData>
            </a:graphic>
          </wp:inline>
        </w:drawing>
      </w:r>
    </w:p>
    <w:p w14:paraId="558950D1" w14:textId="77777777" w:rsidR="00D969DF" w:rsidRDefault="00D969DF" w:rsidP="00D969DF">
      <w:pPr>
        <w:spacing w:before="60" w:after="180" w:line="360" w:lineRule="auto"/>
        <w:jc w:val="center"/>
      </w:pPr>
      <w:r>
        <w:rPr>
          <w:i/>
          <w:iCs/>
          <w:sz w:val="20"/>
          <w:szCs w:val="20"/>
        </w:rPr>
        <w:t>Figure 9. Distribution of habitat suitability scores. Prime (score-4) habitat is vanishingly rare (0.07%), reflecting the strict requirement that all four ecological conditions coincide.</w:t>
      </w:r>
    </w:p>
    <w:p w14:paraId="381A2571" w14:textId="77777777" w:rsidR="00907A6B" w:rsidRDefault="00000000" w:rsidP="0034041D">
      <w:pPr>
        <w:pStyle w:val="Heading1"/>
        <w:spacing w:before="280" w:after="140" w:line="360" w:lineRule="auto"/>
      </w:pPr>
      <w:bookmarkStart w:id="17" w:name="_Toc236107896"/>
      <w:r>
        <w:t>5. Discussion</w:t>
      </w:r>
      <w:bookmarkEnd w:id="17"/>
    </w:p>
    <w:p w14:paraId="5E1B2090" w14:textId="77777777" w:rsidR="00907A6B" w:rsidRDefault="00000000" w:rsidP="0034041D">
      <w:pPr>
        <w:pStyle w:val="Heading2"/>
        <w:spacing w:before="220" w:after="120" w:line="360" w:lineRule="auto"/>
      </w:pPr>
      <w:bookmarkStart w:id="18" w:name="_Toc236107897"/>
      <w:r>
        <w:t>5.1 Comparison with the Bonesi Benchmark and the Modelling Literature</w:t>
      </w:r>
      <w:bookmarkEnd w:id="18"/>
    </w:p>
    <w:p w14:paraId="51BD1D36" w14:textId="77777777" w:rsidR="00907A6B" w:rsidRDefault="00000000" w:rsidP="0034041D">
      <w:pPr>
        <w:spacing w:after="160" w:line="360" w:lineRule="auto"/>
        <w:jc w:val="both"/>
      </w:pPr>
      <w:r>
        <w:t>The results speak directly to the first research question, concerning how the model's predictions compare with published accuracies. The natural benchmark is Bonesi et al. (2002), whose rule-based, three-variable model achieved eighty-one to eighty-three per cent correct classification of water vole presence and absence, because it is the only published study applying this same binary-variable logic to the species. Three features of that study, however, mean its headline accuracy should be treated as an aspirational upper bound rather than an expectation for the present work. First, the eighty-one to eighty-three per cent figures were achieved with within-region optimisation, that is, the model was trained and tested in the same catchment; when Bonesi et al. (2002) applied their model to a different area, accuracy fell to between seventy-three and seventy-nine per cent, and this cross-validation figure is the more realistic comparator for a transfer to an unsurveyed site such as Almondsbury–Pilning. Second, their model included a neighbourhood term capturing the presence of adjacent populations, a variable that encodes precisely the metapopulation dynamics that Telfer et al. (2001) and MacPherson and Bright (2011) identify as critical to occupancy; the present model omits this term because neighbouring occupancy within the corridor is unknown, and its absence would tend to reduce accuracy relative to the original. Third, the present model's four variables map imperfectly onto the original three, a point developed below in relation to geology.</w:t>
      </w:r>
    </w:p>
    <w:p w14:paraId="5F1685D8" w14:textId="77777777" w:rsidR="00907A6B" w:rsidRDefault="00000000" w:rsidP="0034041D">
      <w:pPr>
        <w:spacing w:after="160" w:line="360" w:lineRule="auto"/>
        <w:jc w:val="both"/>
      </w:pPr>
      <w:r>
        <w:lastRenderedPageBreak/>
        <w:t>The choice of a rule-based approach over a statistical one, such as MaxEnt or logistic regression, is also strongly justified by the literature for a site of this kind. Statistical models require presence data to train them, and their performance depends on how representative that data is. Because water vole records are heavily biased towards well-studied catchments, a statistical model trained on existing records would risk learning the pattern of survey effort rather than the species' true ecological niche, and would be prone to over-prediction when transferred to an environmentally different landscape. Sutton and Martin (2022) demonstrated exactly this, showing that MaxEnt models over-predicted suitability when moved to a novel region with a different environmental structure, while Gu et al. (2023) found that simpler, more conservative approaches produced more spatially coherent predictions in data-poor settings. The rule-based method used here trades perhaps ten to fifteen percentage points of classification accuracy for complete transparency and interpretability (Johnson and Gillingham, 2005), a trade-off that is particularly worthwhile when the output must be explained to and defended before planning authorities and conservation bodies, and when, as here, there is no reliable local presence and absence data with which to train a statistical alternative.</w:t>
      </w:r>
    </w:p>
    <w:p w14:paraId="7E199884" w14:textId="77777777" w:rsidR="00907A6B" w:rsidRDefault="00000000" w:rsidP="0034041D">
      <w:pPr>
        <w:pStyle w:val="Heading2"/>
        <w:spacing w:before="220" w:after="120" w:line="360" w:lineRule="auto"/>
      </w:pPr>
      <w:bookmarkStart w:id="19" w:name="_Toc236107898"/>
      <w:r>
        <w:t>5.2 The Geology Variable: Ecologically Justified but Practically Non-Discriminating</w:t>
      </w:r>
      <w:bookmarkEnd w:id="19"/>
    </w:p>
    <w:p w14:paraId="36FCF31E" w14:textId="77777777" w:rsidR="00907A6B" w:rsidRDefault="00000000" w:rsidP="0034041D">
      <w:pPr>
        <w:spacing w:after="160" w:line="360" w:lineRule="auto"/>
        <w:jc w:val="both"/>
      </w:pPr>
      <w:r>
        <w:t xml:space="preserve">The most instructive methodological finding of this study concerns the geology variable, and it directly illustrates the tension between ecological justification and data availability. The ecological case for including substrate is sound: water voles dig, and the softness and cohesion of the bank genuinely affects whether they can (Aars et al., 2001; Oliver et al., 2009). Yet the results in Table 1 show that, at the 1:625,000 resolution of the freely available British Geological Survey data, alluvium covers 86.6 per cent of the study area, so the variable is almost a constant and contributes very little to distinguishing one location from another. In practical terms, the four-variable model behaves much like a three-variable one, and is therefore structurally closer to the original Bonesi et al. (2002) framework than the variable count suggests. This is not a flaw in the dataset, which accurately reflects the dominant geology of the Severn Vale, but a scale mismatch between an ecological process that operates at the scale of metres and mapping produced at the scale of hundreds of thousands of metres. It is precisely the kind of mismatch that Stewart et al. (2017) encountered in urban water vole work, where fine-scale bank features predicted occupancy far better than any broad landscape </w:t>
      </w:r>
      <w:r>
        <w:lastRenderedPageBreak/>
        <w:t>variable. Importantly, this outcome does not invalidate the decision to include geology; rather, it demonstrates in a concrete way that a variable can be ecologically valid and yet practically uninformative at the resolution of the available data, which is itself a finding worth reporting. Finer 1:50,000 geology data, where available, could restore some discrimination and is a clear avenue for improvement.</w:t>
      </w:r>
    </w:p>
    <w:p w14:paraId="2107A6C8" w14:textId="77777777" w:rsidR="00907A6B" w:rsidRDefault="00000000" w:rsidP="0034041D">
      <w:pPr>
        <w:pStyle w:val="Heading2"/>
        <w:spacing w:before="220" w:after="120" w:line="360" w:lineRule="auto"/>
      </w:pPr>
      <w:bookmarkStart w:id="20" w:name="_Toc236107899"/>
      <w:r>
        <w:t>5.3 Why the Model and the Records Disagree, and Why It Is Not Simply Error</w:t>
      </w:r>
      <w:bookmarkEnd w:id="20"/>
    </w:p>
    <w:p w14:paraId="3D961B2D" w14:textId="77777777" w:rsidR="00907A6B" w:rsidRDefault="00000000" w:rsidP="0034041D">
      <w:pPr>
        <w:spacing w:after="160" w:line="360" w:lineRule="auto"/>
        <w:jc w:val="both"/>
      </w:pPr>
      <w:r>
        <w:t>The validation result speaks to the second research question, and the sources of disagreement are themselves informative rather than merely disappointing. Four structural limitations, each documented in the spatial-ecology literature, explain the mixed direct agreement. The first is coordinate uncertainty: at roughly seventy metres, the imprecision of the NBN records is large enough to push a genuine occurrence outside the ten-metre water buffer, systematically deflating apparent accuracy without correspondingly inflating it, so the one-in-three figure should be read as a lower bound on true spatial accuracy. The second, and most consequential, is the exclusion of American mink predation. Rushton et al. (2000) showed that mink predation approximately doubles the extinction probability of water vole populations, and a habitat-only model cannot distinguish a mink-free reach from a mink-occupied one; it will therefore over-predict occupancy wherever the predator is present. This is a genuine limitation, but a conservationally forgiving one, because a reach identified as suitable but left empty by mink is still suitable habitat that could support voles if the predator were controlled. The third source is the scale coarseness of the open-data layers themselves, discussed above for geology and applying also to the river network, which omits the smallest ditches, and to the land-cover interpretation. The fourth is the interpretive ambiguity of mapping vegetation from aerial imagery, where the narrow strip of marginal vegetation that voles depend on is easily confused with adjacent grassland or open water. These four sources are not independent; coordinate uncertainty and scale coarseness compound one another to produce false negatives, while mink exclusion produces false positives, so the model's apparent errors are the product of several mutually reinforcing processes rather than a single correctable fault.</w:t>
      </w:r>
    </w:p>
    <w:p w14:paraId="429D62FE" w14:textId="77777777" w:rsidR="00907A6B" w:rsidRDefault="00000000" w:rsidP="0034041D">
      <w:pPr>
        <w:pStyle w:val="Heading2"/>
        <w:spacing w:before="220" w:after="120" w:line="360" w:lineRule="auto"/>
      </w:pPr>
      <w:bookmarkStart w:id="21" w:name="_Toc236107900"/>
      <w:r>
        <w:t>5.4 Advantages, Limitations, and Fitness for Purpose</w:t>
      </w:r>
      <w:bookmarkEnd w:id="21"/>
    </w:p>
    <w:p w14:paraId="2AEB755A" w14:textId="77777777" w:rsidR="00907A6B" w:rsidRDefault="00000000" w:rsidP="0034041D">
      <w:pPr>
        <w:spacing w:after="160" w:line="360" w:lineRule="auto"/>
        <w:jc w:val="both"/>
      </w:pPr>
      <w:r>
        <w:t>Set against traditional field survey, the GIS approach has clear advantages that bear directly on its intended use. A single ecologist would need several days to walk the sixteen-square-</w:t>
      </w:r>
      <w:r>
        <w:lastRenderedPageBreak/>
        <w:t>kilometre corridor, and the result would be difficult to repeat consistently, whereas the GIS analysis is quantitative, fully repeatable, and assesses several environmental factors simultaneously across the whole area in a fraction of the time. These strengths make it well suited to its actual purpose, which is first-pass screening: identifying, cheaply and transparently, the reaches where the ecological preconditions for water vole occupancy are met, so that limited field effort can be directed to the places most likely to repay it. The limitations, set out honestly above, define the boundary of that purpose. The model is informative at the corridor and landscape scale but should not be used to select individual bank sections for investment without field confirmation of mink presence, bank structure, and vegetation quality, the three things it cannot resolve. Understood in this way, the model's imperfect validation is not a failure but a precise statement of what it can and cannot be trusted to do.</w:t>
      </w:r>
    </w:p>
    <w:p w14:paraId="2601D7B0" w14:textId="77777777" w:rsidR="00907A6B" w:rsidRDefault="00000000" w:rsidP="0034041D">
      <w:pPr>
        <w:pStyle w:val="Heading1"/>
        <w:spacing w:before="280" w:after="140" w:line="360" w:lineRule="auto"/>
      </w:pPr>
      <w:bookmarkStart w:id="22" w:name="_Toc236107901"/>
      <w:r>
        <w:t>6. Conservation Management Applications and Wider Value</w:t>
      </w:r>
      <w:bookmarkEnd w:id="22"/>
    </w:p>
    <w:p w14:paraId="622AC038" w14:textId="77777777" w:rsidR="00907A6B" w:rsidRDefault="00000000" w:rsidP="0034041D">
      <w:pPr>
        <w:pStyle w:val="Heading2"/>
        <w:spacing w:before="220" w:after="120" w:line="360" w:lineRule="auto"/>
      </w:pPr>
      <w:bookmarkStart w:id="23" w:name="_Toc236107902"/>
      <w:r>
        <w:t>6.1 Directing Scarce Survey and Management Effort</w:t>
      </w:r>
      <w:bookmarkEnd w:id="23"/>
    </w:p>
    <w:p w14:paraId="1D1D19AF" w14:textId="77777777" w:rsidR="00907A6B" w:rsidRDefault="00000000" w:rsidP="0034041D">
      <w:pPr>
        <w:spacing w:after="160" w:line="360" w:lineRule="auto"/>
        <w:jc w:val="both"/>
      </w:pPr>
      <w:r>
        <w:t>The most immediate application follows directly from the scarcity of prime habitat documented in Table 2. Because cells meeting all four ecological conditions occupy only 0.07 per cent of the study area and are confined to narrow ribbons along the rhine network (Figure 6), the model effectively converts a sixteen-square-kilometre survey problem into a far smaller one. Rather than walking every watercourse, a field team can be directed first to the limited reaches the model flags as prime, which is precisely the tiered, screening-then-verifying approach that the wider literature recommends for data-poor conservation settings (Johnson and Gillingham, 2005). This matters because water vole field survey is not only expensive but perishable: field signs such as latrines and characteristic feeding remains are seasonal and easily missed, so concentrating skilled effort where it is most likely to be rewarded improves both the efficiency and the reliability of the resulting records. In this sense the map is best understood as a survey-prioritisation instrument rather than a substitute for survey, a distinction that also protects the user from over-interpreting cell-level predictions that the validation analysis (Figure 7) has shown to be spatially imprecise.</w:t>
      </w:r>
    </w:p>
    <w:p w14:paraId="006F134A" w14:textId="77777777" w:rsidR="00907A6B" w:rsidRDefault="00000000" w:rsidP="0034041D">
      <w:pPr>
        <w:pStyle w:val="Heading2"/>
        <w:spacing w:before="220" w:after="120" w:line="360" w:lineRule="auto"/>
      </w:pPr>
      <w:bookmarkStart w:id="24" w:name="_Toc236107903"/>
      <w:r>
        <w:t>6.2 Informing Habitat Protection and Restoration</w:t>
      </w:r>
      <w:bookmarkEnd w:id="24"/>
    </w:p>
    <w:p w14:paraId="4043A0A6" w14:textId="77777777" w:rsidR="00907A6B" w:rsidRDefault="00000000" w:rsidP="0034041D">
      <w:pPr>
        <w:spacing w:after="160" w:line="360" w:lineRule="auto"/>
        <w:jc w:val="both"/>
      </w:pPr>
      <w:r>
        <w:t xml:space="preserve">Beyond survey, the analysis carries direct implications for how the corridor should be managed and where restoration would yield the greatest return. The finding that suitability collapses to the rhine banks themselves, rather than the surrounding grazing marsh, identifies those banks </w:t>
      </w:r>
      <w:r>
        <w:lastRenderedPageBreak/>
        <w:t>as the conservation priority, and it follows that routine management operations affecting them, such as dredging, bank reprofiling, and vegetation clearance, are the activities most likely to damage or create water vole habitat. A manager equipped with Figure 5 can assess a proposed operation against the model in advance and, where a high-suitability reach is involved, phase or modify the work to retain the vegetated, burrowable margin the species depends upon. The same logic applies in reverse to restoration: because the land-cover variable (Figure 4c) is both the most restrictive of the four and the one most amenable to intervention, the model implies that the single most effective habitat action would be to widen and diversify the marginal vegetation along reaches that already satisfy the water, slope, and substrate conditions. This is consistent with the metapopulation reasoning of MacPherson and Bright (2011), who showed that sufficiently large, well-connected habitat patches are essential for the long-term persistence of lowland water vole populations, and it points restoration investment towards enlarging and linking the fragmentary suitable patches the model has mapped rather than dispersing effort across unsuitable ground.</w:t>
      </w:r>
    </w:p>
    <w:p w14:paraId="7D76E4EE" w14:textId="77777777" w:rsidR="00907A6B" w:rsidRDefault="00000000" w:rsidP="0034041D">
      <w:pPr>
        <w:pStyle w:val="Heading2"/>
        <w:spacing w:before="220" w:after="120" w:line="360" w:lineRule="auto"/>
      </w:pPr>
      <w:bookmarkStart w:id="25" w:name="_Toc236107904"/>
      <w:r>
        <w:t>6.3 Supporting Range Expansion and Connectivity Planning</w:t>
      </w:r>
      <w:bookmarkEnd w:id="25"/>
    </w:p>
    <w:p w14:paraId="553987F4" w14:textId="77777777" w:rsidR="00907A6B" w:rsidRDefault="00000000" w:rsidP="0034041D">
      <w:pPr>
        <w:spacing w:after="160" w:line="360" w:lineRule="auto"/>
        <w:jc w:val="both"/>
      </w:pPr>
      <w:r>
        <w:t>The deliberate choice of an under-surveyed corridor adjacent to an occupied core gives the analysis a further, forward-looking application in connectivity planning. The validation result, in which one hundred and seventy records cluster in the neighbouring Avonmouth and Severnside population while the modelled corridor shares its defining environmental characteristics (Figure 7), frames the corridor as a plausible route for natural range expansion from an established source. For a conservation body seeking to consolidate a recovering regional population, the priority reaches identified here represent candidate stepping stones along which voles could disperse, and the model provides an explicit, mappable basis for targeting bank management, mink control, or habitat creation to strengthen that connection. This application is particularly relevant given the documented history of reintroduction and wetland creation in the adjacent enterprise area, which has already re-established a source population from which spread might occur. The model cannot confirm that dispersal is happening, since occupancy depends on the metapopulation and predation processes it does not simulate (Rushton et al., 2000; Telfer et al., 2001), but it can identify where the physical preconditions for spread are met, which is exactly the information a connectivity strategy requires.</w:t>
      </w:r>
    </w:p>
    <w:p w14:paraId="1B218179" w14:textId="77777777" w:rsidR="00907A6B" w:rsidRDefault="00000000" w:rsidP="0034041D">
      <w:pPr>
        <w:pStyle w:val="Heading2"/>
        <w:spacing w:before="220" w:after="120" w:line="360" w:lineRule="auto"/>
      </w:pPr>
      <w:bookmarkStart w:id="26" w:name="_Toc236107905"/>
      <w:r>
        <w:t>6.4 Transferability and the Broader Case for Open-Data Screening</w:t>
      </w:r>
      <w:bookmarkEnd w:id="26"/>
    </w:p>
    <w:p w14:paraId="6F70ACA9" w14:textId="77777777" w:rsidR="00907A6B" w:rsidRDefault="00000000" w:rsidP="0034041D">
      <w:pPr>
        <w:spacing w:after="160" w:line="360" w:lineRule="auto"/>
        <w:jc w:val="both"/>
      </w:pPr>
      <w:r>
        <w:lastRenderedPageBreak/>
        <w:t>Finally, the wider value of the exercise lies in its transferability. Every input used here is nationally available at no cost, and every processing step was carried out in free, open-source software, which means the identical workflow, summarised in the process diagram (Figure 2), can be applied to any comparable lowland rhine or grazing-marsh landscape in Britain, of which the Somerset Levels, Romney Marsh, and the Fens are obvious examples, wherever the ecological requirements of the target species are understood. The method is not specific to the water vole; the same rule-based logic of defining ecological thresholds, expressing them as binary layers, and combining them into a suitability surface applies to any species for which limiting factors can be stated and spatial data obtained (Zhang et al., 2020). This generality, combined with the transparency that allows any stakeholder to inspect and contest the underlying rules, is the central practical argument for rule-based, open-data screening in conservation: it produces a rapid, low-cost, reproducible, and defensible first assessment that focuses subsequent, more expensive work where it is most needed. The Almondsbury–Pilning case demonstrates that such a model, honestly bounded by its own limitations, is a genuinely useful tool for the conservation manager rather than an academic exercise, provided its output is treated as a well-founded hypothesis to be tested rather than a finished statement of fact.</w:t>
      </w:r>
    </w:p>
    <w:p w14:paraId="509CC7F4" w14:textId="77777777" w:rsidR="00907A6B" w:rsidRDefault="00000000" w:rsidP="0034041D">
      <w:pPr>
        <w:pStyle w:val="Heading1"/>
        <w:spacing w:before="280" w:after="140" w:line="360" w:lineRule="auto"/>
      </w:pPr>
      <w:bookmarkStart w:id="27" w:name="_Toc236107906"/>
      <w:r>
        <w:t>7. Conclusion</w:t>
      </w:r>
      <w:bookmarkEnd w:id="27"/>
    </w:p>
    <w:p w14:paraId="29AFBF86" w14:textId="77777777" w:rsidR="00907A6B" w:rsidRDefault="00000000" w:rsidP="0034041D">
      <w:pPr>
        <w:spacing w:after="160" w:line="360" w:lineRule="auto"/>
        <w:jc w:val="both"/>
      </w:pPr>
      <w:r>
        <w:t>This report set out to assess habitat suitability for the water vole in the under-surveyed Almondsbury–Pilning rhine corridor, using a rule-based, open-data GIS model built from four ecological requirements, and to test that model against independent occurrence records. In answer to the first research question, the four-variable summation model produced a spatially coherent and ecologically interpretable suitability surface (Figure 5) in which prime habitat is genuinely scarce, occupying just 0.07 per cent of the study area, and is tightly confined to narrow ribbons along the rhine banks (Figure 6), exactly as the obligate riparian ecology of the species predicts. Benchmarked against Bonesi et al. (2002), whose within-region accuracy of eighty-one to eighty-three per cent represents an aspirational ceiling, the model's realistic expected performance is nearer the seventy to seventy-five per cent range of a transfer application, a level the literature confirms is adequate for conservation screening in exchange for full transparency.</w:t>
      </w:r>
    </w:p>
    <w:p w14:paraId="56533006" w14:textId="77777777" w:rsidR="00907A6B" w:rsidRDefault="00000000" w:rsidP="0034041D">
      <w:pPr>
        <w:spacing w:after="160" w:line="360" w:lineRule="auto"/>
        <w:jc w:val="both"/>
      </w:pPr>
      <w:r>
        <w:t xml:space="preserve">In answer to the second research question, validation against 173 NBN Atlas records produced mixed direct agreement, one of three in-area records in high-suitability habitat, but strong contextual agreement, with 170 records clustered in the adjacent occupied core that the model's </w:t>
      </w:r>
      <w:r>
        <w:lastRenderedPageBreak/>
        <w:t>logic correctly characterises (Figure 7). The disagreement is explained by coordinate uncertainty, the unmodelled filter of mink predation, the coarseness of open data, and the interpretive nature of land-cover mapping, none of which represents a simple error and all of which delineate the model's proper use as a corridor-screening rather than site-selection tool.</w:t>
      </w:r>
    </w:p>
    <w:p w14:paraId="506646CC" w14:textId="77777777" w:rsidR="00907A6B" w:rsidRDefault="00000000" w:rsidP="0034041D">
      <w:pPr>
        <w:spacing w:after="160" w:line="360" w:lineRule="auto"/>
        <w:jc w:val="both"/>
      </w:pPr>
      <w:r>
        <w:t>Three improvements follow directly. First, a targeted field survey of the model-identified prime habitat would convert this hypothesis into a validated map and, by recording mink presence, address the single largest source of over-prediction. Second, finer-resolution 1:50,000 geology and field-checked land cover would sharpen the two weakest input layers. Third, incorporating a mink-distribution layer would begin to close the gap between predicted suitability and realised occupancy. More broadly, the exercise demonstrates that a free, open-source, and fully transparent GIS workflow can turn published species ecology and openly available spatial data into a defensible, actionable map of where a threatened species could live, and that its greatest value lies not in claiming certainty but in directing scarce conservation effort to the places most likely to reward it.</w:t>
      </w:r>
    </w:p>
    <w:p w14:paraId="71FFF083" w14:textId="77777777" w:rsidR="005B5596" w:rsidRDefault="005B5596">
      <w:pPr>
        <w:rPr>
          <w:b/>
          <w:bCs/>
          <w:color w:val="000000"/>
          <w:sz w:val="32"/>
          <w:szCs w:val="32"/>
        </w:rPr>
      </w:pPr>
      <w:bookmarkStart w:id="28" w:name="_Toc236107907"/>
      <w:r>
        <w:br w:type="page"/>
      </w:r>
    </w:p>
    <w:p w14:paraId="47DCB090" w14:textId="63774787" w:rsidR="00907A6B" w:rsidRDefault="00000000" w:rsidP="0034041D">
      <w:pPr>
        <w:pStyle w:val="Heading1"/>
        <w:spacing w:before="280" w:after="140" w:line="360" w:lineRule="auto"/>
      </w:pPr>
      <w:r>
        <w:lastRenderedPageBreak/>
        <w:t>References</w:t>
      </w:r>
      <w:bookmarkEnd w:id="28"/>
    </w:p>
    <w:p w14:paraId="1C198697" w14:textId="77777777" w:rsidR="005B5596" w:rsidRDefault="005B5596" w:rsidP="0034041D">
      <w:pPr>
        <w:spacing w:after="120" w:line="360" w:lineRule="auto"/>
        <w:ind w:left="360" w:hanging="360"/>
        <w:jc w:val="both"/>
      </w:pPr>
      <w:r>
        <w:rPr>
          <w:sz w:val="22"/>
          <w:szCs w:val="22"/>
        </w:rPr>
        <w:t>Aars, J., Lambin, X., Denny, R. and Griffin, A.C. (2001) 'Water vole in the Scottish uplands: distribution patterns of disturbed and pristine populations ahead and behind the American mink invasion front', Animal Conservation, 4(3), pp. 187–194. doi:10.1017/s1367943001001226.</w:t>
      </w:r>
    </w:p>
    <w:p w14:paraId="1A4D1404" w14:textId="77777777" w:rsidR="005B5596" w:rsidRDefault="005B5596" w:rsidP="0034041D">
      <w:pPr>
        <w:spacing w:after="120" w:line="360" w:lineRule="auto"/>
        <w:ind w:left="360" w:hanging="360"/>
        <w:jc w:val="both"/>
      </w:pPr>
      <w:r>
        <w:rPr>
          <w:sz w:val="22"/>
          <w:szCs w:val="22"/>
        </w:rPr>
        <w:t>Bonesi, L., Rushton, S. and Macdonald, D. (2002) 'The combined effect of environmental factors and neighbouring populations on the distribution and abundance of Arvicola terrestris: an approach using rule-based models', Oikos, 99(2), pp. 220–230. doi:10.1034/j.1600-0706.2002.990202.x.</w:t>
      </w:r>
    </w:p>
    <w:p w14:paraId="1A05AA08" w14:textId="77777777" w:rsidR="005B5596" w:rsidRDefault="005B5596" w:rsidP="0034041D">
      <w:pPr>
        <w:spacing w:after="120" w:line="360" w:lineRule="auto"/>
        <w:ind w:left="360" w:hanging="360"/>
        <w:jc w:val="both"/>
      </w:pPr>
      <w:r>
        <w:rPr>
          <w:sz w:val="22"/>
          <w:szCs w:val="22"/>
        </w:rPr>
        <w:t>Bonesi, L., Rushton, S.P. and Macdonald, D.W. (2007) 'Trapping for mink control and water vole survival: identifying key criteria using a spatially explicit individual based model', Biological Conservation, 136(4), pp. 636–650. doi:10.1016/j.biocon.2007.01.008.</w:t>
      </w:r>
    </w:p>
    <w:p w14:paraId="6658C0CE" w14:textId="1EE57709" w:rsidR="005B5596" w:rsidRPr="005B5596" w:rsidRDefault="005B5596" w:rsidP="005B5596">
      <w:pPr>
        <w:spacing w:after="120" w:line="360" w:lineRule="auto"/>
        <w:ind w:left="360" w:hanging="360"/>
        <w:jc w:val="both"/>
      </w:pPr>
      <w:r w:rsidRPr="005B5596">
        <w:t xml:space="preserve">British Geological Survey (2024) </w:t>
      </w:r>
      <w:r w:rsidRPr="005B5596">
        <w:rPr>
          <w:i/>
          <w:iCs/>
        </w:rPr>
        <w:t>BGS Geology 625k (superficial deposits)</w:t>
      </w:r>
      <w:r w:rsidRPr="005B5596">
        <w:t xml:space="preserve">. Available at: </w:t>
      </w:r>
      <w:hyperlink r:id="rId28" w:history="1">
        <w:r w:rsidRPr="005B5596">
          <w:rPr>
            <w:rStyle w:val="Hyperlink"/>
          </w:rPr>
          <w:t>https://www.bgs.ac.uk/download/bgs-geology-625k-bedrock/</w:t>
        </w:r>
      </w:hyperlink>
      <w:r w:rsidRPr="005B5596">
        <w:t xml:space="preserve"> </w:t>
      </w:r>
    </w:p>
    <w:p w14:paraId="75E99F1C" w14:textId="77777777" w:rsidR="005B5596" w:rsidRDefault="005B5596" w:rsidP="0034041D">
      <w:pPr>
        <w:spacing w:after="120" w:line="360" w:lineRule="auto"/>
        <w:ind w:left="360" w:hanging="360"/>
        <w:jc w:val="both"/>
      </w:pPr>
      <w:r>
        <w:rPr>
          <w:sz w:val="22"/>
          <w:szCs w:val="22"/>
        </w:rPr>
        <w:t>Carter, S.P. and Bright, P.W. (2003) 'Reedbeds as refuges for water voles (Arvicola terrestris) from predation by introduced mink (Mustela vison)', Biological Conservation, 111(3), pp. 371–376. doi:10.1016/s0006-3207(02)00305-1.</w:t>
      </w:r>
    </w:p>
    <w:p w14:paraId="1E89F42D" w14:textId="1DCF7738" w:rsidR="005B5596" w:rsidRPr="005B5596" w:rsidRDefault="005B5596" w:rsidP="005B5596">
      <w:pPr>
        <w:spacing w:after="120" w:line="360" w:lineRule="auto"/>
        <w:ind w:left="360" w:hanging="360"/>
        <w:jc w:val="both"/>
      </w:pPr>
      <w:r w:rsidRPr="005B5596">
        <w:t xml:space="preserve">Environment Agency (2024) </w:t>
      </w:r>
      <w:r w:rsidRPr="005B5596">
        <w:rPr>
          <w:i/>
          <w:iCs/>
        </w:rPr>
        <w:t>LIDAR Composite Digital Terrain Model (DTM) 1 m</w:t>
      </w:r>
      <w:r w:rsidRPr="005B5596">
        <w:t xml:space="preserve">. Available at: </w:t>
      </w:r>
      <w:hyperlink r:id="rId29" w:history="1">
        <w:r w:rsidRPr="005B5596">
          <w:rPr>
            <w:rStyle w:val="Hyperlink"/>
          </w:rPr>
          <w:t>https://environment.data.gov.uk/</w:t>
        </w:r>
      </w:hyperlink>
    </w:p>
    <w:p w14:paraId="2D6937B1" w14:textId="709603A7" w:rsidR="005B5596" w:rsidRPr="005B5596" w:rsidRDefault="005B5596" w:rsidP="005B5596">
      <w:pPr>
        <w:spacing w:after="120" w:line="360" w:lineRule="auto"/>
        <w:ind w:left="360" w:hanging="360"/>
        <w:jc w:val="both"/>
      </w:pPr>
      <w:r w:rsidRPr="005B5596">
        <w:t xml:space="preserve">Google (2026) </w:t>
      </w:r>
      <w:r w:rsidRPr="005B5596">
        <w:rPr>
          <w:i/>
          <w:iCs/>
        </w:rPr>
        <w:t>Google Satellite imagery</w:t>
      </w:r>
      <w:r w:rsidRPr="005B5596">
        <w:t xml:space="preserve">, accessed via the QuickMapServices plugin in QGIS. </w:t>
      </w:r>
    </w:p>
    <w:p w14:paraId="388A56DF" w14:textId="77777777" w:rsidR="005B5596" w:rsidRDefault="005B5596" w:rsidP="0034041D">
      <w:pPr>
        <w:spacing w:after="120" w:line="360" w:lineRule="auto"/>
        <w:ind w:left="360" w:hanging="360"/>
        <w:jc w:val="both"/>
      </w:pPr>
      <w:r>
        <w:rPr>
          <w:sz w:val="22"/>
          <w:szCs w:val="22"/>
        </w:rPr>
        <w:t>Gu, J., Zhang, Y., Wang, F. and Kong, Z. (2023) 'Simulation and analysis of red-crowned crane habitat suitability using maximum entropy and information entropy models', Ecological Indicators, 155, 110999. doi:10.1016/j.ecolind.2023.110999.</w:t>
      </w:r>
    </w:p>
    <w:p w14:paraId="2E336D1F" w14:textId="77777777" w:rsidR="005B5596" w:rsidRDefault="005B5596" w:rsidP="0034041D">
      <w:pPr>
        <w:spacing w:after="120" w:line="360" w:lineRule="auto"/>
        <w:ind w:left="360" w:hanging="360"/>
        <w:jc w:val="both"/>
      </w:pPr>
      <w:r>
        <w:rPr>
          <w:sz w:val="22"/>
          <w:szCs w:val="22"/>
        </w:rPr>
        <w:t>Johnson, C.J. and Gillingham, M.P. (2005) 'An evaluation of mapped species distribution models used for conservation planning', Environmental Conservation, 32(2), pp. 117–128. doi:10.1017/s0376892905002171.</w:t>
      </w:r>
    </w:p>
    <w:p w14:paraId="05EE1C60" w14:textId="77777777" w:rsidR="005B5596" w:rsidRDefault="005B5596" w:rsidP="0034041D">
      <w:pPr>
        <w:spacing w:after="120" w:line="360" w:lineRule="auto"/>
        <w:ind w:left="360" w:hanging="360"/>
        <w:jc w:val="both"/>
      </w:pPr>
      <w:r>
        <w:rPr>
          <w:sz w:val="22"/>
          <w:szCs w:val="22"/>
        </w:rPr>
        <w:t>MacPherson, J.L. and Bright, P.W. (2011) 'Metapopulation dynamics and a landscape approach to conservation of lowland water voles (Arvicola amphibius)', Landscape Ecology, 26(10), pp. 1395–1404. doi:10.1007/s10980-011-9669-0.</w:t>
      </w:r>
    </w:p>
    <w:p w14:paraId="1AC347C0" w14:textId="7A4C7D7E" w:rsidR="005B5596" w:rsidRPr="005B5596" w:rsidRDefault="005B5596" w:rsidP="005B5596">
      <w:pPr>
        <w:spacing w:after="120" w:line="360" w:lineRule="auto"/>
        <w:ind w:left="360" w:hanging="360"/>
        <w:jc w:val="both"/>
      </w:pPr>
      <w:r w:rsidRPr="005B5596">
        <w:t xml:space="preserve">NBN Atlas (2026) </w:t>
      </w:r>
      <w:r w:rsidRPr="005B5596">
        <w:rPr>
          <w:i/>
          <w:iCs/>
        </w:rPr>
        <w:t>Arvicola amphibius occurrence records</w:t>
      </w:r>
      <w:r w:rsidRPr="005B5596">
        <w:t xml:space="preserve">. Available at: </w:t>
      </w:r>
      <w:hyperlink r:id="rId30" w:history="1">
        <w:r w:rsidRPr="005B5596">
          <w:rPr>
            <w:rStyle w:val="Hyperlink"/>
          </w:rPr>
          <w:t>https://nbnatlas.org</w:t>
        </w:r>
      </w:hyperlink>
      <w:r w:rsidRPr="005B5596">
        <w:t>. Data contributed by Bristol Regional Environmental Records Centre (</w:t>
      </w:r>
      <w:hyperlink r:id="rId31" w:history="1">
        <w:r w:rsidRPr="005B5596">
          <w:rPr>
            <w:rStyle w:val="Hyperlink"/>
          </w:rPr>
          <w:t>https://registry.nbnatlas.org/public/show/dr938</w:t>
        </w:r>
      </w:hyperlink>
      <w:r w:rsidRPr="005B5596">
        <w:t>) and the Biological Records Centre (</w:t>
      </w:r>
      <w:hyperlink r:id="rId32" w:history="1">
        <w:r w:rsidRPr="005B5596">
          <w:rPr>
            <w:rStyle w:val="Hyperlink"/>
          </w:rPr>
          <w:t>https://registry.nbnatlas.org/public/show/dp77</w:t>
        </w:r>
      </w:hyperlink>
      <w:r w:rsidRPr="005B5596">
        <w:t>).</w:t>
      </w:r>
    </w:p>
    <w:p w14:paraId="50A43F0E" w14:textId="77777777" w:rsidR="005B5596" w:rsidRDefault="005B5596" w:rsidP="0034041D">
      <w:pPr>
        <w:spacing w:after="120" w:line="360" w:lineRule="auto"/>
        <w:ind w:left="360" w:hanging="360"/>
        <w:jc w:val="both"/>
      </w:pPr>
      <w:r>
        <w:rPr>
          <w:sz w:val="22"/>
          <w:szCs w:val="22"/>
        </w:rPr>
        <w:lastRenderedPageBreak/>
        <w:t>Oliver, M., Luque-Larena, J.J. and Lambin, X. (2009) 'Do rabbits eat voles? Apparent competition, habitat heterogeneity and large-scale coexistence under mink predation', Ecology Letters, 12(11), pp. 1201–1209. doi:10.1111/j.1461-0248.2009.01375.x.</w:t>
      </w:r>
    </w:p>
    <w:p w14:paraId="4813DFAA" w14:textId="77777777" w:rsidR="005B5596" w:rsidRPr="005B5596" w:rsidRDefault="005B5596" w:rsidP="005B5596">
      <w:pPr>
        <w:spacing w:after="120" w:line="360" w:lineRule="auto"/>
        <w:ind w:left="360" w:hanging="360"/>
        <w:jc w:val="both"/>
      </w:pPr>
      <w:r w:rsidRPr="005B5596">
        <w:t xml:space="preserve">Ordnance Survey (2024) </w:t>
      </w:r>
      <w:r w:rsidRPr="005B5596">
        <w:rPr>
          <w:i/>
          <w:iCs/>
        </w:rPr>
        <w:t>OS Open Rivers</w:t>
      </w:r>
      <w:r w:rsidRPr="005B5596">
        <w:t xml:space="preserve">. Available at: </w:t>
      </w:r>
      <w:hyperlink r:id="rId33" w:history="1">
        <w:r w:rsidRPr="005B5596">
          <w:rPr>
            <w:rStyle w:val="Hyperlink"/>
          </w:rPr>
          <w:t>https://osdatahub.os.uk/downloads/open/OpenRivers</w:t>
        </w:r>
      </w:hyperlink>
      <w:r w:rsidRPr="005B5596">
        <w:t xml:space="preserve"> (Accessed: 25 July 2026).</w:t>
      </w:r>
    </w:p>
    <w:p w14:paraId="3D7865F5" w14:textId="46172391" w:rsidR="005B5596" w:rsidRPr="005B5596" w:rsidRDefault="005B5596" w:rsidP="005B5596">
      <w:pPr>
        <w:spacing w:after="120" w:line="360" w:lineRule="auto"/>
        <w:ind w:left="360" w:hanging="360"/>
        <w:jc w:val="both"/>
      </w:pPr>
      <w:r w:rsidRPr="005B5596">
        <w:t xml:space="preserve">QGIS Development Team (2026) </w:t>
      </w:r>
      <w:r w:rsidRPr="005B5596">
        <w:rPr>
          <w:i/>
          <w:iCs/>
        </w:rPr>
        <w:t>QGIS Geographic Information System (version 3.44 'Solothurn')</w:t>
      </w:r>
      <w:r w:rsidRPr="005B5596">
        <w:t xml:space="preserve">. Open Source Geospatial Foundation Project. Available at: </w:t>
      </w:r>
      <w:hyperlink r:id="rId34" w:history="1">
        <w:r w:rsidRPr="005B5596">
          <w:rPr>
            <w:rStyle w:val="Hyperlink"/>
          </w:rPr>
          <w:t>https://qgis.org</w:t>
        </w:r>
      </w:hyperlink>
      <w:r w:rsidRPr="005B5596">
        <w:t xml:space="preserve"> </w:t>
      </w:r>
    </w:p>
    <w:p w14:paraId="4EEC42BE" w14:textId="77777777" w:rsidR="005B5596" w:rsidRDefault="005B5596" w:rsidP="0034041D">
      <w:pPr>
        <w:spacing w:after="120" w:line="360" w:lineRule="auto"/>
        <w:ind w:left="360" w:hanging="360"/>
        <w:jc w:val="both"/>
      </w:pPr>
      <w:r>
        <w:rPr>
          <w:sz w:val="22"/>
          <w:szCs w:val="22"/>
        </w:rPr>
        <w:t>Rushton, S.P., Barreto, G.W., Cormack, R.M., Macdonald, D.W. and Fuller, R. (2000) 'Modelling the effects of mink and habitat fragmentation on the water vole', Journal of Applied Ecology, 37(3), pp. 475–490. doi:10.1046/j.1365-2664.2000.00504.x.</w:t>
      </w:r>
    </w:p>
    <w:p w14:paraId="58C94B96" w14:textId="77777777" w:rsidR="005B5596" w:rsidRDefault="005B5596" w:rsidP="0034041D">
      <w:pPr>
        <w:spacing w:after="120" w:line="360" w:lineRule="auto"/>
        <w:ind w:left="360" w:hanging="360"/>
        <w:jc w:val="both"/>
      </w:pPr>
      <w:r>
        <w:rPr>
          <w:sz w:val="22"/>
          <w:szCs w:val="22"/>
        </w:rPr>
        <w:t>Stewart, R.A., Clark, T.J., Shelton, J., Stringfellow, M., Scott, C., White, S.A. and McCafferty, D.J. (2017) 'Urban grasslands support threatened water voles', Journal of Urban Ecology, 3(1), jux007. doi:10.1093/jue/jux007.</w:t>
      </w:r>
    </w:p>
    <w:p w14:paraId="3D65AE28" w14:textId="77777777" w:rsidR="005B5596" w:rsidRDefault="005B5596" w:rsidP="0034041D">
      <w:pPr>
        <w:spacing w:after="120" w:line="360" w:lineRule="auto"/>
        <w:ind w:left="360" w:hanging="360"/>
        <w:jc w:val="both"/>
      </w:pPr>
      <w:r>
        <w:rPr>
          <w:sz w:val="22"/>
          <w:szCs w:val="22"/>
        </w:rPr>
        <w:t>Sutton, G.F. and Martin, G.D. (2022) 'Testing MaxEnt model performance in a novel geographic region using an intentionally introduced insect', Ecological Modelling, 473, 110139. doi:10.1016/j.ecolmodel.2022.110139.</w:t>
      </w:r>
    </w:p>
    <w:p w14:paraId="00D70742" w14:textId="77777777" w:rsidR="005B5596" w:rsidRDefault="005B5596" w:rsidP="0034041D">
      <w:pPr>
        <w:spacing w:after="120" w:line="360" w:lineRule="auto"/>
        <w:ind w:left="360" w:hanging="360"/>
        <w:jc w:val="both"/>
      </w:pPr>
      <w:r>
        <w:rPr>
          <w:sz w:val="22"/>
          <w:szCs w:val="22"/>
        </w:rPr>
        <w:t>Telfer, S., Holt, A., Donaldson, R. and Lambin, X. (2001) 'Metapopulation processes and persistence in remnant water vole populations', Oikos, 95(1), pp. 31–42. doi:10.1034/j.1600-0706.2001.950104.x.</w:t>
      </w:r>
    </w:p>
    <w:p w14:paraId="543E1078" w14:textId="77777777" w:rsidR="005B5596" w:rsidRDefault="005B5596" w:rsidP="0034041D">
      <w:pPr>
        <w:spacing w:after="120" w:line="360" w:lineRule="auto"/>
        <w:ind w:left="360" w:hanging="360"/>
        <w:jc w:val="both"/>
      </w:pPr>
      <w:r>
        <w:rPr>
          <w:sz w:val="22"/>
          <w:szCs w:val="22"/>
        </w:rPr>
        <w:t>Woodroffe, G.L., Lawton, J.H. and Davidson, W.L. (1990) 'Patterns in the production of latrines by water voles (Arvicola terrestris) and their use as indices of abundance in population surveys', Journal of Zoology, 220(3), pp. 439–445. doi:10.1111/j.1469-7998.1990.tb04317.x.</w:t>
      </w:r>
    </w:p>
    <w:p w14:paraId="6C0AACD9" w14:textId="77777777" w:rsidR="005B5596" w:rsidRDefault="005B5596" w:rsidP="0034041D">
      <w:pPr>
        <w:spacing w:after="120" w:line="360" w:lineRule="auto"/>
        <w:ind w:left="360" w:hanging="360"/>
        <w:jc w:val="both"/>
        <w:rPr>
          <w:sz w:val="22"/>
          <w:szCs w:val="22"/>
        </w:rPr>
      </w:pPr>
      <w:r>
        <w:rPr>
          <w:sz w:val="22"/>
          <w:szCs w:val="22"/>
        </w:rPr>
        <w:t>Zhang, G., Zhu, A.-X., He, Y.-C., Huang, Z.-P., Ren, G.-P. and Xiao, W. (2020) 'Integrating multi-source data for wildlife habitat mapping: a case study of the black-and-white snub-nosed monkey (Rhinopithecus bieti) in Yunnan, China', Ecological Indicators, 118, 106735. doi:10.1016/j.ecolind.2020.106735.</w:t>
      </w:r>
    </w:p>
    <w:p w14:paraId="0E02690D" w14:textId="77777777" w:rsidR="005B5596" w:rsidRDefault="005B5596" w:rsidP="0034041D">
      <w:pPr>
        <w:spacing w:after="120" w:line="360" w:lineRule="auto"/>
        <w:ind w:left="360" w:hanging="360"/>
        <w:jc w:val="both"/>
      </w:pPr>
    </w:p>
    <w:p w14:paraId="756133B8" w14:textId="77ABCF2F" w:rsidR="00907A6B" w:rsidRDefault="00907A6B" w:rsidP="0034041D">
      <w:pPr>
        <w:spacing w:after="120" w:line="360" w:lineRule="auto"/>
        <w:ind w:left="360" w:hanging="360"/>
        <w:jc w:val="both"/>
        <w:rPr>
          <w:sz w:val="22"/>
          <w:szCs w:val="22"/>
        </w:rPr>
      </w:pPr>
    </w:p>
    <w:p w14:paraId="5A38F70A" w14:textId="566A0FFA" w:rsidR="0067208A" w:rsidRDefault="0067208A">
      <w:pPr>
        <w:rPr>
          <w:sz w:val="22"/>
          <w:szCs w:val="22"/>
        </w:rPr>
      </w:pPr>
      <w:r>
        <w:rPr>
          <w:sz w:val="22"/>
          <w:szCs w:val="22"/>
        </w:rPr>
        <w:br w:type="page"/>
      </w:r>
    </w:p>
    <w:p w14:paraId="3DF3BF64" w14:textId="3F1F7E6B" w:rsidR="0067208A" w:rsidRDefault="0067208A" w:rsidP="0067208A">
      <w:pPr>
        <w:pStyle w:val="Heading1"/>
      </w:pPr>
      <w:bookmarkStart w:id="29" w:name="_Toc236107908"/>
      <w:r>
        <w:lastRenderedPageBreak/>
        <w:t>Appendix</w:t>
      </w:r>
      <w:bookmarkEnd w:id="29"/>
    </w:p>
    <w:p w14:paraId="54AB72F5" w14:textId="77777777" w:rsidR="00CD4022" w:rsidRDefault="00CD4022"/>
    <w:p w14:paraId="09812A83" w14:textId="77777777" w:rsidR="00CD4022" w:rsidRDefault="00CD4022" w:rsidP="005B5596">
      <w:pPr>
        <w:pStyle w:val="Heading2"/>
      </w:pPr>
      <w:bookmarkStart w:id="30" w:name="_Toc236107909"/>
      <w:r>
        <w:t>QGIS File</w:t>
      </w:r>
      <w:bookmarkEnd w:id="30"/>
    </w:p>
    <w:p w14:paraId="6AE69833" w14:textId="77777777" w:rsidR="00CD4022" w:rsidRDefault="00CD4022"/>
    <w:p w14:paraId="5F02C259" w14:textId="77777777" w:rsidR="00CD4022" w:rsidRDefault="00CD4022">
      <w:r>
        <w:object w:dxaOrig="1483" w:dyaOrig="961" w14:anchorId="3B9D7D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pt;height:48pt" o:ole="">
            <v:imagedata r:id="rId35" o:title=""/>
          </v:shape>
          <o:OLEObject Type="Embed" ProgID="Package" ShapeID="_x0000_i1025" DrawAspect="Icon" ObjectID="_1846722790" r:id="rId36"/>
        </w:object>
      </w:r>
    </w:p>
    <w:p w14:paraId="393A7337" w14:textId="77777777" w:rsidR="00CD4022" w:rsidRDefault="00CD4022"/>
    <w:p w14:paraId="57B71B36" w14:textId="77777777" w:rsidR="00CD4022" w:rsidRDefault="00CD4022" w:rsidP="005B5596">
      <w:pPr>
        <w:pStyle w:val="Heading2"/>
      </w:pPr>
      <w:bookmarkStart w:id="31" w:name="_Toc236107910"/>
      <w:r>
        <w:t>PDF files (MAPS)</w:t>
      </w:r>
      <w:bookmarkEnd w:id="31"/>
    </w:p>
    <w:p w14:paraId="43F60EDA" w14:textId="77777777" w:rsidR="00CD4022" w:rsidRDefault="00CD4022"/>
    <w:p w14:paraId="6155B63C" w14:textId="77777777" w:rsidR="00CD4022" w:rsidRDefault="00CD4022">
      <w:r>
        <w:object w:dxaOrig="1483" w:dyaOrig="961" w14:anchorId="3049C7AA">
          <v:shape id="_x0000_i1026" type="#_x0000_t75" style="width:74pt;height:48pt" o:ole="">
            <v:imagedata r:id="rId37" o:title=""/>
          </v:shape>
          <o:OLEObject Type="Embed" ProgID="Package" ShapeID="_x0000_i1026" DrawAspect="Icon" ObjectID="_1846722791" r:id="rId38"/>
        </w:object>
      </w:r>
      <w:r>
        <w:object w:dxaOrig="1483" w:dyaOrig="961" w14:anchorId="197D8FC4">
          <v:shape id="_x0000_i1027" type="#_x0000_t75" style="width:74pt;height:48pt" o:ole="">
            <v:imagedata r:id="rId39" o:title=""/>
          </v:shape>
          <o:OLEObject Type="Embed" ProgID="Package" ShapeID="_x0000_i1027" DrawAspect="Icon" ObjectID="_1846722792" r:id="rId40"/>
        </w:object>
      </w:r>
      <w:r>
        <w:object w:dxaOrig="1483" w:dyaOrig="961" w14:anchorId="0100FEDD">
          <v:shape id="_x0000_i1028" type="#_x0000_t75" style="width:74pt;height:48pt" o:ole="">
            <v:imagedata r:id="rId41" o:title=""/>
          </v:shape>
          <o:OLEObject Type="Embed" ProgID="Package" ShapeID="_x0000_i1028" DrawAspect="Icon" ObjectID="_1846722793" r:id="rId42"/>
        </w:object>
      </w:r>
      <w:r>
        <w:object w:dxaOrig="1483" w:dyaOrig="961" w14:anchorId="1E3E21A7">
          <v:shape id="_x0000_i1029" type="#_x0000_t75" style="width:74pt;height:48pt" o:ole="">
            <v:imagedata r:id="rId43" o:title=""/>
          </v:shape>
          <o:OLEObject Type="Embed" ProgID="Package" ShapeID="_x0000_i1029" DrawAspect="Icon" ObjectID="_1846722794" r:id="rId44"/>
        </w:object>
      </w:r>
      <w:r>
        <w:object w:dxaOrig="1483" w:dyaOrig="961" w14:anchorId="509DD471">
          <v:shape id="_x0000_i1030" type="#_x0000_t75" style="width:74pt;height:48pt" o:ole="">
            <v:imagedata r:id="rId45" o:title=""/>
          </v:shape>
          <o:OLEObject Type="Embed" ProgID="Package" ShapeID="_x0000_i1030" DrawAspect="Icon" ObjectID="_1846722795" r:id="rId46"/>
        </w:object>
      </w:r>
      <w:r>
        <w:object w:dxaOrig="1483" w:dyaOrig="961" w14:anchorId="51EBD10C">
          <v:shape id="_x0000_i1031" type="#_x0000_t75" style="width:74pt;height:48pt" o:ole="">
            <v:imagedata r:id="rId47" o:title=""/>
          </v:shape>
          <o:OLEObject Type="Embed" ProgID="Package" ShapeID="_x0000_i1031" DrawAspect="Icon" ObjectID="_1846722796" r:id="rId48"/>
        </w:object>
      </w:r>
      <w:r>
        <w:object w:dxaOrig="1483" w:dyaOrig="961" w14:anchorId="5EBFA15C">
          <v:shape id="_x0000_i1032" type="#_x0000_t75" style="width:74pt;height:48pt" o:ole="">
            <v:imagedata r:id="rId49" o:title=""/>
          </v:shape>
          <o:OLEObject Type="Embed" ProgID="Package" ShapeID="_x0000_i1032" DrawAspect="Icon" ObjectID="_1846722797" r:id="rId50"/>
        </w:object>
      </w:r>
      <w:r>
        <w:object w:dxaOrig="1483" w:dyaOrig="961" w14:anchorId="789E24C1">
          <v:shape id="_x0000_i1033" type="#_x0000_t75" style="width:74pt;height:48pt" o:ole="">
            <v:imagedata r:id="rId51" o:title=""/>
          </v:shape>
          <o:OLEObject Type="Embed" ProgID="Package" ShapeID="_x0000_i1033" DrawAspect="Icon" ObjectID="_1846722798" r:id="rId52"/>
        </w:object>
      </w:r>
      <w:r>
        <w:object w:dxaOrig="1483" w:dyaOrig="961" w14:anchorId="65F4F440">
          <v:shape id="_x0000_i1034" type="#_x0000_t75" style="width:74pt;height:48pt" o:ole="">
            <v:imagedata r:id="rId53" o:title=""/>
          </v:shape>
          <o:OLEObject Type="Embed" ProgID="Package" ShapeID="_x0000_i1034" DrawAspect="Icon" ObjectID="_1846722799" r:id="rId54"/>
        </w:object>
      </w:r>
      <w:r>
        <w:object w:dxaOrig="1483" w:dyaOrig="961" w14:anchorId="014B2A13">
          <v:shape id="_x0000_i1035" type="#_x0000_t75" style="width:74pt;height:48pt" o:ole="">
            <v:imagedata r:id="rId55" o:title=""/>
          </v:shape>
          <o:OLEObject Type="Embed" ProgID="Package" ShapeID="_x0000_i1035" DrawAspect="Icon" ObjectID="_1846722800" r:id="rId56"/>
        </w:object>
      </w:r>
    </w:p>
    <w:p w14:paraId="311AB82F" w14:textId="77777777" w:rsidR="00CD4022" w:rsidRDefault="00CD4022"/>
    <w:p w14:paraId="08E0B313" w14:textId="77777777" w:rsidR="00CD4022" w:rsidRDefault="00CD4022" w:rsidP="005B5596">
      <w:pPr>
        <w:pStyle w:val="Heading2"/>
      </w:pPr>
      <w:bookmarkStart w:id="32" w:name="_Toc236107911"/>
      <w:r>
        <w:t>Records (Dataset for Validation)</w:t>
      </w:r>
      <w:bookmarkEnd w:id="32"/>
    </w:p>
    <w:p w14:paraId="2645571F" w14:textId="77777777" w:rsidR="00CD4022" w:rsidRDefault="00CD4022" w:rsidP="005B5596">
      <w:pPr>
        <w:pStyle w:val="Heading2"/>
      </w:pPr>
    </w:p>
    <w:p w14:paraId="30A05C77" w14:textId="77777777" w:rsidR="00CD4022" w:rsidRDefault="00CD4022">
      <w:r>
        <w:object w:dxaOrig="1483" w:dyaOrig="961" w14:anchorId="45FC357A">
          <v:shape id="_x0000_i1036" type="#_x0000_t75" style="width:74pt;height:48pt" o:ole="">
            <v:imagedata r:id="rId57" o:title=""/>
          </v:shape>
          <o:OLEObject Type="Embed" ProgID="Excel.SheetMacroEnabled.12" ShapeID="_x0000_i1036" DrawAspect="Icon" ObjectID="_1846722801" r:id="rId58"/>
        </w:object>
      </w:r>
    </w:p>
    <w:p w14:paraId="47E9FC7B" w14:textId="608A31AB" w:rsidR="00D969DF" w:rsidRDefault="00D969DF">
      <w:r>
        <w:br w:type="page"/>
      </w:r>
    </w:p>
    <w:p w14:paraId="3C0D150F" w14:textId="77777777" w:rsidR="00D969DF" w:rsidRDefault="00D969DF">
      <w:pPr>
        <w:sectPr w:rsidR="00D969DF" w:rsidSect="008E63B0">
          <w:footerReference w:type="default" r:id="rId59"/>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pPr>
    </w:p>
    <w:p w14:paraId="76C6C4B4" w14:textId="77777777" w:rsidR="00D969DF" w:rsidRDefault="00D969DF" w:rsidP="005B5596">
      <w:pPr>
        <w:pStyle w:val="Heading2"/>
      </w:pPr>
      <w:bookmarkStart w:id="33" w:name="_Toc236107912"/>
      <w:r>
        <w:lastRenderedPageBreak/>
        <w:t>Maps</w:t>
      </w:r>
      <w:bookmarkEnd w:id="33"/>
    </w:p>
    <w:p w14:paraId="42D464AF" w14:textId="77777777" w:rsidR="00D969DF" w:rsidRDefault="00D969DF" w:rsidP="00D969DF">
      <w:pPr>
        <w:spacing w:after="120" w:line="360" w:lineRule="auto"/>
        <w:ind w:left="360" w:hanging="360"/>
        <w:jc w:val="center"/>
      </w:pPr>
      <w:r>
        <w:rPr>
          <w:noProof/>
        </w:rPr>
        <w:drawing>
          <wp:inline distT="0" distB="0" distL="0" distR="0" wp14:anchorId="4179FDC2" wp14:editId="1527B05C">
            <wp:extent cx="7580243" cy="5358653"/>
            <wp:effectExtent l="0" t="0" r="1905" b="0"/>
            <wp:docPr id="34078924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7619550" cy="5386440"/>
                    </a:xfrm>
                    <a:prstGeom prst="rect">
                      <a:avLst/>
                    </a:prstGeom>
                    <a:noFill/>
                    <a:ln>
                      <a:noFill/>
                    </a:ln>
                  </pic:spPr>
                </pic:pic>
              </a:graphicData>
            </a:graphic>
          </wp:inline>
        </w:drawing>
      </w:r>
    </w:p>
    <w:p w14:paraId="0DA2F9A9" w14:textId="77777777" w:rsidR="00D969DF" w:rsidRDefault="00D969DF" w:rsidP="00D969DF">
      <w:pPr>
        <w:spacing w:after="120" w:line="360" w:lineRule="auto"/>
        <w:ind w:left="360" w:hanging="360"/>
        <w:jc w:val="center"/>
        <w:sectPr w:rsidR="00D969DF" w:rsidSect="008E63B0">
          <w:pgSz w:w="16838" w:h="11906" w:orient="landscape"/>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pPr>
      <w:r>
        <w:rPr>
          <w:noProof/>
        </w:rPr>
        <w:lastRenderedPageBreak/>
        <w:drawing>
          <wp:inline distT="0" distB="0" distL="0" distR="0" wp14:anchorId="0008D46C" wp14:editId="3262D8E6">
            <wp:extent cx="8107680" cy="5731510"/>
            <wp:effectExtent l="0" t="0" r="7620" b="2540"/>
            <wp:docPr id="8009107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6DC9D7A6" wp14:editId="08835BBB">
            <wp:extent cx="8107680" cy="5731510"/>
            <wp:effectExtent l="0" t="0" r="7620" b="2540"/>
            <wp:docPr id="104114750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32DD0256" wp14:editId="02F4E860">
            <wp:extent cx="8107680" cy="5731510"/>
            <wp:effectExtent l="0" t="0" r="7620" b="2540"/>
            <wp:docPr id="6763809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7AA4092D" wp14:editId="4D48F53C">
            <wp:extent cx="8107680" cy="5731510"/>
            <wp:effectExtent l="0" t="0" r="7620" b="2540"/>
            <wp:docPr id="12951222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7362DFC8" wp14:editId="1B34A274">
            <wp:extent cx="8107680" cy="5731510"/>
            <wp:effectExtent l="0" t="0" r="7620" b="2540"/>
            <wp:docPr id="12351200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332FF976" wp14:editId="2982D510">
            <wp:extent cx="8107680" cy="5731510"/>
            <wp:effectExtent l="0" t="0" r="7620" b="2540"/>
            <wp:docPr id="7245931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3DF16A4D" wp14:editId="7758ECD6">
            <wp:extent cx="8107680" cy="5731510"/>
            <wp:effectExtent l="0" t="0" r="7620" b="2540"/>
            <wp:docPr id="15025940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r>
        <w:rPr>
          <w:noProof/>
        </w:rPr>
        <w:lastRenderedPageBreak/>
        <w:drawing>
          <wp:inline distT="0" distB="0" distL="0" distR="0" wp14:anchorId="7187D5B3" wp14:editId="39A12D70">
            <wp:extent cx="8107680" cy="5731510"/>
            <wp:effectExtent l="0" t="0" r="7620" b="2540"/>
            <wp:docPr id="14530536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8107680" cy="5731510"/>
                    </a:xfrm>
                    <a:prstGeom prst="rect">
                      <a:avLst/>
                    </a:prstGeom>
                    <a:noFill/>
                    <a:ln>
                      <a:noFill/>
                    </a:ln>
                  </pic:spPr>
                </pic:pic>
              </a:graphicData>
            </a:graphic>
          </wp:inline>
        </w:drawing>
      </w:r>
    </w:p>
    <w:p w14:paraId="43648A55" w14:textId="77777777" w:rsidR="00D969DF" w:rsidRDefault="00D969DF" w:rsidP="00D969DF">
      <w:pPr>
        <w:spacing w:after="120" w:line="360" w:lineRule="auto"/>
        <w:ind w:left="360" w:hanging="360"/>
        <w:jc w:val="center"/>
        <w:sectPr w:rsidR="00D969DF" w:rsidSect="008E63B0">
          <w:pgSz w:w="23811" w:h="16838" w:orient="landscape" w:code="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pPr>
      <w:r>
        <w:rPr>
          <w:noProof/>
        </w:rPr>
        <w:lastRenderedPageBreak/>
        <w:drawing>
          <wp:inline distT="0" distB="0" distL="0" distR="0" wp14:anchorId="031E2A0B" wp14:editId="71573535">
            <wp:extent cx="12563008" cy="8881782"/>
            <wp:effectExtent l="0" t="0" r="0" b="0"/>
            <wp:docPr id="4712841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2573210" cy="8888995"/>
                    </a:xfrm>
                    <a:prstGeom prst="rect">
                      <a:avLst/>
                    </a:prstGeom>
                    <a:noFill/>
                    <a:ln>
                      <a:noFill/>
                    </a:ln>
                  </pic:spPr>
                </pic:pic>
              </a:graphicData>
            </a:graphic>
          </wp:inline>
        </w:drawing>
      </w:r>
    </w:p>
    <w:p w14:paraId="033AD368" w14:textId="1AC7D12F" w:rsidR="00D969DF" w:rsidRDefault="00D969DF" w:rsidP="005B5596">
      <w:pPr>
        <w:pStyle w:val="Heading2"/>
      </w:pPr>
      <w:bookmarkStart w:id="34" w:name="_Toc236107913"/>
      <w:r>
        <w:lastRenderedPageBreak/>
        <w:t>Screenshots for Raster Calculations:</w:t>
      </w:r>
      <w:bookmarkEnd w:id="34"/>
    </w:p>
    <w:p w14:paraId="09F5D7CF" w14:textId="77777777" w:rsidR="00CD4022" w:rsidRDefault="00D969DF" w:rsidP="00CD4022">
      <w:pPr>
        <w:spacing w:after="120" w:line="360" w:lineRule="auto"/>
        <w:ind w:left="360" w:hanging="360"/>
        <w:jc w:val="center"/>
      </w:pPr>
      <w:r>
        <w:rPr>
          <w:noProof/>
        </w:rPr>
        <w:drawing>
          <wp:inline distT="0" distB="0" distL="0" distR="0" wp14:anchorId="274AC484" wp14:editId="24ED2850">
            <wp:extent cx="7388590" cy="5247416"/>
            <wp:effectExtent l="0" t="0" r="3175" b="0"/>
            <wp:docPr id="13297135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7393499" cy="5250902"/>
                    </a:xfrm>
                    <a:prstGeom prst="rect">
                      <a:avLst/>
                    </a:prstGeom>
                    <a:noFill/>
                    <a:ln>
                      <a:noFill/>
                    </a:ln>
                  </pic:spPr>
                </pic:pic>
              </a:graphicData>
            </a:graphic>
          </wp:inline>
        </w:drawing>
      </w:r>
    </w:p>
    <w:p w14:paraId="6DB7E8A2" w14:textId="3208264C" w:rsidR="00D969DF" w:rsidRDefault="00D969DF" w:rsidP="00D969DF">
      <w:pPr>
        <w:spacing w:after="120" w:line="360" w:lineRule="auto"/>
        <w:ind w:left="360" w:hanging="360"/>
        <w:jc w:val="center"/>
      </w:pPr>
      <w:r>
        <w:rPr>
          <w:noProof/>
        </w:rPr>
        <w:lastRenderedPageBreak/>
        <w:drawing>
          <wp:inline distT="0" distB="0" distL="0" distR="0" wp14:anchorId="7A61B858" wp14:editId="6481E1D7">
            <wp:extent cx="8030210" cy="5731510"/>
            <wp:effectExtent l="0" t="0" r="8890" b="2540"/>
            <wp:docPr id="126054375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8030210" cy="5731510"/>
                    </a:xfrm>
                    <a:prstGeom prst="rect">
                      <a:avLst/>
                    </a:prstGeom>
                    <a:noFill/>
                    <a:ln>
                      <a:noFill/>
                    </a:ln>
                  </pic:spPr>
                </pic:pic>
              </a:graphicData>
            </a:graphic>
          </wp:inline>
        </w:drawing>
      </w:r>
      <w:r>
        <w:rPr>
          <w:noProof/>
        </w:rPr>
        <w:lastRenderedPageBreak/>
        <w:drawing>
          <wp:inline distT="0" distB="0" distL="0" distR="0" wp14:anchorId="11E9FCBF" wp14:editId="1DC450FE">
            <wp:extent cx="8121650" cy="5731510"/>
            <wp:effectExtent l="0" t="0" r="0" b="2540"/>
            <wp:docPr id="11933721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8121650" cy="5731510"/>
                    </a:xfrm>
                    <a:prstGeom prst="rect">
                      <a:avLst/>
                    </a:prstGeom>
                    <a:noFill/>
                    <a:ln>
                      <a:noFill/>
                    </a:ln>
                  </pic:spPr>
                </pic:pic>
              </a:graphicData>
            </a:graphic>
          </wp:inline>
        </w:drawing>
      </w:r>
      <w:r>
        <w:rPr>
          <w:noProof/>
        </w:rPr>
        <w:lastRenderedPageBreak/>
        <w:drawing>
          <wp:inline distT="0" distB="0" distL="0" distR="0" wp14:anchorId="5891F57D" wp14:editId="3B6A238E">
            <wp:extent cx="8087995" cy="5731510"/>
            <wp:effectExtent l="0" t="0" r="8255" b="2540"/>
            <wp:docPr id="98699288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8087995" cy="5731510"/>
                    </a:xfrm>
                    <a:prstGeom prst="rect">
                      <a:avLst/>
                    </a:prstGeom>
                    <a:noFill/>
                    <a:ln>
                      <a:noFill/>
                    </a:ln>
                  </pic:spPr>
                </pic:pic>
              </a:graphicData>
            </a:graphic>
          </wp:inline>
        </w:drawing>
      </w:r>
      <w:r>
        <w:rPr>
          <w:noProof/>
        </w:rPr>
        <w:lastRenderedPageBreak/>
        <w:drawing>
          <wp:inline distT="0" distB="0" distL="0" distR="0" wp14:anchorId="7283AEE6" wp14:editId="369C5EF5">
            <wp:extent cx="8105140" cy="5731510"/>
            <wp:effectExtent l="0" t="0" r="0" b="2540"/>
            <wp:docPr id="13010978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8105140" cy="5731510"/>
                    </a:xfrm>
                    <a:prstGeom prst="rect">
                      <a:avLst/>
                    </a:prstGeom>
                    <a:noFill/>
                    <a:ln>
                      <a:noFill/>
                    </a:ln>
                  </pic:spPr>
                </pic:pic>
              </a:graphicData>
            </a:graphic>
          </wp:inline>
        </w:drawing>
      </w:r>
      <w:r>
        <w:rPr>
          <w:noProof/>
        </w:rPr>
        <w:lastRenderedPageBreak/>
        <w:drawing>
          <wp:inline distT="0" distB="0" distL="0" distR="0" wp14:anchorId="40D99C60" wp14:editId="5D7D5A8F">
            <wp:extent cx="8096250" cy="5731510"/>
            <wp:effectExtent l="0" t="0" r="0" b="2540"/>
            <wp:docPr id="572243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8096250" cy="5731510"/>
                    </a:xfrm>
                    <a:prstGeom prst="rect">
                      <a:avLst/>
                    </a:prstGeom>
                    <a:noFill/>
                    <a:ln>
                      <a:noFill/>
                    </a:ln>
                  </pic:spPr>
                </pic:pic>
              </a:graphicData>
            </a:graphic>
          </wp:inline>
        </w:drawing>
      </w:r>
    </w:p>
    <w:sectPr w:rsidR="00D969DF" w:rsidSect="008E63B0">
      <w:pgSz w:w="16838" w:h="11906" w:orient="landscape"/>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CA9CE" w14:textId="77777777" w:rsidR="00B5429A" w:rsidRDefault="00B5429A">
      <w:r>
        <w:separator/>
      </w:r>
    </w:p>
  </w:endnote>
  <w:endnote w:type="continuationSeparator" w:id="0">
    <w:p w14:paraId="416B3E0A" w14:textId="77777777" w:rsidR="00B5429A" w:rsidRDefault="00B54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E3A04" w14:textId="77777777" w:rsidR="008E63B0" w:rsidRDefault="008E6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5D34E" w14:textId="12B57712" w:rsidR="00907A6B" w:rsidRPr="008E63B0" w:rsidRDefault="00907A6B" w:rsidP="008E63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A3662" w14:textId="77777777" w:rsidR="008E63B0" w:rsidRDefault="008E63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487C2" w14:textId="77777777" w:rsidR="008E63B0" w:rsidRDefault="008E63B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768EA" w14:textId="77777777" w:rsidR="00B5429A" w:rsidRDefault="00B5429A">
      <w:r>
        <w:separator/>
      </w:r>
    </w:p>
  </w:footnote>
  <w:footnote w:type="continuationSeparator" w:id="0">
    <w:p w14:paraId="300F1E82" w14:textId="77777777" w:rsidR="00B5429A" w:rsidRDefault="00B542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988E1" w14:textId="77777777" w:rsidR="008E63B0" w:rsidRDefault="008E63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CCC9A" w14:textId="77777777" w:rsidR="008E63B0" w:rsidRDefault="008E63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A69C18" w14:textId="77777777" w:rsidR="008E63B0" w:rsidRDefault="008E63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02718"/>
    <w:multiLevelType w:val="hybridMultilevel"/>
    <w:tmpl w:val="E55A54F6"/>
    <w:lvl w:ilvl="0" w:tplc="B5C4CA80">
      <w:numFmt w:val="decimal"/>
      <w:lvlText w:val="%1"/>
      <w:lvlJc w:val="left"/>
      <w:pPr>
        <w:ind w:left="1293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A28B098">
      <w:start w:val="1"/>
      <w:numFmt w:val="lowerLetter"/>
      <w:lvlText w:val="%2"/>
      <w:lvlJc w:val="left"/>
      <w:pPr>
        <w:ind w:left="138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32684F2">
      <w:start w:val="1"/>
      <w:numFmt w:val="lowerRoman"/>
      <w:lvlText w:val="%3"/>
      <w:lvlJc w:val="left"/>
      <w:pPr>
        <w:ind w:left="14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E1CB380">
      <w:start w:val="1"/>
      <w:numFmt w:val="decimal"/>
      <w:lvlText w:val="%4"/>
      <w:lvlJc w:val="left"/>
      <w:pPr>
        <w:ind w:left="152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70A68D2">
      <w:start w:val="1"/>
      <w:numFmt w:val="lowerLetter"/>
      <w:lvlText w:val="%5"/>
      <w:lvlJc w:val="left"/>
      <w:pPr>
        <w:ind w:left="159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784DFB2">
      <w:start w:val="1"/>
      <w:numFmt w:val="lowerRoman"/>
      <w:lvlText w:val="%6"/>
      <w:lvlJc w:val="left"/>
      <w:pPr>
        <w:ind w:left="167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E987C30">
      <w:start w:val="1"/>
      <w:numFmt w:val="decimal"/>
      <w:lvlText w:val="%7"/>
      <w:lvlJc w:val="left"/>
      <w:pPr>
        <w:ind w:left="174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CAA12DC">
      <w:start w:val="1"/>
      <w:numFmt w:val="lowerLetter"/>
      <w:lvlText w:val="%8"/>
      <w:lvlJc w:val="left"/>
      <w:pPr>
        <w:ind w:left="181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9F2F19C">
      <w:start w:val="1"/>
      <w:numFmt w:val="lowerRoman"/>
      <w:lvlText w:val="%9"/>
      <w:lvlJc w:val="left"/>
      <w:pPr>
        <w:ind w:left="188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3CD1713"/>
    <w:multiLevelType w:val="hybridMultilevel"/>
    <w:tmpl w:val="CE60CCC6"/>
    <w:lvl w:ilvl="0" w:tplc="4ECC7DD0">
      <w:start w:val="1"/>
      <w:numFmt w:val="bullet"/>
      <w:lvlText w:val="●"/>
      <w:lvlJc w:val="left"/>
      <w:pPr>
        <w:ind w:left="720" w:hanging="360"/>
      </w:pPr>
    </w:lvl>
    <w:lvl w:ilvl="1" w:tplc="F0D6D7B0">
      <w:start w:val="1"/>
      <w:numFmt w:val="bullet"/>
      <w:lvlText w:val="○"/>
      <w:lvlJc w:val="left"/>
      <w:pPr>
        <w:ind w:left="1440" w:hanging="360"/>
      </w:pPr>
    </w:lvl>
    <w:lvl w:ilvl="2" w:tplc="1A082702">
      <w:start w:val="1"/>
      <w:numFmt w:val="bullet"/>
      <w:lvlText w:val="■"/>
      <w:lvlJc w:val="left"/>
      <w:pPr>
        <w:ind w:left="2160" w:hanging="360"/>
      </w:pPr>
    </w:lvl>
    <w:lvl w:ilvl="3" w:tplc="FAB81994">
      <w:start w:val="1"/>
      <w:numFmt w:val="bullet"/>
      <w:lvlText w:val="●"/>
      <w:lvlJc w:val="left"/>
      <w:pPr>
        <w:ind w:left="2880" w:hanging="360"/>
      </w:pPr>
    </w:lvl>
    <w:lvl w:ilvl="4" w:tplc="9708A5EE">
      <w:start w:val="1"/>
      <w:numFmt w:val="bullet"/>
      <w:lvlText w:val="○"/>
      <w:lvlJc w:val="left"/>
      <w:pPr>
        <w:ind w:left="3600" w:hanging="360"/>
      </w:pPr>
    </w:lvl>
    <w:lvl w:ilvl="5" w:tplc="122A3DF0">
      <w:start w:val="1"/>
      <w:numFmt w:val="bullet"/>
      <w:lvlText w:val="■"/>
      <w:lvlJc w:val="left"/>
      <w:pPr>
        <w:ind w:left="4320" w:hanging="360"/>
      </w:pPr>
    </w:lvl>
    <w:lvl w:ilvl="6" w:tplc="7A544B60">
      <w:start w:val="1"/>
      <w:numFmt w:val="bullet"/>
      <w:lvlText w:val="●"/>
      <w:lvlJc w:val="left"/>
      <w:pPr>
        <w:ind w:left="5040" w:hanging="360"/>
      </w:pPr>
    </w:lvl>
    <w:lvl w:ilvl="7" w:tplc="05341E30">
      <w:start w:val="1"/>
      <w:numFmt w:val="bullet"/>
      <w:lvlText w:val="●"/>
      <w:lvlJc w:val="left"/>
      <w:pPr>
        <w:ind w:left="5760" w:hanging="360"/>
      </w:pPr>
    </w:lvl>
    <w:lvl w:ilvl="8" w:tplc="8FA898BC">
      <w:start w:val="1"/>
      <w:numFmt w:val="bullet"/>
      <w:lvlText w:val="●"/>
      <w:lvlJc w:val="left"/>
      <w:pPr>
        <w:ind w:left="6480" w:hanging="360"/>
      </w:pPr>
    </w:lvl>
  </w:abstractNum>
  <w:num w:numId="1" w16cid:durableId="1794670447">
    <w:abstractNumId w:val="1"/>
    <w:lvlOverride w:ilvl="0">
      <w:startOverride w:val="1"/>
    </w:lvlOverride>
  </w:num>
  <w:num w:numId="2" w16cid:durableId="108669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A6B"/>
    <w:rsid w:val="0034041D"/>
    <w:rsid w:val="005B5596"/>
    <w:rsid w:val="0067208A"/>
    <w:rsid w:val="008E63B0"/>
    <w:rsid w:val="00907A6B"/>
    <w:rsid w:val="00B5429A"/>
    <w:rsid w:val="00CD4022"/>
    <w:rsid w:val="00D21A8E"/>
    <w:rsid w:val="00D969DF"/>
    <w:rsid w:val="00E46218"/>
    <w:rsid w:val="00FC0D2D"/>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83035"/>
  <w15:docId w15:val="{6850B672-39E6-4DAC-B056-2CB216A5F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PK" w:eastAsia="en-PK"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9DF"/>
  </w:style>
  <w:style w:type="paragraph" w:styleId="Heading1">
    <w:name w:val="heading 1"/>
    <w:link w:val="Heading1Char"/>
    <w:uiPriority w:val="9"/>
    <w:qFormat/>
    <w:pPr>
      <w:outlineLvl w:val="0"/>
    </w:pPr>
    <w:rPr>
      <w:b/>
      <w:bCs/>
      <w:color w:val="000000"/>
      <w:sz w:val="32"/>
      <w:szCs w:val="32"/>
    </w:rPr>
  </w:style>
  <w:style w:type="paragraph" w:styleId="Heading2">
    <w:name w:val="heading 2"/>
    <w:uiPriority w:val="9"/>
    <w:unhideWhenUsed/>
    <w:qFormat/>
    <w:pPr>
      <w:outlineLvl w:val="1"/>
    </w:pPr>
    <w:rPr>
      <w:b/>
      <w:bCs/>
      <w:color w:val="000000"/>
      <w:sz w:val="28"/>
      <w:szCs w:val="28"/>
    </w:rPr>
  </w:style>
  <w:style w:type="paragraph" w:styleId="Heading3">
    <w:name w:val="heading 3"/>
    <w:uiPriority w:val="9"/>
    <w:unhideWhenUsed/>
    <w:qFormat/>
    <w:pPr>
      <w:outlineLvl w:val="2"/>
    </w:pPr>
    <w:rPr>
      <w:b/>
      <w:bCs/>
      <w:i/>
      <w:iCs/>
      <w:color w:val="000000"/>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link w:val="Heading1"/>
    <w:rsid w:val="00D969DF"/>
    <w:rPr>
      <w:b/>
      <w:bCs/>
      <w:color w:val="000000"/>
      <w:sz w:val="32"/>
      <w:szCs w:val="32"/>
    </w:rPr>
  </w:style>
  <w:style w:type="table" w:customStyle="1" w:styleId="TableGrid">
    <w:name w:val="TableGrid"/>
    <w:rsid w:val="00D969DF"/>
    <w:rPr>
      <w:rFonts w:asciiTheme="minorHAnsi" w:eastAsiaTheme="minorEastAsia" w:hAnsiTheme="minorHAnsi" w:cstheme="minorBidi"/>
      <w:kern w:val="2"/>
      <w14:ligatures w14:val="standardContextual"/>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B5596"/>
    <w:pPr>
      <w:keepNext/>
      <w:keepLines/>
      <w:spacing w:before="24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5B5596"/>
    <w:pPr>
      <w:spacing w:after="100"/>
    </w:pPr>
  </w:style>
  <w:style w:type="paragraph" w:styleId="TOC2">
    <w:name w:val="toc 2"/>
    <w:basedOn w:val="Normal"/>
    <w:next w:val="Normal"/>
    <w:autoRedefine/>
    <w:uiPriority w:val="39"/>
    <w:unhideWhenUsed/>
    <w:rsid w:val="005B5596"/>
    <w:pPr>
      <w:spacing w:after="100"/>
      <w:ind w:left="240"/>
    </w:pPr>
  </w:style>
  <w:style w:type="paragraph" w:styleId="TOC3">
    <w:name w:val="toc 3"/>
    <w:basedOn w:val="Normal"/>
    <w:next w:val="Normal"/>
    <w:autoRedefine/>
    <w:uiPriority w:val="39"/>
    <w:unhideWhenUsed/>
    <w:rsid w:val="005B5596"/>
    <w:pPr>
      <w:spacing w:after="100"/>
      <w:ind w:left="480"/>
    </w:pPr>
  </w:style>
  <w:style w:type="character" w:styleId="UnresolvedMention">
    <w:name w:val="Unresolved Mention"/>
    <w:basedOn w:val="DefaultParagraphFont"/>
    <w:uiPriority w:val="99"/>
    <w:semiHidden/>
    <w:unhideWhenUsed/>
    <w:rsid w:val="005B5596"/>
    <w:rPr>
      <w:color w:val="605E5C"/>
      <w:shd w:val="clear" w:color="auto" w:fill="E1DFDD"/>
    </w:rPr>
  </w:style>
  <w:style w:type="paragraph" w:styleId="Header">
    <w:name w:val="header"/>
    <w:basedOn w:val="Normal"/>
    <w:link w:val="HeaderChar"/>
    <w:uiPriority w:val="99"/>
    <w:unhideWhenUsed/>
    <w:rsid w:val="008E63B0"/>
    <w:pPr>
      <w:tabs>
        <w:tab w:val="center" w:pos="4513"/>
        <w:tab w:val="right" w:pos="9026"/>
      </w:tabs>
    </w:pPr>
  </w:style>
  <w:style w:type="character" w:customStyle="1" w:styleId="HeaderChar">
    <w:name w:val="Header Char"/>
    <w:basedOn w:val="DefaultParagraphFont"/>
    <w:link w:val="Header"/>
    <w:uiPriority w:val="99"/>
    <w:rsid w:val="008E63B0"/>
  </w:style>
  <w:style w:type="paragraph" w:styleId="Footer">
    <w:name w:val="footer"/>
    <w:basedOn w:val="Normal"/>
    <w:link w:val="FooterChar"/>
    <w:uiPriority w:val="99"/>
    <w:unhideWhenUsed/>
    <w:rsid w:val="008E63B0"/>
    <w:pPr>
      <w:tabs>
        <w:tab w:val="center" w:pos="4513"/>
        <w:tab w:val="right" w:pos="9026"/>
      </w:tabs>
    </w:pPr>
  </w:style>
  <w:style w:type="character" w:customStyle="1" w:styleId="FooterChar">
    <w:name w:val="Footer Char"/>
    <w:basedOn w:val="DefaultParagraphFont"/>
    <w:link w:val="Footer"/>
    <w:uiPriority w:val="99"/>
    <w:rsid w:val="008E6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oleObject" Target="embeddings/oleObject4.bin"/><Relationship Id="rId47" Type="http://schemas.openxmlformats.org/officeDocument/2006/relationships/image" Target="media/image20.emf"/><Relationship Id="rId63" Type="http://schemas.openxmlformats.org/officeDocument/2006/relationships/image" Target="media/image29.png"/><Relationship Id="rId68" Type="http://schemas.openxmlformats.org/officeDocument/2006/relationships/image" Target="media/image34.png"/><Relationship Id="rId16" Type="http://schemas.openxmlformats.org/officeDocument/2006/relationships/image" Target="media/image2.png"/><Relationship Id="rId11" Type="http://schemas.openxmlformats.org/officeDocument/2006/relationships/header" Target="header2.xml"/><Relationship Id="rId24" Type="http://schemas.openxmlformats.org/officeDocument/2006/relationships/image" Target="media/image10.png"/><Relationship Id="rId32" Type="http://schemas.openxmlformats.org/officeDocument/2006/relationships/hyperlink" Target="https://registry.nbnatlas.org/public/show/dp77" TargetMode="External"/><Relationship Id="rId37" Type="http://schemas.openxmlformats.org/officeDocument/2006/relationships/image" Target="media/image15.emf"/><Relationship Id="rId40" Type="http://schemas.openxmlformats.org/officeDocument/2006/relationships/oleObject" Target="embeddings/oleObject3.bin"/><Relationship Id="rId45" Type="http://schemas.openxmlformats.org/officeDocument/2006/relationships/image" Target="media/image19.emf"/><Relationship Id="rId53" Type="http://schemas.openxmlformats.org/officeDocument/2006/relationships/image" Target="media/image23.emf"/><Relationship Id="rId58" Type="http://schemas.openxmlformats.org/officeDocument/2006/relationships/package" Target="embeddings/Microsoft_Excel_Macro-Enabled_Worksheet.xlsm"/><Relationship Id="rId66" Type="http://schemas.openxmlformats.org/officeDocument/2006/relationships/image" Target="media/image32.png"/><Relationship Id="rId74" Type="http://schemas.openxmlformats.org/officeDocument/2006/relationships/image" Target="media/image40.png"/><Relationship Id="rId5" Type="http://schemas.openxmlformats.org/officeDocument/2006/relationships/webSettings" Target="webSettings.xml"/><Relationship Id="rId61" Type="http://schemas.openxmlformats.org/officeDocument/2006/relationships/image" Target="media/image27.png"/><Relationship Id="rId19" Type="http://schemas.openxmlformats.org/officeDocument/2006/relationships/image" Target="media/image5.png"/><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nbnatlas.org" TargetMode="External"/><Relationship Id="rId35" Type="http://schemas.openxmlformats.org/officeDocument/2006/relationships/image" Target="media/image14.emf"/><Relationship Id="rId43" Type="http://schemas.openxmlformats.org/officeDocument/2006/relationships/image" Target="media/image18.emf"/><Relationship Id="rId48" Type="http://schemas.openxmlformats.org/officeDocument/2006/relationships/oleObject" Target="embeddings/oleObject7.bin"/><Relationship Id="rId56" Type="http://schemas.openxmlformats.org/officeDocument/2006/relationships/oleObject" Target="embeddings/oleObject11.bin"/><Relationship Id="rId64" Type="http://schemas.openxmlformats.org/officeDocument/2006/relationships/image" Target="media/image30.png"/><Relationship Id="rId69" Type="http://schemas.openxmlformats.org/officeDocument/2006/relationships/image" Target="media/image35.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2.emf"/><Relationship Id="rId72"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osdatahub.os.uk/downloads/open/OpenRivers" TargetMode="External"/><Relationship Id="rId38" Type="http://schemas.openxmlformats.org/officeDocument/2006/relationships/oleObject" Target="embeddings/oleObject2.bin"/><Relationship Id="rId46" Type="http://schemas.openxmlformats.org/officeDocument/2006/relationships/oleObject" Target="embeddings/oleObject6.bin"/><Relationship Id="rId59" Type="http://schemas.openxmlformats.org/officeDocument/2006/relationships/footer" Target="footer4.xml"/><Relationship Id="rId67" Type="http://schemas.openxmlformats.org/officeDocument/2006/relationships/image" Target="media/image33.png"/><Relationship Id="rId20" Type="http://schemas.openxmlformats.org/officeDocument/2006/relationships/image" Target="media/image6.png"/><Relationship Id="rId41" Type="http://schemas.openxmlformats.org/officeDocument/2006/relationships/image" Target="media/image17.emf"/><Relationship Id="rId54" Type="http://schemas.openxmlformats.org/officeDocument/2006/relationships/oleObject" Target="embeddings/oleObject10.bin"/><Relationship Id="rId62" Type="http://schemas.openxmlformats.org/officeDocument/2006/relationships/image" Target="media/image28.png"/><Relationship Id="rId70" Type="http://schemas.openxmlformats.org/officeDocument/2006/relationships/image" Target="media/image36.png"/><Relationship Id="rId75"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hyperlink" Target="https://www.bgs.ac.uk/download/bgs-geology-625k-bedrock/" TargetMode="External"/><Relationship Id="rId36" Type="http://schemas.openxmlformats.org/officeDocument/2006/relationships/oleObject" Target="embeddings/oleObject1.bin"/><Relationship Id="rId49" Type="http://schemas.openxmlformats.org/officeDocument/2006/relationships/image" Target="media/image21.emf"/><Relationship Id="rId57" Type="http://schemas.openxmlformats.org/officeDocument/2006/relationships/image" Target="media/image25.emf"/><Relationship Id="rId10" Type="http://schemas.openxmlformats.org/officeDocument/2006/relationships/header" Target="header1.xml"/><Relationship Id="rId31" Type="http://schemas.openxmlformats.org/officeDocument/2006/relationships/hyperlink" Target="https://registry.nbnatlas.org/public/show/dr938" TargetMode="External"/><Relationship Id="rId44" Type="http://schemas.openxmlformats.org/officeDocument/2006/relationships/oleObject" Target="embeddings/oleObject5.bin"/><Relationship Id="rId52" Type="http://schemas.openxmlformats.org/officeDocument/2006/relationships/oleObject" Target="embeddings/oleObject9.bin"/><Relationship Id="rId60" Type="http://schemas.openxmlformats.org/officeDocument/2006/relationships/image" Target="media/image26.png"/><Relationship Id="rId65" Type="http://schemas.openxmlformats.org/officeDocument/2006/relationships/image" Target="media/image31.png"/><Relationship Id="rId73"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image" Target="media/image4.png"/><Relationship Id="rId39" Type="http://schemas.openxmlformats.org/officeDocument/2006/relationships/image" Target="media/image16.emf"/><Relationship Id="rId34" Type="http://schemas.openxmlformats.org/officeDocument/2006/relationships/hyperlink" Target="https://qgis.org" TargetMode="External"/><Relationship Id="rId50" Type="http://schemas.openxmlformats.org/officeDocument/2006/relationships/oleObject" Target="embeddings/oleObject8.bin"/><Relationship Id="rId55" Type="http://schemas.openxmlformats.org/officeDocument/2006/relationships/image" Target="media/image24.emf"/><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7.png"/><Relationship Id="rId2" Type="http://schemas.openxmlformats.org/officeDocument/2006/relationships/numbering" Target="numbering.xml"/><Relationship Id="rId29" Type="http://schemas.openxmlformats.org/officeDocument/2006/relationships/hyperlink" Target="https://environment.dat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2FF32-4E00-4947-8F6C-4B79E417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43</Pages>
  <Words>7693</Words>
  <Characters>43855</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Zakir Ullah</dc:creator>
  <cp:revision>3</cp:revision>
  <dcterms:created xsi:type="dcterms:W3CDTF">2026-07-27T22:29:00Z</dcterms:created>
  <dcterms:modified xsi:type="dcterms:W3CDTF">2026-07-28T00:45:00Z</dcterms:modified>
</cp:coreProperties>
</file>