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B0BE0" w14:textId="77777777" w:rsidR="00CF394E" w:rsidRDefault="00CF394E" w:rsidP="00CF394E">
      <w:pPr>
        <w:spacing w:line="360" w:lineRule="auto"/>
        <w:jc w:val="center"/>
        <w:rPr>
          <w:rFonts w:ascii="Arial" w:hAnsi="Arial" w:cs="Arial"/>
          <w:b/>
          <w:bCs/>
          <w:sz w:val="24"/>
          <w:szCs w:val="24"/>
        </w:rPr>
      </w:pPr>
    </w:p>
    <w:p w14:paraId="688E1FAD" w14:textId="77777777" w:rsidR="00CF394E" w:rsidRDefault="00CF394E" w:rsidP="00CF394E">
      <w:pPr>
        <w:spacing w:line="360" w:lineRule="auto"/>
        <w:jc w:val="center"/>
        <w:rPr>
          <w:rFonts w:ascii="Arial" w:hAnsi="Arial" w:cs="Arial"/>
          <w:b/>
          <w:bCs/>
          <w:sz w:val="24"/>
          <w:szCs w:val="24"/>
        </w:rPr>
      </w:pPr>
    </w:p>
    <w:p w14:paraId="5F70B2BA" w14:textId="77777777" w:rsidR="00CF394E" w:rsidRDefault="00CF394E" w:rsidP="00CF394E">
      <w:pPr>
        <w:spacing w:line="360" w:lineRule="auto"/>
        <w:jc w:val="center"/>
        <w:rPr>
          <w:rFonts w:ascii="Arial" w:hAnsi="Arial" w:cs="Arial"/>
          <w:b/>
          <w:bCs/>
          <w:sz w:val="24"/>
          <w:szCs w:val="24"/>
        </w:rPr>
      </w:pPr>
    </w:p>
    <w:p w14:paraId="79AA521E" w14:textId="77777777" w:rsidR="00CF394E" w:rsidRDefault="00CF394E" w:rsidP="00CF394E">
      <w:pPr>
        <w:spacing w:line="360" w:lineRule="auto"/>
        <w:jc w:val="center"/>
        <w:rPr>
          <w:rFonts w:ascii="Arial" w:hAnsi="Arial" w:cs="Arial"/>
          <w:b/>
          <w:bCs/>
          <w:sz w:val="24"/>
          <w:szCs w:val="24"/>
        </w:rPr>
      </w:pPr>
    </w:p>
    <w:p w14:paraId="7BD80FBF" w14:textId="77777777" w:rsidR="00CF394E" w:rsidRDefault="00CF394E" w:rsidP="00CF394E">
      <w:pPr>
        <w:spacing w:line="360" w:lineRule="auto"/>
        <w:jc w:val="center"/>
        <w:rPr>
          <w:rFonts w:ascii="Arial" w:hAnsi="Arial" w:cs="Arial"/>
          <w:b/>
          <w:bCs/>
          <w:sz w:val="24"/>
          <w:szCs w:val="24"/>
        </w:rPr>
      </w:pPr>
    </w:p>
    <w:p w14:paraId="39AE1B8F" w14:textId="161D4476" w:rsidR="00CF394E" w:rsidRDefault="00CF394E" w:rsidP="00CF394E">
      <w:pPr>
        <w:spacing w:line="360" w:lineRule="auto"/>
        <w:jc w:val="center"/>
        <w:rPr>
          <w:rFonts w:ascii="Arial" w:hAnsi="Arial" w:cs="Arial"/>
          <w:b/>
          <w:bCs/>
          <w:sz w:val="24"/>
          <w:szCs w:val="24"/>
        </w:rPr>
      </w:pPr>
      <w:r w:rsidRPr="00CF394E">
        <w:rPr>
          <w:rFonts w:ascii="Arial" w:hAnsi="Arial" w:cs="Arial"/>
          <w:b/>
          <w:bCs/>
          <w:sz w:val="24"/>
          <w:szCs w:val="24"/>
        </w:rPr>
        <w:t>DESTINATION MANAGEMENT: THE LONDON BOROUGH OF GREENWICH</w:t>
      </w:r>
    </w:p>
    <w:p w14:paraId="1670A9BE" w14:textId="77777777" w:rsidR="00CF394E" w:rsidRDefault="00CF394E" w:rsidP="00CF394E">
      <w:pPr>
        <w:spacing w:line="360" w:lineRule="auto"/>
        <w:jc w:val="center"/>
        <w:rPr>
          <w:rFonts w:ascii="Arial" w:hAnsi="Arial" w:cs="Arial"/>
          <w:b/>
          <w:bCs/>
          <w:sz w:val="24"/>
          <w:szCs w:val="24"/>
        </w:rPr>
      </w:pPr>
    </w:p>
    <w:p w14:paraId="78FEBFD9" w14:textId="77777777" w:rsidR="00CF394E" w:rsidRDefault="00CF394E" w:rsidP="00CF394E">
      <w:pPr>
        <w:spacing w:line="360" w:lineRule="auto"/>
        <w:jc w:val="center"/>
        <w:rPr>
          <w:rFonts w:ascii="Arial" w:hAnsi="Arial" w:cs="Arial"/>
          <w:b/>
          <w:bCs/>
          <w:sz w:val="24"/>
          <w:szCs w:val="24"/>
        </w:rPr>
      </w:pPr>
    </w:p>
    <w:p w14:paraId="4FEF37EE" w14:textId="77777777" w:rsidR="00CF394E" w:rsidRDefault="00CF394E" w:rsidP="00CF394E">
      <w:pPr>
        <w:spacing w:line="360" w:lineRule="auto"/>
        <w:jc w:val="center"/>
        <w:rPr>
          <w:rFonts w:ascii="Arial" w:hAnsi="Arial" w:cs="Arial"/>
          <w:b/>
          <w:bCs/>
          <w:sz w:val="24"/>
          <w:szCs w:val="24"/>
        </w:rPr>
      </w:pPr>
    </w:p>
    <w:p w14:paraId="18304DF7" w14:textId="77777777" w:rsidR="00CF394E" w:rsidRDefault="00CF394E" w:rsidP="00CF394E">
      <w:pPr>
        <w:spacing w:line="360" w:lineRule="auto"/>
        <w:jc w:val="center"/>
        <w:rPr>
          <w:rFonts w:ascii="Arial" w:hAnsi="Arial" w:cs="Arial"/>
          <w:b/>
          <w:bCs/>
          <w:sz w:val="24"/>
          <w:szCs w:val="24"/>
        </w:rPr>
      </w:pPr>
    </w:p>
    <w:p w14:paraId="54BB65B3" w14:textId="77777777" w:rsidR="00CF394E" w:rsidRDefault="00CF394E" w:rsidP="00CF394E">
      <w:pPr>
        <w:spacing w:line="360" w:lineRule="auto"/>
        <w:rPr>
          <w:rFonts w:ascii="Arial" w:hAnsi="Arial" w:cs="Arial"/>
          <w:b/>
          <w:bCs/>
          <w:sz w:val="24"/>
          <w:szCs w:val="24"/>
          <w:lang w:val="fr-FR"/>
        </w:rPr>
      </w:pPr>
    </w:p>
    <w:p w14:paraId="3BB92AFD" w14:textId="730CFFBA" w:rsidR="00CF394E" w:rsidRPr="004310BE" w:rsidRDefault="00CF394E" w:rsidP="00CF394E">
      <w:pPr>
        <w:spacing w:line="360" w:lineRule="auto"/>
        <w:rPr>
          <w:rFonts w:ascii="Arial" w:hAnsi="Arial" w:cs="Arial"/>
          <w:b/>
          <w:bCs/>
          <w:sz w:val="24"/>
          <w:szCs w:val="24"/>
          <w:lang w:val="fr-FR"/>
        </w:rPr>
      </w:pPr>
      <w:r w:rsidRPr="004310BE">
        <w:rPr>
          <w:rFonts w:ascii="Arial" w:hAnsi="Arial" w:cs="Arial"/>
          <w:b/>
          <w:bCs/>
          <w:sz w:val="24"/>
          <w:szCs w:val="24"/>
          <w:lang w:val="fr-FR"/>
        </w:rPr>
        <w:t>Student Name : MARIUS CIOCEA</w:t>
      </w:r>
    </w:p>
    <w:p w14:paraId="49B2F244" w14:textId="045EAD71" w:rsidR="00CF394E" w:rsidRPr="004310BE" w:rsidRDefault="00CF394E" w:rsidP="00CF394E">
      <w:pPr>
        <w:spacing w:line="360" w:lineRule="auto"/>
        <w:rPr>
          <w:rFonts w:ascii="Arial" w:hAnsi="Arial" w:cs="Arial"/>
          <w:b/>
          <w:bCs/>
          <w:sz w:val="24"/>
          <w:szCs w:val="24"/>
          <w:lang w:val="fr-FR"/>
        </w:rPr>
      </w:pPr>
      <w:r w:rsidRPr="004310BE">
        <w:rPr>
          <w:rFonts w:ascii="Arial" w:hAnsi="Arial" w:cs="Arial"/>
          <w:b/>
          <w:bCs/>
          <w:sz w:val="24"/>
          <w:szCs w:val="24"/>
          <w:lang w:val="fr-FR"/>
        </w:rPr>
        <w:t>Student ID Number: 2111529</w:t>
      </w:r>
    </w:p>
    <w:p w14:paraId="71050A0B" w14:textId="39380537" w:rsidR="00CF394E" w:rsidRPr="004310BE" w:rsidRDefault="007C5FE4" w:rsidP="00CF394E">
      <w:pPr>
        <w:spacing w:line="360" w:lineRule="auto"/>
        <w:rPr>
          <w:rFonts w:ascii="Arial" w:hAnsi="Arial" w:cs="Arial"/>
          <w:b/>
          <w:bCs/>
          <w:sz w:val="24"/>
          <w:szCs w:val="24"/>
          <w:lang w:val="fr-FR"/>
        </w:rPr>
      </w:pPr>
      <w:r>
        <w:rPr>
          <w:rFonts w:ascii="Arial" w:hAnsi="Arial" w:cs="Arial"/>
          <w:b/>
          <w:bCs/>
          <w:sz w:val="24"/>
          <w:szCs w:val="24"/>
          <w:lang w:val="fr-FR"/>
        </w:rPr>
        <w:t>Sustainable Hospitality &amp; Tourism Management</w:t>
      </w:r>
      <w:r w:rsidR="00D754AA">
        <w:rPr>
          <w:rFonts w:ascii="Arial" w:hAnsi="Arial" w:cs="Arial"/>
          <w:b/>
          <w:bCs/>
          <w:sz w:val="24"/>
          <w:szCs w:val="24"/>
          <w:lang w:val="fr-FR"/>
        </w:rPr>
        <w:t xml:space="preserve"> </w:t>
      </w:r>
      <w:r w:rsidR="00CF394E" w:rsidRPr="004310BE">
        <w:rPr>
          <w:rFonts w:ascii="Arial" w:hAnsi="Arial" w:cs="Arial"/>
          <w:b/>
          <w:bCs/>
          <w:sz w:val="24"/>
          <w:szCs w:val="24"/>
          <w:lang w:val="fr-FR"/>
        </w:rPr>
        <w:t>(BMIH500</w:t>
      </w:r>
      <w:r w:rsidR="0098132C">
        <w:rPr>
          <w:rFonts w:ascii="Arial" w:hAnsi="Arial" w:cs="Arial"/>
          <w:b/>
          <w:bCs/>
          <w:sz w:val="24"/>
          <w:szCs w:val="24"/>
          <w:lang w:val="fr-FR"/>
        </w:rPr>
        <w:t>6</w:t>
      </w:r>
      <w:r w:rsidR="00CF394E" w:rsidRPr="004310BE">
        <w:rPr>
          <w:rFonts w:ascii="Arial" w:hAnsi="Arial" w:cs="Arial"/>
          <w:b/>
          <w:bCs/>
          <w:sz w:val="24"/>
          <w:szCs w:val="24"/>
          <w:lang w:val="fr-FR"/>
        </w:rPr>
        <w:t>)</w:t>
      </w:r>
    </w:p>
    <w:p w14:paraId="695F450D" w14:textId="55367871" w:rsidR="00CF394E" w:rsidRPr="004310BE" w:rsidRDefault="00CF394E" w:rsidP="00CF394E">
      <w:pPr>
        <w:spacing w:line="360" w:lineRule="auto"/>
        <w:rPr>
          <w:rFonts w:ascii="Arial" w:hAnsi="Arial" w:cs="Arial"/>
          <w:b/>
          <w:bCs/>
          <w:sz w:val="24"/>
          <w:szCs w:val="24"/>
          <w:lang w:val="fr-FR"/>
        </w:rPr>
      </w:pPr>
      <w:proofErr w:type="gramStart"/>
      <w:r w:rsidRPr="004310BE">
        <w:rPr>
          <w:rFonts w:ascii="Arial" w:hAnsi="Arial" w:cs="Arial"/>
          <w:b/>
          <w:bCs/>
          <w:sz w:val="24"/>
          <w:szCs w:val="24"/>
          <w:lang w:val="fr-FR"/>
        </w:rPr>
        <w:t>Lecturer:</w:t>
      </w:r>
      <w:proofErr w:type="gramEnd"/>
      <w:r w:rsidRPr="004310BE">
        <w:rPr>
          <w:rFonts w:ascii="Arial" w:hAnsi="Arial" w:cs="Arial"/>
          <w:b/>
          <w:bCs/>
          <w:sz w:val="24"/>
          <w:szCs w:val="24"/>
          <w:lang w:val="fr-FR"/>
        </w:rPr>
        <w:t xml:space="preserve"> </w:t>
      </w:r>
      <w:r w:rsidR="0098132C">
        <w:rPr>
          <w:rFonts w:ascii="Arial" w:hAnsi="Arial" w:cs="Arial"/>
          <w:b/>
          <w:bCs/>
          <w:sz w:val="24"/>
          <w:szCs w:val="24"/>
          <w:lang w:val="fr-FR"/>
        </w:rPr>
        <w:t>Ruth Taylor-Davies</w:t>
      </w:r>
    </w:p>
    <w:p w14:paraId="77D44A42" w14:textId="77777777" w:rsidR="00CF394E" w:rsidRPr="00CF394E" w:rsidRDefault="00CF394E" w:rsidP="00CF394E">
      <w:pPr>
        <w:spacing w:line="360" w:lineRule="auto"/>
        <w:rPr>
          <w:rFonts w:ascii="Arial" w:hAnsi="Arial" w:cs="Arial"/>
          <w:b/>
          <w:bCs/>
          <w:sz w:val="24"/>
          <w:szCs w:val="24"/>
        </w:rPr>
      </w:pPr>
    </w:p>
    <w:p w14:paraId="06FEA738" w14:textId="77777777" w:rsidR="00CF394E" w:rsidRPr="00BD28DB" w:rsidRDefault="00CF394E" w:rsidP="00CF394E">
      <w:pPr>
        <w:spacing w:line="360" w:lineRule="auto"/>
        <w:jc w:val="center"/>
        <w:rPr>
          <w:rFonts w:ascii="Arial" w:hAnsi="Arial" w:cs="Arial"/>
          <w:sz w:val="24"/>
          <w:szCs w:val="24"/>
        </w:rPr>
      </w:pPr>
    </w:p>
    <w:p w14:paraId="7261D5C6" w14:textId="77777777" w:rsidR="00CF394E" w:rsidRPr="00BD28DB" w:rsidRDefault="00CF394E" w:rsidP="00CF394E">
      <w:pPr>
        <w:spacing w:line="360" w:lineRule="auto"/>
        <w:jc w:val="center"/>
        <w:rPr>
          <w:rFonts w:ascii="Arial" w:hAnsi="Arial" w:cs="Arial"/>
          <w:sz w:val="24"/>
          <w:szCs w:val="24"/>
        </w:rPr>
      </w:pPr>
    </w:p>
    <w:p w14:paraId="36040B82" w14:textId="77777777" w:rsidR="00EB2A54" w:rsidRDefault="00EB2A54"/>
    <w:p w14:paraId="5A07F8F3" w14:textId="77777777" w:rsidR="00CF394E" w:rsidRDefault="00CF394E"/>
    <w:p w14:paraId="68F81F15" w14:textId="77777777" w:rsidR="00CF394E" w:rsidRDefault="00CF394E"/>
    <w:p w14:paraId="0D5BA629" w14:textId="77777777" w:rsidR="00CF394E" w:rsidRDefault="00CF394E"/>
    <w:p w14:paraId="40557BDA" w14:textId="77777777" w:rsidR="00CF394E" w:rsidRDefault="00CF394E"/>
    <w:p w14:paraId="21058626" w14:textId="77777777" w:rsidR="00CF394E" w:rsidRDefault="00CF394E"/>
    <w:p w14:paraId="2AF69591" w14:textId="77777777" w:rsidR="00CF394E" w:rsidRDefault="00CF394E"/>
    <w:p w14:paraId="07C382FA" w14:textId="77777777" w:rsidR="00CF394E" w:rsidRDefault="00CF394E"/>
    <w:p w14:paraId="5EEE27EA" w14:textId="77777777" w:rsidR="00CF394E" w:rsidRDefault="00CF394E"/>
    <w:p w14:paraId="0EAB6567" w14:textId="77777777" w:rsidR="00CF394E" w:rsidRDefault="00CF394E"/>
    <w:p w14:paraId="0A51CCF8" w14:textId="77777777" w:rsidR="00CF394E" w:rsidRDefault="00CF394E"/>
    <w:p w14:paraId="0B3F70DF" w14:textId="77777777" w:rsidR="00CF394E" w:rsidRDefault="00CF394E"/>
    <w:p w14:paraId="0BF078D0" w14:textId="77777777" w:rsidR="00CF394E" w:rsidRDefault="00CF394E"/>
    <w:sdt>
      <w:sdtPr>
        <w:rPr>
          <w:rFonts w:asciiTheme="minorHAnsi" w:eastAsiaTheme="minorHAnsi" w:hAnsiTheme="minorHAnsi" w:cstheme="minorBidi"/>
          <w:b/>
          <w:bCs/>
          <w:color w:val="auto"/>
          <w:sz w:val="22"/>
          <w:szCs w:val="22"/>
        </w:rPr>
        <w:id w:val="-960577756"/>
        <w:docPartObj>
          <w:docPartGallery w:val="Table of Contents"/>
          <w:docPartUnique/>
        </w:docPartObj>
      </w:sdtPr>
      <w:sdtEndPr>
        <w:rPr>
          <w:rFonts w:ascii="Arial" w:hAnsi="Arial" w:cs="Arial"/>
          <w:b w:val="0"/>
          <w:bCs w:val="0"/>
          <w:noProof/>
          <w:sz w:val="24"/>
          <w:szCs w:val="24"/>
        </w:rPr>
      </w:sdtEndPr>
      <w:sdtContent>
        <w:p w14:paraId="4E65CD69" w14:textId="77777777" w:rsidR="00CF394E" w:rsidRPr="001D113D" w:rsidRDefault="00CF394E" w:rsidP="00CF394E">
          <w:pPr>
            <w:pStyle w:val="TOCHeading"/>
            <w:spacing w:line="360" w:lineRule="auto"/>
            <w:jc w:val="center"/>
            <w:rPr>
              <w:rFonts w:ascii="Arial" w:hAnsi="Arial" w:cs="Arial"/>
              <w:b/>
              <w:bCs/>
              <w:color w:val="auto"/>
              <w:sz w:val="24"/>
              <w:szCs w:val="24"/>
            </w:rPr>
          </w:pPr>
          <w:r w:rsidRPr="001D113D">
            <w:rPr>
              <w:rFonts w:ascii="Arial" w:hAnsi="Arial" w:cs="Arial"/>
              <w:b/>
              <w:bCs/>
              <w:color w:val="auto"/>
              <w:sz w:val="24"/>
              <w:szCs w:val="24"/>
            </w:rPr>
            <w:t>Table of Contents</w:t>
          </w:r>
        </w:p>
        <w:p w14:paraId="32860565" w14:textId="77777777" w:rsidR="00CF394E" w:rsidRPr="001D113D" w:rsidRDefault="00CF394E" w:rsidP="00CF394E">
          <w:pPr>
            <w:pStyle w:val="TOC1"/>
            <w:spacing w:line="360" w:lineRule="auto"/>
            <w:rPr>
              <w:rFonts w:ascii="Arial" w:hAnsi="Arial" w:cs="Arial"/>
              <w:b w:val="0"/>
              <w:bCs w:val="0"/>
              <w:sz w:val="24"/>
              <w:szCs w:val="24"/>
            </w:rPr>
          </w:pPr>
          <w:r w:rsidRPr="001D113D">
            <w:rPr>
              <w:rFonts w:ascii="Arial" w:hAnsi="Arial" w:cs="Arial"/>
              <w:b w:val="0"/>
              <w:bCs w:val="0"/>
              <w:sz w:val="24"/>
              <w:szCs w:val="24"/>
            </w:rPr>
            <w:fldChar w:fldCharType="begin"/>
          </w:r>
          <w:r w:rsidRPr="001D113D">
            <w:rPr>
              <w:rFonts w:ascii="Arial" w:hAnsi="Arial" w:cs="Arial"/>
              <w:b w:val="0"/>
              <w:bCs w:val="0"/>
              <w:sz w:val="24"/>
              <w:szCs w:val="24"/>
            </w:rPr>
            <w:instrText xml:space="preserve"> TOC \o "1-3" \h \z \u </w:instrText>
          </w:r>
          <w:r w:rsidRPr="001D113D">
            <w:rPr>
              <w:rFonts w:ascii="Arial" w:hAnsi="Arial" w:cs="Arial"/>
              <w:b w:val="0"/>
              <w:bCs w:val="0"/>
              <w:sz w:val="24"/>
              <w:szCs w:val="24"/>
            </w:rPr>
            <w:fldChar w:fldCharType="separate"/>
          </w:r>
          <w:hyperlink w:anchor="_Toc137003227" w:history="1">
            <w:r w:rsidRPr="001D113D">
              <w:rPr>
                <w:rStyle w:val="Hyperlink"/>
                <w:rFonts w:ascii="Arial" w:hAnsi="Arial" w:cs="Arial"/>
                <w:b w:val="0"/>
                <w:bCs w:val="0"/>
                <w:sz w:val="24"/>
                <w:szCs w:val="24"/>
              </w:rPr>
              <w:t>Introduction</w:t>
            </w:r>
            <w:r w:rsidRPr="001D113D">
              <w:rPr>
                <w:rFonts w:ascii="Arial" w:hAnsi="Arial" w:cs="Arial"/>
                <w:b w:val="0"/>
                <w:bCs w:val="0"/>
                <w:webHidden/>
                <w:sz w:val="24"/>
                <w:szCs w:val="24"/>
              </w:rPr>
              <w:tab/>
            </w:r>
            <w:r w:rsidRPr="001D113D">
              <w:rPr>
                <w:rFonts w:ascii="Arial" w:hAnsi="Arial" w:cs="Arial"/>
                <w:b w:val="0"/>
                <w:bCs w:val="0"/>
                <w:webHidden/>
                <w:sz w:val="24"/>
                <w:szCs w:val="24"/>
              </w:rPr>
              <w:fldChar w:fldCharType="begin"/>
            </w:r>
            <w:r w:rsidRPr="001D113D">
              <w:rPr>
                <w:rFonts w:ascii="Arial" w:hAnsi="Arial" w:cs="Arial"/>
                <w:b w:val="0"/>
                <w:bCs w:val="0"/>
                <w:webHidden/>
                <w:sz w:val="24"/>
                <w:szCs w:val="24"/>
              </w:rPr>
              <w:instrText xml:space="preserve"> PAGEREF _Toc137003227 \h </w:instrText>
            </w:r>
            <w:r w:rsidRPr="001D113D">
              <w:rPr>
                <w:rFonts w:ascii="Arial" w:hAnsi="Arial" w:cs="Arial"/>
                <w:b w:val="0"/>
                <w:bCs w:val="0"/>
                <w:webHidden/>
                <w:sz w:val="24"/>
                <w:szCs w:val="24"/>
              </w:rPr>
            </w:r>
            <w:r w:rsidRPr="001D113D">
              <w:rPr>
                <w:rFonts w:ascii="Arial" w:hAnsi="Arial" w:cs="Arial"/>
                <w:b w:val="0"/>
                <w:bCs w:val="0"/>
                <w:webHidden/>
                <w:sz w:val="24"/>
                <w:szCs w:val="24"/>
              </w:rPr>
              <w:fldChar w:fldCharType="separate"/>
            </w:r>
            <w:r w:rsidRPr="001D113D">
              <w:rPr>
                <w:rFonts w:ascii="Arial" w:hAnsi="Arial" w:cs="Arial"/>
                <w:b w:val="0"/>
                <w:bCs w:val="0"/>
                <w:webHidden/>
                <w:sz w:val="24"/>
                <w:szCs w:val="24"/>
              </w:rPr>
              <w:t>3</w:t>
            </w:r>
            <w:r w:rsidRPr="001D113D">
              <w:rPr>
                <w:rFonts w:ascii="Arial" w:hAnsi="Arial" w:cs="Arial"/>
                <w:b w:val="0"/>
                <w:bCs w:val="0"/>
                <w:webHidden/>
                <w:sz w:val="24"/>
                <w:szCs w:val="24"/>
              </w:rPr>
              <w:fldChar w:fldCharType="end"/>
            </w:r>
          </w:hyperlink>
        </w:p>
        <w:p w14:paraId="5A89BBC5" w14:textId="77777777" w:rsidR="00CF394E" w:rsidRPr="001D113D" w:rsidRDefault="00000000" w:rsidP="00CF394E">
          <w:pPr>
            <w:pStyle w:val="TOC1"/>
            <w:spacing w:line="360" w:lineRule="auto"/>
            <w:rPr>
              <w:rFonts w:ascii="Arial" w:hAnsi="Arial" w:cs="Arial"/>
              <w:b w:val="0"/>
              <w:bCs w:val="0"/>
              <w:sz w:val="24"/>
              <w:szCs w:val="24"/>
            </w:rPr>
          </w:pPr>
          <w:hyperlink w:anchor="_Toc137003228" w:history="1">
            <w:r w:rsidR="00CF394E" w:rsidRPr="001D113D">
              <w:rPr>
                <w:rStyle w:val="Hyperlink"/>
                <w:rFonts w:ascii="Arial" w:hAnsi="Arial" w:cs="Arial"/>
                <w:b w:val="0"/>
                <w:bCs w:val="0"/>
                <w:sz w:val="24"/>
                <w:szCs w:val="24"/>
              </w:rPr>
              <w:t>Case Study</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_Toc137003228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3</w:t>
            </w:r>
            <w:r w:rsidR="00CF394E" w:rsidRPr="001D113D">
              <w:rPr>
                <w:rFonts w:ascii="Arial" w:hAnsi="Arial" w:cs="Arial"/>
                <w:b w:val="0"/>
                <w:bCs w:val="0"/>
                <w:webHidden/>
                <w:sz w:val="24"/>
                <w:szCs w:val="24"/>
              </w:rPr>
              <w:fldChar w:fldCharType="end"/>
            </w:r>
          </w:hyperlink>
        </w:p>
        <w:p w14:paraId="70F56ABA" w14:textId="77777777" w:rsidR="00CF394E" w:rsidRPr="001D113D" w:rsidRDefault="00000000" w:rsidP="00CF394E">
          <w:pPr>
            <w:pStyle w:val="TOC1"/>
            <w:spacing w:line="360" w:lineRule="auto"/>
            <w:rPr>
              <w:rFonts w:ascii="Arial" w:hAnsi="Arial" w:cs="Arial"/>
              <w:b w:val="0"/>
              <w:bCs w:val="0"/>
              <w:sz w:val="24"/>
              <w:szCs w:val="24"/>
            </w:rPr>
          </w:pPr>
          <w:hyperlink w:anchor="_Toc137003229" w:history="1">
            <w:r w:rsidR="00CF394E" w:rsidRPr="001D113D">
              <w:rPr>
                <w:rStyle w:val="Hyperlink"/>
                <w:rFonts w:ascii="Arial" w:hAnsi="Arial" w:cs="Arial"/>
                <w:b w:val="0"/>
                <w:bCs w:val="0"/>
                <w:sz w:val="24"/>
                <w:szCs w:val="24"/>
              </w:rPr>
              <w:t>Theoretical Models</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_Toc137003229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4</w:t>
            </w:r>
            <w:r w:rsidR="00CF394E" w:rsidRPr="001D113D">
              <w:rPr>
                <w:rFonts w:ascii="Arial" w:hAnsi="Arial" w:cs="Arial"/>
                <w:b w:val="0"/>
                <w:bCs w:val="0"/>
                <w:webHidden/>
                <w:sz w:val="24"/>
                <w:szCs w:val="24"/>
              </w:rPr>
              <w:fldChar w:fldCharType="end"/>
            </w:r>
          </w:hyperlink>
        </w:p>
        <w:p w14:paraId="120C4C92" w14:textId="77777777" w:rsidR="00CF394E" w:rsidRPr="001D113D" w:rsidRDefault="00000000" w:rsidP="00CF394E">
          <w:pPr>
            <w:pStyle w:val="TOC2"/>
            <w:tabs>
              <w:tab w:val="right" w:leader="dot" w:pos="9350"/>
            </w:tabs>
            <w:spacing w:line="360" w:lineRule="auto"/>
            <w:rPr>
              <w:rFonts w:ascii="Arial" w:hAnsi="Arial" w:cs="Arial"/>
              <w:noProof/>
              <w:sz w:val="24"/>
              <w:szCs w:val="24"/>
            </w:rPr>
          </w:pPr>
          <w:hyperlink w:anchor="_Toc137003230" w:history="1">
            <w:r w:rsidR="00CF394E" w:rsidRPr="001D113D">
              <w:rPr>
                <w:rStyle w:val="Hyperlink"/>
                <w:rFonts w:ascii="Arial" w:eastAsia="Times New Roman" w:hAnsi="Arial" w:cs="Arial"/>
                <w:noProof/>
                <w:sz w:val="24"/>
                <w:szCs w:val="24"/>
              </w:rPr>
              <w:t>The Butler Model</w:t>
            </w:r>
            <w:r w:rsidR="00CF394E" w:rsidRPr="001D113D">
              <w:rPr>
                <w:rFonts w:ascii="Arial" w:hAnsi="Arial" w:cs="Arial"/>
                <w:noProof/>
                <w:webHidden/>
                <w:sz w:val="24"/>
                <w:szCs w:val="24"/>
              </w:rPr>
              <w:tab/>
            </w:r>
            <w:r w:rsidR="00CF394E" w:rsidRPr="001D113D">
              <w:rPr>
                <w:rFonts w:ascii="Arial" w:hAnsi="Arial" w:cs="Arial"/>
                <w:noProof/>
                <w:webHidden/>
                <w:sz w:val="24"/>
                <w:szCs w:val="24"/>
              </w:rPr>
              <w:fldChar w:fldCharType="begin"/>
            </w:r>
            <w:r w:rsidR="00CF394E" w:rsidRPr="001D113D">
              <w:rPr>
                <w:rFonts w:ascii="Arial" w:hAnsi="Arial" w:cs="Arial"/>
                <w:noProof/>
                <w:webHidden/>
                <w:sz w:val="24"/>
                <w:szCs w:val="24"/>
              </w:rPr>
              <w:instrText xml:space="preserve"> PAGEREF _Toc137003230 \h </w:instrText>
            </w:r>
            <w:r w:rsidR="00CF394E" w:rsidRPr="001D113D">
              <w:rPr>
                <w:rFonts w:ascii="Arial" w:hAnsi="Arial" w:cs="Arial"/>
                <w:noProof/>
                <w:webHidden/>
                <w:sz w:val="24"/>
                <w:szCs w:val="24"/>
              </w:rPr>
            </w:r>
            <w:r w:rsidR="00CF394E" w:rsidRPr="001D113D">
              <w:rPr>
                <w:rFonts w:ascii="Arial" w:hAnsi="Arial" w:cs="Arial"/>
                <w:noProof/>
                <w:webHidden/>
                <w:sz w:val="24"/>
                <w:szCs w:val="24"/>
              </w:rPr>
              <w:fldChar w:fldCharType="separate"/>
            </w:r>
            <w:r w:rsidR="00CF394E" w:rsidRPr="001D113D">
              <w:rPr>
                <w:rFonts w:ascii="Arial" w:hAnsi="Arial" w:cs="Arial"/>
                <w:noProof/>
                <w:webHidden/>
                <w:sz w:val="24"/>
                <w:szCs w:val="24"/>
              </w:rPr>
              <w:t>4</w:t>
            </w:r>
            <w:r w:rsidR="00CF394E" w:rsidRPr="001D113D">
              <w:rPr>
                <w:rFonts w:ascii="Arial" w:hAnsi="Arial" w:cs="Arial"/>
                <w:noProof/>
                <w:webHidden/>
                <w:sz w:val="24"/>
                <w:szCs w:val="24"/>
              </w:rPr>
              <w:fldChar w:fldCharType="end"/>
            </w:r>
          </w:hyperlink>
        </w:p>
        <w:p w14:paraId="7CE23F33" w14:textId="77777777" w:rsidR="00CF394E" w:rsidRPr="001D113D" w:rsidRDefault="00000000" w:rsidP="00CF394E">
          <w:pPr>
            <w:pStyle w:val="TOC2"/>
            <w:tabs>
              <w:tab w:val="right" w:leader="dot" w:pos="9350"/>
            </w:tabs>
            <w:spacing w:line="360" w:lineRule="auto"/>
            <w:rPr>
              <w:rFonts w:ascii="Arial" w:hAnsi="Arial" w:cs="Arial"/>
              <w:noProof/>
              <w:sz w:val="24"/>
              <w:szCs w:val="24"/>
            </w:rPr>
          </w:pPr>
          <w:hyperlink w:anchor="_Toc137003231" w:history="1">
            <w:r w:rsidR="00CF394E" w:rsidRPr="001D113D">
              <w:rPr>
                <w:rStyle w:val="Hyperlink"/>
                <w:rFonts w:ascii="Arial" w:eastAsia="Times New Roman" w:hAnsi="Arial" w:cs="Arial"/>
                <w:noProof/>
                <w:sz w:val="24"/>
                <w:szCs w:val="24"/>
              </w:rPr>
              <w:t>Doxey's Irridex Model</w:t>
            </w:r>
            <w:r w:rsidR="00CF394E" w:rsidRPr="001D113D">
              <w:rPr>
                <w:rFonts w:ascii="Arial" w:hAnsi="Arial" w:cs="Arial"/>
                <w:noProof/>
                <w:webHidden/>
                <w:sz w:val="24"/>
                <w:szCs w:val="24"/>
              </w:rPr>
              <w:tab/>
            </w:r>
            <w:r w:rsidR="00CF394E" w:rsidRPr="001D113D">
              <w:rPr>
                <w:rFonts w:ascii="Arial" w:hAnsi="Arial" w:cs="Arial"/>
                <w:noProof/>
                <w:webHidden/>
                <w:sz w:val="24"/>
                <w:szCs w:val="24"/>
              </w:rPr>
              <w:fldChar w:fldCharType="begin"/>
            </w:r>
            <w:r w:rsidR="00CF394E" w:rsidRPr="001D113D">
              <w:rPr>
                <w:rFonts w:ascii="Arial" w:hAnsi="Arial" w:cs="Arial"/>
                <w:noProof/>
                <w:webHidden/>
                <w:sz w:val="24"/>
                <w:szCs w:val="24"/>
              </w:rPr>
              <w:instrText xml:space="preserve"> PAGEREF _Toc137003231 \h </w:instrText>
            </w:r>
            <w:r w:rsidR="00CF394E" w:rsidRPr="001D113D">
              <w:rPr>
                <w:rFonts w:ascii="Arial" w:hAnsi="Arial" w:cs="Arial"/>
                <w:noProof/>
                <w:webHidden/>
                <w:sz w:val="24"/>
                <w:szCs w:val="24"/>
              </w:rPr>
            </w:r>
            <w:r w:rsidR="00CF394E" w:rsidRPr="001D113D">
              <w:rPr>
                <w:rFonts w:ascii="Arial" w:hAnsi="Arial" w:cs="Arial"/>
                <w:noProof/>
                <w:webHidden/>
                <w:sz w:val="24"/>
                <w:szCs w:val="24"/>
              </w:rPr>
              <w:fldChar w:fldCharType="separate"/>
            </w:r>
            <w:r w:rsidR="00CF394E" w:rsidRPr="001D113D">
              <w:rPr>
                <w:rFonts w:ascii="Arial" w:hAnsi="Arial" w:cs="Arial"/>
                <w:noProof/>
                <w:webHidden/>
                <w:sz w:val="24"/>
                <w:szCs w:val="24"/>
              </w:rPr>
              <w:t>5</w:t>
            </w:r>
            <w:r w:rsidR="00CF394E" w:rsidRPr="001D113D">
              <w:rPr>
                <w:rFonts w:ascii="Arial" w:hAnsi="Arial" w:cs="Arial"/>
                <w:noProof/>
                <w:webHidden/>
                <w:sz w:val="24"/>
                <w:szCs w:val="24"/>
              </w:rPr>
              <w:fldChar w:fldCharType="end"/>
            </w:r>
          </w:hyperlink>
        </w:p>
        <w:p w14:paraId="0E9F7048" w14:textId="77777777" w:rsidR="00CF394E" w:rsidRPr="001D113D" w:rsidRDefault="00000000" w:rsidP="00CF394E">
          <w:pPr>
            <w:pStyle w:val="TOC1"/>
            <w:spacing w:line="360" w:lineRule="auto"/>
            <w:rPr>
              <w:rFonts w:ascii="Arial" w:hAnsi="Arial" w:cs="Arial"/>
              <w:b w:val="0"/>
              <w:bCs w:val="0"/>
              <w:sz w:val="24"/>
              <w:szCs w:val="24"/>
            </w:rPr>
          </w:pPr>
          <w:hyperlink w:anchor="_Toc137003232" w:history="1">
            <w:r w:rsidR="00CF394E" w:rsidRPr="001D113D">
              <w:rPr>
                <w:rStyle w:val="Hyperlink"/>
                <w:rFonts w:ascii="Arial" w:hAnsi="Arial" w:cs="Arial"/>
                <w:b w:val="0"/>
                <w:bCs w:val="0"/>
                <w:sz w:val="24"/>
                <w:szCs w:val="24"/>
              </w:rPr>
              <w:t>Principles of Sustainable Tourism</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_Toc137003232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6</w:t>
            </w:r>
            <w:r w:rsidR="00CF394E" w:rsidRPr="001D113D">
              <w:rPr>
                <w:rFonts w:ascii="Arial" w:hAnsi="Arial" w:cs="Arial"/>
                <w:b w:val="0"/>
                <w:bCs w:val="0"/>
                <w:webHidden/>
                <w:sz w:val="24"/>
                <w:szCs w:val="24"/>
              </w:rPr>
              <w:fldChar w:fldCharType="end"/>
            </w:r>
          </w:hyperlink>
        </w:p>
        <w:p w14:paraId="15A32B3D" w14:textId="77777777" w:rsidR="00CF394E" w:rsidRPr="001D113D" w:rsidRDefault="00000000" w:rsidP="00CF394E">
          <w:pPr>
            <w:pStyle w:val="TOC1"/>
            <w:spacing w:line="360" w:lineRule="auto"/>
            <w:rPr>
              <w:rFonts w:ascii="Arial" w:hAnsi="Arial" w:cs="Arial"/>
              <w:b w:val="0"/>
              <w:bCs w:val="0"/>
              <w:sz w:val="24"/>
              <w:szCs w:val="24"/>
            </w:rPr>
          </w:pPr>
          <w:hyperlink w:anchor="_Toc137003233" w:history="1">
            <w:r w:rsidR="00CF394E" w:rsidRPr="001D113D">
              <w:rPr>
                <w:rStyle w:val="Hyperlink"/>
                <w:rFonts w:ascii="Arial" w:hAnsi="Arial" w:cs="Arial"/>
                <w:b w:val="0"/>
                <w:bCs w:val="0"/>
                <w:sz w:val="24"/>
                <w:szCs w:val="24"/>
              </w:rPr>
              <w:t>Recommendations</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_Toc137003233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7</w:t>
            </w:r>
            <w:r w:rsidR="00CF394E" w:rsidRPr="001D113D">
              <w:rPr>
                <w:rFonts w:ascii="Arial" w:hAnsi="Arial" w:cs="Arial"/>
                <w:b w:val="0"/>
                <w:bCs w:val="0"/>
                <w:webHidden/>
                <w:sz w:val="24"/>
                <w:szCs w:val="24"/>
              </w:rPr>
              <w:fldChar w:fldCharType="end"/>
            </w:r>
          </w:hyperlink>
        </w:p>
        <w:p w14:paraId="2FBE75AA" w14:textId="77777777" w:rsidR="00CF394E" w:rsidRPr="001D113D" w:rsidRDefault="00000000" w:rsidP="00CF394E">
          <w:pPr>
            <w:pStyle w:val="TOC1"/>
            <w:spacing w:line="360" w:lineRule="auto"/>
            <w:rPr>
              <w:rFonts w:ascii="Arial" w:hAnsi="Arial" w:cs="Arial"/>
              <w:b w:val="0"/>
              <w:bCs w:val="0"/>
              <w:sz w:val="24"/>
              <w:szCs w:val="24"/>
            </w:rPr>
          </w:pPr>
          <w:hyperlink w:anchor="_Toc137003234" w:history="1">
            <w:r w:rsidR="00CF394E" w:rsidRPr="001D113D">
              <w:rPr>
                <w:rStyle w:val="Hyperlink"/>
                <w:rFonts w:ascii="Arial" w:hAnsi="Arial" w:cs="Arial"/>
                <w:b w:val="0"/>
                <w:bCs w:val="0"/>
                <w:sz w:val="24"/>
                <w:szCs w:val="24"/>
              </w:rPr>
              <w:t>Conclusion</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_Toc137003234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8</w:t>
            </w:r>
            <w:r w:rsidR="00CF394E" w:rsidRPr="001D113D">
              <w:rPr>
                <w:rFonts w:ascii="Arial" w:hAnsi="Arial" w:cs="Arial"/>
                <w:b w:val="0"/>
                <w:bCs w:val="0"/>
                <w:webHidden/>
                <w:sz w:val="24"/>
                <w:szCs w:val="24"/>
              </w:rPr>
              <w:fldChar w:fldCharType="end"/>
            </w:r>
          </w:hyperlink>
        </w:p>
        <w:p w14:paraId="38B4BE92" w14:textId="77777777" w:rsidR="00CF394E" w:rsidRPr="001D113D" w:rsidRDefault="00000000" w:rsidP="00CF394E">
          <w:pPr>
            <w:pStyle w:val="TOC1"/>
            <w:spacing w:line="360" w:lineRule="auto"/>
            <w:rPr>
              <w:rFonts w:ascii="Arial" w:hAnsi="Arial" w:cs="Arial"/>
              <w:b w:val="0"/>
              <w:bCs w:val="0"/>
              <w:sz w:val="24"/>
              <w:szCs w:val="24"/>
            </w:rPr>
          </w:pPr>
          <w:hyperlink w:anchor="_Toc137003235" w:history="1">
            <w:r w:rsidR="00CF394E" w:rsidRPr="001D113D">
              <w:rPr>
                <w:rStyle w:val="Hyperlink"/>
                <w:rFonts w:ascii="Arial" w:eastAsiaTheme="majorEastAsia" w:hAnsi="Arial" w:cs="Arial"/>
                <w:b w:val="0"/>
                <w:bCs w:val="0"/>
                <w:sz w:val="24"/>
                <w:szCs w:val="24"/>
              </w:rPr>
              <w:t>References</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_Toc137003235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9</w:t>
            </w:r>
            <w:r w:rsidR="00CF394E" w:rsidRPr="001D113D">
              <w:rPr>
                <w:rFonts w:ascii="Arial" w:hAnsi="Arial" w:cs="Arial"/>
                <w:b w:val="0"/>
                <w:bCs w:val="0"/>
                <w:webHidden/>
                <w:sz w:val="24"/>
                <w:szCs w:val="24"/>
              </w:rPr>
              <w:fldChar w:fldCharType="end"/>
            </w:r>
          </w:hyperlink>
        </w:p>
        <w:p w14:paraId="08FFA948" w14:textId="77777777" w:rsidR="00CF394E" w:rsidRPr="001D113D" w:rsidRDefault="00000000" w:rsidP="00CF394E">
          <w:pPr>
            <w:pStyle w:val="TOC1"/>
            <w:spacing w:line="360" w:lineRule="auto"/>
            <w:rPr>
              <w:rFonts w:ascii="Arial" w:hAnsi="Arial" w:cs="Arial"/>
              <w:b w:val="0"/>
              <w:bCs w:val="0"/>
              <w:sz w:val="24"/>
              <w:szCs w:val="24"/>
            </w:rPr>
          </w:pPr>
          <w:hyperlink w:anchor="_Toc137003236" w:history="1">
            <w:r w:rsidR="00CF394E" w:rsidRPr="001D113D">
              <w:rPr>
                <w:rStyle w:val="Hyperlink"/>
                <w:rFonts w:ascii="Arial" w:eastAsiaTheme="majorEastAsia" w:hAnsi="Arial" w:cs="Arial"/>
                <w:b w:val="0"/>
                <w:bCs w:val="0"/>
                <w:sz w:val="24"/>
                <w:szCs w:val="24"/>
              </w:rPr>
              <w:t>Appendix</w:t>
            </w:r>
            <w:r w:rsidR="00CF394E" w:rsidRPr="001D113D">
              <w:rPr>
                <w:rFonts w:ascii="Arial" w:hAnsi="Arial" w:cs="Arial"/>
                <w:b w:val="0"/>
                <w:bCs w:val="0"/>
                <w:webHidden/>
                <w:sz w:val="24"/>
                <w:szCs w:val="24"/>
              </w:rPr>
              <w:tab/>
            </w:r>
            <w:r w:rsidR="00CF394E" w:rsidRPr="001D113D">
              <w:rPr>
                <w:rFonts w:ascii="Arial" w:hAnsi="Arial" w:cs="Arial"/>
                <w:b w:val="0"/>
                <w:bCs w:val="0"/>
                <w:webHidden/>
                <w:sz w:val="24"/>
                <w:szCs w:val="24"/>
              </w:rPr>
              <w:fldChar w:fldCharType="begin"/>
            </w:r>
            <w:r w:rsidR="00CF394E" w:rsidRPr="001D113D">
              <w:rPr>
                <w:rFonts w:ascii="Arial" w:hAnsi="Arial" w:cs="Arial"/>
                <w:b w:val="0"/>
                <w:bCs w:val="0"/>
                <w:webHidden/>
                <w:sz w:val="24"/>
                <w:szCs w:val="24"/>
              </w:rPr>
              <w:instrText xml:space="preserve"> PAGEREF _Toc137003236 \h </w:instrText>
            </w:r>
            <w:r w:rsidR="00CF394E" w:rsidRPr="001D113D">
              <w:rPr>
                <w:rFonts w:ascii="Arial" w:hAnsi="Arial" w:cs="Arial"/>
                <w:b w:val="0"/>
                <w:bCs w:val="0"/>
                <w:webHidden/>
                <w:sz w:val="24"/>
                <w:szCs w:val="24"/>
              </w:rPr>
            </w:r>
            <w:r w:rsidR="00CF394E" w:rsidRPr="001D113D">
              <w:rPr>
                <w:rFonts w:ascii="Arial" w:hAnsi="Arial" w:cs="Arial"/>
                <w:b w:val="0"/>
                <w:bCs w:val="0"/>
                <w:webHidden/>
                <w:sz w:val="24"/>
                <w:szCs w:val="24"/>
              </w:rPr>
              <w:fldChar w:fldCharType="separate"/>
            </w:r>
            <w:r w:rsidR="00CF394E" w:rsidRPr="001D113D">
              <w:rPr>
                <w:rFonts w:ascii="Arial" w:hAnsi="Arial" w:cs="Arial"/>
                <w:b w:val="0"/>
                <w:bCs w:val="0"/>
                <w:webHidden/>
                <w:sz w:val="24"/>
                <w:szCs w:val="24"/>
              </w:rPr>
              <w:t>12</w:t>
            </w:r>
            <w:r w:rsidR="00CF394E" w:rsidRPr="001D113D">
              <w:rPr>
                <w:rFonts w:ascii="Arial" w:hAnsi="Arial" w:cs="Arial"/>
                <w:b w:val="0"/>
                <w:bCs w:val="0"/>
                <w:webHidden/>
                <w:sz w:val="24"/>
                <w:szCs w:val="24"/>
              </w:rPr>
              <w:fldChar w:fldCharType="end"/>
            </w:r>
          </w:hyperlink>
        </w:p>
        <w:p w14:paraId="530DD226" w14:textId="77777777" w:rsidR="00CF394E" w:rsidRPr="001D113D" w:rsidRDefault="00000000" w:rsidP="00CF394E">
          <w:pPr>
            <w:pStyle w:val="TOC2"/>
            <w:tabs>
              <w:tab w:val="right" w:leader="dot" w:pos="9350"/>
            </w:tabs>
            <w:spacing w:line="360" w:lineRule="auto"/>
            <w:rPr>
              <w:rFonts w:ascii="Arial" w:hAnsi="Arial" w:cs="Arial"/>
              <w:noProof/>
              <w:sz w:val="24"/>
              <w:szCs w:val="24"/>
            </w:rPr>
          </w:pPr>
          <w:hyperlink w:anchor="_Toc137003237" w:history="1">
            <w:r w:rsidR="00CF394E" w:rsidRPr="001D113D">
              <w:rPr>
                <w:rStyle w:val="Hyperlink"/>
                <w:rFonts w:ascii="Arial" w:hAnsi="Arial" w:cs="Arial"/>
                <w:noProof/>
                <w:sz w:val="24"/>
                <w:szCs w:val="24"/>
              </w:rPr>
              <w:t>Appendix A: Projected Growth</w:t>
            </w:r>
            <w:r w:rsidR="00CF394E" w:rsidRPr="001D113D">
              <w:rPr>
                <w:rFonts w:ascii="Arial" w:hAnsi="Arial" w:cs="Arial"/>
                <w:noProof/>
                <w:webHidden/>
                <w:sz w:val="24"/>
                <w:szCs w:val="24"/>
              </w:rPr>
              <w:tab/>
            </w:r>
            <w:r w:rsidR="00CF394E" w:rsidRPr="001D113D">
              <w:rPr>
                <w:rFonts w:ascii="Arial" w:hAnsi="Arial" w:cs="Arial"/>
                <w:noProof/>
                <w:webHidden/>
                <w:sz w:val="24"/>
                <w:szCs w:val="24"/>
              </w:rPr>
              <w:fldChar w:fldCharType="begin"/>
            </w:r>
            <w:r w:rsidR="00CF394E" w:rsidRPr="001D113D">
              <w:rPr>
                <w:rFonts w:ascii="Arial" w:hAnsi="Arial" w:cs="Arial"/>
                <w:noProof/>
                <w:webHidden/>
                <w:sz w:val="24"/>
                <w:szCs w:val="24"/>
              </w:rPr>
              <w:instrText xml:space="preserve"> PAGEREF _Toc137003237 \h </w:instrText>
            </w:r>
            <w:r w:rsidR="00CF394E" w:rsidRPr="001D113D">
              <w:rPr>
                <w:rFonts w:ascii="Arial" w:hAnsi="Arial" w:cs="Arial"/>
                <w:noProof/>
                <w:webHidden/>
                <w:sz w:val="24"/>
                <w:szCs w:val="24"/>
              </w:rPr>
            </w:r>
            <w:r w:rsidR="00CF394E" w:rsidRPr="001D113D">
              <w:rPr>
                <w:rFonts w:ascii="Arial" w:hAnsi="Arial" w:cs="Arial"/>
                <w:noProof/>
                <w:webHidden/>
                <w:sz w:val="24"/>
                <w:szCs w:val="24"/>
              </w:rPr>
              <w:fldChar w:fldCharType="separate"/>
            </w:r>
            <w:r w:rsidR="00CF394E" w:rsidRPr="001D113D">
              <w:rPr>
                <w:rFonts w:ascii="Arial" w:hAnsi="Arial" w:cs="Arial"/>
                <w:noProof/>
                <w:webHidden/>
                <w:sz w:val="24"/>
                <w:szCs w:val="24"/>
              </w:rPr>
              <w:t>12</w:t>
            </w:r>
            <w:r w:rsidR="00CF394E" w:rsidRPr="001D113D">
              <w:rPr>
                <w:rFonts w:ascii="Arial" w:hAnsi="Arial" w:cs="Arial"/>
                <w:noProof/>
                <w:webHidden/>
                <w:sz w:val="24"/>
                <w:szCs w:val="24"/>
              </w:rPr>
              <w:fldChar w:fldCharType="end"/>
            </w:r>
          </w:hyperlink>
        </w:p>
        <w:p w14:paraId="5443CEF9" w14:textId="77777777" w:rsidR="00CF394E" w:rsidRPr="001D113D" w:rsidRDefault="00000000" w:rsidP="00CF394E">
          <w:pPr>
            <w:pStyle w:val="TOC2"/>
            <w:tabs>
              <w:tab w:val="right" w:leader="dot" w:pos="9350"/>
            </w:tabs>
            <w:spacing w:line="360" w:lineRule="auto"/>
            <w:rPr>
              <w:rFonts w:ascii="Arial" w:hAnsi="Arial" w:cs="Arial"/>
              <w:noProof/>
              <w:sz w:val="24"/>
              <w:szCs w:val="24"/>
            </w:rPr>
          </w:pPr>
          <w:hyperlink w:anchor="_Toc137003238" w:history="1">
            <w:r w:rsidR="00CF394E" w:rsidRPr="001D113D">
              <w:rPr>
                <w:rStyle w:val="Hyperlink"/>
                <w:rFonts w:ascii="Arial" w:hAnsi="Arial" w:cs="Arial"/>
                <w:noProof/>
                <w:sz w:val="24"/>
                <w:szCs w:val="24"/>
              </w:rPr>
              <w:t>Appendix B: International  Visitors and Expenditures</w:t>
            </w:r>
            <w:r w:rsidR="00CF394E" w:rsidRPr="001D113D">
              <w:rPr>
                <w:rFonts w:ascii="Arial" w:hAnsi="Arial" w:cs="Arial"/>
                <w:noProof/>
                <w:webHidden/>
                <w:sz w:val="24"/>
                <w:szCs w:val="24"/>
              </w:rPr>
              <w:tab/>
            </w:r>
            <w:r w:rsidR="00CF394E" w:rsidRPr="001D113D">
              <w:rPr>
                <w:rFonts w:ascii="Arial" w:hAnsi="Arial" w:cs="Arial"/>
                <w:noProof/>
                <w:webHidden/>
                <w:sz w:val="24"/>
                <w:szCs w:val="24"/>
              </w:rPr>
              <w:fldChar w:fldCharType="begin"/>
            </w:r>
            <w:r w:rsidR="00CF394E" w:rsidRPr="001D113D">
              <w:rPr>
                <w:rFonts w:ascii="Arial" w:hAnsi="Arial" w:cs="Arial"/>
                <w:noProof/>
                <w:webHidden/>
                <w:sz w:val="24"/>
                <w:szCs w:val="24"/>
              </w:rPr>
              <w:instrText xml:space="preserve"> PAGEREF _Toc137003238 \h </w:instrText>
            </w:r>
            <w:r w:rsidR="00CF394E" w:rsidRPr="001D113D">
              <w:rPr>
                <w:rFonts w:ascii="Arial" w:hAnsi="Arial" w:cs="Arial"/>
                <w:noProof/>
                <w:webHidden/>
                <w:sz w:val="24"/>
                <w:szCs w:val="24"/>
              </w:rPr>
            </w:r>
            <w:r w:rsidR="00CF394E" w:rsidRPr="001D113D">
              <w:rPr>
                <w:rFonts w:ascii="Arial" w:hAnsi="Arial" w:cs="Arial"/>
                <w:noProof/>
                <w:webHidden/>
                <w:sz w:val="24"/>
                <w:szCs w:val="24"/>
              </w:rPr>
              <w:fldChar w:fldCharType="separate"/>
            </w:r>
            <w:r w:rsidR="00CF394E" w:rsidRPr="001D113D">
              <w:rPr>
                <w:rFonts w:ascii="Arial" w:hAnsi="Arial" w:cs="Arial"/>
                <w:noProof/>
                <w:webHidden/>
                <w:sz w:val="24"/>
                <w:szCs w:val="24"/>
              </w:rPr>
              <w:t>12</w:t>
            </w:r>
            <w:r w:rsidR="00CF394E" w:rsidRPr="001D113D">
              <w:rPr>
                <w:rFonts w:ascii="Arial" w:hAnsi="Arial" w:cs="Arial"/>
                <w:noProof/>
                <w:webHidden/>
                <w:sz w:val="24"/>
                <w:szCs w:val="24"/>
              </w:rPr>
              <w:fldChar w:fldCharType="end"/>
            </w:r>
          </w:hyperlink>
        </w:p>
        <w:p w14:paraId="48681820" w14:textId="77777777" w:rsidR="00CF394E" w:rsidRDefault="00CF394E" w:rsidP="00CF394E">
          <w:pPr>
            <w:spacing w:line="360" w:lineRule="auto"/>
            <w:rPr>
              <w:rFonts w:ascii="Arial" w:hAnsi="Arial" w:cs="Arial"/>
              <w:noProof/>
              <w:sz w:val="24"/>
              <w:szCs w:val="24"/>
            </w:rPr>
          </w:pPr>
          <w:r w:rsidRPr="001D113D">
            <w:rPr>
              <w:rFonts w:ascii="Arial" w:hAnsi="Arial" w:cs="Arial"/>
              <w:noProof/>
              <w:sz w:val="24"/>
              <w:szCs w:val="24"/>
            </w:rPr>
            <w:fldChar w:fldCharType="end"/>
          </w:r>
        </w:p>
      </w:sdtContent>
    </w:sdt>
    <w:p w14:paraId="6DB249F9" w14:textId="77777777" w:rsidR="00CF394E" w:rsidRDefault="00CF394E"/>
    <w:p w14:paraId="7572CE71" w14:textId="77777777" w:rsidR="00CF394E" w:rsidRDefault="00CF394E"/>
    <w:p w14:paraId="11CC9ED0" w14:textId="77777777" w:rsidR="00CF394E" w:rsidRDefault="00CF394E"/>
    <w:p w14:paraId="68B70A31" w14:textId="77777777" w:rsidR="00CF394E" w:rsidRDefault="00CF394E"/>
    <w:p w14:paraId="43F9284C" w14:textId="77777777" w:rsidR="00CF394E" w:rsidRDefault="00CF394E"/>
    <w:p w14:paraId="35DA962C" w14:textId="77777777" w:rsidR="00CF394E" w:rsidRDefault="00CF394E"/>
    <w:p w14:paraId="6806FBD2" w14:textId="77777777" w:rsidR="00CF394E" w:rsidRDefault="00CF394E"/>
    <w:p w14:paraId="2C7CEE7C" w14:textId="77777777" w:rsidR="00CF394E" w:rsidRDefault="00CF394E"/>
    <w:p w14:paraId="64D9A19D" w14:textId="77777777" w:rsidR="00CF394E" w:rsidRDefault="00CF394E"/>
    <w:p w14:paraId="599E4456" w14:textId="77777777" w:rsidR="00CF394E" w:rsidRDefault="00CF394E"/>
    <w:p w14:paraId="5247F086" w14:textId="77777777" w:rsidR="00CF394E" w:rsidRPr="005C1AE7" w:rsidRDefault="00CF394E" w:rsidP="00CF394E">
      <w:pPr>
        <w:spacing w:line="360" w:lineRule="auto"/>
        <w:jc w:val="both"/>
        <w:rPr>
          <w:rFonts w:ascii="Arial" w:hAnsi="Arial" w:cs="Arial"/>
          <w:b/>
          <w:bCs/>
          <w:sz w:val="24"/>
          <w:szCs w:val="24"/>
        </w:rPr>
      </w:pPr>
      <w:r w:rsidRPr="005C1AE7">
        <w:rPr>
          <w:rFonts w:ascii="Arial" w:hAnsi="Arial" w:cs="Arial"/>
          <w:b/>
          <w:bCs/>
          <w:sz w:val="24"/>
          <w:szCs w:val="24"/>
        </w:rPr>
        <w:lastRenderedPageBreak/>
        <w:t>Introduction </w:t>
      </w:r>
    </w:p>
    <w:p w14:paraId="1FA025C5" w14:textId="77777777" w:rsidR="00CF394E"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Accordi</w:t>
      </w:r>
      <w:r>
        <w:rPr>
          <w:rFonts w:ascii="Arial" w:eastAsia="Times New Roman" w:hAnsi="Arial" w:cs="Arial"/>
          <w:color w:val="0E101A"/>
          <w:sz w:val="24"/>
          <w:szCs w:val="24"/>
        </w:rPr>
        <w:t>ng to Mandić and Kennell (2021)</w:t>
      </w:r>
      <w:r w:rsidRPr="00253875">
        <w:rPr>
          <w:rFonts w:ascii="Arial" w:eastAsia="Times New Roman" w:hAnsi="Arial" w:cs="Arial"/>
          <w:color w:val="0E101A"/>
          <w:sz w:val="24"/>
          <w:szCs w:val="24"/>
        </w:rPr>
        <w:t>, destination management is at the heart of enhancing the capacities of organizations in the hotel and tourism sector to achieve significant growth and profitability. The benefits of such endeavours include improved delighting the clients to use the services provided by the selected destination, increasing revenue, and creating a sustainable plan for future management practices. Destination management entails managing the five critical aspects of destination offering, visitor mix, advocacy, marketing communications, and destination partnership formations. The overarching aim of destination management is to enhance visitation to a destination in a more balanced manner, especially by acknowledging the tourist demand and supply parameters. It strives to balance all the destination elements to provide the best experience to the tourists (Gössling &amp; Higham, 2021; Bianchi &amp; de Man, 2021). The various elements of destinations should be marketed to attract more tourists by delivering the promised services to meet the tastes and preferences of the targeted clients. Sustainable tourism should evaluate the current and future economic, social, and environmental impacts, addressing the visitors' needs and the host communities. The management of the hotels must strive to ensure or limit harm to the environment (Ivars-Baidal et al., 2019). It entails using theoretical models to evaluate</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the overall impacts of business practices on the environment. This paper will evaluate the adoption of principles of sustainable tourism in the development plan of the selected case study from the hospitality and tourism industry. </w:t>
      </w:r>
    </w:p>
    <w:p w14:paraId="6B9D9A93" w14:textId="77777777" w:rsidR="00DB13CD" w:rsidRPr="005C1AE7" w:rsidRDefault="00DB13CD" w:rsidP="00CF394E">
      <w:pPr>
        <w:spacing w:after="0" w:line="360" w:lineRule="auto"/>
        <w:ind w:firstLine="720"/>
        <w:jc w:val="both"/>
        <w:rPr>
          <w:rFonts w:ascii="Arial" w:eastAsia="Times New Roman" w:hAnsi="Arial" w:cs="Arial"/>
          <w:color w:val="0E101A"/>
          <w:sz w:val="24"/>
          <w:szCs w:val="24"/>
        </w:rPr>
      </w:pPr>
    </w:p>
    <w:p w14:paraId="6CA0187D"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Case Study</w:t>
      </w:r>
    </w:p>
    <w:p w14:paraId="54D85DBC" w14:textId="6AC98B6F" w:rsidR="00CF394E" w:rsidRPr="005C1AE7"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 xml:space="preserve"> London has continued to experience growth and sustainability in the hospitality and tourism sector. By focusing on the UK, the selection of London as the case to be investigated is based on many factors crucial for the study. For instance, the negative impacts of tourism often affect the urban environments. The selection of London is based on its experience of significant tourism growth. The city is relatively large to experience the challenges associated with the influx of people. According to Moreno-Gil and Coca-Stefaniak, (2020), the London borough of Greenwich has experienced significant growth in the hospitality and tourism sector. The city is one of the best and most interesting spaces to visit in London. It provides better facilities and experiences </w:t>
      </w:r>
      <w:r w:rsidRPr="00253875">
        <w:rPr>
          <w:rFonts w:ascii="Arial" w:eastAsia="Times New Roman" w:hAnsi="Arial" w:cs="Arial"/>
          <w:color w:val="0E101A"/>
          <w:sz w:val="24"/>
          <w:szCs w:val="24"/>
        </w:rPr>
        <w:lastRenderedPageBreak/>
        <w:t>to tourists (Appendix A). The chosen city has experienced the highest growth in international tourists in London. However, the host communities continue to grapple with the challenges associated with the threat to indigenous cultural practices and ways of life. </w:t>
      </w:r>
    </w:p>
    <w:p w14:paraId="0B90C58C" w14:textId="6431F861" w:rsidR="00CF394E" w:rsidRPr="005C1AE7"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Evaluating the unique characteristics of the tourist destination of choice is imperative. The selected destination has Cutty Sark, a restored nineteenth-century ship, the huge National Maritime Museum, and the classical buildings of the Old Royal Naval College. The uniqueness of the London borough of Greenwich is associated with public spaces facilitating increased social interactions, recreational activities, and business activities within the city. London borough of Greenwich aims to attract about 40 million international visitors annually, spending an estimated amount of £31.5 billion by 2025 (Appendix B</w:t>
      </w:r>
      <w:r>
        <w:rPr>
          <w:rFonts w:ascii="Arial" w:eastAsia="Times New Roman" w:hAnsi="Arial" w:cs="Arial"/>
          <w:color w:val="0E101A"/>
          <w:sz w:val="24"/>
          <w:szCs w:val="24"/>
        </w:rPr>
        <w:t>)</w:t>
      </w:r>
      <w:r w:rsidRPr="00253875">
        <w:rPr>
          <w:rFonts w:ascii="Arial" w:eastAsia="Times New Roman" w:hAnsi="Arial" w:cs="Arial"/>
          <w:color w:val="0E101A"/>
          <w:sz w:val="24"/>
          <w:szCs w:val="24"/>
        </w:rPr>
        <w:t>. According to Hasan et al. (2022), about 12.7 million international tourists who visited the city in the last five years. </w:t>
      </w:r>
      <w:bookmarkStart w:id="0" w:name="_Toc137003229"/>
    </w:p>
    <w:p w14:paraId="4BF753F1"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Theoretical Models</w:t>
      </w:r>
      <w:bookmarkEnd w:id="0"/>
    </w:p>
    <w:p w14:paraId="45963D75" w14:textId="2F060485" w:rsidR="00CF394E" w:rsidRPr="005C1AE7"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Numerous models are available to evaluate the development and growth of tourist destinations. The models are useful in evaluating the way tourist resorts grow and develop. The tourist industry is dynamic and associated with constant changes. The</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management of hotels and relevant stakeholders can use theoretical perspectives in making crucial predictions.  </w:t>
      </w:r>
      <w:bookmarkStart w:id="1" w:name="_Toc137003230"/>
    </w:p>
    <w:p w14:paraId="2FC08832"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The Butler Model</w:t>
      </w:r>
      <w:bookmarkEnd w:id="1"/>
      <w:r w:rsidRPr="005C1AE7">
        <w:rPr>
          <w:rFonts w:ascii="Arial" w:hAnsi="Arial" w:cs="Arial"/>
          <w:b/>
          <w:bCs/>
          <w:sz w:val="24"/>
          <w:szCs w:val="24"/>
        </w:rPr>
        <w:t> </w:t>
      </w:r>
    </w:p>
    <w:p w14:paraId="0835C613" w14:textId="328E9DA5" w:rsidR="00CF394E" w:rsidRPr="00253875"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 xml:space="preserve">According to Singh (2021), the tourism life cycle consists of various stages: discovery, growth and development, success, problem-stagnation, and decline or rejuvenation. The first stage, discovery, is mainly associated with a few people informing others about their experiences. </w:t>
      </w:r>
      <w:r w:rsidR="00FF69C5" w:rsidRPr="00253875">
        <w:rPr>
          <w:rFonts w:ascii="Arial" w:eastAsia="Times New Roman" w:hAnsi="Arial" w:cs="Arial"/>
          <w:color w:val="0E101A"/>
          <w:sz w:val="24"/>
          <w:szCs w:val="24"/>
        </w:rPr>
        <w:t>Later</w:t>
      </w:r>
      <w:r w:rsidRPr="00253875">
        <w:rPr>
          <w:rFonts w:ascii="Arial" w:eastAsia="Times New Roman" w:hAnsi="Arial" w:cs="Arial"/>
          <w:color w:val="0E101A"/>
          <w:sz w:val="24"/>
          <w:szCs w:val="24"/>
        </w:rPr>
        <w:t xml:space="preserve">, other people and local people seize the opportunities to provide the relevant services to meet the needs of the tourists. The growth and development stage </w:t>
      </w:r>
      <w:proofErr w:type="gramStart"/>
      <w:r w:rsidR="0051632D">
        <w:rPr>
          <w:rFonts w:ascii="Arial" w:eastAsia="Times New Roman" w:hAnsi="Arial" w:cs="Arial"/>
          <w:color w:val="0E101A"/>
          <w:sz w:val="24"/>
          <w:szCs w:val="24"/>
        </w:rPr>
        <w:t>is</w:t>
      </w:r>
      <w:proofErr w:type="gramEnd"/>
      <w:r w:rsidRPr="00253875">
        <w:rPr>
          <w:rFonts w:ascii="Arial" w:eastAsia="Times New Roman" w:hAnsi="Arial" w:cs="Arial"/>
          <w:color w:val="0E101A"/>
          <w:sz w:val="24"/>
          <w:szCs w:val="24"/>
        </w:rPr>
        <w:t xml:space="preserve"> linked to the arrival of more tourists having heard about the destination through various forms of communication such as word of mouth, articles, and supplements such as brochures. The extra visitors attracted by the increased publicity and people willing to visit the new destination can lead to the establishment of new hotels and restaurants to cater for the increasing number of tourists. Success is the third stage of optimizing the facilities and services (Dodds, 2020). Mass tourism replaces the original economic function of the settlement. Unfortunately, such development can lead to resentment among people in the town, </w:t>
      </w:r>
      <w:r w:rsidRPr="00253875">
        <w:rPr>
          <w:rFonts w:ascii="Arial" w:eastAsia="Times New Roman" w:hAnsi="Arial" w:cs="Arial"/>
          <w:color w:val="0E101A"/>
          <w:sz w:val="24"/>
          <w:szCs w:val="24"/>
        </w:rPr>
        <w:lastRenderedPageBreak/>
        <w:t>especially those who have not benefitted from the new sector or loss of cultural identity. </w:t>
      </w:r>
    </w:p>
    <w:p w14:paraId="11FC8D90" w14:textId="77777777" w:rsidR="00CF394E" w:rsidRPr="005C1AE7" w:rsidRDefault="00CF394E" w:rsidP="00CF394E">
      <w:pPr>
        <w:spacing w:after="0"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t>The last stages include the problem-stagnation and decline (or rejuvenation) stages. The popularity of the new destination may be short-lived. The initial appeal may wane, leading to the tourists withdrawing interest from such destinations. The economic decline and underutilization of tourist facilities can be major concerns. Closing some businesses can lead to socioeconomic effects such as unemployment among the host communities (Gore et al., 2021). According to the Butler model, decline or rejuvenation are the final steps in evaluating the impact of tourism on destination management. At this point, tourist facilities can either grow and develop more sustainable strategies or decline depending on the number of visitors. </w:t>
      </w:r>
    </w:p>
    <w:p w14:paraId="4A8244D4" w14:textId="77777777" w:rsidR="00CF394E" w:rsidRPr="005C1AE7"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Based on the selected case study, the theoretical perspective explains tourism growth in the London borough of Greenwich. Few people discovered and informed others of the location, followed by the popularity of the resorts in the eighteenth century, with many grand houses being built, such as Vanbrugh Castle (1717). London Borough Greenwich is at the growth and development stage, characterized by the arrival of more</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tourists having heard about the destination through various forms of communication (Gore et al., 2021). However, the perceived environmental population remains a critical concern among the host communities in the chosen destination. </w:t>
      </w:r>
      <w:bookmarkStart w:id="2" w:name="_Toc137003231"/>
    </w:p>
    <w:p w14:paraId="02975F4C"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 xml:space="preserve">Doxey's Irridex </w:t>
      </w:r>
      <w:r w:rsidRPr="005C1AE7">
        <w:rPr>
          <w:rFonts w:ascii="Arial" w:eastAsia="Times New Roman" w:hAnsi="Arial" w:cs="Arial"/>
          <w:b/>
          <w:bCs/>
          <w:sz w:val="24"/>
          <w:szCs w:val="24"/>
        </w:rPr>
        <w:t>Model</w:t>
      </w:r>
      <w:bookmarkEnd w:id="2"/>
    </w:p>
    <w:p w14:paraId="042F97C4" w14:textId="77777777" w:rsidR="00CF394E" w:rsidRPr="005C1AE7"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According to Shobha (2019), the Irridex model is useful in illustrating how host communities' attitudes toward tourism can change over time in a predictable one-way sequence. Such attitudes have a sense of homogeneity. The level of irritation includes euphoria, apathy, annoyance, and antagonism. At first, the locals feel a sense of excitement and anticipation, leading to informal contact with the tourists. Apathy is linked to more formal contracts with tourists, and the locals perceive tourism as a source of income and investment (Wang &amp; Mirehie, 2022). However, annoyance and antagonism are critical levels associated with manifestations of misgivings regarding the hospitality and tourism sector due to the rising numbers and external investments (Fan, 2020). The host communities begin to show irritation, and the tourists are perceived as the cause of the challenge.</w:t>
      </w:r>
    </w:p>
    <w:p w14:paraId="30DDF3AD" w14:textId="244296B7" w:rsidR="00CF394E"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 xml:space="preserve">Based on the selected case study, the theory explains the growth of the London borough of Greenwich tourism. The host communities are at a stage of apathy linked to </w:t>
      </w:r>
      <w:r w:rsidR="0051632D">
        <w:rPr>
          <w:rFonts w:ascii="Arial" w:eastAsia="Times New Roman" w:hAnsi="Arial" w:cs="Arial"/>
          <w:color w:val="0E101A"/>
          <w:sz w:val="24"/>
          <w:szCs w:val="24"/>
        </w:rPr>
        <w:t xml:space="preserve">the </w:t>
      </w:r>
      <w:r w:rsidRPr="00253875">
        <w:rPr>
          <w:rFonts w:ascii="Arial" w:eastAsia="Times New Roman" w:hAnsi="Arial" w:cs="Arial"/>
          <w:color w:val="0E101A"/>
          <w:sz w:val="24"/>
          <w:szCs w:val="24"/>
        </w:rPr>
        <w:t xml:space="preserve">rising number of tourists (Wang &amp; Mirehie, 2022). The hospitality and tourism </w:t>
      </w:r>
      <w:r w:rsidRPr="00253875">
        <w:rPr>
          <w:rFonts w:ascii="Arial" w:eastAsia="Times New Roman" w:hAnsi="Arial" w:cs="Arial"/>
          <w:color w:val="0E101A"/>
          <w:sz w:val="24"/>
          <w:szCs w:val="24"/>
        </w:rPr>
        <w:lastRenderedPageBreak/>
        <w:t>sector provides thousands of employment opportunities to the locals (Appendix B). However, the locals are beginning to perceive some business activities as a major threat to ecological sustainability. </w:t>
      </w:r>
      <w:bookmarkStart w:id="3" w:name="_Toc137003232"/>
    </w:p>
    <w:p w14:paraId="0CAA8CBF" w14:textId="77777777" w:rsidR="00DB13CD" w:rsidRPr="005C1AE7" w:rsidRDefault="00DB13CD" w:rsidP="00CF394E">
      <w:pPr>
        <w:spacing w:after="0" w:line="360" w:lineRule="auto"/>
        <w:ind w:firstLine="720"/>
        <w:jc w:val="both"/>
        <w:rPr>
          <w:rFonts w:ascii="Arial" w:eastAsia="Times New Roman" w:hAnsi="Arial" w:cs="Arial"/>
          <w:color w:val="0E101A"/>
          <w:sz w:val="24"/>
          <w:szCs w:val="24"/>
        </w:rPr>
      </w:pPr>
    </w:p>
    <w:p w14:paraId="4DDA0A88"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Principles of Sustainable Tourism</w:t>
      </w:r>
      <w:bookmarkEnd w:id="3"/>
    </w:p>
    <w:p w14:paraId="7B1F0288" w14:textId="299CA0CE" w:rsidR="00CF394E" w:rsidRPr="00253875" w:rsidRDefault="00CF394E" w:rsidP="00CF394E">
      <w:pPr>
        <w:spacing w:after="0" w:line="360" w:lineRule="auto"/>
        <w:ind w:firstLine="720"/>
        <w:jc w:val="both"/>
        <w:rPr>
          <w:rFonts w:ascii="Arial" w:eastAsia="Times New Roman" w:hAnsi="Arial" w:cs="Arial"/>
          <w:color w:val="0E101A"/>
          <w:sz w:val="24"/>
          <w:szCs w:val="24"/>
        </w:rPr>
      </w:pPr>
      <w:r w:rsidRPr="00253875">
        <w:rPr>
          <w:rFonts w:ascii="Arial" w:eastAsia="Times New Roman" w:hAnsi="Arial" w:cs="Arial"/>
          <w:color w:val="0E101A"/>
          <w:sz w:val="24"/>
          <w:szCs w:val="24"/>
        </w:rPr>
        <w:t>According to Gkoumas (2019), the management of business organizations must find the right balance between socioeconomic and environmental goals when addressing the needs of tourists and the relevant stakeholders in the industry. Sustainability is central to addressing business operations' social, economic, and environmental concerns. Sustainability is a concept that has become more popular in the hospitality and tourism sectors. Sustainable development describes the process of meeting the needs of the present without compromising future survival. However, the definition of sustainability depends on the internal and organizational perspectives---the strategy adopted by business organizations in developing long-term shareholder value</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with risks linked to economic, social, and environmental developments. The environmental aspect needs to be more addressed in the hospitality and tourism sectors. It is imperative to conduct an impact assessment to determine and create solutions to promote sustainability while addressing the social, economic, and environmental elements (Sharpley, 2020). The challenges associated with global warming and the need to protect the environment have made sustainability central in managing businesses in the hospitality and tourism sectors. Many tourists are willing to use services in various hote</w:t>
      </w:r>
      <w:r>
        <w:rPr>
          <w:rFonts w:ascii="Arial" w:eastAsia="Times New Roman" w:hAnsi="Arial" w:cs="Arial"/>
          <w:color w:val="0E101A"/>
          <w:sz w:val="24"/>
          <w:szCs w:val="24"/>
        </w:rPr>
        <w:t xml:space="preserve">ls and restaurants sustainably </w:t>
      </w:r>
      <w:r w:rsidRPr="00253875">
        <w:rPr>
          <w:rFonts w:ascii="Arial" w:eastAsia="Times New Roman" w:hAnsi="Arial" w:cs="Arial"/>
          <w:color w:val="0E101A"/>
          <w:sz w:val="24"/>
          <w:szCs w:val="24"/>
        </w:rPr>
        <w:t>(Ranjbari et al., 2021)</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It entails the need for the management of business organizations to focus on creating new and renewable sources of energy to address environmental concerns based on the three pillars of sustainability. </w:t>
      </w:r>
    </w:p>
    <w:p w14:paraId="6FB1263F" w14:textId="77777777" w:rsidR="00CF394E" w:rsidRPr="00253875" w:rsidRDefault="00CF394E" w:rsidP="00CF394E">
      <w:pPr>
        <w:spacing w:after="0" w:line="360" w:lineRule="auto"/>
        <w:jc w:val="both"/>
        <w:rPr>
          <w:rFonts w:ascii="Arial" w:eastAsia="Times New Roman" w:hAnsi="Arial" w:cs="Arial"/>
          <w:color w:val="0E101A"/>
          <w:sz w:val="24"/>
          <w:szCs w:val="24"/>
        </w:rPr>
      </w:pPr>
      <w:r w:rsidRPr="00253875">
        <w:rPr>
          <w:rFonts w:ascii="Arial" w:eastAsia="Times New Roman" w:hAnsi="Arial" w:cs="Arial"/>
          <w:b/>
          <w:bCs/>
          <w:color w:val="0E101A"/>
          <w:sz w:val="24"/>
          <w:szCs w:val="24"/>
        </w:rPr>
        <w:t>Environmental:</w:t>
      </w:r>
      <w:r>
        <w:rPr>
          <w:rFonts w:ascii="Arial" w:eastAsia="Times New Roman" w:hAnsi="Arial" w:cs="Arial"/>
          <w:color w:val="0E101A"/>
          <w:sz w:val="24"/>
          <w:szCs w:val="24"/>
        </w:rPr>
        <w:t> According to Legislation</w:t>
      </w:r>
      <w:r w:rsidRPr="00253875">
        <w:rPr>
          <w:rFonts w:ascii="Arial" w:eastAsia="Times New Roman" w:hAnsi="Arial" w:cs="Arial"/>
          <w:color w:val="0E101A"/>
          <w:sz w:val="24"/>
          <w:szCs w:val="24"/>
        </w:rPr>
        <w:t xml:space="preserve"> Govt. UK (2023), According to the article, business organizations in tourism and hospitality are taking drastic measures to create internal policies and align their operations with the </w:t>
      </w:r>
    </w:p>
    <w:p w14:paraId="7A152F0D" w14:textId="77777777" w:rsidR="00CF394E" w:rsidRPr="00253875" w:rsidRDefault="00CF394E" w:rsidP="00CF394E">
      <w:pPr>
        <w:spacing w:after="0"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t>existing legal frameworks in London. For instance, the UK's Environment Act (2021) mainly targets enhancing the natural environment for further protection by the relevant stakeholders in hospitality and tourism. It entails improving waste management and optimizing resource utilization and the efficiency of production a</w:t>
      </w:r>
      <w:r>
        <w:rPr>
          <w:rFonts w:ascii="Arial" w:eastAsia="Times New Roman" w:hAnsi="Arial" w:cs="Arial"/>
          <w:color w:val="0E101A"/>
          <w:sz w:val="24"/>
          <w:szCs w:val="24"/>
        </w:rPr>
        <w:t>ctivities (Legislation. Govt. UK</w:t>
      </w:r>
      <w:r w:rsidRPr="00253875">
        <w:rPr>
          <w:rFonts w:ascii="Arial" w:eastAsia="Times New Roman" w:hAnsi="Arial" w:cs="Arial"/>
          <w:color w:val="0E101A"/>
          <w:sz w:val="24"/>
          <w:szCs w:val="24"/>
        </w:rPr>
        <w:t xml:space="preserve">, 2023). The UK Government emphasizes the need to embrace green practices through its policy frameworks. The products and services provided in the </w:t>
      </w:r>
      <w:r w:rsidRPr="00253875">
        <w:rPr>
          <w:rFonts w:ascii="Arial" w:eastAsia="Times New Roman" w:hAnsi="Arial" w:cs="Arial"/>
          <w:color w:val="0E101A"/>
          <w:sz w:val="24"/>
          <w:szCs w:val="24"/>
        </w:rPr>
        <w:lastRenderedPageBreak/>
        <w:t>industry should contribute towards conserving natural resources and protecting biodiversity. It is imperative to regulate the use of chemicals to minimize the environmental population.</w:t>
      </w:r>
    </w:p>
    <w:p w14:paraId="37EB0B2D" w14:textId="77777777" w:rsidR="00CF394E" w:rsidRPr="00253875" w:rsidRDefault="00CF394E" w:rsidP="00CF394E">
      <w:pPr>
        <w:spacing w:after="0" w:line="360" w:lineRule="auto"/>
        <w:jc w:val="both"/>
        <w:rPr>
          <w:rFonts w:ascii="Arial" w:eastAsia="Times New Roman" w:hAnsi="Arial" w:cs="Arial"/>
          <w:color w:val="0E101A"/>
          <w:sz w:val="24"/>
          <w:szCs w:val="24"/>
        </w:rPr>
      </w:pPr>
      <w:r w:rsidRPr="00253875">
        <w:rPr>
          <w:rFonts w:ascii="Arial" w:eastAsia="Times New Roman" w:hAnsi="Arial" w:cs="Arial"/>
          <w:b/>
          <w:bCs/>
          <w:color w:val="0E101A"/>
          <w:sz w:val="24"/>
          <w:szCs w:val="24"/>
        </w:rPr>
        <w:t>Social:</w:t>
      </w:r>
      <w:r w:rsidRPr="00253875">
        <w:rPr>
          <w:rFonts w:ascii="Arial" w:eastAsia="Times New Roman" w:hAnsi="Arial" w:cs="Arial"/>
          <w:color w:val="0E101A"/>
          <w:sz w:val="24"/>
          <w:szCs w:val="24"/>
        </w:rPr>
        <w:t> The business companies in the selected destination are involved in enhancing community engagement. It entails creating thousands of jobs in the surrounding communities, including engaging in sponsorship and scholarship programs to change the livelihood of the community members. The Companies Act (2013) has far-reaching implications for corporate social responsibility (CSR) initiatives. Business companies attaining certain sizes must spend at least 2% of their three-year average net profits on CSR programs. The business has been involved in restructuring its supply chain management by avoiding malpractices such as child labour and violation of the</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fundamental rights of the employees (Torkington et al., 2020). The company is committed to investing in the vitality of its children and natural resources and delivering aid and support, especially in times of need.</w:t>
      </w:r>
    </w:p>
    <w:p w14:paraId="4F188DE5" w14:textId="77777777" w:rsidR="00CF394E" w:rsidRDefault="00CF394E" w:rsidP="00CF394E">
      <w:pPr>
        <w:spacing w:after="0" w:line="360" w:lineRule="auto"/>
        <w:jc w:val="both"/>
        <w:rPr>
          <w:rFonts w:ascii="Arial" w:eastAsia="Times New Roman" w:hAnsi="Arial" w:cs="Arial"/>
          <w:color w:val="0E101A"/>
          <w:sz w:val="24"/>
          <w:szCs w:val="24"/>
        </w:rPr>
      </w:pPr>
      <w:r w:rsidRPr="00253875">
        <w:rPr>
          <w:rFonts w:ascii="Arial" w:eastAsia="Times New Roman" w:hAnsi="Arial" w:cs="Arial"/>
          <w:b/>
          <w:bCs/>
          <w:color w:val="0E101A"/>
          <w:sz w:val="24"/>
          <w:szCs w:val="24"/>
        </w:rPr>
        <w:t>Economic:</w:t>
      </w:r>
      <w:r w:rsidRPr="00253875">
        <w:rPr>
          <w:rFonts w:ascii="Arial" w:eastAsia="Times New Roman" w:hAnsi="Arial" w:cs="Arial"/>
          <w:color w:val="0E101A"/>
          <w:sz w:val="24"/>
          <w:szCs w:val="24"/>
        </w:rPr>
        <w:t> Hotels and restaurants' management is committed to engaging in transparent and accountable business practices to align the business strategy with the organizational mission (Merigó et al., 2019). The company's management has demonstrated having no conflict of interest in their selection of board members, using political influence to obtain unduly favourable treatment, or engaging in illegal business practices.</w:t>
      </w:r>
      <w:bookmarkStart w:id="4" w:name="_Toc137003233"/>
    </w:p>
    <w:p w14:paraId="4FAE51B3" w14:textId="77777777" w:rsidR="00DB13CD" w:rsidRPr="005C1AE7" w:rsidRDefault="00DB13CD" w:rsidP="00CF394E">
      <w:pPr>
        <w:spacing w:after="0" w:line="360" w:lineRule="auto"/>
        <w:jc w:val="both"/>
        <w:rPr>
          <w:rFonts w:ascii="Arial" w:eastAsia="Times New Roman" w:hAnsi="Arial" w:cs="Arial"/>
          <w:color w:val="0E101A"/>
          <w:sz w:val="24"/>
          <w:szCs w:val="24"/>
        </w:rPr>
      </w:pPr>
    </w:p>
    <w:p w14:paraId="7C086E24"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hAnsi="Arial" w:cs="Arial"/>
          <w:b/>
          <w:bCs/>
          <w:sz w:val="24"/>
          <w:szCs w:val="24"/>
        </w:rPr>
        <w:t>Recommendations</w:t>
      </w:r>
      <w:bookmarkEnd w:id="4"/>
    </w:p>
    <w:p w14:paraId="6A76671E" w14:textId="77777777" w:rsidR="00CF394E" w:rsidRPr="00253875" w:rsidRDefault="00CF394E" w:rsidP="00CF394E">
      <w:pPr>
        <w:spacing w:after="0" w:line="360" w:lineRule="auto"/>
        <w:ind w:firstLine="360"/>
        <w:jc w:val="both"/>
        <w:rPr>
          <w:rFonts w:ascii="Arial" w:eastAsia="Times New Roman" w:hAnsi="Arial" w:cs="Arial"/>
          <w:color w:val="0E101A"/>
          <w:sz w:val="24"/>
          <w:szCs w:val="24"/>
        </w:rPr>
      </w:pPr>
      <w:r w:rsidRPr="00253875">
        <w:rPr>
          <w:rFonts w:ascii="Arial" w:eastAsia="Times New Roman" w:hAnsi="Arial" w:cs="Arial"/>
          <w:color w:val="0E101A"/>
          <w:sz w:val="24"/>
          <w:szCs w:val="24"/>
        </w:rPr>
        <w:t>Future interventions for developing the chosen destination and maintaining sustainability should explore creative solutions to address the concerns associated with the three pillars of sustainability (Merigó et al., 2019; Ranjbari et al., 2021). The Butler model of the Tourism life cycle and Doxey's Irridex model provide effective theoretical frameworks for evaluating the effects of tourism on the host communities to influence the implementation of research-based interventions to promote sustainability (Hasan et al., 2022; Gore et al., 2021). Provide recommendations for the future development of the destination, keeping sustainability at the core of your recommendations. Some of the recommendations include:</w:t>
      </w:r>
    </w:p>
    <w:p w14:paraId="5B5ED678" w14:textId="77777777" w:rsidR="00CF394E" w:rsidRPr="00253875" w:rsidRDefault="00CF394E" w:rsidP="00CF394E">
      <w:pPr>
        <w:numPr>
          <w:ilvl w:val="0"/>
          <w:numId w:val="1"/>
        </w:numPr>
        <w:spacing w:after="0"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t>Tourism should be perceived as an economic benefit for the citizens. </w:t>
      </w:r>
    </w:p>
    <w:p w14:paraId="60569B00" w14:textId="77777777" w:rsidR="00CF394E" w:rsidRPr="00253875" w:rsidRDefault="00CF394E" w:rsidP="00CF394E">
      <w:pPr>
        <w:numPr>
          <w:ilvl w:val="0"/>
          <w:numId w:val="1"/>
        </w:numPr>
        <w:spacing w:after="0"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lastRenderedPageBreak/>
        <w:t>The social part must always be addressed. The management of business organizations in the tourism industry must strive to involve the local population when implementing sustainable programs. </w:t>
      </w:r>
    </w:p>
    <w:p w14:paraId="75852DEE" w14:textId="77777777" w:rsidR="00CF394E" w:rsidRDefault="00CF394E" w:rsidP="00CF394E">
      <w:pPr>
        <w:numPr>
          <w:ilvl w:val="0"/>
          <w:numId w:val="1"/>
        </w:numPr>
        <w:spacing w:after="0"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t>Corporate leaders and managers must ensure water and renewable energy sources are used efficiently without harming the environment (Cerchione &amp; Bansal, 2020; Gkoumas, 2019). </w:t>
      </w:r>
      <w:bookmarkStart w:id="5" w:name="_Toc137003234"/>
    </w:p>
    <w:p w14:paraId="17FB78C7" w14:textId="77777777" w:rsidR="005F2B29" w:rsidRPr="005C1AE7" w:rsidRDefault="005F2B29" w:rsidP="005F2B29">
      <w:pPr>
        <w:spacing w:after="0" w:line="360" w:lineRule="auto"/>
        <w:ind w:left="720"/>
        <w:jc w:val="both"/>
        <w:rPr>
          <w:rFonts w:ascii="Arial" w:eastAsia="Times New Roman" w:hAnsi="Arial" w:cs="Arial"/>
          <w:color w:val="0E101A"/>
          <w:sz w:val="24"/>
          <w:szCs w:val="24"/>
        </w:rPr>
      </w:pPr>
    </w:p>
    <w:p w14:paraId="114008FD" w14:textId="77777777" w:rsidR="00CF394E" w:rsidRPr="005C1AE7" w:rsidRDefault="00CF394E" w:rsidP="00CF394E">
      <w:pPr>
        <w:spacing w:after="0" w:line="360" w:lineRule="auto"/>
        <w:jc w:val="both"/>
        <w:rPr>
          <w:rFonts w:ascii="Arial" w:eastAsia="Times New Roman" w:hAnsi="Arial" w:cs="Arial"/>
          <w:b/>
          <w:bCs/>
          <w:color w:val="0E101A"/>
          <w:sz w:val="24"/>
          <w:szCs w:val="24"/>
        </w:rPr>
      </w:pPr>
      <w:r w:rsidRPr="005C1AE7">
        <w:rPr>
          <w:rFonts w:ascii="Arial" w:eastAsia="Times New Roman" w:hAnsi="Arial" w:cs="Arial"/>
          <w:b/>
          <w:bCs/>
          <w:sz w:val="24"/>
          <w:szCs w:val="24"/>
        </w:rPr>
        <w:t>Conclusion</w:t>
      </w:r>
      <w:bookmarkEnd w:id="5"/>
      <w:r w:rsidRPr="005C1AE7">
        <w:rPr>
          <w:rFonts w:ascii="Arial" w:eastAsia="Times New Roman" w:hAnsi="Arial" w:cs="Arial"/>
          <w:b/>
          <w:bCs/>
          <w:sz w:val="24"/>
          <w:szCs w:val="24"/>
        </w:rPr>
        <w:t> </w:t>
      </w:r>
    </w:p>
    <w:p w14:paraId="513748A0" w14:textId="06D8DE47" w:rsidR="00CF394E" w:rsidRDefault="00CF394E" w:rsidP="00CF394E">
      <w:pPr>
        <w:spacing w:line="360" w:lineRule="auto"/>
        <w:jc w:val="both"/>
        <w:rPr>
          <w:rFonts w:ascii="Arial" w:eastAsia="Times New Roman" w:hAnsi="Arial" w:cs="Arial"/>
          <w:color w:val="0E101A"/>
          <w:sz w:val="24"/>
          <w:szCs w:val="24"/>
        </w:rPr>
      </w:pPr>
      <w:r w:rsidRPr="00253875">
        <w:rPr>
          <w:rFonts w:ascii="Arial" w:eastAsia="Times New Roman" w:hAnsi="Arial" w:cs="Arial"/>
          <w:color w:val="0E101A"/>
          <w:sz w:val="24"/>
          <w:szCs w:val="24"/>
        </w:rPr>
        <w:t>Therefore, evaluating effective interventions for improving destination management is imperative. Business organizations in the tourism and hospitality industry must strive to embrace and implement sustainable business practices. Sustainable management practices are crucial in addressing socioeconomic and</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environmental concerns associated with business operations. It is imperative to evaluate the expectations of the tourists and host communities to align business operations with sustainable practices. Green and sustainable business practices are associated with projecting positive relations with the local communities. Businesses in London Borough Greenwich must evaluate the interests of the local communities and tourism by embracing green practices</w:t>
      </w:r>
      <w:r>
        <w:rPr>
          <w:rFonts w:ascii="Arial" w:eastAsia="Times New Roman" w:hAnsi="Arial" w:cs="Arial"/>
          <w:color w:val="0E101A"/>
          <w:sz w:val="24"/>
          <w:szCs w:val="24"/>
        </w:rPr>
        <w:t xml:space="preserve">. </w:t>
      </w:r>
      <w:r w:rsidRPr="00253875">
        <w:rPr>
          <w:rFonts w:ascii="Arial" w:eastAsia="Times New Roman" w:hAnsi="Arial" w:cs="Arial"/>
          <w:color w:val="0E101A"/>
          <w:sz w:val="24"/>
          <w:szCs w:val="24"/>
        </w:rPr>
        <w:t> </w:t>
      </w:r>
    </w:p>
    <w:p w14:paraId="3DC34D0B" w14:textId="77777777" w:rsidR="00CF394E" w:rsidRDefault="00CF394E" w:rsidP="00CF394E">
      <w:pPr>
        <w:spacing w:line="360" w:lineRule="auto"/>
        <w:jc w:val="both"/>
      </w:pPr>
    </w:p>
    <w:p w14:paraId="59083909" w14:textId="77777777" w:rsidR="00CF394E" w:rsidRDefault="00CF394E" w:rsidP="00CF394E">
      <w:pPr>
        <w:spacing w:line="360" w:lineRule="auto"/>
        <w:jc w:val="both"/>
      </w:pPr>
    </w:p>
    <w:p w14:paraId="680CD3AF" w14:textId="77777777" w:rsidR="00CF394E" w:rsidRDefault="00CF394E" w:rsidP="00CF394E">
      <w:pPr>
        <w:spacing w:line="360" w:lineRule="auto"/>
        <w:jc w:val="both"/>
      </w:pPr>
    </w:p>
    <w:p w14:paraId="60DE8DCB" w14:textId="77777777" w:rsidR="00CF394E" w:rsidRDefault="00CF394E" w:rsidP="00CF394E">
      <w:pPr>
        <w:spacing w:line="360" w:lineRule="auto"/>
        <w:jc w:val="both"/>
      </w:pPr>
    </w:p>
    <w:p w14:paraId="76CF4813" w14:textId="77777777" w:rsidR="00CF394E" w:rsidRDefault="00CF394E" w:rsidP="00CF394E">
      <w:pPr>
        <w:spacing w:line="360" w:lineRule="auto"/>
        <w:jc w:val="both"/>
      </w:pPr>
    </w:p>
    <w:p w14:paraId="50B1546B" w14:textId="77777777" w:rsidR="00CF394E" w:rsidRDefault="00CF394E" w:rsidP="00CF394E">
      <w:pPr>
        <w:spacing w:line="360" w:lineRule="auto"/>
        <w:jc w:val="both"/>
      </w:pPr>
    </w:p>
    <w:p w14:paraId="34341A77" w14:textId="77777777" w:rsidR="00CF394E" w:rsidRDefault="00CF394E" w:rsidP="00CF394E">
      <w:pPr>
        <w:spacing w:line="360" w:lineRule="auto"/>
        <w:jc w:val="both"/>
      </w:pPr>
    </w:p>
    <w:p w14:paraId="5D4C6115" w14:textId="77777777" w:rsidR="00CF394E" w:rsidRDefault="00CF394E" w:rsidP="00CF394E">
      <w:pPr>
        <w:spacing w:line="360" w:lineRule="auto"/>
        <w:jc w:val="both"/>
      </w:pPr>
    </w:p>
    <w:p w14:paraId="52AE4127" w14:textId="77777777" w:rsidR="00CF394E" w:rsidRDefault="00CF394E" w:rsidP="00CF394E">
      <w:pPr>
        <w:spacing w:line="360" w:lineRule="auto"/>
        <w:jc w:val="both"/>
      </w:pPr>
    </w:p>
    <w:p w14:paraId="4A2E0D93" w14:textId="77777777" w:rsidR="00CF394E" w:rsidRDefault="00CF394E" w:rsidP="00CF394E">
      <w:pPr>
        <w:spacing w:line="360" w:lineRule="auto"/>
        <w:jc w:val="both"/>
      </w:pPr>
    </w:p>
    <w:p w14:paraId="163F35D0" w14:textId="77777777" w:rsidR="00CF394E" w:rsidRDefault="00CF394E" w:rsidP="00CF394E">
      <w:pPr>
        <w:spacing w:line="360" w:lineRule="auto"/>
        <w:jc w:val="both"/>
      </w:pPr>
    </w:p>
    <w:p w14:paraId="29ABF360" w14:textId="77777777" w:rsidR="00CF394E" w:rsidRDefault="00CF394E" w:rsidP="00CF394E">
      <w:pPr>
        <w:spacing w:line="360" w:lineRule="auto"/>
        <w:jc w:val="both"/>
      </w:pPr>
    </w:p>
    <w:p w14:paraId="74AEA88C" w14:textId="77777777" w:rsidR="00CF394E" w:rsidRDefault="00CF394E" w:rsidP="00CF394E">
      <w:pPr>
        <w:spacing w:line="360" w:lineRule="auto"/>
        <w:jc w:val="both"/>
      </w:pPr>
    </w:p>
    <w:p w14:paraId="6968C7D5" w14:textId="77777777" w:rsidR="00CF394E" w:rsidRDefault="00CF394E" w:rsidP="00CF394E">
      <w:pPr>
        <w:spacing w:line="360" w:lineRule="auto"/>
        <w:jc w:val="both"/>
      </w:pPr>
    </w:p>
    <w:bookmarkStart w:id="6" w:name="_Toc137003235" w:displacedByCustomXml="next"/>
    <w:sdt>
      <w:sdtPr>
        <w:rPr>
          <w:rFonts w:ascii="Arial" w:hAnsi="Arial" w:cs="Arial"/>
          <w:sz w:val="24"/>
          <w:szCs w:val="24"/>
        </w:rPr>
        <w:id w:val="-614673891"/>
        <w:docPartObj>
          <w:docPartGallery w:val="Bibliographies"/>
          <w:docPartUnique/>
        </w:docPartObj>
      </w:sdtPr>
      <w:sdtContent>
        <w:p w14:paraId="78A48F1E" w14:textId="77777777" w:rsidR="00CF394E" w:rsidRPr="00CF394E" w:rsidRDefault="00CF394E" w:rsidP="00CF394E">
          <w:pPr>
            <w:keepNext/>
            <w:keepLines/>
            <w:tabs>
              <w:tab w:val="center" w:pos="4680"/>
              <w:tab w:val="left" w:pos="7400"/>
            </w:tabs>
            <w:spacing w:before="240" w:after="0" w:line="360" w:lineRule="auto"/>
            <w:outlineLvl w:val="0"/>
            <w:rPr>
              <w:rFonts w:ascii="Arial" w:eastAsiaTheme="majorEastAsia" w:hAnsi="Arial" w:cs="Arial"/>
              <w:b/>
              <w:bCs/>
              <w:sz w:val="24"/>
              <w:szCs w:val="24"/>
            </w:rPr>
          </w:pPr>
          <w:r w:rsidRPr="00CF394E">
            <w:rPr>
              <w:rFonts w:ascii="Arial" w:hAnsi="Arial" w:cs="Arial"/>
              <w:sz w:val="24"/>
              <w:szCs w:val="24"/>
            </w:rPr>
            <w:tab/>
          </w:r>
          <w:r w:rsidRPr="00CF394E">
            <w:rPr>
              <w:rFonts w:ascii="Arial" w:eastAsiaTheme="majorEastAsia" w:hAnsi="Arial" w:cs="Arial"/>
              <w:b/>
              <w:bCs/>
              <w:sz w:val="24"/>
              <w:szCs w:val="24"/>
            </w:rPr>
            <w:t>References</w:t>
          </w:r>
          <w:bookmarkEnd w:id="6"/>
          <w:r w:rsidRPr="00CF394E">
            <w:rPr>
              <w:rFonts w:ascii="Arial" w:eastAsiaTheme="majorEastAsia" w:hAnsi="Arial" w:cs="Arial"/>
              <w:b/>
              <w:bCs/>
              <w:sz w:val="24"/>
              <w:szCs w:val="24"/>
            </w:rPr>
            <w:tab/>
          </w:r>
        </w:p>
        <w:sdt>
          <w:sdtPr>
            <w:rPr>
              <w:rFonts w:ascii="Arial" w:hAnsi="Arial" w:cs="Arial"/>
              <w:sz w:val="24"/>
              <w:szCs w:val="24"/>
            </w:rPr>
            <w:id w:val="1973175768"/>
            <w:bibliography/>
          </w:sdtPr>
          <w:sdtContent>
            <w:p w14:paraId="5C13771F"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sz w:val="24"/>
                  <w:szCs w:val="24"/>
                </w:rPr>
                <w:fldChar w:fldCharType="begin"/>
              </w:r>
              <w:r w:rsidRPr="00CF394E">
                <w:rPr>
                  <w:rFonts w:ascii="Arial" w:hAnsi="Arial" w:cs="Arial"/>
                  <w:sz w:val="24"/>
                  <w:szCs w:val="24"/>
                </w:rPr>
                <w:instrText xml:space="preserve"> BIBLIOGRAPHY </w:instrText>
              </w:r>
              <w:r w:rsidRPr="00CF394E">
                <w:rPr>
                  <w:rFonts w:ascii="Arial" w:hAnsi="Arial" w:cs="Arial"/>
                  <w:sz w:val="24"/>
                  <w:szCs w:val="24"/>
                </w:rPr>
                <w:fldChar w:fldCharType="separate"/>
              </w:r>
              <w:r w:rsidRPr="00CF394E">
                <w:rPr>
                  <w:rFonts w:ascii="Arial" w:hAnsi="Arial" w:cs="Arial"/>
                  <w:noProof/>
                  <w:sz w:val="24"/>
                  <w:szCs w:val="24"/>
                </w:rPr>
                <w:t xml:space="preserve">Achmad, W., &amp; Yulianah, Y. (2022). Corporate social responsibility of the hospitality industry in realizing sustainable tourism development. Enrichment. </w:t>
              </w:r>
              <w:r w:rsidRPr="00CF394E">
                <w:rPr>
                  <w:rFonts w:ascii="Arial" w:hAnsi="Arial" w:cs="Arial"/>
                  <w:i/>
                  <w:iCs/>
                  <w:noProof/>
                  <w:sz w:val="24"/>
                  <w:szCs w:val="24"/>
                </w:rPr>
                <w:t>Journal of Management, 12</w:t>
              </w:r>
              <w:r w:rsidRPr="00CF394E">
                <w:rPr>
                  <w:rFonts w:ascii="Arial" w:hAnsi="Arial" w:cs="Arial"/>
                  <w:noProof/>
                  <w:sz w:val="24"/>
                  <w:szCs w:val="24"/>
                </w:rPr>
                <w:t>(2), 1610-1616. Available at:</w:t>
              </w:r>
              <w:hyperlink r:id="rId6" w:history="1">
                <w:r w:rsidRPr="00CF394E">
                  <w:rPr>
                    <w:rFonts w:ascii="Arial" w:hAnsi="Arial" w:cs="Arial"/>
                    <w:noProof/>
                    <w:color w:val="0563C1" w:themeColor="hyperlink"/>
                    <w:sz w:val="24"/>
                    <w:szCs w:val="24"/>
                    <w:u w:val="single"/>
                  </w:rPr>
                  <w:t>https://doi.org/10.35335/enrichment.v12i2.447</w:t>
                </w:r>
              </w:hyperlink>
              <w:r w:rsidRPr="00CF394E">
                <w:rPr>
                  <w:rFonts w:ascii="Arial" w:hAnsi="Arial" w:cs="Arial"/>
                  <w:noProof/>
                  <w:sz w:val="24"/>
                  <w:szCs w:val="24"/>
                </w:rPr>
                <w:t>(Accessed: 7 Jun 2023).</w:t>
              </w:r>
            </w:p>
            <w:p w14:paraId="71CDB899"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Al</w:t>
              </w:r>
              <w:r w:rsidRPr="00CF394E">
                <w:rPr>
                  <w:rFonts w:ascii="Cambria Math" w:hAnsi="Cambria Math" w:cs="Cambria Math"/>
                  <w:noProof/>
                  <w:sz w:val="24"/>
                  <w:szCs w:val="24"/>
                </w:rPr>
                <w:t>‐</w:t>
              </w:r>
              <w:r w:rsidRPr="00CF394E">
                <w:rPr>
                  <w:rFonts w:ascii="Arial" w:hAnsi="Arial" w:cs="Arial"/>
                  <w:noProof/>
                  <w:sz w:val="24"/>
                  <w:szCs w:val="24"/>
                </w:rPr>
                <w:t xml:space="preserve">Ghussain, L. (2019)). Global warming: Review on driving forces and mitigation. </w:t>
              </w:r>
              <w:r w:rsidRPr="00CF394E">
                <w:rPr>
                  <w:rFonts w:ascii="Arial" w:hAnsi="Arial" w:cs="Arial"/>
                  <w:i/>
                  <w:iCs/>
                  <w:noProof/>
                  <w:sz w:val="24"/>
                  <w:szCs w:val="24"/>
                </w:rPr>
                <w:t>Environmental Progress &amp; Sustainable Energy, 38</w:t>
              </w:r>
              <w:r w:rsidRPr="00CF394E">
                <w:rPr>
                  <w:rFonts w:ascii="Arial" w:hAnsi="Arial" w:cs="Arial"/>
                  <w:noProof/>
                  <w:sz w:val="24"/>
                  <w:szCs w:val="24"/>
                </w:rPr>
                <w:t>(1), 13-21.</w:t>
              </w:r>
              <w:r w:rsidRPr="00CF394E">
                <w:rPr>
                  <w:rFonts w:ascii="Arial" w:hAnsi="Arial" w:cs="Arial"/>
                  <w:sz w:val="24"/>
                  <w:szCs w:val="24"/>
                </w:rPr>
                <w:t xml:space="preserve"> </w:t>
              </w:r>
              <w:r w:rsidRPr="00CF394E">
                <w:rPr>
                  <w:rFonts w:ascii="Arial" w:hAnsi="Arial" w:cs="Arial"/>
                  <w:noProof/>
                  <w:sz w:val="24"/>
                  <w:szCs w:val="24"/>
                </w:rPr>
                <w:t>Available at;</w:t>
              </w:r>
              <w:r w:rsidRPr="00CF394E">
                <w:rPr>
                  <w:rFonts w:ascii="Arial" w:hAnsi="Arial" w:cs="Arial"/>
                  <w:sz w:val="24"/>
                  <w:szCs w:val="24"/>
                </w:rPr>
                <w:t xml:space="preserve"> </w:t>
              </w:r>
              <w:hyperlink r:id="rId7" w:history="1">
                <w:r w:rsidRPr="00CF394E">
                  <w:rPr>
                    <w:rFonts w:ascii="Arial" w:hAnsi="Arial" w:cs="Arial"/>
                    <w:noProof/>
                    <w:color w:val="0563C1" w:themeColor="hyperlink"/>
                    <w:sz w:val="24"/>
                    <w:szCs w:val="24"/>
                    <w:u w:val="single"/>
                  </w:rPr>
                  <w:t>https://doi.org/10.1002/ep.13041</w:t>
                </w:r>
              </w:hyperlink>
              <w:r w:rsidRPr="00CF394E">
                <w:rPr>
                  <w:rFonts w:ascii="Arial" w:hAnsi="Arial" w:cs="Arial"/>
                  <w:noProof/>
                  <w:sz w:val="24"/>
                  <w:szCs w:val="24"/>
                </w:rPr>
                <w:t>(Accessed: 7 Jun 2023).</w:t>
              </w:r>
            </w:p>
            <w:p w14:paraId="7C2FCBB3"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Bianchi, R. V., &amp; de Man, F. (2021). Tourism, inclusive growth and decent work: A political economy critique. </w:t>
              </w:r>
              <w:r w:rsidRPr="00CF394E">
                <w:rPr>
                  <w:rFonts w:ascii="Arial" w:hAnsi="Arial" w:cs="Arial"/>
                  <w:i/>
                  <w:iCs/>
                  <w:noProof/>
                  <w:sz w:val="24"/>
                  <w:szCs w:val="24"/>
                </w:rPr>
                <w:t>Journal of Sustainable Tourism, 29</w:t>
              </w:r>
              <w:r w:rsidRPr="00CF394E">
                <w:rPr>
                  <w:rFonts w:ascii="Arial" w:hAnsi="Arial" w:cs="Arial"/>
                  <w:noProof/>
                  <w:sz w:val="24"/>
                  <w:szCs w:val="24"/>
                </w:rPr>
                <w:t>(2-3)), 353-371. Available at:</w:t>
              </w:r>
              <w:hyperlink r:id="rId8" w:history="1">
                <w:r w:rsidRPr="00CF394E">
                  <w:rPr>
                    <w:rFonts w:ascii="Arial" w:hAnsi="Arial" w:cs="Arial"/>
                    <w:noProof/>
                    <w:color w:val="0563C1" w:themeColor="hyperlink"/>
                    <w:sz w:val="24"/>
                    <w:szCs w:val="24"/>
                    <w:u w:val="single"/>
                  </w:rPr>
                  <w:t>https://doi.org/10.1080/09669582.2020.1730862</w:t>
                </w:r>
              </w:hyperlink>
              <w:r w:rsidRPr="00CF394E">
                <w:rPr>
                  <w:rFonts w:ascii="Arial" w:hAnsi="Arial" w:cs="Arial"/>
                  <w:noProof/>
                  <w:sz w:val="24"/>
                  <w:szCs w:val="24"/>
                </w:rPr>
                <w:t>(Accessed: 7 Jun 2023).</w:t>
              </w:r>
            </w:p>
            <w:p w14:paraId="50A697A0"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Cerchione, R., &amp; Bansal, H. (2020). Measuring the impact of sustainability policy and practices in tourism and hospitality industry. </w:t>
              </w:r>
              <w:r w:rsidRPr="00CF394E">
                <w:rPr>
                  <w:rFonts w:ascii="Arial" w:hAnsi="Arial" w:cs="Arial"/>
                  <w:i/>
                  <w:iCs/>
                  <w:noProof/>
                  <w:sz w:val="24"/>
                  <w:szCs w:val="24"/>
                </w:rPr>
                <w:t>Business Strategy and the Environment, 29</w:t>
              </w:r>
              <w:r w:rsidRPr="00CF394E">
                <w:rPr>
                  <w:rFonts w:ascii="Arial" w:hAnsi="Arial" w:cs="Arial"/>
                  <w:noProof/>
                  <w:sz w:val="24"/>
                  <w:szCs w:val="24"/>
                </w:rPr>
                <w:t>(3), 1109-1126. Available at:</w:t>
              </w:r>
              <w:hyperlink r:id="rId9" w:history="1">
                <w:r w:rsidRPr="00CF394E">
                  <w:rPr>
                    <w:rFonts w:ascii="Arial" w:hAnsi="Arial" w:cs="Arial"/>
                    <w:noProof/>
                    <w:color w:val="0563C1" w:themeColor="hyperlink"/>
                    <w:sz w:val="24"/>
                    <w:szCs w:val="24"/>
                    <w:u w:val="single"/>
                  </w:rPr>
                  <w:t>https://doi.org/10.1002/bse.2420</w:t>
                </w:r>
              </w:hyperlink>
              <w:r w:rsidRPr="00CF394E">
                <w:rPr>
                  <w:rFonts w:ascii="Arial" w:hAnsi="Arial" w:cs="Arial"/>
                  <w:noProof/>
                  <w:sz w:val="24"/>
                  <w:szCs w:val="24"/>
                </w:rPr>
                <w:t>(Accessed: 7 Jun 2023).</w:t>
              </w:r>
            </w:p>
            <w:p w14:paraId="2213A9DF"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Dodds, R. (2020). The tourist experience life cycle: a perspective article. </w:t>
              </w:r>
              <w:r w:rsidRPr="00CF394E">
                <w:rPr>
                  <w:rFonts w:ascii="Arial" w:hAnsi="Arial" w:cs="Arial"/>
                  <w:i/>
                  <w:iCs/>
                  <w:noProof/>
                  <w:sz w:val="24"/>
                  <w:szCs w:val="24"/>
                </w:rPr>
                <w:t>Tourism Review, 75</w:t>
              </w:r>
              <w:r w:rsidRPr="00CF394E">
                <w:rPr>
                  <w:rFonts w:ascii="Arial" w:hAnsi="Arial" w:cs="Arial"/>
                  <w:noProof/>
                  <w:sz w:val="24"/>
                  <w:szCs w:val="24"/>
                </w:rPr>
                <w:t>(1), 216-220. Available at:</w:t>
              </w:r>
              <w:hyperlink r:id="rId10" w:history="1">
                <w:r w:rsidRPr="00CF394E">
                  <w:rPr>
                    <w:rFonts w:ascii="Arial" w:hAnsi="Arial" w:cs="Arial"/>
                    <w:noProof/>
                    <w:color w:val="0563C1" w:themeColor="hyperlink"/>
                    <w:sz w:val="24"/>
                    <w:szCs w:val="24"/>
                    <w:u w:val="single"/>
                  </w:rPr>
                  <w:t>https://doi.org/10.1108/TR-05-2019-0163</w:t>
                </w:r>
              </w:hyperlink>
              <w:r w:rsidRPr="00CF394E">
                <w:rPr>
                  <w:rFonts w:ascii="Arial" w:hAnsi="Arial" w:cs="Arial"/>
                  <w:noProof/>
                  <w:sz w:val="24"/>
                  <w:szCs w:val="24"/>
                </w:rPr>
                <w:t>(Accessed: 7 Jun 2023).</w:t>
              </w:r>
            </w:p>
            <w:p w14:paraId="67689432"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Fan, D. X. (2020). Understanding the tourist-resident relationship through social contact: Progressing the development of social contact in tourism. </w:t>
              </w:r>
              <w:r w:rsidRPr="00CF394E">
                <w:rPr>
                  <w:rFonts w:ascii="Arial" w:hAnsi="Arial" w:cs="Arial"/>
                  <w:i/>
                  <w:iCs/>
                  <w:noProof/>
                  <w:sz w:val="24"/>
                  <w:szCs w:val="24"/>
                </w:rPr>
                <w:t>Journal of Sustainable Tourism</w:t>
              </w:r>
              <w:r w:rsidRPr="00CF394E">
                <w:rPr>
                  <w:rFonts w:ascii="Arial" w:hAnsi="Arial" w:cs="Arial"/>
                  <w:noProof/>
                  <w:sz w:val="24"/>
                  <w:szCs w:val="24"/>
                </w:rPr>
                <w:t>, 1-19. Available at:</w:t>
              </w:r>
              <w:hyperlink r:id="rId11" w:history="1">
                <w:r w:rsidRPr="00CF394E">
                  <w:rPr>
                    <w:rFonts w:ascii="Arial" w:hAnsi="Arial" w:cs="Arial"/>
                    <w:noProof/>
                    <w:color w:val="0563C1" w:themeColor="hyperlink"/>
                    <w:sz w:val="24"/>
                    <w:szCs w:val="24"/>
                    <w:u w:val="single"/>
                  </w:rPr>
                  <w:t>https://doi.org/10.1080/09669582.2020.1852409</w:t>
                </w:r>
              </w:hyperlink>
              <w:r w:rsidRPr="00CF394E">
                <w:rPr>
                  <w:rFonts w:ascii="Arial" w:hAnsi="Arial" w:cs="Arial"/>
                  <w:noProof/>
                  <w:sz w:val="24"/>
                  <w:szCs w:val="24"/>
                </w:rPr>
                <w:t>(Accessed: 7 Jun 2023).</w:t>
              </w:r>
            </w:p>
            <w:p w14:paraId="320A273E"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Gkoumas, A. (2019). Evaluating a standard for sustainable tourism through the lenses of local industry. </w:t>
              </w:r>
              <w:r w:rsidRPr="00CF394E">
                <w:rPr>
                  <w:rFonts w:ascii="Arial" w:hAnsi="Arial" w:cs="Arial"/>
                  <w:i/>
                  <w:iCs/>
                  <w:noProof/>
                  <w:sz w:val="24"/>
                  <w:szCs w:val="24"/>
                </w:rPr>
                <w:t>Heliyon, 5</w:t>
              </w:r>
              <w:r w:rsidRPr="00CF394E">
                <w:rPr>
                  <w:rFonts w:ascii="Arial" w:hAnsi="Arial" w:cs="Arial"/>
                  <w:noProof/>
                  <w:sz w:val="24"/>
                  <w:szCs w:val="24"/>
                </w:rPr>
                <w:t>(11), e02707. Available at:</w:t>
              </w:r>
              <w:hyperlink r:id="rId12" w:history="1">
                <w:r w:rsidRPr="00CF394E">
                  <w:rPr>
                    <w:rFonts w:ascii="Arial" w:hAnsi="Arial" w:cs="Arial"/>
                    <w:noProof/>
                    <w:color w:val="0563C1" w:themeColor="hyperlink"/>
                    <w:sz w:val="24"/>
                    <w:szCs w:val="24"/>
                    <w:u w:val="single"/>
                  </w:rPr>
                  <w:t>https://doi.org/10.1016/j.heliyon.2019.e02707</w:t>
                </w:r>
              </w:hyperlink>
              <w:r w:rsidRPr="00CF394E">
                <w:rPr>
                  <w:rFonts w:ascii="Arial" w:hAnsi="Arial" w:cs="Arial"/>
                  <w:noProof/>
                  <w:sz w:val="24"/>
                  <w:szCs w:val="24"/>
                </w:rPr>
                <w:t>(Accessed: 7 Jun 2023).</w:t>
              </w:r>
            </w:p>
            <w:p w14:paraId="4A9050A3"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lastRenderedPageBreak/>
                <w:t xml:space="preserve">Gore, S., Borde, N., Hegde Desai, P., &amp; George, B. (2021). Empirically Mapping the Evolutionary Phases of Tourism Area Life Cycle (TALC): The Case of Goa, India. Tourism. </w:t>
              </w:r>
              <w:r w:rsidRPr="00CF394E">
                <w:rPr>
                  <w:rFonts w:ascii="Arial" w:hAnsi="Arial" w:cs="Arial"/>
                  <w:i/>
                  <w:iCs/>
                  <w:noProof/>
                  <w:sz w:val="24"/>
                  <w:szCs w:val="24"/>
                </w:rPr>
                <w:t>An International Interdisciplinary Journal, 69</w:t>
              </w:r>
              <w:r w:rsidRPr="00CF394E">
                <w:rPr>
                  <w:rFonts w:ascii="Arial" w:hAnsi="Arial" w:cs="Arial"/>
                  <w:noProof/>
                  <w:sz w:val="24"/>
                  <w:szCs w:val="24"/>
                </w:rPr>
                <w:t>(3), 346-366. Available at:</w:t>
              </w:r>
              <w:hyperlink r:id="rId13" w:history="1">
                <w:r w:rsidRPr="00CF394E">
                  <w:rPr>
                    <w:rFonts w:ascii="Arial" w:hAnsi="Arial" w:cs="Arial"/>
                    <w:noProof/>
                    <w:color w:val="0563C1" w:themeColor="hyperlink"/>
                    <w:sz w:val="24"/>
                    <w:szCs w:val="24"/>
                    <w:u w:val="single"/>
                  </w:rPr>
                  <w:t>https://orcid.org/0000-0002-2791-828X</w:t>
                </w:r>
              </w:hyperlink>
              <w:r w:rsidRPr="00CF394E">
                <w:rPr>
                  <w:rFonts w:ascii="Arial" w:hAnsi="Arial" w:cs="Arial"/>
                  <w:noProof/>
                  <w:sz w:val="24"/>
                  <w:szCs w:val="24"/>
                </w:rPr>
                <w:t>(Accessed: 7 Jun 2023).</w:t>
              </w:r>
            </w:p>
            <w:p w14:paraId="1D725243"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Gössling, S., &amp; Higham, J. (2021). The low-carbon imperative: Destination management under urgent climate change. </w:t>
              </w:r>
              <w:r w:rsidRPr="00CF394E">
                <w:rPr>
                  <w:rFonts w:ascii="Arial" w:hAnsi="Arial" w:cs="Arial"/>
                  <w:i/>
                  <w:iCs/>
                  <w:noProof/>
                  <w:sz w:val="24"/>
                  <w:szCs w:val="24"/>
                </w:rPr>
                <w:t>Journal of Travel Research, 60</w:t>
              </w:r>
              <w:r w:rsidRPr="00CF394E">
                <w:rPr>
                  <w:rFonts w:ascii="Arial" w:hAnsi="Arial" w:cs="Arial"/>
                  <w:noProof/>
                  <w:sz w:val="24"/>
                  <w:szCs w:val="24"/>
                </w:rPr>
                <w:t>(6), 1167-1179. Available at:</w:t>
              </w:r>
              <w:hyperlink r:id="rId14" w:history="1">
                <w:r w:rsidRPr="00CF394E">
                  <w:rPr>
                    <w:rFonts w:ascii="Arial" w:hAnsi="Arial" w:cs="Arial"/>
                    <w:noProof/>
                    <w:color w:val="0563C1" w:themeColor="hyperlink"/>
                    <w:sz w:val="24"/>
                    <w:szCs w:val="24"/>
                    <w:u w:val="single"/>
                  </w:rPr>
                  <w:t>https://journals.sagepub.com/doi/pdf/10.1177/0047287520933679</w:t>
                </w:r>
              </w:hyperlink>
              <w:r w:rsidRPr="00CF394E">
                <w:rPr>
                  <w:rFonts w:ascii="Arial" w:hAnsi="Arial" w:cs="Arial"/>
                  <w:noProof/>
                  <w:sz w:val="24"/>
                  <w:szCs w:val="24"/>
                </w:rPr>
                <w:t>(Accessed: 7 Jun 2023).</w:t>
              </w:r>
            </w:p>
            <w:p w14:paraId="45CA8E09"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Hasan, A. A., Shakib, A. S., &amp; Mondal, S. (2022). The white tourist gaze: A review perspective. </w:t>
              </w:r>
              <w:r w:rsidRPr="00CF394E">
                <w:rPr>
                  <w:rFonts w:ascii="Arial" w:hAnsi="Arial" w:cs="Arial"/>
                  <w:i/>
                  <w:iCs/>
                  <w:noProof/>
                  <w:sz w:val="24"/>
                  <w:szCs w:val="24"/>
                </w:rPr>
                <w:t>Global Media Journal, 20</w:t>
              </w:r>
              <w:r w:rsidRPr="00CF394E">
                <w:rPr>
                  <w:rFonts w:ascii="Arial" w:hAnsi="Arial" w:cs="Arial"/>
                  <w:noProof/>
                  <w:sz w:val="24"/>
                  <w:szCs w:val="24"/>
                </w:rPr>
                <w:t>(51), 1-8.</w:t>
              </w:r>
              <w:r w:rsidRPr="00CF394E">
                <w:rPr>
                  <w:rFonts w:ascii="Arial" w:hAnsi="Arial" w:cs="Arial"/>
                  <w:sz w:val="24"/>
                  <w:szCs w:val="24"/>
                </w:rPr>
                <w:t xml:space="preserve"> </w:t>
              </w:r>
              <w:r w:rsidRPr="00CF394E">
                <w:rPr>
                  <w:rFonts w:ascii="Arial" w:hAnsi="Arial" w:cs="Arial"/>
                  <w:noProof/>
                  <w:sz w:val="24"/>
                  <w:szCs w:val="24"/>
                </w:rPr>
                <w:t>Available at</w:t>
              </w:r>
              <w:r w:rsidRPr="00CF394E">
                <w:rPr>
                  <w:rFonts w:ascii="Arial" w:hAnsi="Arial" w:cs="Arial"/>
                  <w:sz w:val="24"/>
                  <w:szCs w:val="24"/>
                </w:rPr>
                <w:t xml:space="preserve"> :</w:t>
              </w:r>
              <w:hyperlink r:id="rId15" w:history="1">
                <w:r w:rsidRPr="00CF394E">
                  <w:rPr>
                    <w:rFonts w:ascii="Arial" w:hAnsi="Arial" w:cs="Arial"/>
                    <w:noProof/>
                    <w:color w:val="0563C1" w:themeColor="hyperlink"/>
                    <w:sz w:val="24"/>
                    <w:szCs w:val="24"/>
                    <w:u w:val="single"/>
                  </w:rPr>
                  <w:t>https://doi.org/10.36648/1550-7521.20.51.304</w:t>
                </w:r>
              </w:hyperlink>
              <w:r w:rsidRPr="00CF394E">
                <w:rPr>
                  <w:rFonts w:ascii="Arial" w:hAnsi="Arial" w:cs="Arial"/>
                  <w:noProof/>
                  <w:sz w:val="24"/>
                  <w:szCs w:val="24"/>
                </w:rPr>
                <w:t>(Accessed: 7 Jun 2023).</w:t>
              </w:r>
            </w:p>
            <w:p w14:paraId="06B7C3DE"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Ivars-Baidal, J. A., Celdrán-Bernabeu, M. A., Mazón, J. N., &amp; Perles-Ivars, Á. F. (2019). Smart destinations and the evolution of ICTs: a new scenario for destination management? </w:t>
              </w:r>
              <w:r w:rsidRPr="00CF394E">
                <w:rPr>
                  <w:rFonts w:ascii="Arial" w:hAnsi="Arial" w:cs="Arial"/>
                  <w:i/>
                  <w:iCs/>
                  <w:noProof/>
                  <w:sz w:val="24"/>
                  <w:szCs w:val="24"/>
                </w:rPr>
                <w:t>Current Issues in Tourism, 22</w:t>
              </w:r>
              <w:r w:rsidRPr="00CF394E">
                <w:rPr>
                  <w:rFonts w:ascii="Arial" w:hAnsi="Arial" w:cs="Arial"/>
                  <w:noProof/>
                  <w:sz w:val="24"/>
                  <w:szCs w:val="24"/>
                </w:rPr>
                <w:t>(13), 1581-1600. Available at:</w:t>
              </w:r>
              <w:hyperlink r:id="rId16" w:history="1">
                <w:r w:rsidRPr="00CF394E">
                  <w:rPr>
                    <w:rFonts w:ascii="Arial" w:hAnsi="Arial" w:cs="Arial"/>
                    <w:noProof/>
                    <w:color w:val="0563C1" w:themeColor="hyperlink"/>
                    <w:sz w:val="24"/>
                    <w:szCs w:val="24"/>
                    <w:u w:val="single"/>
                  </w:rPr>
                  <w:t>https://doi.org/10.1080/13683500.2017.1388771</w:t>
                </w:r>
              </w:hyperlink>
              <w:r w:rsidRPr="00CF394E">
                <w:rPr>
                  <w:rFonts w:ascii="Arial" w:hAnsi="Arial" w:cs="Arial"/>
                  <w:noProof/>
                  <w:sz w:val="24"/>
                  <w:szCs w:val="24"/>
                </w:rPr>
                <w:t>(Accessed: 7 Jun 2023).</w:t>
              </w:r>
            </w:p>
            <w:p w14:paraId="52E1D1E5"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Katuwal, S., &amp; Afzal, M. (2022). </w:t>
              </w:r>
              <w:r w:rsidRPr="00CF394E">
                <w:rPr>
                  <w:rFonts w:ascii="Arial" w:hAnsi="Arial" w:cs="Arial"/>
                  <w:i/>
                  <w:iCs/>
                  <w:noProof/>
                  <w:sz w:val="24"/>
                  <w:szCs w:val="24"/>
                </w:rPr>
                <w:t>A framework for managing food wastage: Strategies to promote recycling and sustainability in the hotel industry.</w:t>
              </w:r>
              <w:r w:rsidRPr="00CF394E">
                <w:rPr>
                  <w:rFonts w:ascii="Arial" w:hAnsi="Arial" w:cs="Arial"/>
                  <w:noProof/>
                  <w:sz w:val="24"/>
                  <w:szCs w:val="24"/>
                </w:rPr>
                <w:t xml:space="preserve"> Available at:</w:t>
              </w:r>
              <w:hyperlink r:id="rId17" w:history="1">
                <w:r w:rsidRPr="00CF394E">
                  <w:rPr>
                    <w:rFonts w:ascii="Arial" w:hAnsi="Arial" w:cs="Arial"/>
                    <w:noProof/>
                    <w:color w:val="0563C1" w:themeColor="hyperlink"/>
                    <w:sz w:val="24"/>
                    <w:szCs w:val="24"/>
                    <w:u w:val="single"/>
                  </w:rPr>
                  <w:t>https://urn.fi/URN:NBN:fi:amk-2022112724349</w:t>
                </w:r>
              </w:hyperlink>
              <w:r w:rsidRPr="00CF394E">
                <w:rPr>
                  <w:rFonts w:ascii="Arial" w:hAnsi="Arial" w:cs="Arial"/>
                  <w:noProof/>
                  <w:sz w:val="24"/>
                  <w:szCs w:val="24"/>
                </w:rPr>
                <w:t>(Accessed: 7 Jun 2023).</w:t>
              </w:r>
            </w:p>
            <w:p w14:paraId="3C3E2B83"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Legislation. Govt. UK. (2023, Jun 6). </w:t>
              </w:r>
              <w:r w:rsidRPr="00CF394E">
                <w:rPr>
                  <w:rFonts w:ascii="Arial" w:hAnsi="Arial" w:cs="Arial"/>
                  <w:i/>
                  <w:iCs/>
                  <w:noProof/>
                  <w:sz w:val="24"/>
                  <w:szCs w:val="24"/>
                </w:rPr>
                <w:t>Legislation. govt. uk</w:t>
              </w:r>
              <w:r w:rsidRPr="00CF394E">
                <w:rPr>
                  <w:rFonts w:ascii="Arial" w:hAnsi="Arial" w:cs="Arial"/>
                  <w:noProof/>
                  <w:sz w:val="24"/>
                  <w:szCs w:val="24"/>
                </w:rPr>
                <w:t>. Available at:</w:t>
              </w:r>
              <w:hyperlink r:id="rId18" w:history="1">
                <w:r w:rsidRPr="00CF394E">
                  <w:rPr>
                    <w:rFonts w:ascii="Arial" w:hAnsi="Arial" w:cs="Arial"/>
                    <w:noProof/>
                    <w:color w:val="0563C1" w:themeColor="hyperlink"/>
                    <w:sz w:val="24"/>
                    <w:szCs w:val="24"/>
                    <w:u w:val="single"/>
                  </w:rPr>
                  <w:t>https://www.legislation.gov.uk/ukpga/2021/30/enacted#:~:text=An%20Act%20to%20make%20provision,that%20fail%20to%20meet%20environmental</w:t>
                </w:r>
              </w:hyperlink>
              <w:r w:rsidRPr="00CF394E">
                <w:rPr>
                  <w:rFonts w:ascii="Arial" w:hAnsi="Arial" w:cs="Arial"/>
                  <w:noProof/>
                  <w:sz w:val="24"/>
                  <w:szCs w:val="24"/>
                </w:rPr>
                <w:t>(Accessed: 7 Jun 2023).</w:t>
              </w:r>
            </w:p>
            <w:p w14:paraId="38181AF4"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Mandić, A., &amp; Kennell, J. (2021). Smart governance for heritage tourism destinations: Contextual factors and destination management organization perspectives. </w:t>
              </w:r>
              <w:r w:rsidRPr="00CF394E">
                <w:rPr>
                  <w:rFonts w:ascii="Arial" w:hAnsi="Arial" w:cs="Arial"/>
                  <w:i/>
                  <w:iCs/>
                  <w:noProof/>
                  <w:sz w:val="24"/>
                  <w:szCs w:val="24"/>
                </w:rPr>
                <w:t>Tourism Management Perspectives, 39</w:t>
              </w:r>
              <w:r w:rsidRPr="00CF394E">
                <w:rPr>
                  <w:rFonts w:ascii="Arial" w:hAnsi="Arial" w:cs="Arial"/>
                  <w:noProof/>
                  <w:sz w:val="24"/>
                  <w:szCs w:val="24"/>
                </w:rPr>
                <w:t>, 100862. Available at:</w:t>
              </w:r>
              <w:hyperlink r:id="rId19" w:history="1">
                <w:r w:rsidRPr="00CF394E">
                  <w:rPr>
                    <w:rFonts w:ascii="Arial" w:hAnsi="Arial" w:cs="Arial"/>
                    <w:noProof/>
                    <w:color w:val="0563C1" w:themeColor="hyperlink"/>
                    <w:sz w:val="24"/>
                    <w:szCs w:val="24"/>
                    <w:u w:val="single"/>
                  </w:rPr>
                  <w:t>https://doi.org/10.1016/j.tmp.2021.100862</w:t>
                </w:r>
              </w:hyperlink>
              <w:r w:rsidRPr="00CF394E">
                <w:rPr>
                  <w:rFonts w:ascii="Arial" w:hAnsi="Arial" w:cs="Arial"/>
                  <w:noProof/>
                  <w:sz w:val="24"/>
                  <w:szCs w:val="24"/>
                </w:rPr>
                <w:t>(Accessed: 7 Jun 2023).</w:t>
              </w:r>
            </w:p>
            <w:p w14:paraId="0FCEDEBB"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Merigó, J. M., Mulet-Forteza, C., Valencia, C., &amp; Lew, A. A. (2019). Twenty years of Tourism Geographies: a bibliometric overview. </w:t>
              </w:r>
              <w:r w:rsidRPr="00CF394E">
                <w:rPr>
                  <w:rFonts w:ascii="Arial" w:hAnsi="Arial" w:cs="Arial"/>
                  <w:i/>
                  <w:iCs/>
                  <w:noProof/>
                  <w:sz w:val="24"/>
                  <w:szCs w:val="24"/>
                </w:rPr>
                <w:t>Tourism Geographies, 21</w:t>
              </w:r>
              <w:r w:rsidRPr="00CF394E">
                <w:rPr>
                  <w:rFonts w:ascii="Arial" w:hAnsi="Arial" w:cs="Arial"/>
                  <w:noProof/>
                  <w:sz w:val="24"/>
                  <w:szCs w:val="24"/>
                </w:rPr>
                <w:t xml:space="preserve">(5), </w:t>
              </w:r>
              <w:r w:rsidRPr="00CF394E">
                <w:rPr>
                  <w:rFonts w:ascii="Arial" w:hAnsi="Arial" w:cs="Arial"/>
                  <w:noProof/>
                  <w:sz w:val="24"/>
                  <w:szCs w:val="24"/>
                </w:rPr>
                <w:lastRenderedPageBreak/>
                <w:t>881-910.</w:t>
              </w:r>
              <w:r w:rsidRPr="00CF394E">
                <w:rPr>
                  <w:rFonts w:ascii="Arial" w:hAnsi="Arial" w:cs="Arial"/>
                  <w:sz w:val="24"/>
                  <w:szCs w:val="24"/>
                </w:rPr>
                <w:t xml:space="preserve"> </w:t>
              </w:r>
              <w:r w:rsidRPr="00CF394E">
                <w:rPr>
                  <w:rFonts w:ascii="Arial" w:hAnsi="Arial" w:cs="Arial"/>
                  <w:noProof/>
                  <w:sz w:val="24"/>
                  <w:szCs w:val="24"/>
                </w:rPr>
                <w:t>Available at:</w:t>
              </w:r>
              <w:hyperlink r:id="rId20" w:history="1">
                <w:r w:rsidRPr="00CF394E">
                  <w:rPr>
                    <w:rFonts w:ascii="Arial" w:hAnsi="Arial" w:cs="Arial"/>
                    <w:noProof/>
                    <w:color w:val="0563C1" w:themeColor="hyperlink"/>
                    <w:sz w:val="24"/>
                    <w:szCs w:val="24"/>
                    <w:u w:val="single"/>
                  </w:rPr>
                  <w:t>https://doi.org/10.1080/14616688.2019.1666913</w:t>
                </w:r>
              </w:hyperlink>
              <w:r w:rsidRPr="00CF394E">
                <w:rPr>
                  <w:rFonts w:ascii="Arial" w:hAnsi="Arial" w:cs="Arial"/>
                  <w:noProof/>
                  <w:sz w:val="24"/>
                  <w:szCs w:val="24"/>
                </w:rPr>
                <w:t>(Accessed: 7 Jun 2023).</w:t>
              </w:r>
            </w:p>
            <w:p w14:paraId="0E43687B"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Moreno-Gil, S., &amp; Coca-Stefaniak, J. A. (2020). Guest editorial": Overtourism and the sharing economy–tourism cities at a crossroads. </w:t>
              </w:r>
              <w:r w:rsidRPr="00CF394E">
                <w:rPr>
                  <w:rFonts w:ascii="Arial" w:hAnsi="Arial" w:cs="Arial"/>
                  <w:i/>
                  <w:iCs/>
                  <w:noProof/>
                  <w:sz w:val="24"/>
                  <w:szCs w:val="24"/>
                </w:rPr>
                <w:t>International Journal of Tourism Cities, 6</w:t>
              </w:r>
              <w:r w:rsidRPr="00CF394E">
                <w:rPr>
                  <w:rFonts w:ascii="Arial" w:hAnsi="Arial" w:cs="Arial"/>
                  <w:noProof/>
                  <w:sz w:val="24"/>
                  <w:szCs w:val="24"/>
                </w:rPr>
                <w:t>(1), 1-7. Available at:</w:t>
              </w:r>
              <w:hyperlink r:id="rId21" w:history="1">
                <w:r w:rsidRPr="00CF394E">
                  <w:rPr>
                    <w:rFonts w:ascii="Arial" w:hAnsi="Arial" w:cs="Arial"/>
                    <w:noProof/>
                    <w:color w:val="0563C1" w:themeColor="hyperlink"/>
                    <w:sz w:val="24"/>
                    <w:szCs w:val="24"/>
                    <w:u w:val="single"/>
                  </w:rPr>
                  <w:t>https://doi.org/10.1108/IJTC-03-2020-174</w:t>
                </w:r>
              </w:hyperlink>
              <w:r w:rsidRPr="00CF394E">
                <w:rPr>
                  <w:rFonts w:ascii="Arial" w:hAnsi="Arial" w:cs="Arial"/>
                  <w:noProof/>
                  <w:sz w:val="24"/>
                  <w:szCs w:val="24"/>
                </w:rPr>
                <w:t>(Accessed: 7 Jun 2023).</w:t>
              </w:r>
            </w:p>
            <w:p w14:paraId="4B0BE12B"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Ranjbari, M., Esfandabadi, Z. S., Zanetti, M. C., Scagnelli, S. D., Siebers, P. O., Aghbashlo, M., &amp; Tabatabaei, M. (2021). Three pillars of sustainability in the wake of COVID-19: A systematic review and future research agenda for sustainable development. </w:t>
              </w:r>
              <w:r w:rsidRPr="00CF394E">
                <w:rPr>
                  <w:rFonts w:ascii="Arial" w:hAnsi="Arial" w:cs="Arial"/>
                  <w:i/>
                  <w:iCs/>
                  <w:noProof/>
                  <w:sz w:val="24"/>
                  <w:szCs w:val="24"/>
                </w:rPr>
                <w:t>Journal of Cleaner Production, 297</w:t>
              </w:r>
              <w:r w:rsidRPr="00CF394E">
                <w:rPr>
                  <w:rFonts w:ascii="Arial" w:hAnsi="Arial" w:cs="Arial"/>
                  <w:noProof/>
                  <w:sz w:val="24"/>
                  <w:szCs w:val="24"/>
                </w:rPr>
                <w:t>, 126660. Available at:</w:t>
              </w:r>
              <w:hyperlink r:id="rId22" w:history="1">
                <w:r w:rsidRPr="00CF394E">
                  <w:rPr>
                    <w:rFonts w:ascii="Arial" w:hAnsi="Arial" w:cs="Arial"/>
                    <w:noProof/>
                    <w:color w:val="0563C1" w:themeColor="hyperlink"/>
                    <w:sz w:val="24"/>
                    <w:szCs w:val="24"/>
                    <w:u w:val="single"/>
                  </w:rPr>
                  <w:t>https://doi.org/10.1016/j.jclepro.2021.126660</w:t>
                </w:r>
              </w:hyperlink>
              <w:r w:rsidRPr="00CF394E">
                <w:rPr>
                  <w:rFonts w:ascii="Arial" w:hAnsi="Arial" w:cs="Arial"/>
                  <w:noProof/>
                  <w:sz w:val="24"/>
                  <w:szCs w:val="24"/>
                </w:rPr>
                <w:t>(Accessed: 7 Jun 2023).</w:t>
              </w:r>
            </w:p>
            <w:p w14:paraId="21CA0816"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Sharpley, R. (2020). Tourism, sustainable development and the theoretical divide: 20 years on. </w:t>
              </w:r>
              <w:r w:rsidRPr="00CF394E">
                <w:rPr>
                  <w:rFonts w:ascii="Arial" w:hAnsi="Arial" w:cs="Arial"/>
                  <w:i/>
                  <w:iCs/>
                  <w:noProof/>
                  <w:sz w:val="24"/>
                  <w:szCs w:val="24"/>
                </w:rPr>
                <w:t>Journal of sustainable tourism, 28</w:t>
              </w:r>
              <w:r w:rsidRPr="00CF394E">
                <w:rPr>
                  <w:rFonts w:ascii="Arial" w:hAnsi="Arial" w:cs="Arial"/>
                  <w:noProof/>
                  <w:sz w:val="24"/>
                  <w:szCs w:val="24"/>
                </w:rPr>
                <w:t>(11), 1932-1946. Available at:</w:t>
              </w:r>
              <w:hyperlink r:id="rId23" w:history="1">
                <w:r w:rsidRPr="00CF394E">
                  <w:rPr>
                    <w:rFonts w:ascii="Arial" w:hAnsi="Arial" w:cs="Arial"/>
                    <w:noProof/>
                    <w:color w:val="0563C1" w:themeColor="hyperlink"/>
                    <w:sz w:val="24"/>
                    <w:szCs w:val="24"/>
                    <w:u w:val="single"/>
                  </w:rPr>
                  <w:t>https://doi.org/10.1080/09669582.2020.1779732</w:t>
                </w:r>
              </w:hyperlink>
              <w:r w:rsidRPr="00CF394E">
                <w:rPr>
                  <w:rFonts w:ascii="Arial" w:hAnsi="Arial" w:cs="Arial"/>
                  <w:noProof/>
                  <w:sz w:val="24"/>
                  <w:szCs w:val="24"/>
                </w:rPr>
                <w:t>(Accessed: 7 Jun 2023).</w:t>
              </w:r>
            </w:p>
            <w:p w14:paraId="5EA5092F"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Shobha, K. B. (2019). A case study on irritation among local people towards the growth of tourism in Kodagu district: With the reference of Doxey’s irridex model. </w:t>
              </w:r>
              <w:r w:rsidRPr="00CF394E">
                <w:rPr>
                  <w:rFonts w:ascii="Arial" w:hAnsi="Arial" w:cs="Arial"/>
                  <w:i/>
                  <w:iCs/>
                  <w:noProof/>
                  <w:sz w:val="24"/>
                  <w:szCs w:val="24"/>
                </w:rPr>
                <w:t>International Journal of Innovative Research and Advanced Studies, 6</w:t>
              </w:r>
              <w:r w:rsidRPr="00CF394E">
                <w:rPr>
                  <w:rFonts w:ascii="Arial" w:hAnsi="Arial" w:cs="Arial"/>
                  <w:noProof/>
                  <w:sz w:val="24"/>
                  <w:szCs w:val="24"/>
                </w:rPr>
                <w:t>(1), 146-148. Available at:</w:t>
              </w:r>
              <w:hyperlink r:id="rId24" w:history="1">
                <w:r w:rsidRPr="00CF394E">
                  <w:rPr>
                    <w:rFonts w:ascii="Arial" w:hAnsi="Arial" w:cs="Arial"/>
                    <w:noProof/>
                    <w:color w:val="0563C1" w:themeColor="hyperlink"/>
                    <w:sz w:val="24"/>
                    <w:szCs w:val="24"/>
                    <w:u w:val="single"/>
                  </w:rPr>
                  <w:t>https://www.ijiras.com/2019/Vol_6-Issue_1/paper_22.pdf</w:t>
                </w:r>
              </w:hyperlink>
              <w:r w:rsidRPr="00CF394E">
                <w:rPr>
                  <w:rFonts w:ascii="Arial" w:hAnsi="Arial" w:cs="Arial"/>
                  <w:noProof/>
                  <w:sz w:val="24"/>
                  <w:szCs w:val="24"/>
                </w:rPr>
                <w:t>(Accessed: 7 Jun 2023).</w:t>
              </w:r>
            </w:p>
            <w:p w14:paraId="7C5E3E11"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Singh, S. (2021). Time, tourism area ‘life-cycle,’evolution and heritage. </w:t>
              </w:r>
              <w:r w:rsidRPr="00CF394E">
                <w:rPr>
                  <w:rFonts w:ascii="Arial" w:hAnsi="Arial" w:cs="Arial"/>
                  <w:i/>
                  <w:iCs/>
                  <w:noProof/>
                  <w:sz w:val="24"/>
                  <w:szCs w:val="24"/>
                </w:rPr>
                <w:t>Journal of Heritage Tourism, 16</w:t>
              </w:r>
              <w:r w:rsidRPr="00CF394E">
                <w:rPr>
                  <w:rFonts w:ascii="Arial" w:hAnsi="Arial" w:cs="Arial"/>
                  <w:noProof/>
                  <w:sz w:val="24"/>
                  <w:szCs w:val="24"/>
                </w:rPr>
                <w:t>(2), 218-229. Available at:</w:t>
              </w:r>
              <w:hyperlink r:id="rId25" w:history="1">
                <w:r w:rsidRPr="00CF394E">
                  <w:rPr>
                    <w:rFonts w:ascii="Arial" w:hAnsi="Arial" w:cs="Arial"/>
                    <w:noProof/>
                    <w:color w:val="0563C1" w:themeColor="hyperlink"/>
                    <w:sz w:val="24"/>
                    <w:szCs w:val="24"/>
                    <w:u w:val="single"/>
                  </w:rPr>
                  <w:t>https://doi.org/10.1080/1743873X.2020.1766475</w:t>
                </w:r>
              </w:hyperlink>
              <w:r w:rsidRPr="00CF394E">
                <w:rPr>
                  <w:rFonts w:ascii="Arial" w:hAnsi="Arial" w:cs="Arial"/>
                  <w:noProof/>
                  <w:sz w:val="24"/>
                  <w:szCs w:val="24"/>
                </w:rPr>
                <w:t>(Accessed: 7 Jun 2023).</w:t>
              </w:r>
            </w:p>
            <w:p w14:paraId="468004E4"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Torkington, K., Stanford, D., &amp; Guiver, J. (2020). Discourse (s) of growth and sustainability in national tourism policy documents. </w:t>
              </w:r>
              <w:r w:rsidRPr="00CF394E">
                <w:rPr>
                  <w:rFonts w:ascii="Arial" w:hAnsi="Arial" w:cs="Arial"/>
                  <w:i/>
                  <w:iCs/>
                  <w:noProof/>
                  <w:sz w:val="24"/>
                  <w:szCs w:val="24"/>
                </w:rPr>
                <w:t>Journal of Sustainable Tourism, 28</w:t>
              </w:r>
              <w:r w:rsidRPr="00CF394E">
                <w:rPr>
                  <w:rFonts w:ascii="Arial" w:hAnsi="Arial" w:cs="Arial"/>
                  <w:noProof/>
                  <w:sz w:val="24"/>
                  <w:szCs w:val="24"/>
                </w:rPr>
                <w:t>(7), 1041-1062. Available at:</w:t>
              </w:r>
              <w:hyperlink r:id="rId26" w:history="1">
                <w:r w:rsidRPr="00CF394E">
                  <w:rPr>
                    <w:rFonts w:ascii="Arial" w:hAnsi="Arial" w:cs="Arial"/>
                    <w:noProof/>
                    <w:color w:val="0563C1" w:themeColor="hyperlink"/>
                    <w:sz w:val="24"/>
                    <w:szCs w:val="24"/>
                    <w:u w:val="single"/>
                  </w:rPr>
                  <w:t>https://doi.org/10.1080/09669582.2020.1720695</w:t>
                </w:r>
              </w:hyperlink>
              <w:r w:rsidRPr="00CF394E">
                <w:rPr>
                  <w:rFonts w:ascii="Arial" w:hAnsi="Arial" w:cs="Arial"/>
                  <w:noProof/>
                  <w:sz w:val="24"/>
                  <w:szCs w:val="24"/>
                </w:rPr>
                <w:t>(Accessed: 7 Jun 2023).</w:t>
              </w:r>
            </w:p>
            <w:p w14:paraId="38487C44" w14:textId="77777777" w:rsidR="00CF394E" w:rsidRPr="00CF394E" w:rsidRDefault="00CF394E" w:rsidP="00CF394E">
              <w:pPr>
                <w:spacing w:line="360" w:lineRule="auto"/>
                <w:ind w:left="720" w:hanging="720"/>
                <w:rPr>
                  <w:rFonts w:ascii="Arial" w:hAnsi="Arial" w:cs="Arial"/>
                  <w:noProof/>
                  <w:sz w:val="24"/>
                  <w:szCs w:val="24"/>
                </w:rPr>
              </w:pPr>
              <w:r w:rsidRPr="00CF394E">
                <w:rPr>
                  <w:rFonts w:ascii="Arial" w:hAnsi="Arial" w:cs="Arial"/>
                  <w:noProof/>
                  <w:sz w:val="24"/>
                  <w:szCs w:val="24"/>
                </w:rPr>
                <w:t xml:space="preserve">Wang, S., &amp; Mirehie, M. (2022). </w:t>
              </w:r>
              <w:r w:rsidRPr="00CF394E">
                <w:rPr>
                  <w:rFonts w:ascii="Arial" w:hAnsi="Arial" w:cs="Arial"/>
                  <w:i/>
                  <w:iCs/>
                  <w:noProof/>
                  <w:sz w:val="24"/>
                  <w:szCs w:val="24"/>
                </w:rPr>
                <w:t>Community perceptions of tourism impacts. In Handbook of Tourism Impacts (pp. 60-74).</w:t>
              </w:r>
              <w:r w:rsidRPr="00CF394E">
                <w:rPr>
                  <w:rFonts w:ascii="Arial" w:hAnsi="Arial" w:cs="Arial"/>
                  <w:noProof/>
                  <w:sz w:val="24"/>
                  <w:szCs w:val="24"/>
                </w:rPr>
                <w:t xml:space="preserve"> Edward Elgar Publishing. Available at:</w:t>
              </w:r>
              <w:hyperlink r:id="rId27" w:history="1">
                <w:r w:rsidRPr="00CF394E">
                  <w:rPr>
                    <w:rFonts w:ascii="Arial" w:hAnsi="Arial" w:cs="Arial"/>
                    <w:noProof/>
                    <w:color w:val="0563C1" w:themeColor="hyperlink"/>
                    <w:sz w:val="24"/>
                    <w:szCs w:val="24"/>
                    <w:u w:val="single"/>
                  </w:rPr>
                  <w:t>https://doi.org/10.4337/9781800377684.00014</w:t>
                </w:r>
              </w:hyperlink>
              <w:r w:rsidRPr="00CF394E">
                <w:rPr>
                  <w:rFonts w:ascii="Arial" w:hAnsi="Arial" w:cs="Arial"/>
                  <w:noProof/>
                  <w:sz w:val="24"/>
                  <w:szCs w:val="24"/>
                </w:rPr>
                <w:t>(Accessed: 7 Jun 2023).</w:t>
              </w:r>
            </w:p>
            <w:p w14:paraId="4FD40396" w14:textId="77777777" w:rsidR="00CF394E" w:rsidRPr="00CF394E" w:rsidRDefault="00CF394E" w:rsidP="00CF394E">
              <w:pPr>
                <w:spacing w:line="360" w:lineRule="auto"/>
                <w:rPr>
                  <w:rFonts w:ascii="Arial" w:hAnsi="Arial" w:cs="Arial"/>
                  <w:sz w:val="24"/>
                  <w:szCs w:val="24"/>
                </w:rPr>
              </w:pPr>
              <w:r w:rsidRPr="00CF394E">
                <w:rPr>
                  <w:rFonts w:ascii="Arial" w:hAnsi="Arial" w:cs="Arial"/>
                  <w:b/>
                  <w:bCs/>
                  <w:noProof/>
                  <w:sz w:val="24"/>
                  <w:szCs w:val="24"/>
                </w:rPr>
                <w:lastRenderedPageBreak/>
                <w:fldChar w:fldCharType="end"/>
              </w:r>
            </w:p>
          </w:sdtContent>
        </w:sdt>
      </w:sdtContent>
    </w:sdt>
    <w:p w14:paraId="3A245F38" w14:textId="77777777" w:rsidR="00CF394E" w:rsidRDefault="00CF394E" w:rsidP="00CF394E">
      <w:pPr>
        <w:spacing w:line="360" w:lineRule="auto"/>
        <w:jc w:val="both"/>
      </w:pPr>
    </w:p>
    <w:p w14:paraId="0C779EC9" w14:textId="77777777" w:rsidR="00CF394E" w:rsidRDefault="00CF394E"/>
    <w:sectPr w:rsidR="00CF394E"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D7AB1"/>
    <w:multiLevelType w:val="multilevel"/>
    <w:tmpl w:val="6F940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226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0Mza3MLc0sbC0tDBU0lEKTi0uzszPAykwrgUAgIeJYywAAAA="/>
  </w:docVars>
  <w:rsids>
    <w:rsidRoot w:val="00CF394E"/>
    <w:rsid w:val="000B2B4D"/>
    <w:rsid w:val="003049A7"/>
    <w:rsid w:val="0051632D"/>
    <w:rsid w:val="005F2B29"/>
    <w:rsid w:val="007C5FE4"/>
    <w:rsid w:val="0098132C"/>
    <w:rsid w:val="00CF394E"/>
    <w:rsid w:val="00CF5DE3"/>
    <w:rsid w:val="00D754AA"/>
    <w:rsid w:val="00DB13CD"/>
    <w:rsid w:val="00EB2A54"/>
    <w:rsid w:val="00FF69C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1170"/>
  <w15:chartTrackingRefBased/>
  <w15:docId w15:val="{8178B292-761F-431D-9DAB-BEF05C26F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94E"/>
    <w:rPr>
      <w:kern w:val="0"/>
      <w:lang w:val="en-US"/>
      <w14:ligatures w14:val="none"/>
    </w:rPr>
  </w:style>
  <w:style w:type="paragraph" w:styleId="Heading1">
    <w:name w:val="heading 1"/>
    <w:basedOn w:val="Normal"/>
    <w:next w:val="Normal"/>
    <w:link w:val="Heading1Char"/>
    <w:uiPriority w:val="9"/>
    <w:qFormat/>
    <w:rsid w:val="00CF39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94E"/>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CF394E"/>
    <w:pPr>
      <w:outlineLvl w:val="9"/>
    </w:pPr>
  </w:style>
  <w:style w:type="paragraph" w:styleId="TOC1">
    <w:name w:val="toc 1"/>
    <w:basedOn w:val="Normal"/>
    <w:next w:val="Normal"/>
    <w:autoRedefine/>
    <w:uiPriority w:val="39"/>
    <w:unhideWhenUsed/>
    <w:rsid w:val="00CF394E"/>
    <w:pPr>
      <w:tabs>
        <w:tab w:val="right" w:leader="dot" w:pos="9350"/>
      </w:tabs>
      <w:spacing w:after="100"/>
    </w:pPr>
    <w:rPr>
      <w:rFonts w:eastAsia="Times New Roman"/>
      <w:b/>
      <w:bCs/>
      <w:noProof/>
    </w:rPr>
  </w:style>
  <w:style w:type="paragraph" w:styleId="TOC2">
    <w:name w:val="toc 2"/>
    <w:basedOn w:val="Normal"/>
    <w:next w:val="Normal"/>
    <w:autoRedefine/>
    <w:uiPriority w:val="39"/>
    <w:unhideWhenUsed/>
    <w:rsid w:val="00CF394E"/>
    <w:pPr>
      <w:spacing w:after="100"/>
      <w:ind w:left="220"/>
    </w:pPr>
  </w:style>
  <w:style w:type="character" w:styleId="Hyperlink">
    <w:name w:val="Hyperlink"/>
    <w:basedOn w:val="DefaultParagraphFont"/>
    <w:uiPriority w:val="99"/>
    <w:unhideWhenUsed/>
    <w:rsid w:val="00CF39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20.1730862" TargetMode="External"/><Relationship Id="rId13" Type="http://schemas.openxmlformats.org/officeDocument/2006/relationships/hyperlink" Target="https://orcid.org/0000-0002-2791-828X" TargetMode="External"/><Relationship Id="rId18" Type="http://schemas.openxmlformats.org/officeDocument/2006/relationships/hyperlink" Target="https://www.legislation.gov.uk/ukpga/2021/30/enacted%23:~:text=An%20Act%20to%20make%20provision,that%20fail%20to%20meet%20environmental" TargetMode="External"/><Relationship Id="rId26" Type="http://schemas.openxmlformats.org/officeDocument/2006/relationships/hyperlink" Target="https://doi.org/10.1080/09669582.2020.1720695" TargetMode="External"/><Relationship Id="rId3" Type="http://schemas.openxmlformats.org/officeDocument/2006/relationships/styles" Target="styles.xml"/><Relationship Id="rId21" Type="http://schemas.openxmlformats.org/officeDocument/2006/relationships/hyperlink" Target="https://doi.org/10.1108/IJTC-03-2020-174" TargetMode="External"/><Relationship Id="rId7" Type="http://schemas.openxmlformats.org/officeDocument/2006/relationships/hyperlink" Target="https://doi.org/10.1002/ep.13041" TargetMode="External"/><Relationship Id="rId12" Type="http://schemas.openxmlformats.org/officeDocument/2006/relationships/hyperlink" Target="https://doi.org/10.1016/j.heliyon.2019.e02707" TargetMode="External"/><Relationship Id="rId17" Type="http://schemas.openxmlformats.org/officeDocument/2006/relationships/hyperlink" Target="https://urn.fi/URN:NBN:fi:amk-2022112724349" TargetMode="External"/><Relationship Id="rId25" Type="http://schemas.openxmlformats.org/officeDocument/2006/relationships/hyperlink" Target="https://doi.org/10.1080/1743873X.2020.1766475" TargetMode="External"/><Relationship Id="rId2" Type="http://schemas.openxmlformats.org/officeDocument/2006/relationships/numbering" Target="numbering.xml"/><Relationship Id="rId16" Type="http://schemas.openxmlformats.org/officeDocument/2006/relationships/hyperlink" Target="https://doi.org/10.1080/13683500.2017.1388771" TargetMode="External"/><Relationship Id="rId20" Type="http://schemas.openxmlformats.org/officeDocument/2006/relationships/hyperlink" Target="https://doi.org/10.1080/14616688.2019.166691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5335/enrichment.v12i2.447" TargetMode="External"/><Relationship Id="rId11" Type="http://schemas.openxmlformats.org/officeDocument/2006/relationships/hyperlink" Target="https://doi.org/10.1080/09669582.2020.1852409" TargetMode="External"/><Relationship Id="rId24" Type="http://schemas.openxmlformats.org/officeDocument/2006/relationships/hyperlink" Target="https://www.ijiras.com/2019/Vol_6-Issue_1/paper_22.pdf" TargetMode="External"/><Relationship Id="rId5" Type="http://schemas.openxmlformats.org/officeDocument/2006/relationships/webSettings" Target="webSettings.xml"/><Relationship Id="rId15" Type="http://schemas.openxmlformats.org/officeDocument/2006/relationships/hyperlink" Target="https://doi.org/10.36648/1550-7521.20.51.304" TargetMode="External"/><Relationship Id="rId23" Type="http://schemas.openxmlformats.org/officeDocument/2006/relationships/hyperlink" Target="https://doi.org/10.1080/09669582.2020.1779732" TargetMode="External"/><Relationship Id="rId28" Type="http://schemas.openxmlformats.org/officeDocument/2006/relationships/fontTable" Target="fontTable.xml"/><Relationship Id="rId10" Type="http://schemas.openxmlformats.org/officeDocument/2006/relationships/hyperlink" Target="https://doi.org/10.1108/TR-05-2019-0163" TargetMode="External"/><Relationship Id="rId19" Type="http://schemas.openxmlformats.org/officeDocument/2006/relationships/hyperlink" Target="https://doi.org/10.1016/j.tmp.2021.100862" TargetMode="External"/><Relationship Id="rId4" Type="http://schemas.openxmlformats.org/officeDocument/2006/relationships/settings" Target="settings.xml"/><Relationship Id="rId9" Type="http://schemas.openxmlformats.org/officeDocument/2006/relationships/hyperlink" Target="https://doi.org/10.1002/bse.2420" TargetMode="External"/><Relationship Id="rId14" Type="http://schemas.openxmlformats.org/officeDocument/2006/relationships/hyperlink" Target="https://journals.sagepub.com/doi/pdf/10.1177/0047287520933679" TargetMode="External"/><Relationship Id="rId22" Type="http://schemas.openxmlformats.org/officeDocument/2006/relationships/hyperlink" Target="https://doi.org/10.1016/j.jclepro.2021.126660" TargetMode="External"/><Relationship Id="rId27" Type="http://schemas.openxmlformats.org/officeDocument/2006/relationships/hyperlink" Target="https://doi.org/10.4337/9781800377684.00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Leg23</b:Tag>
    <b:SourceType>InternetSite</b:SourceType>
    <b:Guid>{F50DD390-882F-4BCE-869D-631AFEFBAF45}</b:Guid>
    <b:Title>Legislation. govt. uk</b:Title>
    <b:Year>2023</b:Year>
    <b:Month>Jun</b:Month>
    <b:Day>6</b:Day>
    <b:DOI>https://www.legislation.gov.uk/ukpga/2021/30/enacted#:~:text=An%20Act%20to%20make%20provision,that%20fail%20to%20meet%20environmental</b:DOI>
    <b:Author>
      <b:Author>
        <b:Corporate>Legislation. Govt. UK</b:Corporate>
      </b:Author>
    </b:Author>
    <b:InternetSiteTitle>Environment Act 2021</b:InternetSiteTitle>
    <b:RefOrder>2</b:RefOrder>
  </b:Source>
  <b:Source>
    <b:Tag>Ach22</b:Tag>
    <b:SourceType>JournalArticle</b:SourceType>
    <b:Guid>{371F868E-1D17-431E-872D-FC179D94A15A}</b:Guid>
    <b:Title>Corporate social responsibility of the hospitality industry in realizing sustainable tourism development. Enrichment</b:Title>
    <b:Year>2022</b:Year>
    <b:Author>
      <b:Author>
        <b:NameList>
          <b:Person>
            <b:Last>Achmad</b:Last>
            <b:First>W</b:First>
          </b:Person>
          <b:Person>
            <b:Last>Yulianah</b:Last>
            <b:First>Y</b:First>
          </b:Person>
        </b:NameList>
      </b:Author>
    </b:Author>
    <b:JournalName>Journal of Management</b:JournalName>
    <b:Pages>1610-1616</b:Pages>
    <b:Volume>12</b:Volume>
    <b:Issue>2</b:Issue>
    <b:DOI>https://doi.org/10.35335/enrichment.v12i2.447</b:DOI>
    <b:RefOrder>3</b:RefOrder>
  </b:Source>
  <b:Source>
    <b:Tag>AlG191</b:Tag>
    <b:SourceType>JournalArticle</b:SourceType>
    <b:Guid>{9360314C-71C0-4EE0-8239-5057E33203B6}</b:Guid>
    <b:Author>
      <b:Author>
        <b:NameList>
          <b:Person>
            <b:Last>Al‐Ghussain</b:Last>
            <b:First>L</b:First>
          </b:Person>
        </b:NameList>
      </b:Author>
    </b:Author>
    <b:Title>Global warming: Review on driving forces and mitigation.</b:Title>
    <b:JournalName>Environmental Progress &amp; Sustainable Energy</b:JournalName>
    <b:Year>2019)</b:Year>
    <b:Pages>13-21.</b:Pages>
    <b:Volume>38</b:Volume>
    <b:Issue>1</b:Issue>
    <b:RefOrder>4</b:RefOrder>
  </b:Source>
  <b:Source>
    <b:Tag>Cer201</b:Tag>
    <b:SourceType>JournalArticle</b:SourceType>
    <b:Guid>{8FCDC8EF-D396-4616-AC50-D174598896FE}</b:Guid>
    <b:Title>Measuring the impact of sustainability policy and practices in tourism and hospitality industry</b:Title>
    <b:JournalName>Business Strategy and the Environment</b:JournalName>
    <b:Year>2020</b:Year>
    <b:Pages>1109-1126</b:Pages>
    <b:Author>
      <b:Author>
        <b:NameList>
          <b:Person>
            <b:Last>Cerchione</b:Last>
            <b:First>R</b:First>
          </b:Person>
          <b:Person>
            <b:Last>Bansal</b:Last>
            <b:First>H</b:First>
          </b:Person>
        </b:NameList>
      </b:Author>
    </b:Author>
    <b:Volume>29</b:Volume>
    <b:Issue>3</b:Issue>
    <b:DOI>https://doi.org/10.1002/bse.2420</b:DOI>
    <b:RefOrder>5</b:RefOrder>
  </b:Source>
  <b:Source>
    <b:Tag>Kat22</b:Tag>
    <b:SourceType>Book</b:SourceType>
    <b:Guid>{6D1A9B0F-1A84-4650-84EC-64353CB04079}</b:Guid>
    <b:Author>
      <b:Author>
        <b:NameList>
          <b:Person>
            <b:Last>Katuwal</b:Last>
            <b:First>S</b:First>
          </b:Person>
          <b:Person>
            <b:Last>Afzal</b:Last>
            <b:First>M</b:First>
          </b:Person>
        </b:NameList>
      </b:Author>
    </b:Author>
    <b:Title>A framework for managing food wastage: Strategies to promote recycling and sustainability in the hotel industry.</b:Title>
    <b:Year>2022</b:Year>
    <b:Publisher>https://urn.fi/URN:NBN:fi:amk-2022112724349</b:Publisher>
    <b:DOI>https://urn.fi/URN:NBN:fi:amk-2022112724349</b:DOI>
    <b:RefOrder>6</b:RefOrder>
  </b:Source>
  <b:Source>
    <b:Tag>Man21</b:Tag>
    <b:SourceType>JournalArticle</b:SourceType>
    <b:Guid>{D92E4205-8649-4192-B6C9-CA13337B1E0F}</b:Guid>
    <b:Title>Smart governance for heritage tourism destinations: Contextual factors and destination management organization perspectives</b:Title>
    <b:Year>2021</b:Year>
    <b:JournalName>Tourism Management Perspectives</b:JournalName>
    <b:Pages>100862</b:Pages>
    <b:Author>
      <b:Author>
        <b:NameList>
          <b:Person>
            <b:Last>Mandić</b:Last>
            <b:First>A</b:First>
          </b:Person>
          <b:Person>
            <b:Last>Kennell</b:Last>
            <b:First>J</b:First>
          </b:Person>
        </b:NameList>
      </b:Author>
    </b:Author>
    <b:Volume>39</b:Volume>
    <b:DOI>https://doi.org/10.1016/j.tmp.2021.100862</b:DOI>
    <b:RefOrder>7</b:RefOrder>
  </b:Source>
  <b:Source>
    <b:Tag>Gös21</b:Tag>
    <b:SourceType>JournalArticle</b:SourceType>
    <b:Guid>{2A524846-1695-4F84-AC87-69322B67B204}</b:Guid>
    <b:Title>The low-carbon imperative: Destination management under urgent climate change</b:Title>
    <b:JournalName>Journal of Travel Research</b:JournalName>
    <b:Year>2021</b:Year>
    <b:Pages>1167-1179</b:Pages>
    <b:Author>
      <b:Author>
        <b:NameList>
          <b:Person>
            <b:Last>Gössling</b:Last>
            <b:First>S</b:First>
          </b:Person>
          <b:Person>
            <b:Last>Higham</b:Last>
            <b:First>J</b:First>
          </b:Person>
        </b:NameList>
      </b:Author>
    </b:Author>
    <b:Volume>60</b:Volume>
    <b:Issue>6</b:Issue>
    <b:DOI>https://journals.sagepub.com/doi/pdf/10.1177/0047287520933679</b:DOI>
    <b:RefOrder>8</b:RefOrder>
  </b:Source>
  <b:Source>
    <b:Tag>Iva19</b:Tag>
    <b:SourceType>JournalArticle</b:SourceType>
    <b:Guid>{62F40247-FAA0-43ED-8E16-593A62D91C42}</b:Guid>
    <b:Author>
      <b:Author>
        <b:NameList>
          <b:Person>
            <b:Last>Ivars-Baidal</b:Last>
            <b:First>J.</b:First>
            <b:Middle>A</b:Middle>
          </b:Person>
          <b:Person>
            <b:Last>Celdrán-Bernabeu</b:Last>
            <b:First>M.</b:First>
            <b:Middle>A</b:Middle>
          </b:Person>
          <b:Person>
            <b:Last>Mazón</b:Last>
            <b:First>J.</b:First>
            <b:Middle>N</b:Middle>
          </b:Person>
          <b:Person>
            <b:Last>Perles-Ivars</b:Last>
            <b:First>Á.</b:First>
            <b:Middle>F</b:Middle>
          </b:Person>
        </b:NameList>
      </b:Author>
    </b:Author>
    <b:Title>Smart destinations and the evolution of ICTs: a new scenario for destination management?</b:Title>
    <b:JournalName>Current Issues in Tourism</b:JournalName>
    <b:Year>2019</b:Year>
    <b:Pages>1581-1600</b:Pages>
    <b:Volume>22</b:Volume>
    <b:Issue>13</b:Issue>
    <b:DOI>https://doi.org/10.1080/13683500.2017.1388771</b:DOI>
    <b:RefOrder>9</b:RefOrder>
  </b:Source>
  <b:Source>
    <b:Tag>Bia21</b:Tag>
    <b:SourceType>JournalArticle</b:SourceType>
    <b:Guid>{6F635AAB-633A-4001-B425-937165C46703}</b:Guid>
    <b:Author>
      <b:Author>
        <b:NameList>
          <b:Person>
            <b:Last>Bianchi</b:Last>
            <b:First>R.</b:First>
            <b:Middle>V</b:Middle>
          </b:Person>
          <b:Person>
            <b:Last>de Man</b:Last>
            <b:First>F</b:First>
          </b:Person>
        </b:NameList>
      </b:Author>
    </b:Author>
    <b:Title>Tourism, inclusive growth and decent work: A political economy critique</b:Title>
    <b:JournalName>Journal of Sustainable Tourism</b:JournalName>
    <b:Year>2021</b:Year>
    <b:Pages>353-371</b:Pages>
    <b:Volume>29</b:Volume>
    <b:Issue>2-3)</b:Issue>
    <b:DOI>https://doi.org/10.1080/09669582.2020.1730862</b:DOI>
    <b:RefOrder>10</b:RefOrder>
  </b:Source>
  <b:Source>
    <b:Tag>Sin211</b:Tag>
    <b:SourceType>JournalArticle</b:SourceType>
    <b:Guid>{90D402C0-1122-4BC5-9588-B0DD023346A4}</b:Guid>
    <b:Author>
      <b:Author>
        <b:NameList>
          <b:Person>
            <b:Last>Singh</b:Last>
            <b:First>S</b:First>
          </b:Person>
        </b:NameList>
      </b:Author>
    </b:Author>
    <b:Title>Time, tourism area ‘life-cycle,’evolution and heritage</b:Title>
    <b:JournalName>Journal of Heritage Tourism</b:JournalName>
    <b:Year>2021</b:Year>
    <b:Pages>218-229</b:Pages>
    <b:Volume>16</b:Volume>
    <b:Issue>2</b:Issue>
    <b:DOI>https://doi.org/10.1080/1743873X.2020.1766475</b:DOI>
    <b:RefOrder>11</b:RefOrder>
  </b:Source>
  <b:Source>
    <b:Tag>Dod20</b:Tag>
    <b:SourceType>JournalArticle</b:SourceType>
    <b:Guid>{BA6FEBFE-F791-4F27-9ED6-B143F4E9358F}</b:Guid>
    <b:Author>
      <b:Author>
        <b:NameList>
          <b:Person>
            <b:Last>Dodds</b:Last>
            <b:First>R</b:First>
          </b:Person>
        </b:NameList>
      </b:Author>
    </b:Author>
    <b:Title>The tourist experience life cycle: a perspective article</b:Title>
    <b:JournalName>Tourism Review</b:JournalName>
    <b:Year>2020</b:Year>
    <b:Pages>216-220</b:Pages>
    <b:Volume>75</b:Volume>
    <b:Issue>1</b:Issue>
    <b:DOI>https://doi.org/10.1108/TR-05-2019-0163</b:DOI>
    <b:RefOrder>12</b:RefOrder>
  </b:Source>
  <b:Source>
    <b:Tag>Gor21</b:Tag>
    <b:SourceType>JournalArticle</b:SourceType>
    <b:Guid>{DBE57872-867E-416E-BACC-CFCFC2DCBD1E}</b:Guid>
    <b:Author>
      <b:Author>
        <b:NameList>
          <b:Person>
            <b:Last>Gore</b:Last>
            <b:First>S</b:First>
          </b:Person>
          <b:Person>
            <b:Last>Borde</b:Last>
            <b:First>N</b:First>
          </b:Person>
          <b:Person>
            <b:Last>Hegde Desai</b:Last>
            <b:First>P</b:First>
          </b:Person>
          <b:Person>
            <b:Last>George</b:Last>
            <b:First>B</b:First>
          </b:Person>
        </b:NameList>
      </b:Author>
    </b:Author>
    <b:Title>Empirically Mapping the Evolutionary Phases of Tourism Area Life Cycle (TALC): The Case of Goa, India. Tourism</b:Title>
    <b:JournalName>An International Interdisciplinary Journal</b:JournalName>
    <b:Year>2021</b:Year>
    <b:Pages>346-366</b:Pages>
    <b:Volume>69</b:Volume>
    <b:Issue>3</b:Issue>
    <b:DOI>https://orcid.org/0000-0002-2791-828X</b:DOI>
    <b:RefOrder>13</b:RefOrder>
  </b:Source>
  <b:Source>
    <b:Tag>Ran21</b:Tag>
    <b:SourceType>JournalArticle</b:SourceType>
    <b:Guid>{1BA44550-56BF-4D73-8C8D-13068367007F}</b:Guid>
    <b:Author>
      <b:Author>
        <b:NameList>
          <b:Person>
            <b:Last>Ranjbari</b:Last>
            <b:First>M</b:First>
          </b:Person>
          <b:Person>
            <b:Last>Esfandabadi</b:Last>
            <b:First>Z.</b:First>
            <b:Middle>S</b:Middle>
          </b:Person>
          <b:Person>
            <b:Last>Zanetti</b:Last>
            <b:First>M.</b:First>
            <b:Middle>C</b:Middle>
          </b:Person>
          <b:Person>
            <b:Last>Scagnelli</b:Last>
            <b:First>S.</b:First>
            <b:Middle>D</b:Middle>
          </b:Person>
          <b:Person>
            <b:Last>Siebers</b:Last>
            <b:First>P.</b:First>
            <b:Middle>O</b:Middle>
          </b:Person>
          <b:Person>
            <b:Last>Aghbashlo</b:Last>
            <b:First>M</b:First>
          </b:Person>
          <b:Person>
            <b:Last>Tabatabaei</b:Last>
            <b:First>M</b:First>
          </b:Person>
        </b:NameList>
      </b:Author>
    </b:Author>
    <b:Title>Three pillars of sustainability in the wake of COVID-19: A systematic review and future research agenda for sustainable development</b:Title>
    <b:JournalName>Journal of Cleaner Production</b:JournalName>
    <b:Year>2021</b:Year>
    <b:Pages>126660.</b:Pages>
    <b:Volume>297</b:Volume>
    <b:DOI>https://doi.org/10.1016/j.jclepro.2021.126660</b:DOI>
    <b:RefOrder>14</b:RefOrder>
  </b:Source>
  <b:Source>
    <b:Tag>Gko19</b:Tag>
    <b:SourceType>JournalArticle</b:SourceType>
    <b:Guid>{AAB2D1CD-1F52-42E1-A81D-7997F26EE585}</b:Guid>
    <b:Author>
      <b:Author>
        <b:NameList>
          <b:Person>
            <b:Last>Gkoumas</b:Last>
            <b:First>A</b:First>
          </b:Person>
        </b:NameList>
      </b:Author>
    </b:Author>
    <b:Title>Evaluating a standard for sustainable tourism through the lenses of local industry</b:Title>
    <b:JournalName>Heliyon</b:JournalName>
    <b:Year>2019</b:Year>
    <b:Pages>e02707</b:Pages>
    <b:Volume>5</b:Volume>
    <b:Issue>11</b:Issue>
    <b:DOI>https://doi.org/10.1016/j.heliyon.2019.e02707</b:DOI>
    <b:RefOrder>15</b:RefOrder>
  </b:Source>
  <b:Source>
    <b:Tag>Sha202</b:Tag>
    <b:SourceType>JournalArticle</b:SourceType>
    <b:Guid>{1AA7D5AB-324E-438A-9987-1FD4D198A372}</b:Guid>
    <b:Author>
      <b:Author>
        <b:NameList>
          <b:Person>
            <b:Last>Sharpley</b:Last>
            <b:First>R</b:First>
          </b:Person>
        </b:NameList>
      </b:Author>
    </b:Author>
    <b:Title>Tourism, sustainable development and the theoretical divide: 20 years on</b:Title>
    <b:JournalName>Journal of sustainable tourism</b:JournalName>
    <b:Year>2020</b:Year>
    <b:Pages>1932-1946</b:Pages>
    <b:Volume>28</b:Volume>
    <b:Issue>11</b:Issue>
    <b:DOI>https://doi.org/10.1080/09669582.2020.1779732</b:DOI>
    <b:RefOrder>16</b:RefOrder>
  </b:Source>
  <b:Source>
    <b:Tag>Tor20</b:Tag>
    <b:SourceType>JournalArticle</b:SourceType>
    <b:Guid>{244F61C1-AAF6-4FF4-96A8-FB9EC86E5ED1}</b:Guid>
    <b:Author>
      <b:Author>
        <b:NameList>
          <b:Person>
            <b:Last>Torkington</b:Last>
            <b:First>K</b:First>
          </b:Person>
          <b:Person>
            <b:Last>Stanford</b:Last>
            <b:First>D</b:First>
          </b:Person>
          <b:Person>
            <b:Last>Guiver</b:Last>
            <b:First>J</b:First>
          </b:Person>
        </b:NameList>
      </b:Author>
    </b:Author>
    <b:Title>Discourse (s) of growth and sustainability in national tourism policy documents</b:Title>
    <b:JournalName>Journal of Sustainable Tourism</b:JournalName>
    <b:Year>2020</b:Year>
    <b:Pages>1041-1062</b:Pages>
    <b:Volume>28</b:Volume>
    <b:Issue>7</b:Issue>
    <b:DOI>https://doi.org/10.1080/09669582.2020.1720695</b:DOI>
    <b:RefOrder>17</b:RefOrder>
  </b:Source>
  <b:Source>
    <b:Tag>Mer19</b:Tag>
    <b:SourceType>JournalArticle</b:SourceType>
    <b:Guid>{4280B438-5BC6-4C72-B8BD-AEA6E1FF5802}</b:Guid>
    <b:Author>
      <b:Author>
        <b:NameList>
          <b:Person>
            <b:Last>Merigó</b:Last>
            <b:First>J.</b:First>
            <b:Middle>M</b:Middle>
          </b:Person>
          <b:Person>
            <b:Last>Mulet-Forteza</b:Last>
            <b:First>C</b:First>
          </b:Person>
          <b:Person>
            <b:Last>Valencia</b:Last>
            <b:First>C</b:First>
          </b:Person>
          <b:Person>
            <b:Last>Lew</b:Last>
            <b:First>A.</b:First>
            <b:Middle>A</b:Middle>
          </b:Person>
        </b:NameList>
      </b:Author>
    </b:Author>
    <b:Title>Twenty years of Tourism Geographies: a bibliometric overview</b:Title>
    <b:JournalName>Tourism Geographies</b:JournalName>
    <b:Year>2019</b:Year>
    <b:Pages>881-910</b:Pages>
    <b:Volume>21</b:Volume>
    <b:Issue>5</b:Issue>
    <b:DOI>https://doi.org/10.1080/14616688.2019.1666913</b:DOI>
    <b:RefOrder>18</b:RefOrder>
  </b:Source>
  <b:Source>
    <b:Tag>Sho19</b:Tag>
    <b:SourceType>JournalArticle</b:SourceType>
    <b:Guid>{53CA5526-E6C9-4F56-AA20-F768C609D9B7}</b:Guid>
    <b:Author>
      <b:Author>
        <b:NameList>
          <b:Person>
            <b:Last>Shobha</b:Last>
            <b:First>K.</b:First>
            <b:Middle>B</b:Middle>
          </b:Person>
        </b:NameList>
      </b:Author>
    </b:Author>
    <b:Title>A case study on irritation among local people towards the growth of tourism in Kodagu district: With the reference of Doxey’s irridex model</b:Title>
    <b:JournalName>International Journal of Innovative Research and Advanced Studies</b:JournalName>
    <b:Year>2019</b:Year>
    <b:Pages>146-148</b:Pages>
    <b:Volume>6</b:Volume>
    <b:Issue>1</b:Issue>
    <b:DOI>https://www.ijiras.com/2019/Vol_6-Issue_1/paper_22.pdf</b:DOI>
    <b:RefOrder>19</b:RefOrder>
  </b:Source>
  <b:Source>
    <b:Tag>Wan221</b:Tag>
    <b:SourceType>Book</b:SourceType>
    <b:Guid>{4B9C63D9-F8A6-47F6-98C0-D1920A736CF7}</b:Guid>
    <b:Title>Community perceptions of tourism impacts. In Handbook of Tourism Impacts (pp. 60-74)</b:Title>
    <b:Year>2022</b:Year>
    <b:Author>
      <b:Author>
        <b:NameList>
          <b:Person>
            <b:Last>Wang</b:Last>
            <b:First>S</b:First>
          </b:Person>
          <b:Person>
            <b:Last>Mirehie</b:Last>
            <b:First>M</b:First>
          </b:Person>
        </b:NameList>
      </b:Author>
    </b:Author>
    <b:Publisher>Edward Elgar Publishing</b:Publisher>
    <b:DOI>https://doi.org/10.4337/9781800377684.00014</b:DOI>
    <b:RefOrder>20</b:RefOrder>
  </b:Source>
  <b:Source>
    <b:Tag>Fan20</b:Tag>
    <b:SourceType>JournalArticle</b:SourceType>
    <b:Guid>{32E291F1-0473-4A2E-96DF-48FAED172ABB}</b:Guid>
    <b:Title>Understanding the tourist-resident relationship through social contact: Progressing the development of social contact in tourism</b:Title>
    <b:Year>2020</b:Year>
    <b:Author>
      <b:Author>
        <b:NameList>
          <b:Person>
            <b:Last>Fan</b:Last>
            <b:First>D.</b:First>
            <b:Middle>X</b:Middle>
          </b:Person>
        </b:NameList>
      </b:Author>
    </b:Author>
    <b:JournalName>Journal of Sustainable Tourism</b:JournalName>
    <b:Pages>1-19</b:Pages>
    <b:DOI>https://doi.org/10.1080/09669582.2020.1852409</b:DOI>
    <b:RefOrder>21</b:RefOrder>
  </b:Source>
  <b:Source>
    <b:Tag>Mor204</b:Tag>
    <b:SourceType>JournalArticle</b:SourceType>
    <b:Guid>{A20299FE-9235-4A08-BB51-67DE024A04E3}</b:Guid>
    <b:Author>
      <b:Author>
        <b:NameList>
          <b:Person>
            <b:Last>Moreno-Gil</b:Last>
            <b:First>S</b:First>
          </b:Person>
          <b:Person>
            <b:Last>Coca-Stefaniak</b:Last>
            <b:First>J.</b:First>
            <b:Middle>A</b:Middle>
          </b:Person>
        </b:NameList>
      </b:Author>
    </b:Author>
    <b:Title>Guest editorial": Overtourism and the sharing economy–tourism cities at a crossroads</b:Title>
    <b:JournalName>International Journal of Tourism Cities</b:JournalName>
    <b:Year>2020</b:Year>
    <b:Pages>1-7</b:Pages>
    <b:Volume>6</b:Volume>
    <b:Issue>1</b:Issue>
    <b:DOI>https://doi.org/10.1108/IJTC-03-2020-174</b:DOI>
    <b:RefOrder>22</b:RefOrder>
  </b:Source>
  <b:Source>
    <b:Tag>Has22</b:Tag>
    <b:SourceType>JournalArticle</b:SourceType>
    <b:Guid>{546D436D-E533-4CB3-A73C-0E06E7C500A8}</b:Guid>
    <b:Author>
      <b:Author>
        <b:NameList>
          <b:Person>
            <b:Last>Hasan</b:Last>
            <b:First>A.</b:First>
            <b:Middle>A. T</b:Middle>
          </b:Person>
          <b:Person>
            <b:Last>Shakib</b:Last>
            <b:First>A.</b:First>
            <b:Middle>S</b:Middle>
          </b:Person>
          <b:Person>
            <b:Last>Mondal</b:Last>
            <b:First>S</b:First>
          </b:Person>
        </b:NameList>
      </b:Author>
    </b:Author>
    <b:Title>The white tourist gaze: A review perspective</b:Title>
    <b:JournalName>Global Media Journal</b:JournalName>
    <b:Year>2022</b:Year>
    <b:Pages>1-8</b:Pages>
    <b:Volume>20</b:Volume>
    <b:Issue>51</b:Issue>
    <b:DOI>10.36648/1550-7521.20.51.304</b:DOI>
    <b:RefOrder>1</b:RefOrder>
  </b:Source>
</b:Sources>
</file>

<file path=customXml/itemProps1.xml><?xml version="1.0" encoding="utf-8"?>
<ds:datastoreItem xmlns:ds="http://schemas.openxmlformats.org/officeDocument/2006/customXml" ds:itemID="{6DC790E5-09A7-4208-8948-1F7FCF2B0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TotalTime>
  <Pages>12</Pages>
  <Words>3271</Words>
  <Characters>18649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9</cp:revision>
  <dcterms:created xsi:type="dcterms:W3CDTF">2023-06-13T20:23:00Z</dcterms:created>
  <dcterms:modified xsi:type="dcterms:W3CDTF">2023-06-15T08:20:00Z</dcterms:modified>
</cp:coreProperties>
</file>