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852FF5" w14:textId="16D9B1DB" w:rsidR="00DC612A" w:rsidRPr="00DC612A" w:rsidRDefault="00DC612A" w:rsidP="00DC612A">
      <w:pPr>
        <w:spacing w:line="360" w:lineRule="auto"/>
        <w:rPr>
          <w:b/>
          <w:bCs/>
          <w:sz w:val="24"/>
          <w:szCs w:val="24"/>
          <w:u w:val="single"/>
        </w:rPr>
      </w:pPr>
      <w:r w:rsidRPr="00DC612A">
        <w:rPr>
          <w:b/>
          <w:bCs/>
          <w:sz w:val="24"/>
          <w:szCs w:val="24"/>
          <w:u w:val="single"/>
        </w:rPr>
        <w:t xml:space="preserve">Reflections to show how </w:t>
      </w:r>
      <w:r w:rsidR="0065547A">
        <w:rPr>
          <w:b/>
          <w:bCs/>
          <w:sz w:val="24"/>
          <w:szCs w:val="24"/>
          <w:u w:val="single"/>
        </w:rPr>
        <w:t>s</w:t>
      </w:r>
      <w:r w:rsidRPr="00DC612A">
        <w:rPr>
          <w:b/>
          <w:bCs/>
          <w:sz w:val="24"/>
          <w:szCs w:val="24"/>
          <w:u w:val="single"/>
        </w:rPr>
        <w:t>cience influences occupational therapy practice.</w:t>
      </w:r>
    </w:p>
    <w:p w14:paraId="7D8D9BE6" w14:textId="77777777" w:rsidR="00DC612A" w:rsidRPr="00DC612A" w:rsidRDefault="00DC612A" w:rsidP="00DC612A">
      <w:pPr>
        <w:spacing w:line="360" w:lineRule="auto"/>
        <w:rPr>
          <w:b/>
          <w:bCs/>
          <w:sz w:val="24"/>
          <w:szCs w:val="24"/>
          <w:u w:val="single"/>
        </w:rPr>
      </w:pPr>
      <w:r w:rsidRPr="00DC612A">
        <w:rPr>
          <w:sz w:val="24"/>
          <w:szCs w:val="24"/>
        </w:rPr>
        <w:t>The following two case studies pertinent to the role of an Occupational therapy assistant practitioner (OTAP) are included in the following reflection. Each case will show how the patient’s condition affects their function and how clinical decision making and treatment plans are influenced by science. Pseudonyms will be used for each patient in compliance with the Data Protection Act 2018 (Legislation.gov.uk, 2018).</w:t>
      </w:r>
    </w:p>
    <w:p w14:paraId="3CA2B4DA" w14:textId="77777777" w:rsidR="00DC612A" w:rsidRPr="00DC612A" w:rsidRDefault="00DC612A" w:rsidP="00DC612A">
      <w:pPr>
        <w:spacing w:line="360" w:lineRule="auto"/>
        <w:rPr>
          <w:sz w:val="24"/>
          <w:szCs w:val="24"/>
        </w:rPr>
      </w:pPr>
      <w:r w:rsidRPr="00DC612A">
        <w:rPr>
          <w:sz w:val="24"/>
          <w:szCs w:val="24"/>
        </w:rPr>
        <w:t xml:space="preserve">Doris was admitted to the Accident and Emergency Department (A&amp;E) due to general decline at home. Following NHS Wales treatment guidelines (All Wales Therapeutic and Toxicology Centre n.d.) within the perspective of physiology and clinical medicine Doris was examined for symptoms and reaction to infection. Biochemistry encompassing microscopy, microanalysis and pharmacology revealed Doris had a urinary tract infection (UTI) and was prescribed oral antibiotics Kaur R., and Kaur R., (2020) corroborate this emphasising the importance of early diagnosis and appropriate antibiotic therapy. </w:t>
      </w:r>
    </w:p>
    <w:p w14:paraId="4900D10F" w14:textId="4E47C32D" w:rsidR="00DC612A" w:rsidRPr="00DC612A" w:rsidRDefault="00DC612A" w:rsidP="00DC612A">
      <w:pPr>
        <w:spacing w:line="360" w:lineRule="auto"/>
        <w:rPr>
          <w:sz w:val="24"/>
          <w:szCs w:val="24"/>
        </w:rPr>
      </w:pPr>
      <w:r w:rsidRPr="00DC612A">
        <w:rPr>
          <w:sz w:val="24"/>
          <w:szCs w:val="24"/>
        </w:rPr>
        <w:t>Doris lives alone and following a biopsychosocial and functional assessment, the OTAP identified no functional change in Doris, however concerns were noted from Doris’s daughter that Doris was forgetting to eat and drink and was mismanaging her medication which indicated a significant impact on reduced fluid intake being a factor in her UTI diagnosis furthermore the importance of taking her prescribed oral antibiotics. This highlighted cognitive decline with recent assessments through geoscience and neuroscience for formal diagnosis which was pending. This Interdisciplinary approach is validated by Hoffman et al., (2021), giving reference to possible effective management strategies for such memory issues. Since Doris’ daughter could not help during the day, the OTAP to facilitate a safe discharge recommended a package of care for Doris to support medication management, meal management and fluid intake.</w:t>
      </w:r>
    </w:p>
    <w:p w14:paraId="3F60F953" w14:textId="77777777" w:rsidR="00DC612A" w:rsidRPr="00DC612A" w:rsidRDefault="00DC612A" w:rsidP="00DC612A">
      <w:pPr>
        <w:spacing w:line="360" w:lineRule="auto"/>
        <w:rPr>
          <w:sz w:val="24"/>
          <w:szCs w:val="24"/>
        </w:rPr>
      </w:pPr>
      <w:r w:rsidRPr="00DC612A">
        <w:rPr>
          <w:sz w:val="24"/>
          <w:szCs w:val="24"/>
        </w:rPr>
        <w:t xml:space="preserve">James lived with his parents and was seen in A&amp;E sustaining a shoulder injury. Through the lens of physiology an x-ray using radiation as a visual diagnostic tool was performed (Physiopedia, 2019).  The biological implications for James showed he had sustained a </w:t>
      </w:r>
      <w:r w:rsidRPr="00DC612A">
        <w:rPr>
          <w:sz w:val="24"/>
          <w:szCs w:val="24"/>
        </w:rPr>
        <w:lastRenderedPageBreak/>
        <w:t>left non-displaced proximal humerus fracture which showed the bone in the upper part of the humerus was fractured but in alignment therefore placed in a sling using biomechanical intervention with the outcome of conservative treatment inclusive of pharmacology for pain management and fracture clinic follow up. This management as outlined by Martinez-Catalan, (2022), involves immobilizing the arm with a sling thus informing the OTAP of limited range of movement to perform daily activity tasks. A biopsychosocial and functional assessment was completed which informed the OTAP that James’ remained functionally able and had the full support of his parents to ensure safe discharge. The OTAP completed a referral for James to attend Physiotherapy to restore range of movement and strength.</w:t>
      </w:r>
    </w:p>
    <w:p w14:paraId="265A05CD" w14:textId="77777777" w:rsidR="00DC612A" w:rsidRPr="00DC612A" w:rsidRDefault="00DC612A" w:rsidP="00DC612A">
      <w:pPr>
        <w:spacing w:line="360" w:lineRule="auto"/>
        <w:rPr>
          <w:sz w:val="24"/>
          <w:szCs w:val="24"/>
        </w:rPr>
      </w:pPr>
      <w:r w:rsidRPr="00DC612A">
        <w:rPr>
          <w:sz w:val="24"/>
          <w:szCs w:val="24"/>
        </w:rPr>
        <w:t>The two case studies show how a multidisciplinary approach informed the OTAP on the importance of combining different scientific domains to provide all-encompassing care. Science gave the OTAP the confidence to implement timely and appropriate interventions that promoted safe discharge, while functional assessments and completed referrals allowed both cases to retain optimal independence.  Each case study’s science went beyond the OTAP’s scope of practice such as visually interpreting x-rays, interpreting urinalysis results and applying a sling.  Learning how to properly fit a sling would improve development in the role, and the OTAP acknowledges the need for ongoing education to gain more physiological knowledge.</w:t>
      </w:r>
    </w:p>
    <w:p w14:paraId="3B826D91" w14:textId="77777777" w:rsidR="00DC612A" w:rsidRPr="00DC612A" w:rsidRDefault="00DC612A" w:rsidP="00DC612A">
      <w:pPr>
        <w:spacing w:line="360" w:lineRule="auto"/>
        <w:rPr>
          <w:sz w:val="24"/>
          <w:szCs w:val="24"/>
        </w:rPr>
      </w:pPr>
    </w:p>
    <w:p w14:paraId="4DC55A70" w14:textId="77777777" w:rsidR="00DC612A" w:rsidRPr="00DC612A" w:rsidRDefault="00DC612A" w:rsidP="00DC612A">
      <w:pPr>
        <w:spacing w:line="360" w:lineRule="auto"/>
        <w:rPr>
          <w:b/>
          <w:bCs/>
          <w:sz w:val="24"/>
          <w:szCs w:val="24"/>
          <w:u w:val="single"/>
        </w:rPr>
      </w:pPr>
    </w:p>
    <w:p w14:paraId="43765ACD" w14:textId="77777777" w:rsidR="00DC612A" w:rsidRPr="00DC612A" w:rsidRDefault="00DC612A" w:rsidP="00DC612A">
      <w:pPr>
        <w:spacing w:line="360" w:lineRule="auto"/>
        <w:rPr>
          <w:b/>
          <w:bCs/>
          <w:sz w:val="24"/>
          <w:szCs w:val="24"/>
          <w:u w:val="single"/>
        </w:rPr>
      </w:pPr>
    </w:p>
    <w:p w14:paraId="7213EA6B" w14:textId="77777777" w:rsidR="00DC612A" w:rsidRPr="00DC612A" w:rsidRDefault="00DC612A" w:rsidP="00DC612A">
      <w:pPr>
        <w:spacing w:line="360" w:lineRule="auto"/>
        <w:rPr>
          <w:b/>
          <w:bCs/>
          <w:sz w:val="24"/>
          <w:szCs w:val="24"/>
          <w:u w:val="single"/>
        </w:rPr>
      </w:pPr>
    </w:p>
    <w:p w14:paraId="1E25F75C" w14:textId="77777777" w:rsidR="00DC612A" w:rsidRPr="00DC612A" w:rsidRDefault="00DC612A" w:rsidP="00DC612A">
      <w:pPr>
        <w:spacing w:line="360" w:lineRule="auto"/>
        <w:rPr>
          <w:b/>
          <w:bCs/>
          <w:sz w:val="24"/>
          <w:szCs w:val="24"/>
          <w:u w:val="single"/>
        </w:rPr>
      </w:pPr>
    </w:p>
    <w:p w14:paraId="61938ADE" w14:textId="77777777" w:rsidR="00DC612A" w:rsidRPr="00DC612A" w:rsidRDefault="00DC612A" w:rsidP="00DC612A">
      <w:pPr>
        <w:spacing w:line="360" w:lineRule="auto"/>
        <w:rPr>
          <w:b/>
          <w:bCs/>
          <w:sz w:val="24"/>
          <w:szCs w:val="24"/>
          <w:u w:val="single"/>
        </w:rPr>
      </w:pPr>
    </w:p>
    <w:p w14:paraId="5764CB0F" w14:textId="77777777" w:rsidR="00DC612A" w:rsidRPr="00DC612A" w:rsidRDefault="00DC612A" w:rsidP="00DC612A">
      <w:pPr>
        <w:spacing w:line="360" w:lineRule="auto"/>
        <w:rPr>
          <w:b/>
          <w:bCs/>
          <w:sz w:val="24"/>
          <w:szCs w:val="24"/>
          <w:u w:val="single"/>
        </w:rPr>
      </w:pPr>
    </w:p>
    <w:p w14:paraId="2C7FC735" w14:textId="77777777" w:rsidR="00DC612A" w:rsidRPr="00DC612A" w:rsidRDefault="00DC612A" w:rsidP="00DC612A">
      <w:pPr>
        <w:spacing w:line="360" w:lineRule="auto"/>
        <w:rPr>
          <w:b/>
          <w:bCs/>
          <w:sz w:val="24"/>
          <w:szCs w:val="24"/>
          <w:u w:val="single"/>
        </w:rPr>
      </w:pPr>
    </w:p>
    <w:p w14:paraId="469CACCA" w14:textId="77777777" w:rsidR="00DC612A" w:rsidRPr="00DC612A" w:rsidRDefault="00DC612A" w:rsidP="00DC612A">
      <w:pPr>
        <w:spacing w:line="360" w:lineRule="auto"/>
        <w:rPr>
          <w:b/>
          <w:bCs/>
          <w:sz w:val="24"/>
          <w:szCs w:val="24"/>
          <w:u w:val="single"/>
        </w:rPr>
      </w:pPr>
    </w:p>
    <w:p w14:paraId="654C6628" w14:textId="3D0A138C" w:rsidR="00DC612A" w:rsidRPr="00DC612A" w:rsidRDefault="00DC612A" w:rsidP="00DC612A">
      <w:pPr>
        <w:spacing w:line="360" w:lineRule="auto"/>
        <w:rPr>
          <w:sz w:val="24"/>
          <w:szCs w:val="24"/>
        </w:rPr>
      </w:pPr>
      <w:r w:rsidRPr="00DC612A">
        <w:rPr>
          <w:b/>
          <w:bCs/>
          <w:sz w:val="24"/>
          <w:szCs w:val="24"/>
          <w:u w:val="single"/>
        </w:rPr>
        <w:lastRenderedPageBreak/>
        <w:t>References</w:t>
      </w:r>
    </w:p>
    <w:p w14:paraId="3EF7FD13" w14:textId="77777777" w:rsidR="00DC612A" w:rsidRPr="00DC612A" w:rsidRDefault="00DC612A" w:rsidP="00DC612A">
      <w:pPr>
        <w:spacing w:line="360" w:lineRule="auto"/>
        <w:rPr>
          <w:sz w:val="24"/>
          <w:szCs w:val="24"/>
        </w:rPr>
      </w:pPr>
      <w:r w:rsidRPr="00DC612A">
        <w:rPr>
          <w:sz w:val="24"/>
          <w:szCs w:val="24"/>
        </w:rPr>
        <w:t>All Wales Therapeutics and Toxicology Centre. (n.d.). </w:t>
      </w:r>
      <w:r w:rsidRPr="00DC612A">
        <w:rPr>
          <w:i/>
          <w:iCs/>
          <w:sz w:val="24"/>
          <w:szCs w:val="24"/>
        </w:rPr>
        <w:t>Primary care antimicrobial guidelines</w:t>
      </w:r>
      <w:r w:rsidRPr="00DC612A">
        <w:rPr>
          <w:sz w:val="24"/>
          <w:szCs w:val="24"/>
        </w:rPr>
        <w:t xml:space="preserve">. Available at: https://awttc.nhs.wales/medicines-optimisation-and-safety/medicines-optimisation-guidance-resources-and-data/prescribing-guidance/primary-care-antimicrobial-guidelines/. (Accessed 20 October 2024) </w:t>
      </w:r>
    </w:p>
    <w:p w14:paraId="4AB494FF" w14:textId="77777777" w:rsidR="00DC612A" w:rsidRPr="00DC612A" w:rsidRDefault="00DC612A" w:rsidP="00DC612A">
      <w:pPr>
        <w:spacing w:line="360" w:lineRule="auto"/>
        <w:rPr>
          <w:sz w:val="24"/>
          <w:szCs w:val="24"/>
        </w:rPr>
      </w:pPr>
      <w:r w:rsidRPr="00DC612A">
        <w:rPr>
          <w:sz w:val="24"/>
          <w:szCs w:val="24"/>
        </w:rPr>
        <w:t>Hoffman, J.M., Hernandez, C.M., Hernandez, A.R., Bizon, J.L., Burke, S.N., Carter, C.S. and Buford, T.W. (2021). Bridging the Gap: A Geroscience Primer for Neuroscientists with Potential Collaborative Applications. </w:t>
      </w:r>
      <w:r w:rsidRPr="00DC612A">
        <w:rPr>
          <w:i/>
          <w:iCs/>
          <w:sz w:val="24"/>
          <w:szCs w:val="24"/>
        </w:rPr>
        <w:t>The Journals of Gerontology Series A</w:t>
      </w:r>
      <w:r w:rsidRPr="00DC612A">
        <w:rPr>
          <w:sz w:val="24"/>
          <w:szCs w:val="24"/>
        </w:rPr>
        <w:t>, 77(1), pp. e10–e18. Doi: HTTPs://doi.org/10.1093/gerona/glab314. (Accessed 26 October 2024)</w:t>
      </w:r>
    </w:p>
    <w:p w14:paraId="0CC4E557" w14:textId="77777777" w:rsidR="00DC612A" w:rsidRPr="00DC612A" w:rsidRDefault="00DC612A" w:rsidP="00DC612A">
      <w:pPr>
        <w:spacing w:line="360" w:lineRule="auto"/>
        <w:rPr>
          <w:sz w:val="24"/>
          <w:szCs w:val="24"/>
        </w:rPr>
      </w:pPr>
      <w:r w:rsidRPr="00DC612A">
        <w:rPr>
          <w:sz w:val="24"/>
          <w:szCs w:val="24"/>
        </w:rPr>
        <w:t>Kaur, R., and Kaur, R., (2020). Symptoms, risk factors, diagnosis and treatment of urinary tract infections. </w:t>
      </w:r>
      <w:r w:rsidRPr="00DC612A">
        <w:rPr>
          <w:i/>
          <w:iCs/>
          <w:sz w:val="24"/>
          <w:szCs w:val="24"/>
        </w:rPr>
        <w:t>Postgraduate Medical Journal</w:t>
      </w:r>
      <w:r w:rsidRPr="00DC612A">
        <w:rPr>
          <w:sz w:val="24"/>
          <w:szCs w:val="24"/>
        </w:rPr>
        <w:t>, 97(1154), p. postgradmedj-2020-139090. Available at: Doi: HTTPs://doi.org/10.1136/postgradmedj-2020-139090. (Accessed 24 October 2024)</w:t>
      </w:r>
    </w:p>
    <w:p w14:paraId="789EE0E4" w14:textId="77777777" w:rsidR="00DC612A" w:rsidRPr="00DC612A" w:rsidRDefault="00DC612A" w:rsidP="00DC612A">
      <w:pPr>
        <w:spacing w:line="360" w:lineRule="auto"/>
        <w:rPr>
          <w:sz w:val="24"/>
          <w:szCs w:val="24"/>
        </w:rPr>
      </w:pPr>
      <w:r w:rsidRPr="00DC612A">
        <w:rPr>
          <w:sz w:val="24"/>
          <w:szCs w:val="24"/>
        </w:rPr>
        <w:t>‌Legislation.gov.uk. (2018). </w:t>
      </w:r>
      <w:r w:rsidRPr="00DC612A">
        <w:rPr>
          <w:i/>
          <w:iCs/>
          <w:sz w:val="24"/>
          <w:szCs w:val="24"/>
        </w:rPr>
        <w:t>Data Protection Act 2018</w:t>
      </w:r>
      <w:r w:rsidRPr="00DC612A">
        <w:rPr>
          <w:sz w:val="24"/>
          <w:szCs w:val="24"/>
        </w:rPr>
        <w:t xml:space="preserve">. Available at: https://www.legislation.gov.uk/ukpga/2018/12/contents/enacted. (Accessed 17 October 2024) </w:t>
      </w:r>
    </w:p>
    <w:p w14:paraId="02268411" w14:textId="77777777" w:rsidR="00DC612A" w:rsidRPr="00DC612A" w:rsidRDefault="00DC612A" w:rsidP="00DC612A">
      <w:pPr>
        <w:spacing w:line="360" w:lineRule="auto"/>
        <w:rPr>
          <w:sz w:val="24"/>
          <w:szCs w:val="24"/>
        </w:rPr>
      </w:pPr>
      <w:r w:rsidRPr="00DC612A">
        <w:rPr>
          <w:sz w:val="24"/>
          <w:szCs w:val="24"/>
        </w:rPr>
        <w:t>Martinez-Catalan, N. (2022). Conservative Treatment of Proximal Humerus Fractures: When, How, and What to Expect. </w:t>
      </w:r>
      <w:r w:rsidRPr="00DC612A">
        <w:rPr>
          <w:i/>
          <w:iCs/>
          <w:sz w:val="24"/>
          <w:szCs w:val="24"/>
        </w:rPr>
        <w:t>Current Reviews in Musculoskeletal Medicine</w:t>
      </w:r>
      <w:r w:rsidRPr="00DC612A">
        <w:rPr>
          <w:sz w:val="24"/>
          <w:szCs w:val="24"/>
        </w:rPr>
        <w:t xml:space="preserve">. Doi: HTTPs://doi.org/10.1007/s12178-022-09817-9. (Accessed online 26 October 2024) </w:t>
      </w:r>
    </w:p>
    <w:p w14:paraId="1AA52FC2" w14:textId="77777777" w:rsidR="00DC612A" w:rsidRPr="00DC612A" w:rsidRDefault="00DC612A" w:rsidP="00DC612A">
      <w:pPr>
        <w:spacing w:line="360" w:lineRule="auto"/>
        <w:rPr>
          <w:sz w:val="24"/>
          <w:szCs w:val="24"/>
        </w:rPr>
      </w:pPr>
      <w:r w:rsidRPr="00DC612A">
        <w:rPr>
          <w:sz w:val="24"/>
          <w:szCs w:val="24"/>
        </w:rPr>
        <w:t>Physiopedia. (2019). </w:t>
      </w:r>
      <w:r w:rsidRPr="00DC612A">
        <w:rPr>
          <w:i/>
          <w:iCs/>
          <w:sz w:val="24"/>
          <w:szCs w:val="24"/>
        </w:rPr>
        <w:t>X-Rays</w:t>
      </w:r>
      <w:r w:rsidRPr="00DC612A">
        <w:rPr>
          <w:sz w:val="24"/>
          <w:szCs w:val="24"/>
        </w:rPr>
        <w:t>. Available at: https://www.physio-pedia.com/X-Rays/form=MG0AV3 (Accessed 27 October 2024)</w:t>
      </w:r>
    </w:p>
    <w:p w14:paraId="4A57BAC6" w14:textId="77777777" w:rsidR="00B46BBA" w:rsidRDefault="00B46BBA"/>
    <w:sectPr w:rsidR="00B46BBA">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BACA01" w14:textId="77777777" w:rsidR="00260E4D" w:rsidRDefault="00260E4D" w:rsidP="00DC612A">
      <w:pPr>
        <w:spacing w:after="0" w:line="240" w:lineRule="auto"/>
      </w:pPr>
      <w:r>
        <w:separator/>
      </w:r>
    </w:p>
  </w:endnote>
  <w:endnote w:type="continuationSeparator" w:id="0">
    <w:p w14:paraId="154C495C" w14:textId="77777777" w:rsidR="00260E4D" w:rsidRDefault="00260E4D" w:rsidP="00DC61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4148642"/>
      <w:docPartObj>
        <w:docPartGallery w:val="Page Numbers (Bottom of Page)"/>
        <w:docPartUnique/>
      </w:docPartObj>
    </w:sdtPr>
    <w:sdtEndPr>
      <w:rPr>
        <w:noProof/>
      </w:rPr>
    </w:sdtEndPr>
    <w:sdtContent>
      <w:p w14:paraId="038C2EB4" w14:textId="7667A1D5" w:rsidR="00DC612A" w:rsidRDefault="00DC612A">
        <w:pPr>
          <w:pStyle w:val="Footer"/>
        </w:pPr>
        <w:r>
          <w:fldChar w:fldCharType="begin"/>
        </w:r>
        <w:r>
          <w:instrText xml:space="preserve"> PAGE   \* MERGEFORMAT </w:instrText>
        </w:r>
        <w:r>
          <w:fldChar w:fldCharType="separate"/>
        </w:r>
        <w:r>
          <w:rPr>
            <w:noProof/>
          </w:rPr>
          <w:t>2</w:t>
        </w:r>
        <w:r>
          <w:rPr>
            <w:noProof/>
          </w:rPr>
          <w:fldChar w:fldCharType="end"/>
        </w:r>
      </w:p>
    </w:sdtContent>
  </w:sdt>
  <w:p w14:paraId="41E04441" w14:textId="77777777" w:rsidR="00DC612A" w:rsidRDefault="00DC61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1758EF" w14:textId="77777777" w:rsidR="00260E4D" w:rsidRDefault="00260E4D" w:rsidP="00DC612A">
      <w:pPr>
        <w:spacing w:after="0" w:line="240" w:lineRule="auto"/>
      </w:pPr>
      <w:r>
        <w:separator/>
      </w:r>
    </w:p>
  </w:footnote>
  <w:footnote w:type="continuationSeparator" w:id="0">
    <w:p w14:paraId="69F6DBEA" w14:textId="77777777" w:rsidR="00260E4D" w:rsidRDefault="00260E4D" w:rsidP="00DC61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91F385" w14:textId="65249501" w:rsidR="00DC612A" w:rsidRDefault="00DC612A">
    <w:pPr>
      <w:pStyle w:val="Header"/>
    </w:pPr>
    <w:r>
      <w:t>2316489</w:t>
    </w:r>
  </w:p>
  <w:p w14:paraId="597B4C21" w14:textId="77777777" w:rsidR="00DC612A" w:rsidRDefault="00DC612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12A"/>
    <w:rsid w:val="00260E4D"/>
    <w:rsid w:val="002D5B42"/>
    <w:rsid w:val="004349CD"/>
    <w:rsid w:val="004A10F5"/>
    <w:rsid w:val="0065547A"/>
    <w:rsid w:val="006B1DE1"/>
    <w:rsid w:val="007016E9"/>
    <w:rsid w:val="00B46BBA"/>
    <w:rsid w:val="00DC61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6E08A"/>
  <w15:chartTrackingRefBased/>
  <w15:docId w15:val="{230754D7-C646-46F2-B88F-0A23CF7AF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61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61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61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61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61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61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61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61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61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61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61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61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61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61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61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61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61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612A"/>
    <w:rPr>
      <w:rFonts w:eastAsiaTheme="majorEastAsia" w:cstheme="majorBidi"/>
      <w:color w:val="272727" w:themeColor="text1" w:themeTint="D8"/>
    </w:rPr>
  </w:style>
  <w:style w:type="paragraph" w:styleId="Title">
    <w:name w:val="Title"/>
    <w:basedOn w:val="Normal"/>
    <w:next w:val="Normal"/>
    <w:link w:val="TitleChar"/>
    <w:uiPriority w:val="10"/>
    <w:qFormat/>
    <w:rsid w:val="00DC61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61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61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61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612A"/>
    <w:pPr>
      <w:spacing w:before="160"/>
      <w:jc w:val="center"/>
    </w:pPr>
    <w:rPr>
      <w:i/>
      <w:iCs/>
      <w:color w:val="404040" w:themeColor="text1" w:themeTint="BF"/>
    </w:rPr>
  </w:style>
  <w:style w:type="character" w:customStyle="1" w:styleId="QuoteChar">
    <w:name w:val="Quote Char"/>
    <w:basedOn w:val="DefaultParagraphFont"/>
    <w:link w:val="Quote"/>
    <w:uiPriority w:val="29"/>
    <w:rsid w:val="00DC612A"/>
    <w:rPr>
      <w:i/>
      <w:iCs/>
      <w:color w:val="404040" w:themeColor="text1" w:themeTint="BF"/>
    </w:rPr>
  </w:style>
  <w:style w:type="paragraph" w:styleId="ListParagraph">
    <w:name w:val="List Paragraph"/>
    <w:basedOn w:val="Normal"/>
    <w:uiPriority w:val="34"/>
    <w:qFormat/>
    <w:rsid w:val="00DC612A"/>
    <w:pPr>
      <w:ind w:left="720"/>
      <w:contextualSpacing/>
    </w:pPr>
  </w:style>
  <w:style w:type="character" w:styleId="IntenseEmphasis">
    <w:name w:val="Intense Emphasis"/>
    <w:basedOn w:val="DefaultParagraphFont"/>
    <w:uiPriority w:val="21"/>
    <w:qFormat/>
    <w:rsid w:val="00DC612A"/>
    <w:rPr>
      <w:i/>
      <w:iCs/>
      <w:color w:val="0F4761" w:themeColor="accent1" w:themeShade="BF"/>
    </w:rPr>
  </w:style>
  <w:style w:type="paragraph" w:styleId="IntenseQuote">
    <w:name w:val="Intense Quote"/>
    <w:basedOn w:val="Normal"/>
    <w:next w:val="Normal"/>
    <w:link w:val="IntenseQuoteChar"/>
    <w:uiPriority w:val="30"/>
    <w:qFormat/>
    <w:rsid w:val="00DC61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612A"/>
    <w:rPr>
      <w:i/>
      <w:iCs/>
      <w:color w:val="0F4761" w:themeColor="accent1" w:themeShade="BF"/>
    </w:rPr>
  </w:style>
  <w:style w:type="character" w:styleId="IntenseReference">
    <w:name w:val="Intense Reference"/>
    <w:basedOn w:val="DefaultParagraphFont"/>
    <w:uiPriority w:val="32"/>
    <w:qFormat/>
    <w:rsid w:val="00DC612A"/>
    <w:rPr>
      <w:b/>
      <w:bCs/>
      <w:smallCaps/>
      <w:color w:val="0F4761" w:themeColor="accent1" w:themeShade="BF"/>
      <w:spacing w:val="5"/>
    </w:rPr>
  </w:style>
  <w:style w:type="paragraph" w:styleId="Header">
    <w:name w:val="header"/>
    <w:basedOn w:val="Normal"/>
    <w:link w:val="HeaderChar"/>
    <w:uiPriority w:val="99"/>
    <w:unhideWhenUsed/>
    <w:rsid w:val="00DC61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612A"/>
  </w:style>
  <w:style w:type="paragraph" w:styleId="Footer">
    <w:name w:val="footer"/>
    <w:basedOn w:val="Normal"/>
    <w:link w:val="FooterChar"/>
    <w:uiPriority w:val="99"/>
    <w:unhideWhenUsed/>
    <w:rsid w:val="00DC61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61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3</Pages>
  <Words>783</Words>
  <Characters>4465</Characters>
  <Application>Microsoft Office Word</Application>
  <DocSecurity>0</DocSecurity>
  <Lines>37</Lines>
  <Paragraphs>10</Paragraphs>
  <ScaleCrop>false</ScaleCrop>
  <Company/>
  <LinksUpToDate>false</LinksUpToDate>
  <CharactersWithSpaces>5238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shreves</dc:creator>
  <cp:keywords/>
  <dc:description/>
  <cp:lastModifiedBy>sian shreves</cp:lastModifiedBy>
  <cp:revision>3</cp:revision>
  <dcterms:created xsi:type="dcterms:W3CDTF">2024-10-29T17:36:00Z</dcterms:created>
  <dcterms:modified xsi:type="dcterms:W3CDTF">2024-10-29T17:48:00Z</dcterms:modified>
</cp:coreProperties>
</file>