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F159" w14:textId="77777777" w:rsidR="00D5413C" w:rsidRDefault="00D5413C">
      <w:pPr>
        <w:pStyle w:val="Photo"/>
      </w:pPr>
      <w:bookmarkStart w:id="0" w:name="_Toc321147011"/>
      <w:bookmarkStart w:id="1" w:name="_Toc318189312"/>
      <w:bookmarkStart w:id="2" w:name="_Toc318188327"/>
      <w:bookmarkStart w:id="3" w:name="_Toc318188227"/>
      <w:bookmarkStart w:id="4" w:name="_Toc321147149"/>
      <w:r>
        <w:rPr>
          <w:noProof/>
          <w:lang w:eastAsia="en-US"/>
        </w:rPr>
        <w:drawing>
          <wp:inline distT="0" distB="0" distL="0" distR="0" wp14:anchorId="314F4379" wp14:editId="48DC36D9">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14:paraId="229FDDC4" w14:textId="43601603" w:rsidR="001638F6" w:rsidRDefault="00F90384" w:rsidP="00D5413C">
      <w:pPr>
        <w:pStyle w:val="Title"/>
      </w:pPr>
      <w:r w:rsidRPr="00F90384">
        <w:rPr>
          <w:b/>
        </w:rPr>
        <w:t>Law and Legal Practice</w:t>
      </w:r>
    </w:p>
    <w:p w14:paraId="6A0B7A66" w14:textId="7207B10C" w:rsidR="001638F6" w:rsidRPr="00D5413C" w:rsidRDefault="00F90384" w:rsidP="00D5413C">
      <w:pPr>
        <w:pStyle w:val="Subtitle"/>
      </w:pPr>
      <w:r>
        <w:t>Sian Turvrey</w:t>
      </w:r>
    </w:p>
    <w:p w14:paraId="55637EDC" w14:textId="113288CE" w:rsidR="003422FF" w:rsidRDefault="00F90384" w:rsidP="003422FF">
      <w:pPr>
        <w:pStyle w:val="ContactInfo"/>
      </w:pPr>
      <w:r>
        <w:t>Patrick Dalea</w:t>
      </w:r>
      <w:r w:rsidR="00D5413C">
        <w:t xml:space="preserve"> | </w:t>
      </w:r>
      <w:r>
        <w:t>Legal Process</w:t>
      </w:r>
      <w:r w:rsidR="00D5413C">
        <w:t xml:space="preserve"> |</w:t>
      </w:r>
      <w:r w:rsidR="00D5413C" w:rsidRPr="00D5413C">
        <w:t xml:space="preserve"> </w:t>
      </w:r>
      <w:r>
        <w:t>24/04/2022</w:t>
      </w:r>
      <w:r w:rsidR="003422FF">
        <w:br w:type="page"/>
      </w:r>
    </w:p>
    <w:bookmarkEnd w:id="0"/>
    <w:bookmarkEnd w:id="1"/>
    <w:bookmarkEnd w:id="2"/>
    <w:bookmarkEnd w:id="3"/>
    <w:bookmarkEnd w:id="4"/>
    <w:p w14:paraId="26E9F28E" w14:textId="400A644B" w:rsidR="005341F6" w:rsidRPr="0014618D" w:rsidRDefault="00D15458" w:rsidP="00A752EF">
      <w:pPr>
        <w:rPr>
          <w:rFonts w:ascii="Times New Roman" w:hAnsi="Times New Roman" w:cs="Times New Roman"/>
        </w:rPr>
      </w:pPr>
      <w:r w:rsidRPr="00D15458">
        <w:rPr>
          <w:rFonts w:ascii="Times New Roman" w:hAnsi="Times New Roman" w:cs="Times New Roman"/>
        </w:rPr>
        <w:lastRenderedPageBreak/>
        <w:t xml:space="preserve">Statutory Interpretation generally is the process that the courts work out the meaning of particularly specific laws and the way they for all intents and purposes are applying them. There actually are a lot of unwritten rules of statutory interpretation and some of them being the literal meaning rule, the golden rule and the mischief rule and the </w:t>
      </w:r>
      <w:r w:rsidRPr="00D15458">
        <w:rPr>
          <w:rFonts w:ascii="Times New Roman" w:hAnsi="Times New Roman" w:cs="Times New Roman"/>
        </w:rPr>
        <w:t>purposive</w:t>
      </w:r>
      <w:r w:rsidRPr="00D15458">
        <w:rPr>
          <w:rFonts w:ascii="Times New Roman" w:hAnsi="Times New Roman" w:cs="Times New Roman"/>
        </w:rPr>
        <w:t xml:space="preserve"> approach in a subtle way. Interpretation definitely is necessary especially when a case involves a statute in a kind of major way.</w:t>
      </w:r>
      <w:r>
        <w:rPr>
          <w:rFonts w:ascii="Times New Roman" w:hAnsi="Times New Roman" w:cs="Times New Roman"/>
        </w:rPr>
        <w:t xml:space="preserve"> </w:t>
      </w:r>
      <w:r w:rsidR="00524769" w:rsidRPr="0014618D">
        <w:rPr>
          <w:rFonts w:ascii="Times New Roman" w:hAnsi="Times New Roman" w:cs="Times New Roman"/>
        </w:rPr>
        <w:t xml:space="preserve">Statutory Interpretation will be required when complexity and uncertainty </w:t>
      </w:r>
      <w:r w:rsidR="00D03922" w:rsidRPr="0014618D">
        <w:rPr>
          <w:rFonts w:ascii="Times New Roman" w:hAnsi="Times New Roman" w:cs="Times New Roman"/>
        </w:rPr>
        <w:t xml:space="preserve">come in and there will be a what if in the whole scenario, so basically when there will be various questions asked on how the law applies in that given situation. As we all know the law is being written by people for people and us as humans can make different mistakes even when it comes to law, so for example if there is a back door in a certain law or the law isn’t very clear written that’s when Statutory Interpretation come in, and there will be different people to talk about it and explain it and apply as it should be applied. There can be typical problems in the law from not covering a specific point to drafting errors or when there </w:t>
      </w:r>
      <w:r w:rsidR="005261D2" w:rsidRPr="0014618D">
        <w:rPr>
          <w:rFonts w:ascii="Times New Roman" w:hAnsi="Times New Roman" w:cs="Times New Roman"/>
        </w:rPr>
        <w:t>are</w:t>
      </w:r>
      <w:r w:rsidR="00D03922" w:rsidRPr="0014618D">
        <w:rPr>
          <w:rFonts w:ascii="Times New Roman" w:hAnsi="Times New Roman" w:cs="Times New Roman"/>
        </w:rPr>
        <w:t xml:space="preserve"> new laws that overlaps with an old </w:t>
      </w:r>
      <w:r w:rsidR="004F2C4A" w:rsidRPr="0014618D">
        <w:rPr>
          <w:rFonts w:ascii="Times New Roman" w:hAnsi="Times New Roman" w:cs="Times New Roman"/>
        </w:rPr>
        <w:t xml:space="preserve">one. “ </w:t>
      </w:r>
      <w:r w:rsidR="004F2C4A" w:rsidRPr="0014618D">
        <w:rPr>
          <w:rFonts w:ascii="Times New Roman" w:hAnsi="Times New Roman" w:cs="Times New Roman"/>
          <w:i/>
          <w:iCs/>
          <w:highlight w:val="yellow"/>
        </w:rPr>
        <w:t>Some statutes date back to the 18th century and use words which now have a very different meaning today</w:t>
      </w:r>
      <w:r w:rsidR="004F2C4A" w:rsidRPr="0014618D">
        <w:rPr>
          <w:rFonts w:ascii="Times New Roman" w:hAnsi="Times New Roman" w:cs="Times New Roman"/>
          <w:i/>
          <w:iCs/>
        </w:rPr>
        <w:t>.</w:t>
      </w:r>
      <w:r w:rsidR="004F2C4A" w:rsidRPr="0014618D">
        <w:rPr>
          <w:rFonts w:ascii="Times New Roman" w:hAnsi="Times New Roman" w:cs="Times New Roman"/>
        </w:rPr>
        <w:t xml:space="preserve"> “</w:t>
      </w:r>
      <w:r w:rsidR="009835ED" w:rsidRPr="0014618D">
        <w:rPr>
          <w:rFonts w:ascii="Times New Roman" w:hAnsi="Times New Roman" w:cs="Times New Roman"/>
        </w:rPr>
        <w:t xml:space="preserve">. The Statutory Interpretation divides in three rules, The Literal Rule, The Golden Rule and The Mischief Rule. </w:t>
      </w:r>
    </w:p>
    <w:p w14:paraId="56AF889E" w14:textId="0922A0EA" w:rsidR="009835ED" w:rsidRPr="0014618D" w:rsidRDefault="009835ED" w:rsidP="00A752EF">
      <w:pPr>
        <w:rPr>
          <w:rFonts w:ascii="Times New Roman" w:hAnsi="Times New Roman" w:cs="Times New Roman"/>
        </w:rPr>
      </w:pPr>
      <w:r w:rsidRPr="0014618D">
        <w:rPr>
          <w:rFonts w:ascii="Times New Roman" w:hAnsi="Times New Roman" w:cs="Times New Roman"/>
        </w:rPr>
        <w:t xml:space="preserve">The Literal rule applies when the rule or the law is being read ordinary and by </w:t>
      </w:r>
      <w:r w:rsidR="005261D2" w:rsidRPr="0014618D">
        <w:rPr>
          <w:rFonts w:ascii="Times New Roman" w:hAnsi="Times New Roman" w:cs="Times New Roman"/>
        </w:rPr>
        <w:t>its</w:t>
      </w:r>
      <w:r w:rsidRPr="0014618D">
        <w:rPr>
          <w:rFonts w:ascii="Times New Roman" w:hAnsi="Times New Roman" w:cs="Times New Roman"/>
        </w:rPr>
        <w:t xml:space="preserve"> natural meaning and there is no need for further analyzation for </w:t>
      </w:r>
      <w:r w:rsidR="005261D2" w:rsidRPr="0014618D">
        <w:rPr>
          <w:rFonts w:ascii="Times New Roman" w:hAnsi="Times New Roman" w:cs="Times New Roman"/>
        </w:rPr>
        <w:t>other</w:t>
      </w:r>
      <w:r w:rsidRPr="0014618D">
        <w:rPr>
          <w:rFonts w:ascii="Times New Roman" w:hAnsi="Times New Roman" w:cs="Times New Roman"/>
        </w:rPr>
        <w:t xml:space="preserve"> meanings besides the words of the legislation. An example </w:t>
      </w:r>
      <w:r w:rsidR="004A1A12" w:rsidRPr="0014618D">
        <w:rPr>
          <w:rFonts w:ascii="Times New Roman" w:hAnsi="Times New Roman" w:cs="Times New Roman"/>
        </w:rPr>
        <w:t>of</w:t>
      </w:r>
      <w:r w:rsidRPr="0014618D">
        <w:rPr>
          <w:rFonts w:ascii="Times New Roman" w:hAnsi="Times New Roman" w:cs="Times New Roman"/>
        </w:rPr>
        <w:t xml:space="preserve"> a plain reading </w:t>
      </w:r>
      <w:r w:rsidR="004A1A12" w:rsidRPr="0014618D">
        <w:rPr>
          <w:rFonts w:ascii="Times New Roman" w:hAnsi="Times New Roman" w:cs="Times New Roman"/>
        </w:rPr>
        <w:t xml:space="preserve">which comes out with a very harsh result is the </w:t>
      </w:r>
      <w:r w:rsidR="004A1A12" w:rsidRPr="0014618D">
        <w:rPr>
          <w:rFonts w:ascii="Times New Roman" w:hAnsi="Times New Roman" w:cs="Times New Roman"/>
          <w:i/>
          <w:iCs/>
        </w:rPr>
        <w:t>Berriman Case, in 1946</w:t>
      </w:r>
      <w:r w:rsidR="004A1A12" w:rsidRPr="0014618D">
        <w:rPr>
          <w:rFonts w:ascii="Times New Roman" w:hAnsi="Times New Roman" w:cs="Times New Roman"/>
        </w:rPr>
        <w:t xml:space="preserve"> when a railway worker was killed while oiling the railway line and on the work space was no look out point. The Judge did not grant Mrs. Berriman any compensation for her husband’s death because the relevant Act only stated that look our points had to be presented to workers that are relaying or repairing the lines, oiling the line wasn’t in any of those two categories. </w:t>
      </w:r>
    </w:p>
    <w:p w14:paraId="39EE3FA9" w14:textId="619C0D99" w:rsidR="009C76D9" w:rsidRPr="0014618D" w:rsidRDefault="005341F6" w:rsidP="00A752EF">
      <w:pPr>
        <w:rPr>
          <w:rFonts w:ascii="Times New Roman" w:hAnsi="Times New Roman" w:cs="Times New Roman"/>
        </w:rPr>
      </w:pPr>
      <w:r w:rsidRPr="0014618D">
        <w:rPr>
          <w:rFonts w:ascii="Times New Roman" w:hAnsi="Times New Roman" w:cs="Times New Roman"/>
        </w:rPr>
        <w:t>The Golden rule is used to avoid or to prevent the absurdity when interpreting an Act literally. “</w:t>
      </w:r>
      <w:r w:rsidRPr="0014618D">
        <w:rPr>
          <w:rFonts w:ascii="Times New Roman" w:hAnsi="Times New Roman" w:cs="Times New Roman"/>
          <w:i/>
          <w:iCs/>
          <w:highlight w:val="yellow"/>
        </w:rPr>
        <w:t>The court “can only choose between the possible meanings of a word…”, ie. if one meaning is apparent that meaning must be adopted. In Adler v George (1964)</w:t>
      </w:r>
      <w:r w:rsidRPr="0014618D">
        <w:rPr>
          <w:rFonts w:ascii="Times New Roman" w:hAnsi="Times New Roman" w:cs="Times New Roman"/>
          <w:i/>
          <w:iCs/>
        </w:rPr>
        <w:t xml:space="preserve">”. </w:t>
      </w:r>
      <w:r w:rsidRPr="0014618D">
        <w:rPr>
          <w:rFonts w:ascii="Times New Roman" w:hAnsi="Times New Roman" w:cs="Times New Roman"/>
        </w:rPr>
        <w:t xml:space="preserve">In the wider approach the court can modify or change the words to avoid different interpretations of the act or different meaning of the literal act and to avoid problems after the interpretation or hearing. </w:t>
      </w:r>
    </w:p>
    <w:p w14:paraId="5C43B868" w14:textId="476A4624" w:rsidR="005341F6" w:rsidRDefault="005341F6" w:rsidP="00A752EF">
      <w:pPr>
        <w:rPr>
          <w:rFonts w:ascii="Times New Roman" w:hAnsi="Times New Roman" w:cs="Times New Roman"/>
        </w:rPr>
      </w:pPr>
      <w:r w:rsidRPr="0014618D">
        <w:rPr>
          <w:rFonts w:ascii="Times New Roman" w:hAnsi="Times New Roman" w:cs="Times New Roman"/>
        </w:rPr>
        <w:t xml:space="preserve">The Mischief rule </w:t>
      </w:r>
      <w:r w:rsidR="00EA000F" w:rsidRPr="0014618D">
        <w:rPr>
          <w:rFonts w:ascii="Times New Roman" w:hAnsi="Times New Roman" w:cs="Times New Roman"/>
        </w:rPr>
        <w:t xml:space="preserve">is applied to avoid different loopholes or ambiguity within the legislation that applies to the case and when it results in the Parliament not being able to </w:t>
      </w:r>
      <w:r w:rsidR="005261D2" w:rsidRPr="0014618D">
        <w:rPr>
          <w:rFonts w:ascii="Times New Roman" w:hAnsi="Times New Roman" w:cs="Times New Roman"/>
        </w:rPr>
        <w:t>honour</w:t>
      </w:r>
      <w:r w:rsidR="00EA000F" w:rsidRPr="0014618D">
        <w:rPr>
          <w:rFonts w:ascii="Times New Roman" w:hAnsi="Times New Roman" w:cs="Times New Roman"/>
        </w:rPr>
        <w:t xml:space="preserve"> their original intention within the legislation. The mischief rule is much narrow than the golden rule and it’s only applied to find and determine the mischief.</w:t>
      </w:r>
    </w:p>
    <w:p w14:paraId="14F55A73" w14:textId="5C88D903" w:rsidR="0099082B" w:rsidRPr="0014618D" w:rsidRDefault="0099082B" w:rsidP="00A752EF">
      <w:pPr>
        <w:rPr>
          <w:rFonts w:ascii="Times New Roman" w:hAnsi="Times New Roman" w:cs="Times New Roman"/>
        </w:rPr>
      </w:pPr>
      <w:r>
        <w:rPr>
          <w:rFonts w:ascii="Times New Roman" w:hAnsi="Times New Roman" w:cs="Times New Roman"/>
        </w:rPr>
        <w:t xml:space="preserve">The Purposive approach which was implemented to ensure that the law is effective as the Parliament intended. So </w:t>
      </w:r>
      <w:r w:rsidR="005261D2">
        <w:rPr>
          <w:rFonts w:ascii="Times New Roman" w:hAnsi="Times New Roman" w:cs="Times New Roman"/>
        </w:rPr>
        <w:t>basically,</w:t>
      </w:r>
      <w:r>
        <w:rPr>
          <w:rFonts w:ascii="Times New Roman" w:hAnsi="Times New Roman" w:cs="Times New Roman"/>
        </w:rPr>
        <w:t xml:space="preserve"> it’s a rule that will make sure the law in applied correctly even </w:t>
      </w:r>
      <w:r w:rsidR="005261D2">
        <w:rPr>
          <w:rFonts w:ascii="Times New Roman" w:hAnsi="Times New Roman" w:cs="Times New Roman"/>
        </w:rPr>
        <w:t>though</w:t>
      </w:r>
      <w:r>
        <w:rPr>
          <w:rFonts w:ascii="Times New Roman" w:hAnsi="Times New Roman" w:cs="Times New Roman"/>
        </w:rPr>
        <w:t xml:space="preserve"> there will be arguments on the specific case and there will be different approaches to the situation due to the situation being different or a bit fragile to be argued about. This approach was used at Pickstone v Freemans plc (1989) AC 66. and if the literal rule had have been applied to the case, UK would have breached </w:t>
      </w:r>
      <w:r w:rsidR="005261D2">
        <w:rPr>
          <w:rFonts w:ascii="Times New Roman" w:hAnsi="Times New Roman" w:cs="Times New Roman"/>
        </w:rPr>
        <w:t>its</w:t>
      </w:r>
      <w:r>
        <w:rPr>
          <w:rFonts w:ascii="Times New Roman" w:hAnsi="Times New Roman" w:cs="Times New Roman"/>
        </w:rPr>
        <w:t xml:space="preserve"> treaty obligations to adopt an new effect to an EU directive (Slapp</w:t>
      </w:r>
      <w:r w:rsidR="003B5A7D">
        <w:rPr>
          <w:rFonts w:ascii="Times New Roman" w:hAnsi="Times New Roman" w:cs="Times New Roman"/>
        </w:rPr>
        <w:t>er, G, p186 2009)</w:t>
      </w:r>
    </w:p>
    <w:p w14:paraId="011DA6B7" w14:textId="6991669C" w:rsidR="00EA000F" w:rsidRPr="0014618D" w:rsidRDefault="00EA000F" w:rsidP="00A752EF">
      <w:pPr>
        <w:rPr>
          <w:rFonts w:ascii="Times New Roman" w:hAnsi="Times New Roman" w:cs="Times New Roman"/>
        </w:rPr>
      </w:pPr>
    </w:p>
    <w:p w14:paraId="0A1A6E5B" w14:textId="3308456B" w:rsidR="00EA000F" w:rsidRPr="0014618D" w:rsidRDefault="00EA000F" w:rsidP="00A752EF">
      <w:pPr>
        <w:rPr>
          <w:rFonts w:ascii="Times New Roman" w:hAnsi="Times New Roman" w:cs="Times New Roman"/>
        </w:rPr>
      </w:pPr>
    </w:p>
    <w:p w14:paraId="5F5BE1BA" w14:textId="62EF7DD3" w:rsidR="00EA000F" w:rsidRPr="0014618D" w:rsidRDefault="00EA000F" w:rsidP="00A752EF">
      <w:pPr>
        <w:rPr>
          <w:rFonts w:ascii="Times New Roman" w:hAnsi="Times New Roman" w:cs="Times New Roman"/>
        </w:rPr>
      </w:pPr>
    </w:p>
    <w:p w14:paraId="6CC908CE" w14:textId="6F3C46D7" w:rsidR="00A53F72" w:rsidRDefault="00A53F72" w:rsidP="00A752EF">
      <w:pPr>
        <w:rPr>
          <w:rFonts w:ascii="Times New Roman" w:hAnsi="Times New Roman" w:cs="Times New Roman"/>
        </w:rPr>
      </w:pPr>
      <w:r w:rsidRPr="0014618D">
        <w:rPr>
          <w:rFonts w:ascii="Times New Roman" w:hAnsi="Times New Roman" w:cs="Times New Roman"/>
        </w:rPr>
        <w:t xml:space="preserve">In my opinion </w:t>
      </w:r>
      <w:r w:rsidR="00AF5084" w:rsidRPr="0014618D">
        <w:rPr>
          <w:rFonts w:ascii="Times New Roman" w:hAnsi="Times New Roman" w:cs="Times New Roman"/>
        </w:rPr>
        <w:t xml:space="preserve">the law makers should be much clearer in expressing their intension, </w:t>
      </w:r>
      <w:r w:rsidRPr="0014618D">
        <w:rPr>
          <w:rFonts w:ascii="Times New Roman" w:hAnsi="Times New Roman" w:cs="Times New Roman"/>
        </w:rPr>
        <w:t xml:space="preserve">this could be </w:t>
      </w:r>
      <w:r w:rsidR="00AF5084" w:rsidRPr="0014618D">
        <w:rPr>
          <w:rFonts w:ascii="Times New Roman" w:hAnsi="Times New Roman" w:cs="Times New Roman"/>
        </w:rPr>
        <w:t xml:space="preserve">fixed </w:t>
      </w:r>
      <w:r w:rsidRPr="0014618D">
        <w:rPr>
          <w:rFonts w:ascii="Times New Roman" w:hAnsi="Times New Roman" w:cs="Times New Roman"/>
        </w:rPr>
        <w:t xml:space="preserve">very easily if the </w:t>
      </w:r>
      <w:r w:rsidR="00DF0AA7" w:rsidRPr="0014618D">
        <w:rPr>
          <w:rFonts w:ascii="Times New Roman" w:hAnsi="Times New Roman" w:cs="Times New Roman"/>
        </w:rPr>
        <w:t>lawmakers</w:t>
      </w:r>
      <w:r w:rsidRPr="0014618D">
        <w:rPr>
          <w:rFonts w:ascii="Times New Roman" w:hAnsi="Times New Roman" w:cs="Times New Roman"/>
        </w:rPr>
        <w:t xml:space="preserve"> offer a bit more time to the laws that get confirmed and are being written so the public can actually understand the certain meaning of it. </w:t>
      </w:r>
      <w:r w:rsidR="00DF0AA7" w:rsidRPr="0014618D">
        <w:rPr>
          <w:rFonts w:ascii="Times New Roman" w:hAnsi="Times New Roman" w:cs="Times New Roman"/>
        </w:rPr>
        <w:t>When somebody that has no experience within the law and they will find themselves in a situation where they will need it and they will need a lot of information about it, there should be enough information released to public and written very clearly along with examples to different situations so everybody can understand. As I said before we are humans and we do make mistakes even though we writing the law, it’s human to make mistakes or to not think about a certain situation in that moment so the way I see it is to have somebody recalling the laws that have been written every few months and make sure it’s all good and maybe they will find another situation that can be added to one of the laws that have been written and confirmed already.</w:t>
      </w:r>
      <w:r w:rsidR="003B5A7D">
        <w:rPr>
          <w:rFonts w:ascii="Times New Roman" w:hAnsi="Times New Roman" w:cs="Times New Roman"/>
        </w:rPr>
        <w:t xml:space="preserve"> Another solution is to have a public hearing about the laws that are already in </w:t>
      </w:r>
      <w:r w:rsidR="005261D2">
        <w:rPr>
          <w:rFonts w:ascii="Times New Roman" w:hAnsi="Times New Roman" w:cs="Times New Roman"/>
        </w:rPr>
        <w:t>place,</w:t>
      </w:r>
      <w:r w:rsidR="003B5A7D">
        <w:rPr>
          <w:rFonts w:ascii="Times New Roman" w:hAnsi="Times New Roman" w:cs="Times New Roman"/>
        </w:rPr>
        <w:t xml:space="preserve"> and it gives the public, the citizens to offer their opinion about the legislation that has been adopted or will be adopted in the future and that could enlighten them into understanding the legislation or the law much better as well.</w:t>
      </w:r>
    </w:p>
    <w:p w14:paraId="26447B2A" w14:textId="1C4D687B" w:rsidR="00A72CE3" w:rsidRDefault="00D15458" w:rsidP="00A752EF">
      <w:pPr>
        <w:rPr>
          <w:rFonts w:ascii="Times New Roman" w:hAnsi="Times New Roman" w:cs="Times New Roman"/>
        </w:rPr>
      </w:pPr>
      <w:r w:rsidRPr="00D15458">
        <w:rPr>
          <w:rFonts w:ascii="Times New Roman" w:hAnsi="Times New Roman" w:cs="Times New Roman"/>
        </w:rPr>
        <w:t xml:space="preserve">Statutory Interpretation is necessary because most of the cases that mostly get to court these days for the most part do literally have different </w:t>
      </w:r>
      <w:r w:rsidR="00A72CE3" w:rsidRPr="00D15458">
        <w:rPr>
          <w:rFonts w:ascii="Times New Roman" w:hAnsi="Times New Roman" w:cs="Times New Roman"/>
        </w:rPr>
        <w:t>loopholes,</w:t>
      </w:r>
      <w:r w:rsidRPr="00D15458">
        <w:rPr>
          <w:rFonts w:ascii="Times New Roman" w:hAnsi="Times New Roman" w:cs="Times New Roman"/>
        </w:rPr>
        <w:t xml:space="preserve"> or the actual defendant is not in sync with the law which happens way to often and they actually think that what they did essentially is actually fairly okay in a subtle way. In conclusion the Statutory Interpretation literally is very necessary because people are trying to actually be very sneaky about what they did and they will generally be trying </w:t>
      </w:r>
      <w:r w:rsidR="00A72CE3" w:rsidRPr="00D15458">
        <w:rPr>
          <w:rFonts w:ascii="Times New Roman" w:hAnsi="Times New Roman" w:cs="Times New Roman"/>
        </w:rPr>
        <w:t>the</w:t>
      </w:r>
      <w:r w:rsidR="00A72CE3">
        <w:rPr>
          <w:rFonts w:ascii="Times New Roman" w:hAnsi="Times New Roman" w:cs="Times New Roman"/>
        </w:rPr>
        <w:t>i</w:t>
      </w:r>
      <w:r w:rsidR="00A72CE3" w:rsidRPr="00D15458">
        <w:rPr>
          <w:rFonts w:ascii="Times New Roman" w:hAnsi="Times New Roman" w:cs="Times New Roman"/>
        </w:rPr>
        <w:t>r</w:t>
      </w:r>
      <w:r w:rsidRPr="00D15458">
        <w:rPr>
          <w:rFonts w:ascii="Times New Roman" w:hAnsi="Times New Roman" w:cs="Times New Roman"/>
        </w:rPr>
        <w:t xml:space="preserve"> literal hardest to particularly get away with what they did, the Statutory Interpretation is required where complexity and uncertainty basically comes in so when a lot of questions can mostly be literally asked about the actual case or situation in a generally major way.</w:t>
      </w:r>
      <w:r w:rsidR="00A72CE3">
        <w:rPr>
          <w:rFonts w:ascii="Times New Roman" w:hAnsi="Times New Roman" w:cs="Times New Roman"/>
        </w:rPr>
        <w:t xml:space="preserve"> So yes, the Statutory Interpretation is very necessary even though there will be different arguments about how things are handled which means that even though the Statutory Interpretation is needed it means that it also needs to be very careful with their approach to problems.</w:t>
      </w:r>
    </w:p>
    <w:p w14:paraId="00C7A450" w14:textId="54E857BA" w:rsidR="003B5A7D" w:rsidRPr="0014618D" w:rsidRDefault="00D15458" w:rsidP="00A752EF">
      <w:pPr>
        <w:rPr>
          <w:rFonts w:ascii="Times New Roman" w:hAnsi="Times New Roman" w:cs="Times New Roman"/>
        </w:rPr>
      </w:pPr>
      <w:r w:rsidRPr="00D15458">
        <w:rPr>
          <w:rFonts w:ascii="Times New Roman" w:hAnsi="Times New Roman" w:cs="Times New Roman"/>
        </w:rPr>
        <w:t>Even though the whole point of the Statutory Interpretation literally is to actually essentially have a fair hearing about the argument, it still brings some problems to the front and to the public as well, some of them including the rules in a sort of major way. The Literal Rule can end absurdities but can particularly be very unjust like the Berriman case and it doesn’t definitely take into consideration the intensions of the Parliament in these really modern days the fact that us as humans definitely are evolving everyday will literally require new changes regularly. Along with the Literal rule there can actually be unelected judges to particularly make the law which lead to unclear results and ends up to finding the Parliament’s intension very hard or not even seeing their intension in a big way. The Golden Rule for the most part is sort of limited in use, in most of the cases if this rule essentially is approached, this rule gives a lot of power to the judges which can end up to a very bad or unfair solution, I literally am not saying that the judges aren’t generally fair and they for the most part have too definitely much power, it’s the fact that a problem can literally be seen from different perspectives and those perspectives won’t necessarily really be presented as they definitely are or the way they should specifically be presented. The Purposive Approach is underrated some literally times because the Judges become the Law Makers and they basically are overstepping the Separation of Powers Act, which actually is quite significant.</w:t>
      </w:r>
    </w:p>
    <w:p w14:paraId="395FDC93" w14:textId="2D9DBBDC" w:rsidR="0014618D" w:rsidRDefault="0014618D" w:rsidP="00A752EF"/>
    <w:p w14:paraId="173CB334" w14:textId="77777777" w:rsidR="0014618D" w:rsidRDefault="0014618D" w:rsidP="00A752EF"/>
    <w:p w14:paraId="3CEDB1A0" w14:textId="05C40B17" w:rsidR="004F2C4A" w:rsidRDefault="004F2C4A" w:rsidP="00A752EF"/>
    <w:p w14:paraId="4CEA1B2A" w14:textId="67CDBCA6" w:rsidR="004F2C4A" w:rsidRDefault="004F2C4A" w:rsidP="009C76D9">
      <w:pPr>
        <w:pStyle w:val="Heading1"/>
        <w:jc w:val="center"/>
      </w:pPr>
      <w:r>
        <w:t>References,</w:t>
      </w:r>
      <w:r w:rsidR="009C76D9">
        <w:t xml:space="preserve"> Quotes, Links</w:t>
      </w:r>
      <w:r>
        <w:t>:</w:t>
      </w:r>
    </w:p>
    <w:p w14:paraId="294C5D38" w14:textId="4E1D4E76" w:rsidR="004F2C4A" w:rsidRDefault="004F2C4A" w:rsidP="00A752EF">
      <w:r w:rsidRPr="009C76D9">
        <w:rPr>
          <w:highlight w:val="yellow"/>
        </w:rPr>
        <w:t>Some statutes date back to the 18th century and use words which now have a very different meaning today.</w:t>
      </w:r>
      <w:r>
        <w:t xml:space="preserve"> - </w:t>
      </w:r>
      <w:hyperlink r:id="rId9" w:history="1">
        <w:r w:rsidR="005341F6" w:rsidRPr="00A72BAD">
          <w:rPr>
            <w:rStyle w:val="Hyperlink"/>
          </w:rPr>
          <w:t>https://www.inbrief.co.uk/legal-system/statutory-interpretation/</w:t>
        </w:r>
      </w:hyperlink>
    </w:p>
    <w:p w14:paraId="262FD54B" w14:textId="1F79F3E4" w:rsidR="005341F6" w:rsidRPr="007021DE" w:rsidRDefault="005341F6" w:rsidP="005341F6">
      <w:r w:rsidRPr="005341F6">
        <w:rPr>
          <w:i/>
          <w:iCs/>
          <w:highlight w:val="yellow"/>
        </w:rPr>
        <w:t>The court “can only choose between the possible meanings of a word…”, ie. if one meaning is apparent that meaning must be adopted. In Adler v George (1964)</w:t>
      </w:r>
      <w:r>
        <w:rPr>
          <w:i/>
          <w:iCs/>
        </w:rPr>
        <w:t xml:space="preserve"> - </w:t>
      </w:r>
      <w:r w:rsidRPr="004F2C4A">
        <w:t>https://www.inbrief.co.uk/legal-system/statutory-interpretation/</w:t>
      </w:r>
    </w:p>
    <w:p w14:paraId="51C170E6" w14:textId="77777777" w:rsidR="005341F6" w:rsidRPr="007021DE" w:rsidRDefault="005341F6" w:rsidP="00A752EF"/>
    <w:sectPr w:rsidR="005341F6" w:rsidRPr="007021DE">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4B868" w14:textId="77777777" w:rsidR="00A3333B" w:rsidRDefault="00A3333B">
      <w:pPr>
        <w:spacing w:before="0" w:after="0" w:line="240" w:lineRule="auto"/>
      </w:pPr>
      <w:r>
        <w:separator/>
      </w:r>
    </w:p>
  </w:endnote>
  <w:endnote w:type="continuationSeparator" w:id="0">
    <w:p w14:paraId="5D3D5DCF" w14:textId="77777777" w:rsidR="00A3333B" w:rsidRDefault="00A333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B4528"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BA0A9" w14:textId="77777777" w:rsidR="00A3333B" w:rsidRDefault="00A3333B">
      <w:pPr>
        <w:spacing w:before="0" w:after="0" w:line="240" w:lineRule="auto"/>
      </w:pPr>
      <w:r>
        <w:separator/>
      </w:r>
    </w:p>
  </w:footnote>
  <w:footnote w:type="continuationSeparator" w:id="0">
    <w:p w14:paraId="3DB89EEA" w14:textId="77777777" w:rsidR="00A3333B" w:rsidRDefault="00A3333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D414CC8"/>
    <w:multiLevelType w:val="hybridMultilevel"/>
    <w:tmpl w:val="D12C3408"/>
    <w:lvl w:ilvl="0" w:tplc="84ECBDF4">
      <w:numFmt w:val="bullet"/>
      <w:lvlText w:val="-"/>
      <w:lvlJc w:val="left"/>
      <w:pPr>
        <w:ind w:left="720" w:hanging="360"/>
      </w:pPr>
      <w:rPr>
        <w:rFonts w:ascii="Constantia" w:eastAsiaTheme="minorEastAsia"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306596180">
    <w:abstractNumId w:val="9"/>
  </w:num>
  <w:num w:numId="2" w16cid:durableId="1706715984">
    <w:abstractNumId w:val="9"/>
  </w:num>
  <w:num w:numId="3" w16cid:durableId="471990833">
    <w:abstractNumId w:val="8"/>
  </w:num>
  <w:num w:numId="4" w16cid:durableId="141773288">
    <w:abstractNumId w:val="8"/>
  </w:num>
  <w:num w:numId="5" w16cid:durableId="1619875288">
    <w:abstractNumId w:val="9"/>
  </w:num>
  <w:num w:numId="6" w16cid:durableId="973684115">
    <w:abstractNumId w:val="8"/>
  </w:num>
  <w:num w:numId="7" w16cid:durableId="593705314">
    <w:abstractNumId w:val="11"/>
  </w:num>
  <w:num w:numId="8" w16cid:durableId="703595871">
    <w:abstractNumId w:val="10"/>
  </w:num>
  <w:num w:numId="9" w16cid:durableId="1733770957">
    <w:abstractNumId w:val="13"/>
  </w:num>
  <w:num w:numId="10" w16cid:durableId="478427826">
    <w:abstractNumId w:val="12"/>
  </w:num>
  <w:num w:numId="11" w16cid:durableId="664632513">
    <w:abstractNumId w:val="16"/>
  </w:num>
  <w:num w:numId="12" w16cid:durableId="682974630">
    <w:abstractNumId w:val="15"/>
  </w:num>
  <w:num w:numId="13" w16cid:durableId="1363551288">
    <w:abstractNumId w:val="7"/>
  </w:num>
  <w:num w:numId="14" w16cid:durableId="364523778">
    <w:abstractNumId w:val="6"/>
  </w:num>
  <w:num w:numId="15" w16cid:durableId="938217758">
    <w:abstractNumId w:val="5"/>
  </w:num>
  <w:num w:numId="16" w16cid:durableId="2123301234">
    <w:abstractNumId w:val="4"/>
  </w:num>
  <w:num w:numId="17" w16cid:durableId="19010017">
    <w:abstractNumId w:val="3"/>
  </w:num>
  <w:num w:numId="18" w16cid:durableId="1357076039">
    <w:abstractNumId w:val="2"/>
  </w:num>
  <w:num w:numId="19" w16cid:durableId="565338792">
    <w:abstractNumId w:val="1"/>
  </w:num>
  <w:num w:numId="20" w16cid:durableId="98988234">
    <w:abstractNumId w:val="0"/>
  </w:num>
  <w:num w:numId="21" w16cid:durableId="5152672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84"/>
    <w:rsid w:val="000748AA"/>
    <w:rsid w:val="0014618D"/>
    <w:rsid w:val="001638F6"/>
    <w:rsid w:val="001A2000"/>
    <w:rsid w:val="003209D6"/>
    <w:rsid w:val="00334A73"/>
    <w:rsid w:val="003422FF"/>
    <w:rsid w:val="00375823"/>
    <w:rsid w:val="003B5A7D"/>
    <w:rsid w:val="004952C4"/>
    <w:rsid w:val="004A1A12"/>
    <w:rsid w:val="004F2C4A"/>
    <w:rsid w:val="00524769"/>
    <w:rsid w:val="005261D2"/>
    <w:rsid w:val="005341F6"/>
    <w:rsid w:val="005A1C5A"/>
    <w:rsid w:val="005B219A"/>
    <w:rsid w:val="00690EFD"/>
    <w:rsid w:val="006B1E4C"/>
    <w:rsid w:val="007021DE"/>
    <w:rsid w:val="00732607"/>
    <w:rsid w:val="007830A8"/>
    <w:rsid w:val="00844483"/>
    <w:rsid w:val="00934F1C"/>
    <w:rsid w:val="009835ED"/>
    <w:rsid w:val="0099082B"/>
    <w:rsid w:val="009C76D9"/>
    <w:rsid w:val="009D2231"/>
    <w:rsid w:val="00A122DB"/>
    <w:rsid w:val="00A3333B"/>
    <w:rsid w:val="00A53F72"/>
    <w:rsid w:val="00A72CE3"/>
    <w:rsid w:val="00A752EF"/>
    <w:rsid w:val="00AD165F"/>
    <w:rsid w:val="00AF5084"/>
    <w:rsid w:val="00B47B7A"/>
    <w:rsid w:val="00B646B8"/>
    <w:rsid w:val="00C80BD4"/>
    <w:rsid w:val="00CF3A42"/>
    <w:rsid w:val="00D03922"/>
    <w:rsid w:val="00D15458"/>
    <w:rsid w:val="00D478BB"/>
    <w:rsid w:val="00D5413C"/>
    <w:rsid w:val="00DC07A3"/>
    <w:rsid w:val="00DF0AA7"/>
    <w:rsid w:val="00E11B8A"/>
    <w:rsid w:val="00EA000F"/>
    <w:rsid w:val="00F677F9"/>
    <w:rsid w:val="00F90384"/>
    <w:rsid w:val="00FD1504"/>
    <w:rsid w:val="00FF2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9441D6"/>
  <w15:chartTrackingRefBased/>
  <w15:docId w15:val="{7823BA0E-D8BC-4287-B50C-E1F7856A8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rPr>
      <w:lang w:val="en-GB"/>
    </w:rPr>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5341F6"/>
    <w:rPr>
      <w:color w:val="993E21" w:themeColor="hyperlink"/>
      <w:u w:val="single"/>
    </w:rPr>
  </w:style>
  <w:style w:type="character" w:styleId="UnresolvedMention">
    <w:name w:val="Unresolved Mention"/>
    <w:basedOn w:val="DefaultParagraphFont"/>
    <w:uiPriority w:val="99"/>
    <w:semiHidden/>
    <w:unhideWhenUsed/>
    <w:rsid w:val="005341F6"/>
    <w:rPr>
      <w:color w:val="605E5C"/>
      <w:shd w:val="clear" w:color="auto" w:fill="E1DFDD"/>
    </w:rPr>
  </w:style>
  <w:style w:type="paragraph" w:styleId="ListParagraph">
    <w:name w:val="List Paragraph"/>
    <w:basedOn w:val="Normal"/>
    <w:uiPriority w:val="34"/>
    <w:semiHidden/>
    <w:qFormat/>
    <w:rsid w:val="005341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brief.co.uk/legal-system/statutory-interpret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i\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cover.dotx</Template>
  <TotalTime>289</TotalTime>
  <Pages>4</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Patrick Dalea</dc:creator>
  <cp:keywords/>
  <cp:lastModifiedBy>Patrick</cp:lastModifiedBy>
  <cp:revision>2</cp:revision>
  <dcterms:created xsi:type="dcterms:W3CDTF">2022-05-01T16:12:00Z</dcterms:created>
  <dcterms:modified xsi:type="dcterms:W3CDTF">2022-05-02T17:16:00Z</dcterms:modified>
  <cp:version/>
</cp:coreProperties>
</file>