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F870F" w14:textId="22E7889C" w:rsidR="00B06EDC" w:rsidRPr="003F0BBC" w:rsidRDefault="00B06EDC" w:rsidP="00130255">
      <w:pPr>
        <w:tabs>
          <w:tab w:val="left" w:pos="684"/>
        </w:tabs>
        <w:spacing w:line="240" w:lineRule="auto"/>
        <w:jc w:val="center"/>
        <w:rPr>
          <w:rFonts w:ascii="Arial" w:hAnsi="Arial" w:cs="Arial"/>
        </w:rPr>
      </w:pPr>
      <w:r w:rsidRPr="003F0BBC">
        <w:rPr>
          <w:rFonts w:ascii="Arial" w:hAnsi="Arial" w:cs="Arial"/>
          <w:noProof/>
        </w:rPr>
        <w:drawing>
          <wp:inline distT="0" distB="0" distL="0" distR="0" wp14:anchorId="03E5182D" wp14:editId="06DD2BA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7ED35F9" w14:textId="77777777" w:rsidR="00B06EDC" w:rsidRPr="003F0BBC" w:rsidRDefault="00B06EDC" w:rsidP="00B06EDC">
      <w:pPr>
        <w:spacing w:line="240" w:lineRule="auto"/>
        <w:jc w:val="center"/>
        <w:rPr>
          <w:rFonts w:ascii="Arial" w:hAnsi="Arial" w:cs="Arial"/>
        </w:rPr>
      </w:pPr>
    </w:p>
    <w:p w14:paraId="223C5E1C" w14:textId="77777777" w:rsidR="00B06EDC" w:rsidRPr="003F0BBC" w:rsidRDefault="00B06EDC" w:rsidP="00B06EDC">
      <w:pPr>
        <w:spacing w:line="240" w:lineRule="auto"/>
        <w:jc w:val="center"/>
        <w:rPr>
          <w:rFonts w:ascii="Arial" w:hAnsi="Arial" w:cs="Arial"/>
        </w:rPr>
      </w:pPr>
    </w:p>
    <w:p w14:paraId="264E6142" w14:textId="77777777" w:rsidR="00B06EDC" w:rsidRPr="003F0BBC" w:rsidRDefault="00B06EDC" w:rsidP="00B06EDC">
      <w:pPr>
        <w:spacing w:line="240" w:lineRule="auto"/>
        <w:jc w:val="center"/>
        <w:rPr>
          <w:rFonts w:ascii="Arial" w:hAnsi="Arial" w:cs="Arial"/>
          <w:b/>
          <w:bCs/>
          <w:sz w:val="28"/>
          <w:szCs w:val="24"/>
        </w:rPr>
      </w:pPr>
      <w:r w:rsidRPr="003F0BBC">
        <w:rPr>
          <w:rFonts w:ascii="Arial" w:hAnsi="Arial" w:cs="Arial"/>
          <w:b/>
          <w:bCs/>
          <w:sz w:val="28"/>
          <w:szCs w:val="24"/>
        </w:rPr>
        <w:t xml:space="preserve">Programme: Master of Business Administration </w:t>
      </w:r>
    </w:p>
    <w:p w14:paraId="27F5DCB2" w14:textId="77777777" w:rsidR="00B06EDC" w:rsidRPr="003F0BBC" w:rsidRDefault="00B06EDC" w:rsidP="00B06EDC">
      <w:pPr>
        <w:spacing w:line="240" w:lineRule="auto"/>
        <w:jc w:val="center"/>
        <w:rPr>
          <w:rFonts w:ascii="Arial" w:hAnsi="Arial" w:cs="Arial"/>
          <w:b/>
          <w:bCs/>
          <w:sz w:val="28"/>
          <w:szCs w:val="24"/>
        </w:rPr>
      </w:pPr>
      <w:r w:rsidRPr="003F0BBC">
        <w:rPr>
          <w:rFonts w:ascii="Arial" w:hAnsi="Arial" w:cs="Arial"/>
          <w:b/>
          <w:bCs/>
          <w:sz w:val="28"/>
          <w:szCs w:val="24"/>
        </w:rPr>
        <w:t xml:space="preserve">Module: International Business Concepts </w:t>
      </w:r>
    </w:p>
    <w:p w14:paraId="00F32B0C" w14:textId="1E206997" w:rsidR="00B06EDC" w:rsidRPr="003F0BBC" w:rsidRDefault="00B06EDC" w:rsidP="00B06EDC">
      <w:pPr>
        <w:spacing w:line="240" w:lineRule="auto"/>
        <w:jc w:val="center"/>
        <w:rPr>
          <w:rFonts w:ascii="Arial" w:hAnsi="Arial" w:cs="Arial"/>
          <w:b/>
          <w:bCs/>
          <w:sz w:val="28"/>
          <w:szCs w:val="24"/>
        </w:rPr>
      </w:pPr>
      <w:r w:rsidRPr="003F0BBC">
        <w:rPr>
          <w:rFonts w:ascii="Arial" w:hAnsi="Arial" w:cs="Arial"/>
          <w:b/>
          <w:bCs/>
          <w:sz w:val="28"/>
          <w:szCs w:val="24"/>
        </w:rPr>
        <w:t>Module code: LCMB7034</w:t>
      </w:r>
    </w:p>
    <w:p w14:paraId="0BC71ACB" w14:textId="77777777" w:rsidR="00B06EDC" w:rsidRPr="003F0BBC" w:rsidRDefault="00B06EDC" w:rsidP="00B06EDC">
      <w:pPr>
        <w:spacing w:line="240" w:lineRule="auto"/>
        <w:jc w:val="center"/>
        <w:rPr>
          <w:rFonts w:ascii="Arial" w:hAnsi="Arial" w:cs="Arial"/>
        </w:rPr>
      </w:pPr>
    </w:p>
    <w:p w14:paraId="705B9065" w14:textId="77777777" w:rsidR="00B06EDC" w:rsidRPr="003F0BBC" w:rsidRDefault="00B06EDC" w:rsidP="00B06EDC">
      <w:pPr>
        <w:spacing w:line="240" w:lineRule="auto"/>
        <w:jc w:val="center"/>
        <w:rPr>
          <w:rFonts w:ascii="Arial" w:hAnsi="Arial" w:cs="Arial"/>
        </w:rPr>
      </w:pPr>
    </w:p>
    <w:p w14:paraId="03BF764F" w14:textId="2BEBB263" w:rsidR="00B06EDC" w:rsidRPr="003F0BBC" w:rsidRDefault="00B06EDC" w:rsidP="00B06EDC">
      <w:pPr>
        <w:spacing w:line="240" w:lineRule="auto"/>
        <w:jc w:val="center"/>
        <w:rPr>
          <w:rFonts w:ascii="Arial" w:hAnsi="Arial" w:cs="Arial"/>
          <w:b/>
          <w:bCs/>
        </w:rPr>
      </w:pPr>
      <w:r w:rsidRPr="003F0BBC">
        <w:rPr>
          <w:rFonts w:ascii="Arial" w:hAnsi="Arial" w:cs="Arial"/>
          <w:b/>
          <w:bCs/>
        </w:rPr>
        <w:t xml:space="preserve">Student Name: Abu </w:t>
      </w:r>
      <w:proofErr w:type="spellStart"/>
      <w:r w:rsidRPr="003F0BBC">
        <w:rPr>
          <w:rFonts w:ascii="Arial" w:hAnsi="Arial" w:cs="Arial"/>
          <w:b/>
          <w:bCs/>
        </w:rPr>
        <w:t>siddik</w:t>
      </w:r>
      <w:proofErr w:type="spellEnd"/>
    </w:p>
    <w:p w14:paraId="6A5BF581" w14:textId="23470935" w:rsidR="00B06EDC" w:rsidRPr="003F0BBC" w:rsidRDefault="00B06EDC" w:rsidP="00B06EDC">
      <w:pPr>
        <w:spacing w:line="240" w:lineRule="auto"/>
        <w:jc w:val="center"/>
        <w:rPr>
          <w:rFonts w:ascii="Arial" w:hAnsi="Arial" w:cs="Arial"/>
          <w:b/>
          <w:bCs/>
        </w:rPr>
      </w:pPr>
      <w:r w:rsidRPr="003F0BBC">
        <w:rPr>
          <w:rFonts w:ascii="Arial" w:hAnsi="Arial" w:cs="Arial"/>
          <w:b/>
          <w:bCs/>
        </w:rPr>
        <w:t>Student ID: 2504940</w:t>
      </w:r>
    </w:p>
    <w:p w14:paraId="64E64222" w14:textId="77777777" w:rsidR="00B06EDC" w:rsidRPr="003F0BBC" w:rsidRDefault="00B06EDC" w:rsidP="00B06EDC">
      <w:pPr>
        <w:spacing w:line="240" w:lineRule="auto"/>
        <w:jc w:val="center"/>
        <w:rPr>
          <w:rFonts w:ascii="Arial" w:hAnsi="Arial" w:cs="Arial"/>
        </w:rPr>
      </w:pPr>
    </w:p>
    <w:p w14:paraId="7083FE3F" w14:textId="77777777" w:rsidR="00B06EDC" w:rsidRPr="003F0BBC" w:rsidRDefault="00B06EDC" w:rsidP="00B06EDC">
      <w:pPr>
        <w:spacing w:line="240" w:lineRule="auto"/>
        <w:jc w:val="center"/>
        <w:rPr>
          <w:rFonts w:ascii="Arial" w:hAnsi="Arial" w:cs="Arial"/>
        </w:rPr>
      </w:pPr>
    </w:p>
    <w:p w14:paraId="2E4DB9CD" w14:textId="77777777" w:rsidR="00B06EDC" w:rsidRPr="003F0BBC" w:rsidRDefault="00B06EDC" w:rsidP="00B06EDC">
      <w:pPr>
        <w:spacing w:line="240" w:lineRule="auto"/>
        <w:jc w:val="center"/>
        <w:rPr>
          <w:rFonts w:ascii="Arial" w:hAnsi="Arial" w:cs="Arial"/>
          <w:b/>
          <w:bCs/>
        </w:rPr>
      </w:pPr>
    </w:p>
    <w:p w14:paraId="76DDBCD2" w14:textId="08AA2BF2" w:rsidR="00B06EDC" w:rsidRPr="003F0BBC" w:rsidRDefault="00B06EDC" w:rsidP="00B06EDC">
      <w:pPr>
        <w:spacing w:line="240" w:lineRule="auto"/>
        <w:jc w:val="center"/>
        <w:rPr>
          <w:rFonts w:ascii="Arial" w:hAnsi="Arial" w:cs="Arial"/>
          <w:b/>
          <w:bCs/>
        </w:rPr>
      </w:pPr>
      <w:r w:rsidRPr="003F0BBC">
        <w:rPr>
          <w:rFonts w:ascii="Arial" w:hAnsi="Arial" w:cs="Arial"/>
          <w:b/>
          <w:bCs/>
        </w:rPr>
        <w:t xml:space="preserve">Lecturer’s Name: Gladius </w:t>
      </w:r>
      <w:proofErr w:type="spellStart"/>
      <w:r w:rsidRPr="003F0BBC">
        <w:rPr>
          <w:rFonts w:ascii="Arial" w:hAnsi="Arial" w:cs="Arial"/>
          <w:b/>
          <w:bCs/>
        </w:rPr>
        <w:t>Kulothungan</w:t>
      </w:r>
      <w:proofErr w:type="spellEnd"/>
    </w:p>
    <w:p w14:paraId="33A1ABD7" w14:textId="77777777" w:rsidR="00B06EDC" w:rsidRPr="003F0BBC" w:rsidRDefault="00B06EDC" w:rsidP="00B06EDC">
      <w:pPr>
        <w:spacing w:line="240" w:lineRule="auto"/>
        <w:jc w:val="center"/>
        <w:rPr>
          <w:rFonts w:ascii="Arial" w:hAnsi="Arial" w:cs="Arial"/>
          <w:b/>
          <w:bCs/>
        </w:rPr>
      </w:pPr>
    </w:p>
    <w:p w14:paraId="5C4A3224" w14:textId="77777777" w:rsidR="00B06EDC" w:rsidRPr="003F0BBC" w:rsidRDefault="00B06EDC" w:rsidP="00B06EDC">
      <w:pPr>
        <w:spacing w:line="240" w:lineRule="auto"/>
        <w:jc w:val="center"/>
        <w:rPr>
          <w:rFonts w:ascii="Arial" w:hAnsi="Arial" w:cs="Arial"/>
          <w:b/>
          <w:bCs/>
        </w:rPr>
      </w:pPr>
    </w:p>
    <w:p w14:paraId="25728385" w14:textId="77777777" w:rsidR="00B06EDC" w:rsidRPr="003F0BBC" w:rsidRDefault="00B06EDC" w:rsidP="00B06EDC">
      <w:pPr>
        <w:spacing w:line="240" w:lineRule="auto"/>
        <w:jc w:val="center"/>
        <w:rPr>
          <w:rFonts w:ascii="Arial" w:hAnsi="Arial" w:cs="Arial"/>
          <w:b/>
          <w:bCs/>
        </w:rPr>
      </w:pPr>
    </w:p>
    <w:p w14:paraId="352C4322" w14:textId="408D3173" w:rsidR="00B06EDC" w:rsidRPr="003F0BBC" w:rsidRDefault="00B06EDC" w:rsidP="00B06EDC">
      <w:pPr>
        <w:spacing w:line="240" w:lineRule="auto"/>
        <w:jc w:val="center"/>
        <w:rPr>
          <w:rFonts w:ascii="Arial" w:hAnsi="Arial" w:cs="Arial"/>
          <w:b/>
          <w:bCs/>
        </w:rPr>
      </w:pPr>
      <w:r w:rsidRPr="003F0BBC">
        <w:rPr>
          <w:rFonts w:ascii="Arial" w:hAnsi="Arial" w:cs="Arial"/>
          <w:b/>
          <w:bCs/>
        </w:rPr>
        <w:t xml:space="preserve">Work Count: </w:t>
      </w:r>
      <w:r w:rsidR="00214842" w:rsidRPr="003F0BBC">
        <w:rPr>
          <w:rFonts w:ascii="Arial" w:hAnsi="Arial" w:cs="Arial"/>
          <w:b/>
          <w:bCs/>
        </w:rPr>
        <w:t>5360</w:t>
      </w:r>
    </w:p>
    <w:p w14:paraId="292218A2" w14:textId="7E184391" w:rsidR="00C4382D" w:rsidRPr="003F0BBC" w:rsidRDefault="00C4382D">
      <w:pPr>
        <w:spacing w:line="276" w:lineRule="auto"/>
        <w:jc w:val="left"/>
        <w:rPr>
          <w:rFonts w:ascii="Arial" w:hAnsi="Arial" w:cs="Arial"/>
        </w:rPr>
      </w:pPr>
    </w:p>
    <w:p w14:paraId="225B782C" w14:textId="2A1DF7FE" w:rsidR="00B06EDC" w:rsidRPr="003F0BBC" w:rsidRDefault="00B06EDC">
      <w:pPr>
        <w:spacing w:line="276" w:lineRule="auto"/>
        <w:jc w:val="left"/>
        <w:rPr>
          <w:rFonts w:ascii="Arial" w:hAnsi="Arial" w:cs="Arial"/>
        </w:rPr>
      </w:pPr>
      <w:r w:rsidRPr="003F0BBC">
        <w:rPr>
          <w:rFonts w:ascii="Arial" w:hAnsi="Arial" w:cs="Arial"/>
        </w:rPr>
        <w:br w:type="page"/>
      </w:r>
    </w:p>
    <w:sdt>
      <w:sdtPr>
        <w:rPr>
          <w:rFonts w:ascii="Arial" w:eastAsiaTheme="minorHAnsi" w:hAnsi="Arial" w:cs="Arial"/>
          <w:color w:val="auto"/>
          <w:sz w:val="24"/>
          <w:szCs w:val="22"/>
          <w:lang w:val="en-GB"/>
        </w:rPr>
        <w:id w:val="-430352693"/>
        <w:docPartObj>
          <w:docPartGallery w:val="Table of Contents"/>
          <w:docPartUnique/>
        </w:docPartObj>
      </w:sdtPr>
      <w:sdtEndPr>
        <w:rPr>
          <w:b/>
          <w:bCs/>
          <w:noProof/>
        </w:rPr>
      </w:sdtEndPr>
      <w:sdtContent>
        <w:p w14:paraId="1F6DE164" w14:textId="7C8A19E1" w:rsidR="00672FDC" w:rsidRPr="003F0BBC" w:rsidRDefault="00672FDC">
          <w:pPr>
            <w:pStyle w:val="TOCHeading"/>
            <w:rPr>
              <w:rFonts w:ascii="Arial" w:hAnsi="Arial" w:cs="Arial"/>
            </w:rPr>
          </w:pPr>
          <w:r w:rsidRPr="003F0BBC">
            <w:rPr>
              <w:rFonts w:ascii="Arial" w:hAnsi="Arial" w:cs="Arial"/>
            </w:rPr>
            <w:t>Table of Contents</w:t>
          </w:r>
        </w:p>
        <w:p w14:paraId="7E182117" w14:textId="415E964D" w:rsidR="00512A0E" w:rsidRPr="003F0BBC" w:rsidRDefault="00672FDC" w:rsidP="001A57B9">
          <w:pPr>
            <w:pStyle w:val="TOC1"/>
            <w:rPr>
              <w:rFonts w:ascii="Arial" w:eastAsiaTheme="minorEastAsia" w:hAnsi="Arial" w:cs="Arial"/>
              <w:kern w:val="2"/>
              <w:szCs w:val="24"/>
              <w:lang w:eastAsia="en-GB"/>
              <w14:ligatures w14:val="standardContextual"/>
            </w:rPr>
          </w:pPr>
          <w:r w:rsidRPr="003F0BBC">
            <w:rPr>
              <w:rFonts w:ascii="Arial" w:hAnsi="Arial" w:cs="Arial"/>
              <w:noProof w:val="0"/>
            </w:rPr>
            <w:fldChar w:fldCharType="begin"/>
          </w:r>
          <w:r w:rsidRPr="003F0BBC">
            <w:rPr>
              <w:rFonts w:ascii="Arial" w:hAnsi="Arial" w:cs="Arial"/>
            </w:rPr>
            <w:instrText xml:space="preserve"> TOC \o "1-3" \h \z \u </w:instrText>
          </w:r>
          <w:r w:rsidRPr="003F0BBC">
            <w:rPr>
              <w:rFonts w:ascii="Arial" w:hAnsi="Arial" w:cs="Arial"/>
              <w:noProof w:val="0"/>
            </w:rPr>
            <w:fldChar w:fldCharType="separate"/>
          </w:r>
          <w:hyperlink w:anchor="_Toc234685997" w:history="1">
            <w:r w:rsidR="00512A0E" w:rsidRPr="003F0BBC">
              <w:rPr>
                <w:rStyle w:val="Hyperlink"/>
                <w:rFonts w:ascii="Arial" w:hAnsi="Arial" w:cs="Arial"/>
                <w:b/>
                <w:bCs/>
              </w:rPr>
              <w:t>Introduction</w:t>
            </w:r>
            <w:r w:rsidR="00512A0E" w:rsidRPr="003F0BBC">
              <w:rPr>
                <w:rFonts w:ascii="Arial" w:hAnsi="Arial" w:cs="Arial"/>
                <w:webHidden/>
              </w:rPr>
              <w:tab/>
            </w:r>
            <w:r w:rsidR="00512A0E" w:rsidRPr="003F0BBC">
              <w:rPr>
                <w:rFonts w:ascii="Arial" w:hAnsi="Arial" w:cs="Arial"/>
                <w:webHidden/>
              </w:rPr>
              <w:fldChar w:fldCharType="begin"/>
            </w:r>
            <w:r w:rsidR="00512A0E" w:rsidRPr="003F0BBC">
              <w:rPr>
                <w:rFonts w:ascii="Arial" w:hAnsi="Arial" w:cs="Arial"/>
                <w:webHidden/>
              </w:rPr>
              <w:instrText xml:space="preserve"> PAGEREF _Toc234685997 \h </w:instrText>
            </w:r>
            <w:r w:rsidR="00512A0E" w:rsidRPr="003F0BBC">
              <w:rPr>
                <w:rFonts w:ascii="Arial" w:hAnsi="Arial" w:cs="Arial"/>
                <w:webHidden/>
              </w:rPr>
            </w:r>
            <w:r w:rsidR="00512A0E" w:rsidRPr="003F0BBC">
              <w:rPr>
                <w:rFonts w:ascii="Arial" w:hAnsi="Arial" w:cs="Arial"/>
                <w:webHidden/>
              </w:rPr>
              <w:fldChar w:fldCharType="separate"/>
            </w:r>
            <w:r w:rsidR="00B94640">
              <w:rPr>
                <w:rFonts w:ascii="Arial" w:hAnsi="Arial" w:cs="Arial"/>
                <w:webHidden/>
              </w:rPr>
              <w:t>4</w:t>
            </w:r>
            <w:r w:rsidR="00512A0E" w:rsidRPr="003F0BBC">
              <w:rPr>
                <w:rFonts w:ascii="Arial" w:hAnsi="Arial" w:cs="Arial"/>
                <w:webHidden/>
              </w:rPr>
              <w:fldChar w:fldCharType="end"/>
            </w:r>
          </w:hyperlink>
        </w:p>
        <w:p w14:paraId="7EBA58B3" w14:textId="413A1C75" w:rsidR="00512A0E" w:rsidRPr="003F0BBC" w:rsidRDefault="00C90CF5" w:rsidP="001A57B9">
          <w:pPr>
            <w:pStyle w:val="TOC1"/>
            <w:rPr>
              <w:rFonts w:ascii="Arial" w:eastAsiaTheme="minorEastAsia" w:hAnsi="Arial" w:cs="Arial"/>
              <w:kern w:val="2"/>
              <w:szCs w:val="24"/>
              <w:lang w:eastAsia="en-GB"/>
              <w14:ligatures w14:val="standardContextual"/>
            </w:rPr>
          </w:pPr>
          <w:hyperlink w:anchor="_Toc234685998" w:history="1">
            <w:r w:rsidR="00512A0E" w:rsidRPr="003F0BBC">
              <w:rPr>
                <w:rStyle w:val="Hyperlink"/>
                <w:rFonts w:ascii="Arial" w:hAnsi="Arial" w:cs="Arial"/>
                <w:b/>
                <w:bCs/>
              </w:rPr>
              <w:t>1. Organisational Classification and Global Strategy</w:t>
            </w:r>
            <w:r w:rsidR="00512A0E" w:rsidRPr="003F0BBC">
              <w:rPr>
                <w:rFonts w:ascii="Arial" w:hAnsi="Arial" w:cs="Arial"/>
                <w:webHidden/>
              </w:rPr>
              <w:tab/>
            </w:r>
            <w:r w:rsidR="00512A0E" w:rsidRPr="003F0BBC">
              <w:rPr>
                <w:rFonts w:ascii="Arial" w:hAnsi="Arial" w:cs="Arial"/>
                <w:webHidden/>
              </w:rPr>
              <w:fldChar w:fldCharType="begin"/>
            </w:r>
            <w:r w:rsidR="00512A0E" w:rsidRPr="003F0BBC">
              <w:rPr>
                <w:rFonts w:ascii="Arial" w:hAnsi="Arial" w:cs="Arial"/>
                <w:webHidden/>
              </w:rPr>
              <w:instrText xml:space="preserve"> PAGEREF _Toc234685998 \h </w:instrText>
            </w:r>
            <w:r w:rsidR="00512A0E" w:rsidRPr="003F0BBC">
              <w:rPr>
                <w:rFonts w:ascii="Arial" w:hAnsi="Arial" w:cs="Arial"/>
                <w:webHidden/>
              </w:rPr>
            </w:r>
            <w:r w:rsidR="00512A0E" w:rsidRPr="003F0BBC">
              <w:rPr>
                <w:rFonts w:ascii="Arial" w:hAnsi="Arial" w:cs="Arial"/>
                <w:webHidden/>
              </w:rPr>
              <w:fldChar w:fldCharType="separate"/>
            </w:r>
            <w:r w:rsidR="00B94640">
              <w:rPr>
                <w:rFonts w:ascii="Arial" w:hAnsi="Arial" w:cs="Arial"/>
                <w:webHidden/>
              </w:rPr>
              <w:t>5</w:t>
            </w:r>
            <w:r w:rsidR="00512A0E" w:rsidRPr="003F0BBC">
              <w:rPr>
                <w:rFonts w:ascii="Arial" w:hAnsi="Arial" w:cs="Arial"/>
                <w:webHidden/>
              </w:rPr>
              <w:fldChar w:fldCharType="end"/>
            </w:r>
          </w:hyperlink>
        </w:p>
        <w:p w14:paraId="4DE9DA37" w14:textId="4B7B0366"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5999" w:history="1">
            <w:r w:rsidR="00512A0E" w:rsidRPr="003F0BBC">
              <w:rPr>
                <w:rStyle w:val="Hyperlink"/>
                <w:rFonts w:ascii="Arial" w:hAnsi="Arial" w:cs="Arial"/>
                <w:noProof/>
              </w:rPr>
              <w:t>1.1 Organization Overview</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_Toc234685999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5</w:t>
            </w:r>
            <w:r w:rsidR="00512A0E" w:rsidRPr="003F0BBC">
              <w:rPr>
                <w:rFonts w:ascii="Arial" w:hAnsi="Arial" w:cs="Arial"/>
                <w:noProof/>
                <w:webHidden/>
              </w:rPr>
              <w:fldChar w:fldCharType="end"/>
            </w:r>
          </w:hyperlink>
        </w:p>
        <w:p w14:paraId="1F654E51" w14:textId="2FF24827"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6000" w:history="1">
            <w:r w:rsidR="00512A0E" w:rsidRPr="003F0BBC">
              <w:rPr>
                <w:rStyle w:val="Hyperlink"/>
                <w:rFonts w:ascii="Arial" w:hAnsi="Arial" w:cs="Arial"/>
                <w:noProof/>
              </w:rPr>
              <w:t>1.2 Strategic Categorization</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_Toc234686000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5</w:t>
            </w:r>
            <w:r w:rsidR="00512A0E" w:rsidRPr="003F0BBC">
              <w:rPr>
                <w:rFonts w:ascii="Arial" w:hAnsi="Arial" w:cs="Arial"/>
                <w:noProof/>
                <w:webHidden/>
              </w:rPr>
              <w:fldChar w:fldCharType="end"/>
            </w:r>
          </w:hyperlink>
        </w:p>
        <w:p w14:paraId="0C7A4734" w14:textId="0DB1FAC7"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6001" w:history="1">
            <w:r w:rsidR="00512A0E" w:rsidRPr="003F0BBC">
              <w:rPr>
                <w:rStyle w:val="Hyperlink"/>
                <w:rFonts w:ascii="Arial" w:hAnsi="Arial" w:cs="Arial"/>
                <w:noProof/>
              </w:rPr>
              <w:t>1.3 Global Configuration and Competitive Advantage</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_Toc234686001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6</w:t>
            </w:r>
            <w:r w:rsidR="00512A0E" w:rsidRPr="003F0BBC">
              <w:rPr>
                <w:rFonts w:ascii="Arial" w:hAnsi="Arial" w:cs="Arial"/>
                <w:noProof/>
                <w:webHidden/>
              </w:rPr>
              <w:fldChar w:fldCharType="end"/>
            </w:r>
          </w:hyperlink>
        </w:p>
        <w:p w14:paraId="4A0A5E32" w14:textId="32A99D26" w:rsidR="00512A0E" w:rsidRPr="003F0BBC" w:rsidRDefault="00C90CF5" w:rsidP="001A57B9">
          <w:pPr>
            <w:pStyle w:val="TOC1"/>
            <w:rPr>
              <w:rFonts w:ascii="Arial" w:eastAsiaTheme="minorEastAsia" w:hAnsi="Arial" w:cs="Arial"/>
              <w:kern w:val="2"/>
              <w:szCs w:val="24"/>
              <w:lang w:eastAsia="en-GB"/>
              <w14:ligatures w14:val="standardContextual"/>
            </w:rPr>
          </w:pPr>
          <w:hyperlink w:anchor="_Toc234686002" w:history="1">
            <w:r w:rsidR="00512A0E" w:rsidRPr="003F0BBC">
              <w:rPr>
                <w:rStyle w:val="Hyperlink"/>
                <w:rFonts w:ascii="Arial" w:hAnsi="Arial" w:cs="Arial"/>
                <w:b/>
                <w:bCs/>
              </w:rPr>
              <w:t>2. Macro-Environmental Appraisal and Market Attractiveness</w:t>
            </w:r>
            <w:r w:rsidR="00512A0E" w:rsidRPr="003F0BBC">
              <w:rPr>
                <w:rFonts w:ascii="Arial" w:hAnsi="Arial" w:cs="Arial"/>
                <w:webHidden/>
              </w:rPr>
              <w:tab/>
            </w:r>
            <w:r w:rsidR="00512A0E" w:rsidRPr="003F0BBC">
              <w:rPr>
                <w:rFonts w:ascii="Arial" w:hAnsi="Arial" w:cs="Arial"/>
                <w:webHidden/>
              </w:rPr>
              <w:fldChar w:fldCharType="begin"/>
            </w:r>
            <w:r w:rsidR="00512A0E" w:rsidRPr="003F0BBC">
              <w:rPr>
                <w:rFonts w:ascii="Arial" w:hAnsi="Arial" w:cs="Arial"/>
                <w:webHidden/>
              </w:rPr>
              <w:instrText xml:space="preserve"> PAGEREF _Toc234686002 \h </w:instrText>
            </w:r>
            <w:r w:rsidR="00512A0E" w:rsidRPr="003F0BBC">
              <w:rPr>
                <w:rFonts w:ascii="Arial" w:hAnsi="Arial" w:cs="Arial"/>
                <w:webHidden/>
              </w:rPr>
            </w:r>
            <w:r w:rsidR="00512A0E" w:rsidRPr="003F0BBC">
              <w:rPr>
                <w:rFonts w:ascii="Arial" w:hAnsi="Arial" w:cs="Arial"/>
                <w:webHidden/>
              </w:rPr>
              <w:fldChar w:fldCharType="separate"/>
            </w:r>
            <w:r w:rsidR="00B94640">
              <w:rPr>
                <w:rFonts w:ascii="Arial" w:hAnsi="Arial" w:cs="Arial"/>
                <w:webHidden/>
              </w:rPr>
              <w:t>7</w:t>
            </w:r>
            <w:r w:rsidR="00512A0E" w:rsidRPr="003F0BBC">
              <w:rPr>
                <w:rFonts w:ascii="Arial" w:hAnsi="Arial" w:cs="Arial"/>
                <w:webHidden/>
              </w:rPr>
              <w:fldChar w:fldCharType="end"/>
            </w:r>
          </w:hyperlink>
        </w:p>
        <w:p w14:paraId="0ACC88DF" w14:textId="5577831D"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6003" w:history="1">
            <w:r w:rsidR="00512A0E" w:rsidRPr="003F0BBC">
              <w:rPr>
                <w:rStyle w:val="Hyperlink"/>
                <w:rFonts w:ascii="Arial" w:hAnsi="Arial" w:cs="Arial"/>
                <w:noProof/>
              </w:rPr>
              <w:t>2.1 Host Country Analysis</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_Toc234686003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7</w:t>
            </w:r>
            <w:r w:rsidR="00512A0E" w:rsidRPr="003F0BBC">
              <w:rPr>
                <w:rFonts w:ascii="Arial" w:hAnsi="Arial" w:cs="Arial"/>
                <w:noProof/>
                <w:webHidden/>
              </w:rPr>
              <w:fldChar w:fldCharType="end"/>
            </w:r>
          </w:hyperlink>
        </w:p>
        <w:p w14:paraId="63AB8B48" w14:textId="2CB69AA6"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04" w:history="1">
            <w:r w:rsidR="00512A0E" w:rsidRPr="003F0BBC">
              <w:rPr>
                <w:rStyle w:val="Hyperlink"/>
                <w:rFonts w:ascii="Arial" w:hAnsi="Arial" w:cs="Arial"/>
                <w:noProof/>
              </w:rPr>
              <w:t>2.1.1 Political Environment</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_Toc234686004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8</w:t>
            </w:r>
            <w:r w:rsidR="00512A0E" w:rsidRPr="003F0BBC">
              <w:rPr>
                <w:rFonts w:ascii="Arial" w:hAnsi="Arial" w:cs="Arial"/>
                <w:noProof/>
                <w:webHidden/>
              </w:rPr>
              <w:fldChar w:fldCharType="end"/>
            </w:r>
          </w:hyperlink>
        </w:p>
        <w:p w14:paraId="470B32CE" w14:textId="4E82B0D4"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05" w:history="1">
            <w:r w:rsidR="00512A0E" w:rsidRPr="003F0BBC">
              <w:rPr>
                <w:rStyle w:val="Hyperlink"/>
                <w:rFonts w:ascii="Arial" w:hAnsi="Arial" w:cs="Arial"/>
                <w:noProof/>
              </w:rPr>
              <w:t>2.1.2 Economic Environment</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_Toc234686005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10</w:t>
            </w:r>
            <w:r w:rsidR="00512A0E" w:rsidRPr="003F0BBC">
              <w:rPr>
                <w:rFonts w:ascii="Arial" w:hAnsi="Arial" w:cs="Arial"/>
                <w:noProof/>
                <w:webHidden/>
              </w:rPr>
              <w:fldChar w:fldCharType="end"/>
            </w:r>
          </w:hyperlink>
        </w:p>
        <w:p w14:paraId="13A8E706" w14:textId="15856250"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06" w:history="1">
            <w:r w:rsidR="00512A0E" w:rsidRPr="003F0BBC">
              <w:rPr>
                <w:rStyle w:val="Hyperlink"/>
                <w:rFonts w:ascii="Arial" w:hAnsi="Arial" w:cs="Arial"/>
                <w:noProof/>
              </w:rPr>
              <w:t>2.1.3 Legal Environment</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_Toc234686006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11</w:t>
            </w:r>
            <w:r w:rsidR="00512A0E" w:rsidRPr="003F0BBC">
              <w:rPr>
                <w:rFonts w:ascii="Arial" w:hAnsi="Arial" w:cs="Arial"/>
                <w:noProof/>
                <w:webHidden/>
              </w:rPr>
              <w:fldChar w:fldCharType="end"/>
            </w:r>
          </w:hyperlink>
        </w:p>
        <w:p w14:paraId="51B39105" w14:textId="42B1C69C"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07" w:history="1">
            <w:r w:rsidR="00512A0E" w:rsidRPr="003F0BBC">
              <w:rPr>
                <w:rStyle w:val="Hyperlink"/>
                <w:rFonts w:ascii="Arial" w:hAnsi="Arial" w:cs="Arial"/>
                <w:noProof/>
              </w:rPr>
              <w:t>2.1.4 Cultural Environment</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_Toc234686007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12</w:t>
            </w:r>
            <w:r w:rsidR="00512A0E" w:rsidRPr="003F0BBC">
              <w:rPr>
                <w:rFonts w:ascii="Arial" w:hAnsi="Arial" w:cs="Arial"/>
                <w:noProof/>
                <w:webHidden/>
              </w:rPr>
              <w:fldChar w:fldCharType="end"/>
            </w:r>
          </w:hyperlink>
        </w:p>
        <w:p w14:paraId="70CF3D5D" w14:textId="30287C91"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6008" w:history="1">
            <w:r w:rsidR="00512A0E" w:rsidRPr="003F0BBC">
              <w:rPr>
                <w:rStyle w:val="Hyperlink"/>
                <w:rFonts w:ascii="Arial" w:hAnsi="Arial" w:cs="Arial"/>
                <w:noProof/>
              </w:rPr>
              <w:t>2.2 Market Entry</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_Toc234686008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13</w:t>
            </w:r>
            <w:r w:rsidR="00512A0E" w:rsidRPr="003F0BBC">
              <w:rPr>
                <w:rFonts w:ascii="Arial" w:hAnsi="Arial" w:cs="Arial"/>
                <w:noProof/>
                <w:webHidden/>
              </w:rPr>
              <w:fldChar w:fldCharType="end"/>
            </w:r>
          </w:hyperlink>
        </w:p>
        <w:p w14:paraId="5971FCBD" w14:textId="736C6C9A"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09" w:history="1">
            <w:r w:rsidR="00512A0E" w:rsidRPr="003F0BBC">
              <w:rPr>
                <w:rStyle w:val="Hyperlink"/>
                <w:rFonts w:ascii="Arial" w:hAnsi="Arial" w:cs="Arial"/>
                <w:noProof/>
              </w:rPr>
              <w:t>2.2.1 OLI Analysis (Dunning's Eclectic Paradigm)</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_Toc234686009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14</w:t>
            </w:r>
            <w:r w:rsidR="00512A0E" w:rsidRPr="003F0BBC">
              <w:rPr>
                <w:rFonts w:ascii="Arial" w:hAnsi="Arial" w:cs="Arial"/>
                <w:noProof/>
                <w:webHidden/>
              </w:rPr>
              <w:fldChar w:fldCharType="end"/>
            </w:r>
          </w:hyperlink>
        </w:p>
        <w:p w14:paraId="04F9C47E" w14:textId="6E52E7DF"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10" w:history="1">
            <w:r w:rsidR="00512A0E" w:rsidRPr="003F0BBC">
              <w:rPr>
                <w:rStyle w:val="Hyperlink"/>
                <w:rFonts w:ascii="Arial" w:hAnsi="Arial" w:cs="Arial"/>
                <w:noProof/>
              </w:rPr>
              <w:t>2.2.2 Market Attractiveness Assessment</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_Toc234686010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15</w:t>
            </w:r>
            <w:r w:rsidR="00512A0E" w:rsidRPr="003F0BBC">
              <w:rPr>
                <w:rFonts w:ascii="Arial" w:hAnsi="Arial" w:cs="Arial"/>
                <w:noProof/>
                <w:webHidden/>
              </w:rPr>
              <w:fldChar w:fldCharType="end"/>
            </w:r>
          </w:hyperlink>
        </w:p>
        <w:p w14:paraId="7CF3C37A" w14:textId="2DCC3916" w:rsidR="00512A0E" w:rsidRPr="003F0BBC" w:rsidRDefault="00C90CF5" w:rsidP="001A57B9">
          <w:pPr>
            <w:pStyle w:val="TOC1"/>
            <w:rPr>
              <w:rFonts w:ascii="Arial" w:eastAsiaTheme="minorEastAsia" w:hAnsi="Arial" w:cs="Arial"/>
              <w:kern w:val="2"/>
              <w:szCs w:val="24"/>
              <w:lang w:eastAsia="en-GB"/>
              <w14:ligatures w14:val="standardContextual"/>
            </w:rPr>
          </w:pPr>
          <w:hyperlink w:anchor="_Toc234686011" w:history="1">
            <w:r w:rsidR="00512A0E" w:rsidRPr="003F0BBC">
              <w:rPr>
                <w:rStyle w:val="Hyperlink"/>
                <w:rFonts w:ascii="Arial" w:hAnsi="Arial" w:cs="Arial"/>
                <w:b/>
                <w:bCs/>
              </w:rPr>
              <w:t>3. Entry Mode Strategy and Strategic Synthesis</w:t>
            </w:r>
            <w:r w:rsidR="00512A0E" w:rsidRPr="003F0BBC">
              <w:rPr>
                <w:rFonts w:ascii="Arial" w:hAnsi="Arial" w:cs="Arial"/>
                <w:webHidden/>
              </w:rPr>
              <w:tab/>
            </w:r>
            <w:r w:rsidR="00512A0E" w:rsidRPr="003F0BBC">
              <w:rPr>
                <w:rFonts w:ascii="Arial" w:hAnsi="Arial" w:cs="Arial"/>
                <w:webHidden/>
              </w:rPr>
              <w:fldChar w:fldCharType="begin"/>
            </w:r>
            <w:r w:rsidR="00512A0E" w:rsidRPr="003F0BBC">
              <w:rPr>
                <w:rFonts w:ascii="Arial" w:hAnsi="Arial" w:cs="Arial"/>
                <w:webHidden/>
              </w:rPr>
              <w:instrText xml:space="preserve"> PAGEREF _Toc234686011 \h </w:instrText>
            </w:r>
            <w:r w:rsidR="00512A0E" w:rsidRPr="003F0BBC">
              <w:rPr>
                <w:rFonts w:ascii="Arial" w:hAnsi="Arial" w:cs="Arial"/>
                <w:webHidden/>
              </w:rPr>
            </w:r>
            <w:r w:rsidR="00512A0E" w:rsidRPr="003F0BBC">
              <w:rPr>
                <w:rFonts w:ascii="Arial" w:hAnsi="Arial" w:cs="Arial"/>
                <w:webHidden/>
              </w:rPr>
              <w:fldChar w:fldCharType="separate"/>
            </w:r>
            <w:r w:rsidR="00B94640">
              <w:rPr>
                <w:rFonts w:ascii="Arial" w:hAnsi="Arial" w:cs="Arial"/>
                <w:webHidden/>
              </w:rPr>
              <w:t>16</w:t>
            </w:r>
            <w:r w:rsidR="00512A0E" w:rsidRPr="003F0BBC">
              <w:rPr>
                <w:rFonts w:ascii="Arial" w:hAnsi="Arial" w:cs="Arial"/>
                <w:webHidden/>
              </w:rPr>
              <w:fldChar w:fldCharType="end"/>
            </w:r>
          </w:hyperlink>
        </w:p>
        <w:p w14:paraId="2E9F17E2" w14:textId="4F57125E"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6012" w:history="1">
            <w:r w:rsidR="00512A0E" w:rsidRPr="003F0BBC">
              <w:rPr>
                <w:rStyle w:val="Hyperlink"/>
                <w:rFonts w:ascii="Arial" w:hAnsi="Arial" w:cs="Arial"/>
                <w:noProof/>
              </w:rPr>
              <w:t>3.1 Historical Pattern Recognition</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_Toc234686012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16</w:t>
            </w:r>
            <w:r w:rsidR="00512A0E" w:rsidRPr="003F0BBC">
              <w:rPr>
                <w:rFonts w:ascii="Arial" w:hAnsi="Arial" w:cs="Arial"/>
                <w:noProof/>
                <w:webHidden/>
              </w:rPr>
              <w:fldChar w:fldCharType="end"/>
            </w:r>
          </w:hyperlink>
        </w:p>
        <w:p w14:paraId="2863F69F" w14:textId="42D898CF"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6013" w:history="1">
            <w:r w:rsidR="00512A0E" w:rsidRPr="003F0BBC">
              <w:rPr>
                <w:rStyle w:val="Hyperlink"/>
                <w:rFonts w:ascii="Arial" w:hAnsi="Arial" w:cs="Arial"/>
                <w:noProof/>
              </w:rPr>
              <w:t>3.2 Strategic Fit &amp; Justification</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_Toc234686013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17</w:t>
            </w:r>
            <w:r w:rsidR="00512A0E" w:rsidRPr="003F0BBC">
              <w:rPr>
                <w:rFonts w:ascii="Arial" w:hAnsi="Arial" w:cs="Arial"/>
                <w:noProof/>
                <w:webHidden/>
              </w:rPr>
              <w:fldChar w:fldCharType="end"/>
            </w:r>
          </w:hyperlink>
        </w:p>
        <w:p w14:paraId="1DF8EA1C" w14:textId="492E2AF9"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14" w:history="1">
            <w:r w:rsidR="00512A0E" w:rsidRPr="003F0BBC">
              <w:rPr>
                <w:rStyle w:val="Hyperlink"/>
                <w:rFonts w:ascii="Arial" w:hAnsi="Arial" w:cs="Arial"/>
                <w:noProof/>
              </w:rPr>
              <w:t>3.2.1 Suitability for Brazil</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_Toc234686014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17</w:t>
            </w:r>
            <w:r w:rsidR="00512A0E" w:rsidRPr="003F0BBC">
              <w:rPr>
                <w:rFonts w:ascii="Arial" w:hAnsi="Arial" w:cs="Arial"/>
                <w:noProof/>
                <w:webHidden/>
              </w:rPr>
              <w:fldChar w:fldCharType="end"/>
            </w:r>
          </w:hyperlink>
        </w:p>
        <w:p w14:paraId="7139FE6C" w14:textId="470B15C1" w:rsidR="00512A0E" w:rsidRPr="003F0BBC" w:rsidRDefault="00C90CF5">
          <w:pPr>
            <w:pStyle w:val="TOC3"/>
            <w:tabs>
              <w:tab w:val="right" w:leader="dot" w:pos="9016"/>
            </w:tabs>
            <w:rPr>
              <w:rFonts w:ascii="Arial" w:eastAsiaTheme="minorEastAsia" w:hAnsi="Arial" w:cs="Arial"/>
              <w:noProof/>
              <w:kern w:val="2"/>
              <w:szCs w:val="24"/>
              <w:lang w:eastAsia="en-GB"/>
              <w14:ligatures w14:val="standardContextual"/>
            </w:rPr>
          </w:pPr>
          <w:hyperlink w:anchor="_Toc234686015" w:history="1">
            <w:r w:rsidR="00512A0E" w:rsidRPr="003F0BBC">
              <w:rPr>
                <w:rStyle w:val="Hyperlink"/>
                <w:rFonts w:ascii="Arial" w:hAnsi="Arial" w:cs="Arial"/>
                <w:noProof/>
              </w:rPr>
              <w:t>3.2.2 Alternative Entry Mode</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_Toc234686015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18</w:t>
            </w:r>
            <w:r w:rsidR="00512A0E" w:rsidRPr="003F0BBC">
              <w:rPr>
                <w:rFonts w:ascii="Arial" w:hAnsi="Arial" w:cs="Arial"/>
                <w:noProof/>
                <w:webHidden/>
              </w:rPr>
              <w:fldChar w:fldCharType="end"/>
            </w:r>
          </w:hyperlink>
        </w:p>
        <w:p w14:paraId="58E275A9" w14:textId="7DE39B6A" w:rsidR="00512A0E" w:rsidRPr="003F0BBC" w:rsidRDefault="00C90CF5">
          <w:pPr>
            <w:pStyle w:val="TOC2"/>
            <w:tabs>
              <w:tab w:val="right" w:leader="dot" w:pos="9016"/>
            </w:tabs>
            <w:rPr>
              <w:rFonts w:ascii="Arial" w:eastAsiaTheme="minorEastAsia" w:hAnsi="Arial" w:cs="Arial"/>
              <w:noProof/>
              <w:kern w:val="2"/>
              <w:szCs w:val="24"/>
              <w:lang w:eastAsia="en-GB"/>
              <w14:ligatures w14:val="standardContextual"/>
            </w:rPr>
          </w:pPr>
          <w:hyperlink w:anchor="_Toc234686016" w:history="1">
            <w:r w:rsidR="00512A0E" w:rsidRPr="003F0BBC">
              <w:rPr>
                <w:rStyle w:val="Hyperlink"/>
                <w:rFonts w:ascii="Arial" w:hAnsi="Arial" w:cs="Arial"/>
                <w:noProof/>
              </w:rPr>
              <w:t>3.3 Recommendation</w:t>
            </w:r>
            <w:r w:rsidR="00512A0E" w:rsidRPr="003F0BBC">
              <w:rPr>
                <w:rFonts w:ascii="Arial" w:hAnsi="Arial" w:cs="Arial"/>
                <w:noProof/>
                <w:webHidden/>
              </w:rPr>
              <w:tab/>
            </w:r>
            <w:r w:rsidR="00512A0E" w:rsidRPr="003F0BBC">
              <w:rPr>
                <w:rFonts w:ascii="Arial" w:hAnsi="Arial" w:cs="Arial"/>
                <w:noProof/>
                <w:webHidden/>
              </w:rPr>
              <w:fldChar w:fldCharType="begin"/>
            </w:r>
            <w:r w:rsidR="00512A0E" w:rsidRPr="003F0BBC">
              <w:rPr>
                <w:rFonts w:ascii="Arial" w:hAnsi="Arial" w:cs="Arial"/>
                <w:noProof/>
                <w:webHidden/>
              </w:rPr>
              <w:instrText xml:space="preserve"> PAGEREF _Toc234686016 \h </w:instrText>
            </w:r>
            <w:r w:rsidR="00512A0E" w:rsidRPr="003F0BBC">
              <w:rPr>
                <w:rFonts w:ascii="Arial" w:hAnsi="Arial" w:cs="Arial"/>
                <w:noProof/>
                <w:webHidden/>
              </w:rPr>
            </w:r>
            <w:r w:rsidR="00512A0E" w:rsidRPr="003F0BBC">
              <w:rPr>
                <w:rFonts w:ascii="Arial" w:hAnsi="Arial" w:cs="Arial"/>
                <w:noProof/>
                <w:webHidden/>
              </w:rPr>
              <w:fldChar w:fldCharType="separate"/>
            </w:r>
            <w:r w:rsidR="00B94640">
              <w:rPr>
                <w:rFonts w:ascii="Arial" w:hAnsi="Arial" w:cs="Arial"/>
                <w:noProof/>
                <w:webHidden/>
              </w:rPr>
              <w:t>19</w:t>
            </w:r>
            <w:r w:rsidR="00512A0E" w:rsidRPr="003F0BBC">
              <w:rPr>
                <w:rFonts w:ascii="Arial" w:hAnsi="Arial" w:cs="Arial"/>
                <w:noProof/>
                <w:webHidden/>
              </w:rPr>
              <w:fldChar w:fldCharType="end"/>
            </w:r>
          </w:hyperlink>
        </w:p>
        <w:p w14:paraId="02C8BB20" w14:textId="59A8C64F" w:rsidR="00512A0E" w:rsidRPr="003F0BBC" w:rsidRDefault="00C90CF5" w:rsidP="001A57B9">
          <w:pPr>
            <w:pStyle w:val="TOC1"/>
            <w:rPr>
              <w:rFonts w:ascii="Arial" w:eastAsiaTheme="minorEastAsia" w:hAnsi="Arial" w:cs="Arial"/>
              <w:kern w:val="2"/>
              <w:szCs w:val="24"/>
              <w:lang w:eastAsia="en-GB"/>
              <w14:ligatures w14:val="standardContextual"/>
            </w:rPr>
          </w:pPr>
          <w:hyperlink w:anchor="_Toc234686017" w:history="1">
            <w:r w:rsidR="00512A0E" w:rsidRPr="003F0BBC">
              <w:rPr>
                <w:rStyle w:val="Hyperlink"/>
                <w:rFonts w:ascii="Arial" w:hAnsi="Arial" w:cs="Arial"/>
                <w:b/>
                <w:bCs/>
              </w:rPr>
              <w:t>Conclusion</w:t>
            </w:r>
            <w:r w:rsidR="00512A0E" w:rsidRPr="003F0BBC">
              <w:rPr>
                <w:rFonts w:ascii="Arial" w:hAnsi="Arial" w:cs="Arial"/>
                <w:webHidden/>
              </w:rPr>
              <w:tab/>
            </w:r>
            <w:r w:rsidR="00512A0E" w:rsidRPr="003F0BBC">
              <w:rPr>
                <w:rFonts w:ascii="Arial" w:hAnsi="Arial" w:cs="Arial"/>
                <w:webHidden/>
              </w:rPr>
              <w:fldChar w:fldCharType="begin"/>
            </w:r>
            <w:r w:rsidR="00512A0E" w:rsidRPr="003F0BBC">
              <w:rPr>
                <w:rFonts w:ascii="Arial" w:hAnsi="Arial" w:cs="Arial"/>
                <w:webHidden/>
              </w:rPr>
              <w:instrText xml:space="preserve"> PAGEREF _Toc234686017 \h </w:instrText>
            </w:r>
            <w:r w:rsidR="00512A0E" w:rsidRPr="003F0BBC">
              <w:rPr>
                <w:rFonts w:ascii="Arial" w:hAnsi="Arial" w:cs="Arial"/>
                <w:webHidden/>
              </w:rPr>
            </w:r>
            <w:r w:rsidR="00512A0E" w:rsidRPr="003F0BBC">
              <w:rPr>
                <w:rFonts w:ascii="Arial" w:hAnsi="Arial" w:cs="Arial"/>
                <w:webHidden/>
              </w:rPr>
              <w:fldChar w:fldCharType="separate"/>
            </w:r>
            <w:r w:rsidR="00B94640">
              <w:rPr>
                <w:rFonts w:ascii="Arial" w:hAnsi="Arial" w:cs="Arial"/>
                <w:webHidden/>
              </w:rPr>
              <w:t>20</w:t>
            </w:r>
            <w:r w:rsidR="00512A0E" w:rsidRPr="003F0BBC">
              <w:rPr>
                <w:rFonts w:ascii="Arial" w:hAnsi="Arial" w:cs="Arial"/>
                <w:webHidden/>
              </w:rPr>
              <w:fldChar w:fldCharType="end"/>
            </w:r>
          </w:hyperlink>
        </w:p>
        <w:p w14:paraId="69BF6F39" w14:textId="4B8B7731" w:rsidR="00512A0E" w:rsidRPr="003F0BBC" w:rsidRDefault="00C90CF5" w:rsidP="001A57B9">
          <w:pPr>
            <w:pStyle w:val="TOC1"/>
            <w:rPr>
              <w:rFonts w:ascii="Arial" w:eastAsiaTheme="minorEastAsia" w:hAnsi="Arial" w:cs="Arial"/>
              <w:kern w:val="2"/>
              <w:szCs w:val="24"/>
              <w:lang w:eastAsia="en-GB"/>
              <w14:ligatures w14:val="standardContextual"/>
            </w:rPr>
          </w:pPr>
          <w:hyperlink w:anchor="_Toc234686018" w:history="1">
            <w:r w:rsidR="00512A0E" w:rsidRPr="003F0BBC">
              <w:rPr>
                <w:rStyle w:val="Hyperlink"/>
                <w:rFonts w:ascii="Arial" w:hAnsi="Arial" w:cs="Arial"/>
                <w:b/>
                <w:bCs/>
              </w:rPr>
              <w:t>Section 2: Reflective Account</w:t>
            </w:r>
            <w:r w:rsidR="00512A0E" w:rsidRPr="003F0BBC">
              <w:rPr>
                <w:rFonts w:ascii="Arial" w:hAnsi="Arial" w:cs="Arial"/>
                <w:webHidden/>
              </w:rPr>
              <w:tab/>
            </w:r>
            <w:r w:rsidR="00512A0E" w:rsidRPr="003F0BBC">
              <w:rPr>
                <w:rFonts w:ascii="Arial" w:hAnsi="Arial" w:cs="Arial"/>
                <w:webHidden/>
              </w:rPr>
              <w:fldChar w:fldCharType="begin"/>
            </w:r>
            <w:r w:rsidR="00512A0E" w:rsidRPr="003F0BBC">
              <w:rPr>
                <w:rFonts w:ascii="Arial" w:hAnsi="Arial" w:cs="Arial"/>
                <w:webHidden/>
              </w:rPr>
              <w:instrText xml:space="preserve"> PAGEREF _Toc234686018 \h </w:instrText>
            </w:r>
            <w:r w:rsidR="00512A0E" w:rsidRPr="003F0BBC">
              <w:rPr>
                <w:rFonts w:ascii="Arial" w:hAnsi="Arial" w:cs="Arial"/>
                <w:webHidden/>
              </w:rPr>
            </w:r>
            <w:r w:rsidR="00512A0E" w:rsidRPr="003F0BBC">
              <w:rPr>
                <w:rFonts w:ascii="Arial" w:hAnsi="Arial" w:cs="Arial"/>
                <w:webHidden/>
              </w:rPr>
              <w:fldChar w:fldCharType="separate"/>
            </w:r>
            <w:r w:rsidR="00B94640">
              <w:rPr>
                <w:rFonts w:ascii="Arial" w:hAnsi="Arial" w:cs="Arial"/>
                <w:webHidden/>
              </w:rPr>
              <w:t>20</w:t>
            </w:r>
            <w:r w:rsidR="00512A0E" w:rsidRPr="003F0BBC">
              <w:rPr>
                <w:rFonts w:ascii="Arial" w:hAnsi="Arial" w:cs="Arial"/>
                <w:webHidden/>
              </w:rPr>
              <w:fldChar w:fldCharType="end"/>
            </w:r>
          </w:hyperlink>
        </w:p>
        <w:p w14:paraId="556C70B3" w14:textId="701ACB2D" w:rsidR="00672FDC" w:rsidRPr="003F0BBC" w:rsidRDefault="00672FDC">
          <w:pPr>
            <w:rPr>
              <w:rFonts w:ascii="Arial" w:hAnsi="Arial" w:cs="Arial"/>
            </w:rPr>
          </w:pPr>
          <w:r w:rsidRPr="003F0BBC">
            <w:rPr>
              <w:rFonts w:ascii="Arial" w:hAnsi="Arial" w:cs="Arial"/>
              <w:b/>
              <w:bCs/>
              <w:noProof/>
            </w:rPr>
            <w:fldChar w:fldCharType="end"/>
          </w:r>
        </w:p>
      </w:sdtContent>
    </w:sdt>
    <w:p w14:paraId="21190037" w14:textId="77777777" w:rsidR="00C07F93" w:rsidRDefault="00C07F93" w:rsidP="00AB3C9F">
      <w:pPr>
        <w:pStyle w:val="Heading1"/>
        <w:rPr>
          <w:rFonts w:ascii="Arial" w:hAnsi="Arial" w:cs="Arial"/>
        </w:rPr>
      </w:pPr>
    </w:p>
    <w:p w14:paraId="01824BC3" w14:textId="77777777" w:rsidR="00C07F93" w:rsidRDefault="00C07F93" w:rsidP="00AB3C9F">
      <w:pPr>
        <w:pStyle w:val="Heading1"/>
        <w:rPr>
          <w:rFonts w:ascii="Arial" w:hAnsi="Arial" w:cs="Arial"/>
        </w:rPr>
      </w:pPr>
    </w:p>
    <w:p w14:paraId="25727E92" w14:textId="26A375AE" w:rsidR="00C07F93" w:rsidRDefault="00C07F93" w:rsidP="00C07F93">
      <w:pPr>
        <w:pStyle w:val="Heading1"/>
        <w:tabs>
          <w:tab w:val="left" w:pos="1725"/>
        </w:tabs>
        <w:jc w:val="both"/>
        <w:rPr>
          <w:rFonts w:ascii="Arial" w:hAnsi="Arial" w:cs="Arial"/>
        </w:rPr>
      </w:pPr>
      <w:r>
        <w:rPr>
          <w:rFonts w:ascii="Arial" w:hAnsi="Arial" w:cs="Arial"/>
        </w:rPr>
        <w:tab/>
      </w:r>
    </w:p>
    <w:p w14:paraId="6E82AFE9" w14:textId="3A8A4104" w:rsidR="00C07F93" w:rsidRDefault="00C07F93" w:rsidP="00C07F93">
      <w:pPr>
        <w:pStyle w:val="Heading1"/>
        <w:tabs>
          <w:tab w:val="left" w:pos="1725"/>
        </w:tabs>
        <w:jc w:val="both"/>
        <w:rPr>
          <w:rFonts w:ascii="Arial" w:hAnsi="Arial" w:cs="Arial"/>
        </w:rPr>
      </w:pPr>
      <w:r w:rsidRPr="00C07F93">
        <w:rPr>
          <w:rFonts w:ascii="Arial" w:hAnsi="Arial" w:cs="Arial"/>
        </w:rPr>
        <w:lastRenderedPageBreak/>
        <w:t>AI use acknowledgement</w:t>
      </w:r>
    </w:p>
    <w:p w14:paraId="742CAF36" w14:textId="62C1CD1D" w:rsidR="00C07F93" w:rsidRDefault="00662939" w:rsidP="00662939">
      <w:r w:rsidRPr="00662939">
        <w:t xml:space="preserve">I </w:t>
      </w:r>
      <w:r>
        <w:t xml:space="preserve">would like to state </w:t>
      </w:r>
      <w:r w:rsidRPr="00662939">
        <w:t>that th</w:t>
      </w:r>
      <w:r>
        <w:t>e assignment “International Business Concepts” is</w:t>
      </w:r>
      <w:r w:rsidRPr="00662939">
        <w:t xml:space="preserve"> my own work. The content, analysis, arguments, and conclusions contained in this report are not the</w:t>
      </w:r>
      <w:r>
        <w:t xml:space="preserve"> generation </w:t>
      </w:r>
      <w:r w:rsidRPr="00662939">
        <w:t xml:space="preserve">of any artificial intelligence (AI) tools. </w:t>
      </w:r>
      <w:r>
        <w:t xml:space="preserve">I did not use </w:t>
      </w:r>
      <w:r w:rsidRPr="00662939">
        <w:t>AI</w:t>
      </w:r>
      <w:r>
        <w:t xml:space="preserve"> in generating idea</w:t>
      </w:r>
      <w:r w:rsidRPr="00662939">
        <w:t xml:space="preserve">. I have only </w:t>
      </w:r>
      <w:proofErr w:type="spellStart"/>
      <w:r w:rsidRPr="00662939">
        <w:t>util</w:t>
      </w:r>
      <w:r>
        <w:t>s</w:t>
      </w:r>
      <w:r w:rsidRPr="00662939">
        <w:t>zed</w:t>
      </w:r>
      <w:proofErr w:type="spellEnd"/>
      <w:r w:rsidRPr="00662939">
        <w:t xml:space="preserve"> Grammarly to proofread and edit grammar, spelling, punctuation and language overall. Any academic content, analysis and research is my own work.</w:t>
      </w:r>
    </w:p>
    <w:p w14:paraId="55CAAB97" w14:textId="08F8324B" w:rsidR="00C07F93" w:rsidRDefault="00C07F93" w:rsidP="00662939">
      <w:r>
        <w:tab/>
      </w:r>
    </w:p>
    <w:p w14:paraId="0F193DDF" w14:textId="7844BED5" w:rsidR="006C66E0" w:rsidRPr="003F0BBC" w:rsidRDefault="00672FDC" w:rsidP="00AB3C9F">
      <w:pPr>
        <w:pStyle w:val="Heading1"/>
        <w:rPr>
          <w:rFonts w:ascii="Arial" w:hAnsi="Arial" w:cs="Arial"/>
        </w:rPr>
      </w:pPr>
      <w:r w:rsidRPr="00C07F93">
        <w:br w:type="page"/>
      </w:r>
      <w:bookmarkStart w:id="0" w:name="_Toc234685997"/>
      <w:r w:rsidR="006C66E0" w:rsidRPr="003F0BBC">
        <w:rPr>
          <w:rFonts w:ascii="Arial" w:hAnsi="Arial" w:cs="Arial"/>
        </w:rPr>
        <w:lastRenderedPageBreak/>
        <w:t>Introduction</w:t>
      </w:r>
      <w:bookmarkEnd w:id="0"/>
    </w:p>
    <w:p w14:paraId="6B764D88" w14:textId="173F9E74" w:rsidR="00AB3C9F" w:rsidRPr="003F0BBC" w:rsidRDefault="00AB3C9F" w:rsidP="00AB3C9F">
      <w:pPr>
        <w:rPr>
          <w:rFonts w:ascii="Arial" w:hAnsi="Arial" w:cs="Arial"/>
        </w:rPr>
      </w:pPr>
      <w:r w:rsidRPr="003F0BBC">
        <w:rPr>
          <w:rFonts w:ascii="Arial" w:hAnsi="Arial" w:cs="Arial"/>
        </w:rPr>
        <w:t>International business refers to the business transactions conducted by multinational companies spanning across different countries, like foreign trade, investments, and integrated world-class supply chains (</w:t>
      </w:r>
      <w:proofErr w:type="spellStart"/>
      <w:r w:rsidRPr="003F0BBC">
        <w:rPr>
          <w:rFonts w:ascii="Arial" w:hAnsi="Arial" w:cs="Arial"/>
        </w:rPr>
        <w:t>Cavusgil</w:t>
      </w:r>
      <w:proofErr w:type="spellEnd"/>
      <w:r w:rsidRPr="003F0BBC">
        <w:rPr>
          <w:rFonts w:ascii="Arial" w:hAnsi="Arial" w:cs="Arial"/>
        </w:rPr>
        <w:t>, 2014). Corporate internationalisation strategy's assessment considers the company's potential to expand within an emerging and new market where the company does not have a formal form of direct presence</w:t>
      </w:r>
      <w:r w:rsidR="002F2C17" w:rsidRPr="003F0BBC">
        <w:rPr>
          <w:rFonts w:ascii="Arial" w:hAnsi="Arial" w:cs="Arial"/>
        </w:rPr>
        <w:t xml:space="preserve"> (Tsai and Eisingerich, 2020)</w:t>
      </w:r>
      <w:r w:rsidRPr="003F0BBC">
        <w:rPr>
          <w:rFonts w:ascii="Arial" w:hAnsi="Arial" w:cs="Arial"/>
        </w:rPr>
        <w:t>.</w:t>
      </w:r>
    </w:p>
    <w:p w14:paraId="348947BA" w14:textId="7E38B3B1" w:rsidR="00AB3C9F" w:rsidRDefault="00AB3C9F" w:rsidP="00AB3C9F">
      <w:pPr>
        <w:rPr>
          <w:rFonts w:ascii="Arial" w:hAnsi="Arial" w:cs="Arial"/>
        </w:rPr>
      </w:pPr>
      <w:r w:rsidRPr="003F0BBC">
        <w:rPr>
          <w:rFonts w:ascii="Arial" w:hAnsi="Arial" w:cs="Arial"/>
        </w:rPr>
        <w:t xml:space="preserve">The main objective of this report is to examine the configuration of IKEA's global strategy and carry out a thorough macro-environmental host-country assessment of the retail environment in Brazil based on the public information available as of mid-2026. The study introduces a comprehensive PEST model that spans the political environment, credit-sensitive economic metrics, complex legal environments, and family purchasing habits in Brazil. Finally, these observations were taken and critically analysed by applying John Dunning's OLI paradigm, highlighting key ownership, location, and internalization aspects of the business model. </w:t>
      </w:r>
      <w:r w:rsidR="000F5F57" w:rsidRPr="003F0BBC">
        <w:rPr>
          <w:rFonts w:ascii="Arial" w:hAnsi="Arial" w:cs="Arial"/>
        </w:rPr>
        <w:t xml:space="preserve">In this report, </w:t>
      </w:r>
      <w:r w:rsidRPr="003F0BBC">
        <w:rPr>
          <w:rFonts w:ascii="Arial" w:hAnsi="Arial" w:cs="Arial"/>
        </w:rPr>
        <w:t>IKEA is</w:t>
      </w:r>
      <w:r w:rsidR="000F5F57" w:rsidRPr="003F0BBC">
        <w:rPr>
          <w:rFonts w:ascii="Arial" w:hAnsi="Arial" w:cs="Arial"/>
        </w:rPr>
        <w:t xml:space="preserve"> the </w:t>
      </w:r>
      <w:r w:rsidR="00564CF6" w:rsidRPr="003F0BBC">
        <w:rPr>
          <w:rFonts w:ascii="Arial" w:hAnsi="Arial" w:cs="Arial"/>
        </w:rPr>
        <w:t>best-chosen</w:t>
      </w:r>
      <w:r w:rsidR="000F5F57" w:rsidRPr="003F0BBC">
        <w:rPr>
          <w:rFonts w:ascii="Arial" w:hAnsi="Arial" w:cs="Arial"/>
        </w:rPr>
        <w:t xml:space="preserve"> </w:t>
      </w:r>
      <w:r w:rsidRPr="003F0BBC">
        <w:rPr>
          <w:rFonts w:ascii="Arial" w:hAnsi="Arial" w:cs="Arial"/>
        </w:rPr>
        <w:t>retail giant</w:t>
      </w:r>
      <w:r w:rsidR="000F5F57" w:rsidRPr="003F0BBC">
        <w:rPr>
          <w:rFonts w:ascii="Arial" w:hAnsi="Arial" w:cs="Arial"/>
        </w:rPr>
        <w:t xml:space="preserve"> as its </w:t>
      </w:r>
      <w:r w:rsidRPr="003F0BBC">
        <w:rPr>
          <w:rFonts w:ascii="Arial" w:hAnsi="Arial" w:cs="Arial"/>
        </w:rPr>
        <w:t>cost-leadership base is comparable to what is required in Latin America's retail estate</w:t>
      </w:r>
      <w:r w:rsidR="000F5F57" w:rsidRPr="003F0BBC">
        <w:rPr>
          <w:rFonts w:ascii="Arial" w:hAnsi="Arial" w:cs="Arial"/>
        </w:rPr>
        <w:t>.</w:t>
      </w:r>
    </w:p>
    <w:p w14:paraId="60528E8D" w14:textId="177D9F41" w:rsidR="002B23AB" w:rsidRPr="003F0BBC" w:rsidRDefault="002B23AB" w:rsidP="002B23AB">
      <w:pPr>
        <w:pStyle w:val="TableofFigures"/>
        <w:tabs>
          <w:tab w:val="right" w:leader="dot" w:pos="9016"/>
        </w:tabs>
        <w:rPr>
          <w:rFonts w:ascii="Arial" w:hAnsi="Arial" w:cs="Arial"/>
        </w:rPr>
      </w:pPr>
    </w:p>
    <w:p w14:paraId="11918503" w14:textId="77777777" w:rsidR="00AB3C9F" w:rsidRPr="003F0BBC" w:rsidRDefault="00AB3C9F" w:rsidP="00AB3C9F">
      <w:pPr>
        <w:rPr>
          <w:rFonts w:ascii="Arial" w:hAnsi="Arial" w:cs="Arial"/>
        </w:rPr>
      </w:pPr>
    </w:p>
    <w:p w14:paraId="0A4E2A1F" w14:textId="77777777" w:rsidR="006C66E0" w:rsidRPr="003F0BBC" w:rsidRDefault="006C66E0" w:rsidP="006C66E0">
      <w:pPr>
        <w:rPr>
          <w:rFonts w:ascii="Arial" w:hAnsi="Arial" w:cs="Arial"/>
        </w:rPr>
      </w:pPr>
    </w:p>
    <w:p w14:paraId="1C91593D" w14:textId="56675D24" w:rsidR="006C66E0" w:rsidRPr="003F0BBC" w:rsidRDefault="006C66E0">
      <w:pPr>
        <w:spacing w:line="276" w:lineRule="auto"/>
        <w:jc w:val="left"/>
        <w:rPr>
          <w:rFonts w:ascii="Arial" w:eastAsia="Trebuchet MS" w:hAnsi="Arial" w:cs="Arial"/>
          <w:b/>
          <w:bCs/>
          <w:color w:val="1F497D" w:themeColor="text2"/>
          <w:kern w:val="2"/>
          <w:sz w:val="30"/>
          <w:szCs w:val="28"/>
          <w14:ligatures w14:val="standardContextual"/>
        </w:rPr>
      </w:pPr>
    </w:p>
    <w:p w14:paraId="0B49AC1C" w14:textId="77777777" w:rsidR="006C66E0" w:rsidRPr="003F0BBC" w:rsidRDefault="006C66E0">
      <w:pPr>
        <w:spacing w:line="276" w:lineRule="auto"/>
        <w:jc w:val="left"/>
        <w:rPr>
          <w:rFonts w:ascii="Arial" w:eastAsia="Trebuchet MS" w:hAnsi="Arial" w:cs="Arial"/>
          <w:b/>
          <w:bCs/>
          <w:color w:val="1F497D" w:themeColor="text2"/>
          <w:kern w:val="2"/>
          <w:sz w:val="30"/>
          <w:szCs w:val="28"/>
          <w14:ligatures w14:val="standardContextual"/>
        </w:rPr>
      </w:pPr>
      <w:r w:rsidRPr="003F0BBC">
        <w:rPr>
          <w:rFonts w:ascii="Arial" w:hAnsi="Arial" w:cs="Arial"/>
        </w:rPr>
        <w:br w:type="page"/>
      </w:r>
    </w:p>
    <w:p w14:paraId="225AD7D4" w14:textId="640ABEE1" w:rsidR="00C4382D" w:rsidRPr="003F0BBC" w:rsidRDefault="00C4382D" w:rsidP="00672FDC">
      <w:pPr>
        <w:pStyle w:val="Heading1"/>
        <w:rPr>
          <w:rFonts w:ascii="Arial" w:hAnsi="Arial" w:cs="Arial"/>
        </w:rPr>
      </w:pPr>
      <w:bookmarkStart w:id="1" w:name="_Toc234685998"/>
      <w:r w:rsidRPr="003F0BBC">
        <w:rPr>
          <w:rFonts w:ascii="Arial" w:hAnsi="Arial" w:cs="Arial"/>
        </w:rPr>
        <w:lastRenderedPageBreak/>
        <w:t>1. Organisational Classification and Global Strategy</w:t>
      </w:r>
      <w:bookmarkEnd w:id="1"/>
    </w:p>
    <w:p w14:paraId="2023EE1C" w14:textId="77CB18D5" w:rsidR="00AB3C9F" w:rsidRPr="003F0BBC" w:rsidRDefault="00AB3C9F" w:rsidP="00AB3C9F">
      <w:pPr>
        <w:pStyle w:val="Heading2"/>
        <w:rPr>
          <w:rFonts w:ascii="Arial" w:hAnsi="Arial" w:cs="Arial"/>
        </w:rPr>
      </w:pPr>
      <w:bookmarkStart w:id="2" w:name="_Toc234685999"/>
      <w:r w:rsidRPr="003F0BBC">
        <w:rPr>
          <w:rFonts w:ascii="Arial" w:hAnsi="Arial" w:cs="Arial"/>
        </w:rPr>
        <w:t>1.1 Organization Overview</w:t>
      </w:r>
      <w:bookmarkEnd w:id="2"/>
      <w:r w:rsidRPr="003F0BBC">
        <w:rPr>
          <w:rFonts w:ascii="Arial" w:hAnsi="Arial" w:cs="Arial"/>
        </w:rPr>
        <w:t xml:space="preserve"> </w:t>
      </w:r>
    </w:p>
    <w:p w14:paraId="65CD7820" w14:textId="17ED2225" w:rsidR="00C4382D" w:rsidRPr="003F0BBC" w:rsidRDefault="00C4382D" w:rsidP="00C4382D">
      <w:pPr>
        <w:rPr>
          <w:rFonts w:ascii="Arial" w:hAnsi="Arial" w:cs="Arial"/>
        </w:rPr>
      </w:pPr>
      <w:r w:rsidRPr="003F0BBC">
        <w:rPr>
          <w:rFonts w:ascii="Arial" w:hAnsi="Arial" w:cs="Arial"/>
        </w:rPr>
        <w:t xml:space="preserve">Founded in 1943 by Ingvar Kamprad in Sweden and currently based </w:t>
      </w:r>
      <w:r w:rsidR="00AB3C9F" w:rsidRPr="003F0BBC">
        <w:rPr>
          <w:rFonts w:ascii="Arial" w:hAnsi="Arial" w:cs="Arial"/>
        </w:rPr>
        <w:t>in</w:t>
      </w:r>
      <w:r w:rsidRPr="003F0BBC">
        <w:rPr>
          <w:rFonts w:ascii="Arial" w:hAnsi="Arial" w:cs="Arial"/>
        </w:rPr>
        <w:t xml:space="preserve"> </w:t>
      </w:r>
      <w:proofErr w:type="spellStart"/>
      <w:r w:rsidRPr="003F0BBC">
        <w:rPr>
          <w:rFonts w:ascii="Arial" w:hAnsi="Arial" w:cs="Arial"/>
        </w:rPr>
        <w:t>Älmhult</w:t>
      </w:r>
      <w:proofErr w:type="spellEnd"/>
      <w:r w:rsidRPr="003F0BBC">
        <w:rPr>
          <w:rFonts w:ascii="Arial" w:hAnsi="Arial" w:cs="Arial"/>
        </w:rPr>
        <w:t xml:space="preserve"> and Delft, IKEA is the world’s largest retailer of ready-to-assemble furniture and home products (</w:t>
      </w:r>
      <w:proofErr w:type="spellStart"/>
      <w:r w:rsidRPr="003F0BBC">
        <w:rPr>
          <w:rFonts w:ascii="Arial" w:hAnsi="Arial" w:cs="Arial"/>
        </w:rPr>
        <w:t>Carrai</w:t>
      </w:r>
      <w:proofErr w:type="spellEnd"/>
      <w:r w:rsidRPr="003F0BBC">
        <w:rPr>
          <w:rFonts w:ascii="Arial" w:hAnsi="Arial" w:cs="Arial"/>
        </w:rPr>
        <w:t xml:space="preserve"> et al., 2022). Through its mission </w:t>
      </w:r>
      <w:r w:rsidRPr="003F0BBC">
        <w:rPr>
          <w:rFonts w:ascii="Arial" w:hAnsi="Arial" w:cs="Arial"/>
          <w:i/>
          <w:iCs/>
        </w:rPr>
        <w:t>"to create a better everyday life for the many people,"</w:t>
      </w:r>
      <w:r w:rsidRPr="003F0BBC">
        <w:rPr>
          <w:rFonts w:ascii="Arial" w:hAnsi="Arial" w:cs="Arial"/>
        </w:rPr>
        <w:t xml:space="preserve"> the company designs and sells affordable furniture, appliances</w:t>
      </w:r>
      <w:r w:rsidR="00AB3C9F" w:rsidRPr="003F0BBC">
        <w:rPr>
          <w:rFonts w:ascii="Arial" w:hAnsi="Arial" w:cs="Arial"/>
        </w:rPr>
        <w:t>,</w:t>
      </w:r>
      <w:r w:rsidRPr="003F0BBC">
        <w:rPr>
          <w:rFonts w:ascii="Arial" w:hAnsi="Arial" w:cs="Arial"/>
        </w:rPr>
        <w:t xml:space="preserve"> and home accessories. Most importantly, IKEA does not have a store, distribution system</w:t>
      </w:r>
      <w:r w:rsidR="00AB3C9F" w:rsidRPr="003F0BBC">
        <w:rPr>
          <w:rFonts w:ascii="Arial" w:hAnsi="Arial" w:cs="Arial"/>
        </w:rPr>
        <w:t>,</w:t>
      </w:r>
      <w:r w:rsidRPr="003F0BBC">
        <w:rPr>
          <w:rFonts w:ascii="Arial" w:hAnsi="Arial" w:cs="Arial"/>
        </w:rPr>
        <w:t xml:space="preserve"> or corporate subsidiaries in Brazil as of June 1, 2026. With no direct presence, </w:t>
      </w:r>
      <w:r w:rsidR="00AB3C9F" w:rsidRPr="003F0BBC">
        <w:rPr>
          <w:rFonts w:ascii="Arial" w:hAnsi="Arial" w:cs="Arial"/>
        </w:rPr>
        <w:t>Brazil</w:t>
      </w:r>
      <w:r w:rsidRPr="003F0BBC">
        <w:rPr>
          <w:rFonts w:ascii="Arial" w:hAnsi="Arial" w:cs="Arial"/>
        </w:rPr>
        <w:t xml:space="preserve"> becomes the perfect target country to study for a new international presence.</w:t>
      </w:r>
    </w:p>
    <w:p w14:paraId="76DF660B" w14:textId="6F6415A4" w:rsidR="00AB3C9F" w:rsidRPr="003F0BBC" w:rsidRDefault="00AB3C9F" w:rsidP="00F64103">
      <w:pPr>
        <w:jc w:val="center"/>
        <w:rPr>
          <w:rFonts w:ascii="Arial" w:hAnsi="Arial" w:cs="Arial"/>
        </w:rPr>
      </w:pPr>
      <w:r w:rsidRPr="003F0BBC">
        <w:rPr>
          <w:rFonts w:ascii="Arial" w:hAnsi="Arial" w:cs="Arial"/>
          <w:noProof/>
        </w:rPr>
        <w:drawing>
          <wp:inline distT="0" distB="0" distL="0" distR="0" wp14:anchorId="5CD43B98" wp14:editId="22FF7E71">
            <wp:extent cx="5731510" cy="2292350"/>
            <wp:effectExtent l="0" t="0" r="2540" b="0"/>
            <wp:docPr id="14032436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p w14:paraId="7A9BC299" w14:textId="719B1AAF" w:rsidR="00AB3C9F" w:rsidRPr="003F0BBC" w:rsidRDefault="00AB3C9F" w:rsidP="00F64103">
      <w:pPr>
        <w:pStyle w:val="Caption"/>
        <w:jc w:val="center"/>
        <w:rPr>
          <w:rFonts w:ascii="Arial" w:hAnsi="Arial" w:cs="Arial"/>
          <w:i w:val="0"/>
          <w:iCs w:val="0"/>
          <w:color w:val="auto"/>
        </w:rPr>
      </w:pPr>
      <w:bookmarkStart w:id="3" w:name="_Toc236962685"/>
      <w:r w:rsidRPr="003F0BBC">
        <w:rPr>
          <w:rFonts w:ascii="Arial" w:hAnsi="Arial" w:cs="Arial"/>
          <w:i w:val="0"/>
          <w:iCs w:val="0"/>
          <w:color w:val="auto"/>
        </w:rPr>
        <w:t xml:space="preserve">Figure </w:t>
      </w:r>
      <w:r w:rsidRPr="003F0BBC">
        <w:rPr>
          <w:rFonts w:ascii="Arial" w:hAnsi="Arial" w:cs="Arial"/>
          <w:i w:val="0"/>
          <w:iCs w:val="0"/>
          <w:color w:val="auto"/>
        </w:rPr>
        <w:fldChar w:fldCharType="begin"/>
      </w:r>
      <w:r w:rsidRPr="003F0BBC">
        <w:rPr>
          <w:rFonts w:ascii="Arial" w:hAnsi="Arial" w:cs="Arial"/>
          <w:i w:val="0"/>
          <w:iCs w:val="0"/>
          <w:color w:val="auto"/>
        </w:rPr>
        <w:instrText xml:space="preserve"> SEQ Figure \* ARABIC </w:instrText>
      </w:r>
      <w:r w:rsidRPr="003F0BBC">
        <w:rPr>
          <w:rFonts w:ascii="Arial" w:hAnsi="Arial" w:cs="Arial"/>
          <w:i w:val="0"/>
          <w:iCs w:val="0"/>
          <w:color w:val="auto"/>
        </w:rPr>
        <w:fldChar w:fldCharType="separate"/>
      </w:r>
      <w:r w:rsidR="00F64103" w:rsidRPr="003F0BBC">
        <w:rPr>
          <w:rFonts w:ascii="Arial" w:hAnsi="Arial" w:cs="Arial"/>
          <w:i w:val="0"/>
          <w:iCs w:val="0"/>
          <w:noProof/>
          <w:color w:val="auto"/>
        </w:rPr>
        <w:t>1</w:t>
      </w:r>
      <w:r w:rsidRPr="003F0BBC">
        <w:rPr>
          <w:rFonts w:ascii="Arial" w:hAnsi="Arial" w:cs="Arial"/>
          <w:i w:val="0"/>
          <w:iCs w:val="0"/>
          <w:color w:val="auto"/>
        </w:rPr>
        <w:fldChar w:fldCharType="end"/>
      </w:r>
      <w:r w:rsidRPr="003F0BBC">
        <w:rPr>
          <w:rFonts w:ascii="Arial" w:hAnsi="Arial" w:cs="Arial"/>
          <w:i w:val="0"/>
          <w:iCs w:val="0"/>
          <w:color w:val="auto"/>
        </w:rPr>
        <w:t xml:space="preserve"> IKEA Logo; Source: (IKEA, 2025)</w:t>
      </w:r>
      <w:bookmarkEnd w:id="3"/>
    </w:p>
    <w:p w14:paraId="79F7D91C" w14:textId="55613F8E" w:rsidR="00174B71" w:rsidRPr="003F0BBC" w:rsidRDefault="00174B71" w:rsidP="00672FDC">
      <w:pPr>
        <w:pStyle w:val="Heading2"/>
        <w:rPr>
          <w:rFonts w:ascii="Arial" w:hAnsi="Arial" w:cs="Arial"/>
        </w:rPr>
      </w:pPr>
      <w:bookmarkStart w:id="4" w:name="_Toc234686000"/>
      <w:r w:rsidRPr="003F0BBC">
        <w:rPr>
          <w:rFonts w:ascii="Arial" w:hAnsi="Arial" w:cs="Arial"/>
        </w:rPr>
        <w:t>1.2 Strategic Categorization</w:t>
      </w:r>
      <w:bookmarkEnd w:id="4"/>
    </w:p>
    <w:p w14:paraId="16865EBC" w14:textId="3C569393" w:rsidR="00C4382D" w:rsidRDefault="00C4382D" w:rsidP="00C4382D">
      <w:pPr>
        <w:rPr>
          <w:rFonts w:ascii="Arial" w:hAnsi="Arial" w:cs="Arial"/>
        </w:rPr>
      </w:pPr>
      <w:r w:rsidRPr="003F0BBC">
        <w:rPr>
          <w:rFonts w:ascii="Arial" w:hAnsi="Arial" w:cs="Arial"/>
        </w:rPr>
        <w:t xml:space="preserve">Christopher Bartlett and </w:t>
      </w:r>
      <w:proofErr w:type="spellStart"/>
      <w:r w:rsidRPr="003F0BBC">
        <w:rPr>
          <w:rFonts w:ascii="Arial" w:hAnsi="Arial" w:cs="Arial"/>
        </w:rPr>
        <w:t>Sumantra</w:t>
      </w:r>
      <w:proofErr w:type="spellEnd"/>
      <w:r w:rsidRPr="003F0BBC">
        <w:rPr>
          <w:rFonts w:ascii="Arial" w:hAnsi="Arial" w:cs="Arial"/>
        </w:rPr>
        <w:t xml:space="preserve"> Ghoshal (1991) identified four different types of multinational companies: </w:t>
      </w:r>
      <w:r w:rsidRPr="003F0BBC">
        <w:rPr>
          <w:rFonts w:ascii="Arial" w:hAnsi="Arial" w:cs="Arial"/>
          <w:b/>
          <w:bCs/>
          <w:i/>
          <w:iCs/>
        </w:rPr>
        <w:t>International, Global, Multidomestic</w:t>
      </w:r>
      <w:r w:rsidR="005D2E3C" w:rsidRPr="003F0BBC">
        <w:rPr>
          <w:rFonts w:ascii="Arial" w:hAnsi="Arial" w:cs="Arial"/>
          <w:b/>
          <w:bCs/>
          <w:i/>
          <w:iCs/>
        </w:rPr>
        <w:t>,</w:t>
      </w:r>
      <w:r w:rsidRPr="003F0BBC">
        <w:rPr>
          <w:rFonts w:ascii="Arial" w:hAnsi="Arial" w:cs="Arial"/>
          <w:b/>
          <w:bCs/>
          <w:i/>
          <w:iCs/>
        </w:rPr>
        <w:t xml:space="preserve"> and Transnational.</w:t>
      </w:r>
      <w:r w:rsidRPr="003F0BBC">
        <w:rPr>
          <w:rFonts w:ascii="Arial" w:hAnsi="Arial" w:cs="Arial"/>
        </w:rPr>
        <w:t xml:space="preserve"> IKEA's core business areas are </w:t>
      </w:r>
      <w:r w:rsidRPr="003F0BBC">
        <w:rPr>
          <w:rFonts w:ascii="Arial" w:hAnsi="Arial" w:cs="Arial"/>
          <w:i/>
          <w:iCs/>
        </w:rPr>
        <w:t>Global strategies</w:t>
      </w:r>
      <w:r w:rsidRPr="003F0BBC">
        <w:rPr>
          <w:rFonts w:ascii="Arial" w:hAnsi="Arial" w:cs="Arial"/>
        </w:rPr>
        <w:t xml:space="preserve"> and are developing to become Transnational. </w:t>
      </w:r>
      <w:r w:rsidR="00AB3C9F" w:rsidRPr="003F0BBC">
        <w:rPr>
          <w:rFonts w:ascii="Arial" w:hAnsi="Arial" w:cs="Arial"/>
        </w:rPr>
        <w:t>This structural classification relies on IKEA's global efficiency strategy, which is based on standardized furniture designs and a centralized R&amp;D strategy in Sweden, although the firm makes increasingly subtle</w:t>
      </w:r>
      <w:r w:rsidR="00AB3C9F" w:rsidRPr="003F0BBC">
        <w:rPr>
          <w:rFonts w:ascii="Arial" w:hAnsi="Arial" w:cs="Arial"/>
          <w:i/>
          <w:iCs/>
        </w:rPr>
        <w:t xml:space="preserve"> ‘product adjustments' </w:t>
      </w:r>
      <w:r w:rsidR="00AB3C9F" w:rsidRPr="003F0BBC">
        <w:rPr>
          <w:rFonts w:ascii="Arial" w:hAnsi="Arial" w:cs="Arial"/>
        </w:rPr>
        <w:t xml:space="preserve">in </w:t>
      </w:r>
      <w:r w:rsidR="005D2E3C" w:rsidRPr="003F0BBC">
        <w:rPr>
          <w:rFonts w:ascii="Arial" w:hAnsi="Arial" w:cs="Arial"/>
        </w:rPr>
        <w:t>its</w:t>
      </w:r>
      <w:r w:rsidR="00AB3C9F" w:rsidRPr="003F0BBC">
        <w:rPr>
          <w:rFonts w:ascii="Arial" w:hAnsi="Arial" w:cs="Arial"/>
        </w:rPr>
        <w:t xml:space="preserve"> specific locations (</w:t>
      </w:r>
      <w:proofErr w:type="spellStart"/>
      <w:r w:rsidR="00AB3C9F" w:rsidRPr="003F0BBC">
        <w:rPr>
          <w:rFonts w:ascii="Arial" w:hAnsi="Arial" w:cs="Arial"/>
        </w:rPr>
        <w:t>Baraldi</w:t>
      </w:r>
      <w:proofErr w:type="spellEnd"/>
      <w:r w:rsidR="00AB3C9F" w:rsidRPr="003F0BBC">
        <w:rPr>
          <w:rFonts w:ascii="Arial" w:hAnsi="Arial" w:cs="Arial"/>
        </w:rPr>
        <w:t xml:space="preserve">, 2018). </w:t>
      </w:r>
      <w:r w:rsidRPr="003F0BBC">
        <w:rPr>
          <w:rFonts w:ascii="Arial" w:hAnsi="Arial" w:cs="Arial"/>
        </w:rPr>
        <w:t xml:space="preserve">The company pursues high integration in </w:t>
      </w:r>
      <w:r w:rsidR="005D2E3C" w:rsidRPr="003F0BBC">
        <w:rPr>
          <w:rFonts w:ascii="Arial" w:hAnsi="Arial" w:cs="Arial"/>
        </w:rPr>
        <w:t>global</w:t>
      </w:r>
      <w:r w:rsidRPr="003F0BBC">
        <w:rPr>
          <w:rFonts w:ascii="Arial" w:hAnsi="Arial" w:cs="Arial"/>
        </w:rPr>
        <w:t xml:space="preserve"> cooperation in </w:t>
      </w:r>
      <w:r w:rsidR="00AB3C9F" w:rsidRPr="003F0BBC">
        <w:rPr>
          <w:rFonts w:ascii="Arial" w:hAnsi="Arial" w:cs="Arial"/>
        </w:rPr>
        <w:t>3</w:t>
      </w:r>
      <w:r w:rsidRPr="003F0BBC">
        <w:rPr>
          <w:rFonts w:ascii="Arial" w:hAnsi="Arial" w:cs="Arial"/>
        </w:rPr>
        <w:t xml:space="preserve"> directions: </w:t>
      </w:r>
    </w:p>
    <w:p w14:paraId="6068367B" w14:textId="1CE7627E" w:rsidR="00091D73" w:rsidRDefault="00091D73" w:rsidP="00091D73">
      <w:pPr>
        <w:jc w:val="center"/>
        <w:rPr>
          <w:rFonts w:ascii="Arial" w:hAnsi="Arial" w:cs="Arial"/>
        </w:rPr>
      </w:pPr>
      <w:r>
        <w:rPr>
          <w:noProof/>
        </w:rPr>
        <w:lastRenderedPageBreak/>
        <w:drawing>
          <wp:inline distT="0" distB="0" distL="0" distR="0" wp14:anchorId="0532FF63" wp14:editId="7E40F441">
            <wp:extent cx="5731510" cy="3306445"/>
            <wp:effectExtent l="0" t="0" r="2540" b="8255"/>
            <wp:docPr id="2" name="Picture 2" descr="International Business Strategy: Explanation and Examples - Parsa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tional Business Strategy: Explanation and Examples - Parsad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06445"/>
                    </a:xfrm>
                    <a:prstGeom prst="rect">
                      <a:avLst/>
                    </a:prstGeom>
                    <a:noFill/>
                    <a:ln>
                      <a:noFill/>
                    </a:ln>
                  </pic:spPr>
                </pic:pic>
              </a:graphicData>
            </a:graphic>
          </wp:inline>
        </w:drawing>
      </w:r>
    </w:p>
    <w:p w14:paraId="73BA3F6E" w14:textId="3B73FFD2" w:rsidR="00091D73" w:rsidRPr="00091D73" w:rsidRDefault="00091D73" w:rsidP="00091D73">
      <w:pPr>
        <w:jc w:val="center"/>
        <w:rPr>
          <w:rFonts w:ascii="Arial" w:hAnsi="Arial" w:cs="Arial"/>
          <w:i/>
          <w:iCs/>
          <w:sz w:val="18"/>
          <w:szCs w:val="18"/>
        </w:rPr>
      </w:pPr>
      <w:r w:rsidRPr="00091D73">
        <w:rPr>
          <w:rFonts w:ascii="Arial" w:hAnsi="Arial" w:cs="Arial"/>
          <w:i/>
          <w:iCs/>
          <w:sz w:val="18"/>
          <w:szCs w:val="18"/>
        </w:rPr>
        <w:t>Figure 2: The Bartlett and &amp; Ghoshal Matrix; Source: (</w:t>
      </w:r>
      <w:r w:rsidRPr="00091D73">
        <w:rPr>
          <w:rFonts w:ascii="Arial" w:hAnsi="Arial" w:cs="Arial"/>
          <w:i/>
          <w:iCs/>
          <w:sz w:val="18"/>
          <w:szCs w:val="18"/>
        </w:rPr>
        <w:t xml:space="preserve">Christopher Bartlett and </w:t>
      </w:r>
      <w:proofErr w:type="spellStart"/>
      <w:r w:rsidRPr="00091D73">
        <w:rPr>
          <w:rFonts w:ascii="Arial" w:hAnsi="Arial" w:cs="Arial"/>
          <w:i/>
          <w:iCs/>
          <w:sz w:val="18"/>
          <w:szCs w:val="18"/>
        </w:rPr>
        <w:t>Sumantra</w:t>
      </w:r>
      <w:proofErr w:type="spellEnd"/>
      <w:r w:rsidRPr="00091D73">
        <w:rPr>
          <w:rFonts w:ascii="Arial" w:hAnsi="Arial" w:cs="Arial"/>
          <w:i/>
          <w:iCs/>
          <w:sz w:val="18"/>
          <w:szCs w:val="18"/>
        </w:rPr>
        <w:t xml:space="preserve"> Ghoshal</w:t>
      </w:r>
      <w:r w:rsidRPr="00091D73">
        <w:rPr>
          <w:rFonts w:ascii="Arial" w:hAnsi="Arial" w:cs="Arial"/>
          <w:i/>
          <w:iCs/>
          <w:sz w:val="18"/>
          <w:szCs w:val="18"/>
        </w:rPr>
        <w:t xml:space="preserve">, </w:t>
      </w:r>
      <w:r w:rsidRPr="00091D73">
        <w:rPr>
          <w:rFonts w:ascii="Arial" w:hAnsi="Arial" w:cs="Arial"/>
          <w:i/>
          <w:iCs/>
          <w:sz w:val="18"/>
          <w:szCs w:val="18"/>
        </w:rPr>
        <w:t>1991)</w:t>
      </w:r>
    </w:p>
    <w:p w14:paraId="5CCC190C" w14:textId="4779E534" w:rsidR="00C4382D" w:rsidRPr="003F0BBC" w:rsidRDefault="00C4382D" w:rsidP="00C4382D">
      <w:pPr>
        <w:pStyle w:val="ListParagraph"/>
        <w:numPr>
          <w:ilvl w:val="0"/>
          <w:numId w:val="2"/>
        </w:numPr>
        <w:rPr>
          <w:rFonts w:ascii="Arial" w:hAnsi="Arial" w:cs="Arial"/>
        </w:rPr>
      </w:pPr>
      <w:r w:rsidRPr="003F0BBC">
        <w:rPr>
          <w:rFonts w:ascii="Arial" w:hAnsi="Arial" w:cs="Arial"/>
          <w:b/>
          <w:bCs/>
          <w:i/>
          <w:iCs/>
        </w:rPr>
        <w:t>Standardised product platforms</w:t>
      </w:r>
      <w:r w:rsidRPr="003F0BBC">
        <w:rPr>
          <w:rFonts w:ascii="Arial" w:hAnsi="Arial" w:cs="Arial"/>
          <w:b/>
          <w:bCs/>
        </w:rPr>
        <w:t>:</w:t>
      </w:r>
      <w:r w:rsidRPr="003F0BBC">
        <w:rPr>
          <w:rFonts w:ascii="Arial" w:hAnsi="Arial" w:cs="Arial"/>
        </w:rPr>
        <w:t xml:space="preserve"> Using a single flat-pack packaging and </w:t>
      </w:r>
      <w:r w:rsidR="005D2E3C" w:rsidRPr="003F0BBC">
        <w:rPr>
          <w:rFonts w:ascii="Arial" w:hAnsi="Arial" w:cs="Arial"/>
        </w:rPr>
        <w:t xml:space="preserve">a </w:t>
      </w:r>
      <w:r w:rsidRPr="003F0BBC">
        <w:rPr>
          <w:rFonts w:ascii="Arial" w:hAnsi="Arial" w:cs="Arial"/>
        </w:rPr>
        <w:t xml:space="preserve">“democratic design” global </w:t>
      </w:r>
      <w:proofErr w:type="spellStart"/>
      <w:r w:rsidRPr="003F0BBC">
        <w:rPr>
          <w:rFonts w:ascii="Arial" w:hAnsi="Arial" w:cs="Arial"/>
        </w:rPr>
        <w:t>catalog</w:t>
      </w:r>
      <w:proofErr w:type="spellEnd"/>
      <w:r w:rsidRPr="003F0BBC">
        <w:rPr>
          <w:rFonts w:ascii="Arial" w:hAnsi="Arial" w:cs="Arial"/>
        </w:rPr>
        <w:t xml:space="preserve"> to maintain low shipping and production </w:t>
      </w:r>
      <w:r w:rsidR="005D2E3C" w:rsidRPr="003F0BBC">
        <w:rPr>
          <w:rFonts w:ascii="Arial" w:hAnsi="Arial" w:cs="Arial"/>
        </w:rPr>
        <w:t>costs</w:t>
      </w:r>
      <w:r w:rsidRPr="003F0BBC">
        <w:rPr>
          <w:rFonts w:ascii="Arial" w:hAnsi="Arial" w:cs="Arial"/>
        </w:rPr>
        <w:t xml:space="preserve">. </w:t>
      </w:r>
    </w:p>
    <w:p w14:paraId="1CE9DB32" w14:textId="46B0163F" w:rsidR="00C4382D" w:rsidRPr="003F0BBC" w:rsidRDefault="00C4382D" w:rsidP="00C4382D">
      <w:pPr>
        <w:pStyle w:val="ListParagraph"/>
        <w:numPr>
          <w:ilvl w:val="0"/>
          <w:numId w:val="2"/>
        </w:numPr>
        <w:rPr>
          <w:rFonts w:ascii="Arial" w:hAnsi="Arial" w:cs="Arial"/>
        </w:rPr>
      </w:pPr>
      <w:r w:rsidRPr="003F0BBC">
        <w:rPr>
          <w:rFonts w:ascii="Arial" w:hAnsi="Arial" w:cs="Arial"/>
          <w:b/>
          <w:bCs/>
          <w:i/>
          <w:iCs/>
        </w:rPr>
        <w:t>Centralised R&amp;D and design</w:t>
      </w:r>
      <w:r w:rsidRPr="003F0BBC">
        <w:rPr>
          <w:rFonts w:ascii="Arial" w:hAnsi="Arial" w:cs="Arial"/>
          <w:b/>
          <w:bCs/>
        </w:rPr>
        <w:t>:</w:t>
      </w:r>
      <w:r w:rsidRPr="003F0BBC">
        <w:rPr>
          <w:rFonts w:ascii="Arial" w:hAnsi="Arial" w:cs="Arial"/>
        </w:rPr>
        <w:t xml:space="preserve"> All core product development </w:t>
      </w:r>
      <w:r w:rsidR="005D2E3C" w:rsidRPr="003F0BBC">
        <w:rPr>
          <w:rFonts w:ascii="Arial" w:hAnsi="Arial" w:cs="Arial"/>
        </w:rPr>
        <w:t xml:space="preserve">is </w:t>
      </w:r>
      <w:r w:rsidRPr="003F0BBC">
        <w:rPr>
          <w:rFonts w:ascii="Arial" w:hAnsi="Arial" w:cs="Arial"/>
        </w:rPr>
        <w:t xml:space="preserve">done at the central IKEA of Sweden in </w:t>
      </w:r>
      <w:proofErr w:type="spellStart"/>
      <w:r w:rsidRPr="003F0BBC">
        <w:rPr>
          <w:rFonts w:ascii="Arial" w:hAnsi="Arial" w:cs="Arial"/>
        </w:rPr>
        <w:t>Älmhult</w:t>
      </w:r>
      <w:proofErr w:type="spellEnd"/>
      <w:r w:rsidRPr="003F0BBC">
        <w:rPr>
          <w:rFonts w:ascii="Arial" w:hAnsi="Arial" w:cs="Arial"/>
        </w:rPr>
        <w:t xml:space="preserve">. </w:t>
      </w:r>
    </w:p>
    <w:p w14:paraId="528ACDFA" w14:textId="7C3D4FC7" w:rsidR="00C4382D" w:rsidRPr="003F0BBC" w:rsidRDefault="00C4382D" w:rsidP="00C4382D">
      <w:pPr>
        <w:pStyle w:val="ListParagraph"/>
        <w:numPr>
          <w:ilvl w:val="0"/>
          <w:numId w:val="2"/>
        </w:numPr>
        <w:rPr>
          <w:rFonts w:ascii="Arial" w:hAnsi="Arial" w:cs="Arial"/>
        </w:rPr>
      </w:pPr>
      <w:r w:rsidRPr="003F0BBC">
        <w:rPr>
          <w:rFonts w:ascii="Arial" w:hAnsi="Arial" w:cs="Arial"/>
          <w:b/>
          <w:bCs/>
          <w:i/>
          <w:iCs/>
        </w:rPr>
        <w:t>Unified global branding</w:t>
      </w:r>
      <w:r w:rsidRPr="003F0BBC">
        <w:rPr>
          <w:rFonts w:ascii="Arial" w:hAnsi="Arial" w:cs="Arial"/>
          <w:b/>
          <w:bCs/>
        </w:rPr>
        <w:t>:</w:t>
      </w:r>
      <w:r w:rsidRPr="003F0BBC">
        <w:rPr>
          <w:rFonts w:ascii="Arial" w:hAnsi="Arial" w:cs="Arial"/>
        </w:rPr>
        <w:t xml:space="preserve"> Consistency of the trappings and catalogue style of the iconic blue and yellow stores worldwide. </w:t>
      </w:r>
    </w:p>
    <w:p w14:paraId="229B4A1D" w14:textId="6C523C0F" w:rsidR="00C4382D" w:rsidRPr="003F0BBC" w:rsidRDefault="00C4382D" w:rsidP="00C4382D">
      <w:pPr>
        <w:rPr>
          <w:rFonts w:ascii="Arial" w:hAnsi="Arial" w:cs="Arial"/>
        </w:rPr>
      </w:pPr>
      <w:r w:rsidRPr="003F0BBC">
        <w:rPr>
          <w:rFonts w:ascii="Arial" w:hAnsi="Arial" w:cs="Arial"/>
        </w:rPr>
        <w:t xml:space="preserve">A cross-firm benchmarking comparison reveals IKEA's core products are kept highly standardized across the globe, as opposed to consumer goods companies like Nestlé, which adjust everything from product flavours to ingredients to accommodate regional tastes like </w:t>
      </w:r>
      <w:r w:rsidR="005D2E3C" w:rsidRPr="003F0BBC">
        <w:rPr>
          <w:rFonts w:ascii="Arial" w:hAnsi="Arial" w:cs="Arial"/>
        </w:rPr>
        <w:t xml:space="preserve">those in </w:t>
      </w:r>
      <w:r w:rsidRPr="003F0BBC">
        <w:rPr>
          <w:rFonts w:ascii="Arial" w:hAnsi="Arial" w:cs="Arial"/>
        </w:rPr>
        <w:t xml:space="preserve">India. Nonetheless, it is still smart transnational, and offers practical local adaptations, such as the creation of smaller furniture for the cramped city apartment, or the use of locally appropriate materials in humid regions. </w:t>
      </w:r>
    </w:p>
    <w:p w14:paraId="12C30A9C" w14:textId="39115B25" w:rsidR="00C4382D" w:rsidRPr="003F0BBC" w:rsidRDefault="00174B71" w:rsidP="00672FDC">
      <w:pPr>
        <w:pStyle w:val="Heading2"/>
        <w:rPr>
          <w:rFonts w:ascii="Arial" w:hAnsi="Arial" w:cs="Arial"/>
        </w:rPr>
      </w:pPr>
      <w:bookmarkStart w:id="5" w:name="_Toc234686001"/>
      <w:r w:rsidRPr="003F0BBC">
        <w:rPr>
          <w:rFonts w:ascii="Arial" w:hAnsi="Arial" w:cs="Arial"/>
        </w:rPr>
        <w:t xml:space="preserve">1.3 </w:t>
      </w:r>
      <w:r w:rsidR="00C4382D" w:rsidRPr="003F0BBC">
        <w:rPr>
          <w:rFonts w:ascii="Arial" w:hAnsi="Arial" w:cs="Arial"/>
        </w:rPr>
        <w:t>Global Configuration and Competitive Advantage</w:t>
      </w:r>
      <w:bookmarkEnd w:id="5"/>
    </w:p>
    <w:p w14:paraId="199ADB07" w14:textId="19AC632F" w:rsidR="00C4382D" w:rsidRPr="003F0BBC" w:rsidRDefault="00C4382D" w:rsidP="00C4382D">
      <w:pPr>
        <w:rPr>
          <w:rFonts w:ascii="Arial" w:hAnsi="Arial" w:cs="Arial"/>
        </w:rPr>
      </w:pPr>
      <w:r w:rsidRPr="003F0BBC">
        <w:rPr>
          <w:rFonts w:ascii="Arial" w:hAnsi="Arial" w:cs="Arial"/>
        </w:rPr>
        <w:t>Presently, IKEA conducts its operations across Europe, North America</w:t>
      </w:r>
      <w:r w:rsidR="00E90AF7" w:rsidRPr="003F0BBC">
        <w:rPr>
          <w:rFonts w:ascii="Arial" w:hAnsi="Arial" w:cs="Arial"/>
        </w:rPr>
        <w:t>,</w:t>
      </w:r>
      <w:r w:rsidRPr="003F0BBC">
        <w:rPr>
          <w:rFonts w:ascii="Arial" w:hAnsi="Arial" w:cs="Arial"/>
        </w:rPr>
        <w:t xml:space="preserve"> and to a certain </w:t>
      </w:r>
      <w:r w:rsidR="00E90AF7" w:rsidRPr="003F0BBC">
        <w:rPr>
          <w:rFonts w:ascii="Arial" w:hAnsi="Arial" w:cs="Arial"/>
        </w:rPr>
        <w:t>extent,</w:t>
      </w:r>
      <w:r w:rsidRPr="003F0BBC">
        <w:rPr>
          <w:rFonts w:ascii="Arial" w:hAnsi="Arial" w:cs="Arial"/>
        </w:rPr>
        <w:t xml:space="preserve"> in the Asia-Pacific region with a strong emphasis on the European and North American markets</w:t>
      </w:r>
      <w:r w:rsidR="00AB3C9F" w:rsidRPr="003F0BBC">
        <w:rPr>
          <w:rFonts w:ascii="Arial" w:hAnsi="Arial" w:cs="Arial"/>
        </w:rPr>
        <w:t xml:space="preserve"> (IKEA, 2025)</w:t>
      </w:r>
      <w:r w:rsidRPr="003F0BBC">
        <w:rPr>
          <w:rFonts w:ascii="Arial" w:hAnsi="Arial" w:cs="Arial"/>
        </w:rPr>
        <w:t xml:space="preserve">. This is a global </w:t>
      </w:r>
      <w:r w:rsidR="00E90AF7" w:rsidRPr="003F0BBC">
        <w:rPr>
          <w:rFonts w:ascii="Arial" w:hAnsi="Arial" w:cs="Arial"/>
        </w:rPr>
        <w:t>setup</w:t>
      </w:r>
      <w:r w:rsidRPr="003F0BBC">
        <w:rPr>
          <w:rFonts w:ascii="Arial" w:hAnsi="Arial" w:cs="Arial"/>
        </w:rPr>
        <w:t xml:space="preserve"> which is creating value by concentrating sourcing locations close to the manufacturing centres, reducing </w:t>
      </w:r>
      <w:r w:rsidRPr="003F0BBC">
        <w:rPr>
          <w:rFonts w:ascii="Arial" w:hAnsi="Arial" w:cs="Arial"/>
        </w:rPr>
        <w:lastRenderedPageBreak/>
        <w:t xml:space="preserve">transport costs and minimising economic risk. The company has </w:t>
      </w:r>
      <w:r w:rsidRPr="003F0BBC">
        <w:rPr>
          <w:rFonts w:ascii="Arial" w:hAnsi="Arial" w:cs="Arial"/>
          <w:i/>
          <w:iCs/>
        </w:rPr>
        <w:t>three major pillars</w:t>
      </w:r>
      <w:r w:rsidRPr="003F0BBC">
        <w:rPr>
          <w:rFonts w:ascii="Arial" w:hAnsi="Arial" w:cs="Arial"/>
        </w:rPr>
        <w:t xml:space="preserve"> in creating its competitive advantage: </w:t>
      </w:r>
    </w:p>
    <w:p w14:paraId="64D16280" w14:textId="382C03CC" w:rsidR="00C4382D" w:rsidRPr="003F0BBC" w:rsidRDefault="00C4382D" w:rsidP="00C4382D">
      <w:pPr>
        <w:pStyle w:val="ListParagraph"/>
        <w:numPr>
          <w:ilvl w:val="0"/>
          <w:numId w:val="3"/>
        </w:numPr>
        <w:rPr>
          <w:rFonts w:ascii="Arial" w:hAnsi="Arial" w:cs="Arial"/>
        </w:rPr>
      </w:pPr>
      <w:r w:rsidRPr="003F0BBC">
        <w:rPr>
          <w:rFonts w:ascii="Arial" w:hAnsi="Arial" w:cs="Arial"/>
          <w:b/>
          <w:bCs/>
        </w:rPr>
        <w:t>Brand Equity:</w:t>
      </w:r>
      <w:r w:rsidRPr="003F0BBC">
        <w:rPr>
          <w:rFonts w:ascii="Arial" w:hAnsi="Arial" w:cs="Arial"/>
        </w:rPr>
        <w:t xml:space="preserve"> The company's well-known brand name around the world, which is instantly recognized </w:t>
      </w:r>
      <w:r w:rsidR="00E90AF7" w:rsidRPr="003F0BBC">
        <w:rPr>
          <w:rFonts w:ascii="Arial" w:hAnsi="Arial" w:cs="Arial"/>
        </w:rPr>
        <w:t>by</w:t>
      </w:r>
      <w:r w:rsidRPr="003F0BBC">
        <w:rPr>
          <w:rFonts w:ascii="Arial" w:hAnsi="Arial" w:cs="Arial"/>
        </w:rPr>
        <w:t xml:space="preserve"> people as affordable, well-designed</w:t>
      </w:r>
      <w:r w:rsidR="00E90AF7" w:rsidRPr="003F0BBC">
        <w:rPr>
          <w:rFonts w:ascii="Arial" w:hAnsi="Arial" w:cs="Arial"/>
        </w:rPr>
        <w:t>,</w:t>
      </w:r>
      <w:r w:rsidRPr="003F0BBC">
        <w:rPr>
          <w:rFonts w:ascii="Arial" w:hAnsi="Arial" w:cs="Arial"/>
        </w:rPr>
        <w:t xml:space="preserve"> and functional Scandinavian products. With such a global reputation, you'll find that no one will have any doubts about your trustworthiness when you go anywhere. </w:t>
      </w:r>
    </w:p>
    <w:p w14:paraId="4FBCA2DD" w14:textId="5F6C84C8" w:rsidR="00C4382D" w:rsidRPr="003F0BBC" w:rsidRDefault="00C4382D" w:rsidP="00C4382D">
      <w:pPr>
        <w:pStyle w:val="ListParagraph"/>
        <w:numPr>
          <w:ilvl w:val="0"/>
          <w:numId w:val="3"/>
        </w:numPr>
        <w:rPr>
          <w:rFonts w:ascii="Arial" w:hAnsi="Arial" w:cs="Arial"/>
        </w:rPr>
      </w:pPr>
      <w:r w:rsidRPr="003F0BBC">
        <w:rPr>
          <w:rFonts w:ascii="Arial" w:hAnsi="Arial" w:cs="Arial"/>
          <w:b/>
          <w:bCs/>
        </w:rPr>
        <w:t>Economies of Scale:</w:t>
      </w:r>
      <w:r w:rsidRPr="003F0BBC">
        <w:rPr>
          <w:rFonts w:ascii="Arial" w:hAnsi="Arial" w:cs="Arial"/>
        </w:rPr>
        <w:t xml:space="preserve"> The fact that IKEA has a wide range of partners around the world</w:t>
      </w:r>
      <w:r w:rsidR="00AB3C9F" w:rsidRPr="003F0BBC">
        <w:rPr>
          <w:rFonts w:ascii="Arial" w:hAnsi="Arial" w:cs="Arial"/>
        </w:rPr>
        <w:t xml:space="preserve"> (</w:t>
      </w:r>
      <w:proofErr w:type="spellStart"/>
      <w:r w:rsidR="00AB3C9F" w:rsidRPr="003F0BBC">
        <w:rPr>
          <w:rFonts w:ascii="Arial" w:hAnsi="Arial" w:cs="Arial"/>
        </w:rPr>
        <w:t>Salzer</w:t>
      </w:r>
      <w:proofErr w:type="spellEnd"/>
      <w:r w:rsidR="00AB3C9F" w:rsidRPr="003F0BBC">
        <w:rPr>
          <w:rFonts w:ascii="Arial" w:hAnsi="Arial" w:cs="Arial"/>
        </w:rPr>
        <w:t>, 1994)</w:t>
      </w:r>
      <w:r w:rsidRPr="003F0BBC">
        <w:rPr>
          <w:rFonts w:ascii="Arial" w:hAnsi="Arial" w:cs="Arial"/>
        </w:rPr>
        <w:t xml:space="preserve"> allows it to get low prices </w:t>
      </w:r>
      <w:r w:rsidR="00E90AF7" w:rsidRPr="003F0BBC">
        <w:rPr>
          <w:rFonts w:ascii="Arial" w:hAnsi="Arial" w:cs="Arial"/>
        </w:rPr>
        <w:t>through</w:t>
      </w:r>
      <w:r w:rsidRPr="003F0BBC">
        <w:rPr>
          <w:rFonts w:ascii="Arial" w:hAnsi="Arial" w:cs="Arial"/>
        </w:rPr>
        <w:t xml:space="preserve"> the production of large quantities. </w:t>
      </w:r>
      <w:r w:rsidR="00E90AF7" w:rsidRPr="003F0BBC">
        <w:rPr>
          <w:rFonts w:ascii="Arial" w:hAnsi="Arial" w:cs="Arial"/>
        </w:rPr>
        <w:t>These</w:t>
      </w:r>
      <w:r w:rsidRPr="003F0BBC">
        <w:rPr>
          <w:rFonts w:ascii="Arial" w:hAnsi="Arial" w:cs="Arial"/>
        </w:rPr>
        <w:t xml:space="preserve"> savings </w:t>
      </w:r>
      <w:r w:rsidR="00E90AF7" w:rsidRPr="003F0BBC">
        <w:rPr>
          <w:rFonts w:ascii="Arial" w:hAnsi="Arial" w:cs="Arial"/>
        </w:rPr>
        <w:t>translate</w:t>
      </w:r>
      <w:r w:rsidRPr="003F0BBC">
        <w:rPr>
          <w:rFonts w:ascii="Arial" w:hAnsi="Arial" w:cs="Arial"/>
        </w:rPr>
        <w:t xml:space="preserve"> to competitive quotations from the firm </w:t>
      </w:r>
      <w:r w:rsidR="00E90AF7" w:rsidRPr="003F0BBC">
        <w:rPr>
          <w:rFonts w:ascii="Arial" w:hAnsi="Arial" w:cs="Arial"/>
        </w:rPr>
        <w:t xml:space="preserve">to </w:t>
      </w:r>
      <w:r w:rsidRPr="003F0BBC">
        <w:rPr>
          <w:rFonts w:ascii="Arial" w:hAnsi="Arial" w:cs="Arial"/>
        </w:rPr>
        <w:t>which it resorts</w:t>
      </w:r>
      <w:r w:rsidR="00E90AF7" w:rsidRPr="003F0BBC">
        <w:rPr>
          <w:rFonts w:ascii="Arial" w:hAnsi="Arial" w:cs="Arial"/>
        </w:rPr>
        <w:t>,</w:t>
      </w:r>
      <w:r w:rsidRPr="003F0BBC">
        <w:rPr>
          <w:rFonts w:ascii="Arial" w:hAnsi="Arial" w:cs="Arial"/>
        </w:rPr>
        <w:t xml:space="preserve"> and this makes it difficult for the local competitor to compete because it charges low prices. </w:t>
      </w:r>
    </w:p>
    <w:p w14:paraId="12C0D460" w14:textId="203AA57A" w:rsidR="00C4382D" w:rsidRPr="003F0BBC" w:rsidRDefault="00C4382D" w:rsidP="00C4382D">
      <w:pPr>
        <w:pStyle w:val="ListParagraph"/>
        <w:numPr>
          <w:ilvl w:val="0"/>
          <w:numId w:val="3"/>
        </w:numPr>
        <w:rPr>
          <w:rFonts w:ascii="Arial" w:hAnsi="Arial" w:cs="Arial"/>
        </w:rPr>
      </w:pPr>
      <w:r w:rsidRPr="003F0BBC">
        <w:rPr>
          <w:rFonts w:ascii="Arial" w:hAnsi="Arial" w:cs="Arial"/>
          <w:b/>
          <w:bCs/>
        </w:rPr>
        <w:t>Vertical Integration:</w:t>
      </w:r>
      <w:r w:rsidRPr="003F0BBC">
        <w:rPr>
          <w:rFonts w:ascii="Arial" w:hAnsi="Arial" w:cs="Arial"/>
        </w:rPr>
        <w:t xml:space="preserve"> </w:t>
      </w:r>
      <w:r w:rsidR="00AB3C9F" w:rsidRPr="003F0BBC">
        <w:rPr>
          <w:rFonts w:ascii="Arial" w:hAnsi="Arial" w:cs="Arial"/>
        </w:rPr>
        <w:t xml:space="preserve">Jonsson et al., 2023 reported that </w:t>
      </w:r>
      <w:r w:rsidRPr="003F0BBC">
        <w:rPr>
          <w:rFonts w:ascii="Arial" w:hAnsi="Arial" w:cs="Arial"/>
        </w:rPr>
        <w:t>IKEA has its own vertical integration in the shape of corporate branches throughout the value chain. Forestry and green energy assets are managed by Ingka Investments, manufacturing plants are directly owned by IKEA Industry</w:t>
      </w:r>
      <w:r w:rsidR="00E90AF7" w:rsidRPr="003F0BBC">
        <w:rPr>
          <w:rFonts w:ascii="Arial" w:hAnsi="Arial" w:cs="Arial"/>
        </w:rPr>
        <w:t>,</w:t>
      </w:r>
      <w:r w:rsidRPr="003F0BBC">
        <w:rPr>
          <w:rFonts w:ascii="Arial" w:hAnsi="Arial" w:cs="Arial"/>
        </w:rPr>
        <w:t xml:space="preserve"> while product design and supply chains are managed by Inter IKEA Group. These direct controls provide a consistent service quality</w:t>
      </w:r>
      <w:r w:rsidR="00E90AF7" w:rsidRPr="003F0BBC">
        <w:rPr>
          <w:rFonts w:ascii="Arial" w:hAnsi="Arial" w:cs="Arial"/>
        </w:rPr>
        <w:t>,</w:t>
      </w:r>
      <w:r w:rsidRPr="003F0BBC">
        <w:rPr>
          <w:rFonts w:ascii="Arial" w:hAnsi="Arial" w:cs="Arial"/>
        </w:rPr>
        <w:t xml:space="preserve"> preserve company's confidentiality and eliminate unnecessary </w:t>
      </w:r>
      <w:r w:rsidR="00E90AF7" w:rsidRPr="003F0BBC">
        <w:rPr>
          <w:rFonts w:ascii="Arial" w:hAnsi="Arial" w:cs="Arial"/>
        </w:rPr>
        <w:t>middlemen</w:t>
      </w:r>
      <w:r w:rsidRPr="003F0BBC">
        <w:rPr>
          <w:rFonts w:ascii="Arial" w:hAnsi="Arial" w:cs="Arial"/>
        </w:rPr>
        <w:t xml:space="preserve">. </w:t>
      </w:r>
    </w:p>
    <w:p w14:paraId="1B96331F" w14:textId="77777777" w:rsidR="00C4382D" w:rsidRPr="003F0BBC" w:rsidRDefault="00C4382D" w:rsidP="00672FDC">
      <w:pPr>
        <w:pStyle w:val="Heading1"/>
        <w:rPr>
          <w:rFonts w:ascii="Arial" w:hAnsi="Arial" w:cs="Arial"/>
        </w:rPr>
      </w:pPr>
      <w:bookmarkStart w:id="6" w:name="_Toc234686002"/>
      <w:r w:rsidRPr="003F0BBC">
        <w:rPr>
          <w:rFonts w:ascii="Arial" w:hAnsi="Arial" w:cs="Arial"/>
        </w:rPr>
        <w:t>2. Macro-Environmental Appraisal and Market Attractiveness</w:t>
      </w:r>
      <w:bookmarkEnd w:id="6"/>
    </w:p>
    <w:p w14:paraId="3FA3F2DC" w14:textId="77777777" w:rsidR="00227ED4" w:rsidRPr="003F0BBC" w:rsidRDefault="00227ED4" w:rsidP="00227ED4">
      <w:pPr>
        <w:rPr>
          <w:rFonts w:ascii="Arial" w:hAnsi="Arial" w:cs="Arial"/>
        </w:rPr>
      </w:pPr>
      <w:r w:rsidRPr="003F0BBC">
        <w:rPr>
          <w:rFonts w:ascii="Arial" w:hAnsi="Arial" w:cs="Arial"/>
        </w:rPr>
        <w:t>The section analyses the external environmental drivers of Brazil's retail landscape in mid-2026, in detail and based on research. The analysis covers the political, economic, legal, and cultural aspects, shifting the focus from market description to implications for IKEA in practice. They establish a synthesis of these environmental findings in relation to a direct corporate expansion via John Dunning's OLI (Ownership, Location, Internalisation) framework.</w:t>
      </w:r>
    </w:p>
    <w:p w14:paraId="6694031C" w14:textId="2BA3766C" w:rsidR="00227ED4" w:rsidRPr="003F0BBC" w:rsidRDefault="00227ED4" w:rsidP="00672FDC">
      <w:pPr>
        <w:pStyle w:val="Heading2"/>
        <w:rPr>
          <w:rFonts w:ascii="Arial" w:hAnsi="Arial" w:cs="Arial"/>
        </w:rPr>
      </w:pPr>
      <w:bookmarkStart w:id="7" w:name="_Toc234686003"/>
      <w:r w:rsidRPr="003F0BBC">
        <w:rPr>
          <w:rFonts w:ascii="Arial" w:hAnsi="Arial" w:cs="Arial"/>
        </w:rPr>
        <w:t>2.1 Host Country Analysis</w:t>
      </w:r>
      <w:bookmarkEnd w:id="7"/>
    </w:p>
    <w:p w14:paraId="1A9985F3" w14:textId="64F0F07A" w:rsidR="00227ED4" w:rsidRDefault="00227ED4" w:rsidP="00227ED4">
      <w:pPr>
        <w:rPr>
          <w:rFonts w:ascii="Arial" w:hAnsi="Arial" w:cs="Arial"/>
        </w:rPr>
      </w:pPr>
      <w:r w:rsidRPr="003F0BBC">
        <w:rPr>
          <w:rFonts w:ascii="Arial" w:hAnsi="Arial" w:cs="Arial"/>
        </w:rPr>
        <w:t>This analysis covers external environmental conditions in Brazil that will affect the strategic viability of IKEA's expansion as of mid-2026. The ability to analyse the interaction between regulations, economy</w:t>
      </w:r>
      <w:r w:rsidR="00AB3C9F" w:rsidRPr="003F0BBC">
        <w:rPr>
          <w:rFonts w:ascii="Arial" w:hAnsi="Arial" w:cs="Arial"/>
        </w:rPr>
        <w:t>,</w:t>
      </w:r>
      <w:r w:rsidRPr="003F0BBC">
        <w:rPr>
          <w:rFonts w:ascii="Arial" w:hAnsi="Arial" w:cs="Arial"/>
        </w:rPr>
        <w:t xml:space="preserve"> and cultural differences in Brazil, details that are crucial to translate country risk information into market entry information.</w:t>
      </w:r>
    </w:p>
    <w:p w14:paraId="07204333" w14:textId="5EC23A39" w:rsidR="001001E6" w:rsidRPr="003F0BBC" w:rsidRDefault="001001E6" w:rsidP="001001E6">
      <w:pPr>
        <w:ind w:left="1440"/>
        <w:rPr>
          <w:rFonts w:ascii="Arial" w:hAnsi="Arial" w:cs="Arial"/>
        </w:rPr>
      </w:pPr>
      <w:r>
        <w:rPr>
          <w:rFonts w:ascii="Arial" w:hAnsi="Arial" w:cs="Arial"/>
          <w:noProof/>
          <w14:ligatures w14:val="standardContextual"/>
        </w:rPr>
        <w:lastRenderedPageBreak/>
        <w:drawing>
          <wp:inline distT="0" distB="0" distL="0" distR="0" wp14:anchorId="5C407772" wp14:editId="61AC5BA3">
            <wp:extent cx="4206240" cy="2293033"/>
            <wp:effectExtent l="0" t="0" r="0" b="12065"/>
            <wp:docPr id="35029135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47D35FE" w14:textId="6044F03C" w:rsidR="009D16C5" w:rsidRPr="003F0BBC" w:rsidRDefault="00AB3C9F" w:rsidP="00F64103">
      <w:pPr>
        <w:pStyle w:val="Caption"/>
        <w:jc w:val="center"/>
        <w:rPr>
          <w:rFonts w:ascii="Arial" w:hAnsi="Arial" w:cs="Arial"/>
          <w:i w:val="0"/>
          <w:iCs w:val="0"/>
          <w:color w:val="auto"/>
        </w:rPr>
      </w:pPr>
      <w:r w:rsidRPr="003F0BBC">
        <w:rPr>
          <w:rFonts w:ascii="Arial" w:hAnsi="Arial" w:cs="Arial"/>
          <w:i w:val="0"/>
          <w:iCs w:val="0"/>
          <w:color w:val="auto"/>
        </w:rPr>
        <w:t xml:space="preserve">Figure </w:t>
      </w:r>
      <w:r w:rsidR="00091D73">
        <w:rPr>
          <w:rFonts w:ascii="Arial" w:hAnsi="Arial" w:cs="Arial"/>
          <w:i w:val="0"/>
          <w:iCs w:val="0"/>
          <w:color w:val="auto"/>
        </w:rPr>
        <w:t xml:space="preserve">3: </w:t>
      </w:r>
      <w:r w:rsidRPr="003F0BBC">
        <w:rPr>
          <w:rFonts w:ascii="Arial" w:hAnsi="Arial" w:cs="Arial"/>
          <w:i w:val="0"/>
          <w:iCs w:val="0"/>
          <w:color w:val="auto"/>
        </w:rPr>
        <w:t xml:space="preserve"> </w:t>
      </w:r>
      <w:r w:rsidR="009D16C5" w:rsidRPr="003F0BBC">
        <w:rPr>
          <w:rFonts w:ascii="Arial" w:hAnsi="Arial" w:cs="Arial"/>
          <w:i w:val="0"/>
          <w:iCs w:val="0"/>
          <w:color w:val="auto"/>
        </w:rPr>
        <w:t>Host Country Analysis Framework; Source: Author</w:t>
      </w:r>
    </w:p>
    <w:p w14:paraId="0B39198C" w14:textId="4A498233" w:rsidR="00C4382D" w:rsidRPr="003F0BBC" w:rsidRDefault="00130255" w:rsidP="00130255">
      <w:pPr>
        <w:pStyle w:val="Heading3"/>
        <w:rPr>
          <w:rFonts w:ascii="Arial" w:hAnsi="Arial" w:cs="Arial"/>
        </w:rPr>
      </w:pPr>
      <w:bookmarkStart w:id="8" w:name="_Toc234686004"/>
      <w:r w:rsidRPr="003F0BBC">
        <w:rPr>
          <w:rFonts w:ascii="Arial" w:hAnsi="Arial" w:cs="Arial"/>
        </w:rPr>
        <w:t xml:space="preserve">2.1.1 </w:t>
      </w:r>
      <w:r w:rsidR="00C4382D" w:rsidRPr="003F0BBC">
        <w:rPr>
          <w:rFonts w:ascii="Arial" w:hAnsi="Arial" w:cs="Arial"/>
        </w:rPr>
        <w:t>Political Environment</w:t>
      </w:r>
      <w:bookmarkEnd w:id="8"/>
    </w:p>
    <w:p w14:paraId="1F23F7E5" w14:textId="0B621B29" w:rsidR="00C4382D" w:rsidRPr="003F0BBC" w:rsidRDefault="00C4382D" w:rsidP="00C4382D">
      <w:pPr>
        <w:rPr>
          <w:rFonts w:ascii="Arial" w:hAnsi="Arial" w:cs="Arial"/>
        </w:rPr>
      </w:pPr>
      <w:r w:rsidRPr="003F0BBC">
        <w:rPr>
          <w:rFonts w:ascii="Arial" w:hAnsi="Arial" w:cs="Arial"/>
        </w:rPr>
        <w:t xml:space="preserve">Brazil has a </w:t>
      </w:r>
      <w:r w:rsidRPr="003F0BBC">
        <w:rPr>
          <w:rFonts w:ascii="Arial" w:hAnsi="Arial" w:cs="Arial"/>
          <w:b/>
          <w:bCs/>
        </w:rPr>
        <w:t>federal republic system</w:t>
      </w:r>
      <w:r w:rsidRPr="003F0BBC">
        <w:rPr>
          <w:rFonts w:ascii="Arial" w:hAnsi="Arial" w:cs="Arial"/>
        </w:rPr>
        <w:t xml:space="preserve">, giving corporations a great opportunity in terms of consumer market size, plus loads of available resources, but the challenge is the need for corporations to be very adaptive when navigating the </w:t>
      </w:r>
      <w:r w:rsidR="005D2E3C" w:rsidRPr="003F0BBC">
        <w:rPr>
          <w:rFonts w:ascii="Arial" w:hAnsi="Arial" w:cs="Arial"/>
        </w:rPr>
        <w:t>Brazilian</w:t>
      </w:r>
      <w:r w:rsidRPr="003F0BBC">
        <w:rPr>
          <w:rFonts w:ascii="Arial" w:hAnsi="Arial" w:cs="Arial"/>
        </w:rPr>
        <w:t xml:space="preserve"> river landscape (Ferreira et al., 2024). </w:t>
      </w:r>
      <w:r w:rsidR="00174B71" w:rsidRPr="003F0BBC">
        <w:rPr>
          <w:rFonts w:ascii="Arial" w:hAnsi="Arial" w:cs="Arial"/>
        </w:rPr>
        <w:t xml:space="preserve">Brazil’s political structure encompasses three types of road jurisdictions: </w:t>
      </w:r>
      <w:r w:rsidR="00174B71" w:rsidRPr="003F0BBC">
        <w:rPr>
          <w:rFonts w:ascii="Arial" w:hAnsi="Arial" w:cs="Arial"/>
          <w:i/>
          <w:iCs/>
        </w:rPr>
        <w:t xml:space="preserve">federal, state, and municipal </w:t>
      </w:r>
      <w:r w:rsidR="00174B71" w:rsidRPr="003F0BBC">
        <w:rPr>
          <w:rFonts w:ascii="Arial" w:hAnsi="Arial" w:cs="Arial"/>
        </w:rPr>
        <w:t>(</w:t>
      </w:r>
      <w:proofErr w:type="spellStart"/>
      <w:r w:rsidR="00174B71" w:rsidRPr="003F0BBC">
        <w:rPr>
          <w:rFonts w:ascii="Arial" w:hAnsi="Arial" w:cs="Arial"/>
        </w:rPr>
        <w:t>Taveira</w:t>
      </w:r>
      <w:proofErr w:type="spellEnd"/>
      <w:r w:rsidR="00174B71" w:rsidRPr="003F0BBC">
        <w:rPr>
          <w:rFonts w:ascii="Arial" w:hAnsi="Arial" w:cs="Arial"/>
        </w:rPr>
        <w:t xml:space="preserve">, Menezes and </w:t>
      </w:r>
      <w:proofErr w:type="spellStart"/>
      <w:r w:rsidR="00174B71" w:rsidRPr="003F0BBC">
        <w:rPr>
          <w:rFonts w:ascii="Arial" w:hAnsi="Arial" w:cs="Arial"/>
        </w:rPr>
        <w:t>Buarque</w:t>
      </w:r>
      <w:proofErr w:type="spellEnd"/>
      <w:r w:rsidR="00174B71" w:rsidRPr="003F0BBC">
        <w:rPr>
          <w:rFonts w:ascii="Arial" w:hAnsi="Arial" w:cs="Arial"/>
        </w:rPr>
        <w:t>, 2026). </w:t>
      </w:r>
      <w:r w:rsidRPr="003F0BBC">
        <w:rPr>
          <w:rFonts w:ascii="Arial" w:hAnsi="Arial" w:cs="Arial"/>
        </w:rPr>
        <w:t xml:space="preserve">The political context at mid-2026 matches a critical balance between </w:t>
      </w:r>
      <w:r w:rsidR="00E90AF7" w:rsidRPr="003F0BBC">
        <w:rPr>
          <w:rFonts w:ascii="Arial" w:hAnsi="Arial" w:cs="Arial"/>
        </w:rPr>
        <w:t xml:space="preserve">the </w:t>
      </w:r>
      <w:r w:rsidRPr="003F0BBC">
        <w:rPr>
          <w:rFonts w:ascii="Arial" w:hAnsi="Arial" w:cs="Arial"/>
        </w:rPr>
        <w:t>resilience of the institutions and an immediate degree of uncertainty, fuelled mostly by the 2026 general election cycle</w:t>
      </w:r>
      <w:r w:rsidR="00E90AF7" w:rsidRPr="003F0BBC">
        <w:rPr>
          <w:rFonts w:ascii="Arial" w:hAnsi="Arial" w:cs="Arial"/>
        </w:rPr>
        <w:t>,</w:t>
      </w:r>
      <w:r w:rsidRPr="003F0BBC">
        <w:rPr>
          <w:rFonts w:ascii="Arial" w:hAnsi="Arial" w:cs="Arial"/>
        </w:rPr>
        <w:t xml:space="preserve"> which is still in its early stages (Gaetani, 2025). The government creates a growing regulatory landscape that will aggressively embed corporate governance, technology specifications</w:t>
      </w:r>
      <w:r w:rsidR="00AB3C9F" w:rsidRPr="003F0BBC">
        <w:rPr>
          <w:rFonts w:ascii="Arial" w:hAnsi="Arial" w:cs="Arial"/>
        </w:rPr>
        <w:t>,</w:t>
      </w:r>
      <w:r w:rsidRPr="003F0BBC">
        <w:rPr>
          <w:rFonts w:ascii="Arial" w:hAnsi="Arial" w:cs="Arial"/>
        </w:rPr>
        <w:t xml:space="preserve"> and green transition features into the general operation of companies for international corporations.</w:t>
      </w:r>
    </w:p>
    <w:p w14:paraId="41E9D3E6" w14:textId="77777777" w:rsidR="00C4382D" w:rsidRPr="003F0BBC" w:rsidRDefault="00C4382D" w:rsidP="00C4382D">
      <w:pPr>
        <w:rPr>
          <w:rFonts w:ascii="Arial" w:hAnsi="Arial" w:cs="Arial"/>
          <w:b/>
          <w:bCs/>
        </w:rPr>
      </w:pPr>
      <w:r w:rsidRPr="003F0BBC">
        <w:rPr>
          <w:rFonts w:ascii="Arial" w:hAnsi="Arial" w:cs="Arial"/>
          <w:b/>
          <w:bCs/>
        </w:rPr>
        <w:t>Opportunities</w:t>
      </w:r>
    </w:p>
    <w:p w14:paraId="4272F1E0" w14:textId="5286ECAB" w:rsidR="00C4382D" w:rsidRPr="003F0BBC" w:rsidRDefault="00F9024F" w:rsidP="00F9024F">
      <w:pPr>
        <w:pStyle w:val="ListParagraph"/>
        <w:numPr>
          <w:ilvl w:val="0"/>
          <w:numId w:val="4"/>
        </w:numPr>
        <w:rPr>
          <w:rFonts w:ascii="Arial" w:hAnsi="Arial" w:cs="Arial"/>
        </w:rPr>
      </w:pPr>
      <w:r w:rsidRPr="003F0BBC">
        <w:rPr>
          <w:rFonts w:ascii="Arial" w:hAnsi="Arial" w:cs="Arial"/>
          <w:b/>
          <w:bCs/>
        </w:rPr>
        <w:t>Green Industrial Framework:</w:t>
      </w:r>
      <w:r w:rsidRPr="003F0BBC">
        <w:rPr>
          <w:rFonts w:ascii="Arial" w:hAnsi="Arial" w:cs="Arial"/>
        </w:rPr>
        <w:t xml:space="preserve"> </w:t>
      </w:r>
      <w:r w:rsidR="00C4382D" w:rsidRPr="003F0BBC">
        <w:rPr>
          <w:rFonts w:ascii="Arial" w:hAnsi="Arial" w:cs="Arial"/>
        </w:rPr>
        <w:t>Brazil's Ecological Transformation Plan, which will allocate funds to decarbonization, energy transition, sustainable finance</w:t>
      </w:r>
      <w:r w:rsidRPr="003F0BBC">
        <w:rPr>
          <w:rFonts w:ascii="Arial" w:hAnsi="Arial" w:cs="Arial"/>
        </w:rPr>
        <w:t>,</w:t>
      </w:r>
      <w:r w:rsidR="00C4382D" w:rsidRPr="003F0BBC">
        <w:rPr>
          <w:rFonts w:ascii="Arial" w:hAnsi="Arial" w:cs="Arial"/>
        </w:rPr>
        <w:t xml:space="preserve"> and investment in climate-related infrastructure, will provide a positive environment for companies that want to adopt a carbon-efficient strategy. </w:t>
      </w:r>
      <w:r w:rsidRPr="003F0BBC">
        <w:rPr>
          <w:rFonts w:ascii="Arial" w:hAnsi="Arial" w:cs="Arial"/>
        </w:rPr>
        <w:t xml:space="preserve">According to </w:t>
      </w:r>
      <w:proofErr w:type="spellStart"/>
      <w:r w:rsidRPr="003F0BBC">
        <w:rPr>
          <w:rFonts w:ascii="Arial" w:hAnsi="Arial" w:cs="Arial"/>
        </w:rPr>
        <w:t>Gaier</w:t>
      </w:r>
      <w:proofErr w:type="spellEnd"/>
      <w:r w:rsidRPr="003F0BBC">
        <w:rPr>
          <w:rFonts w:ascii="Arial" w:hAnsi="Arial" w:cs="Arial"/>
        </w:rPr>
        <w:t xml:space="preserve"> (2023), the overall growth and ecological plan accounted for an investment of approximately 1.7 trillion reais (USD 347.5 billion), of which 93% of the planned investments were linked to public/private partnerships and transition projects.</w:t>
      </w:r>
    </w:p>
    <w:p w14:paraId="4EB5F79D" w14:textId="308064E9" w:rsidR="00C4382D" w:rsidRPr="003F0BBC" w:rsidRDefault="00F9024F" w:rsidP="00214842">
      <w:pPr>
        <w:pStyle w:val="ListParagraph"/>
        <w:numPr>
          <w:ilvl w:val="0"/>
          <w:numId w:val="4"/>
        </w:numPr>
        <w:rPr>
          <w:rFonts w:ascii="Arial" w:hAnsi="Arial" w:cs="Arial"/>
        </w:rPr>
      </w:pPr>
      <w:r w:rsidRPr="003F0BBC">
        <w:rPr>
          <w:rFonts w:ascii="Arial" w:hAnsi="Arial" w:cs="Arial"/>
          <w:b/>
          <w:bCs/>
        </w:rPr>
        <w:t>Tax Structural Easing:</w:t>
      </w:r>
      <w:r w:rsidRPr="003F0BBC">
        <w:rPr>
          <w:rFonts w:ascii="Arial" w:hAnsi="Arial" w:cs="Arial"/>
        </w:rPr>
        <w:t xml:space="preserve"> </w:t>
      </w:r>
      <w:r w:rsidR="00C4382D" w:rsidRPr="003F0BBC">
        <w:rPr>
          <w:rFonts w:ascii="Arial" w:hAnsi="Arial" w:cs="Arial"/>
        </w:rPr>
        <w:t xml:space="preserve">On January 1, 2026, Brazil went live with its </w:t>
      </w:r>
      <w:r w:rsidR="00C4382D" w:rsidRPr="003F0BBC">
        <w:rPr>
          <w:rFonts w:ascii="Arial" w:hAnsi="Arial" w:cs="Arial"/>
        </w:rPr>
        <w:lastRenderedPageBreak/>
        <w:t xml:space="preserve">consumption tax reform, which will feature a </w:t>
      </w:r>
      <w:r w:rsidR="00AB3C9F" w:rsidRPr="003F0BBC">
        <w:rPr>
          <w:rFonts w:ascii="Arial" w:hAnsi="Arial" w:cs="Arial"/>
        </w:rPr>
        <w:t>dual VAT system</w:t>
      </w:r>
      <w:r w:rsidR="00C4382D" w:rsidRPr="003F0BBC">
        <w:rPr>
          <w:rFonts w:ascii="Arial" w:hAnsi="Arial" w:cs="Arial"/>
        </w:rPr>
        <w:t xml:space="preserve">, the goal of which is to ease compliance, increase transparency, and step-by-step render the tax structure redundant over time (Jefferson, 2026). This gradual change helps calm historic </w:t>
      </w:r>
      <w:r w:rsidR="00C4382D" w:rsidRPr="003F0BBC">
        <w:rPr>
          <w:rFonts w:ascii="Arial" w:hAnsi="Arial" w:cs="Arial"/>
          <w:i/>
          <w:iCs/>
        </w:rPr>
        <w:t>"</w:t>
      </w:r>
      <w:proofErr w:type="spellStart"/>
      <w:r w:rsidR="00C4382D" w:rsidRPr="003F0BBC">
        <w:rPr>
          <w:rFonts w:ascii="Arial" w:hAnsi="Arial" w:cs="Arial"/>
          <w:i/>
          <w:iCs/>
        </w:rPr>
        <w:t>Custo</w:t>
      </w:r>
      <w:proofErr w:type="spellEnd"/>
      <w:r w:rsidR="00C4382D" w:rsidRPr="003F0BBC">
        <w:rPr>
          <w:rFonts w:ascii="Arial" w:hAnsi="Arial" w:cs="Arial"/>
          <w:i/>
          <w:iCs/>
        </w:rPr>
        <w:t xml:space="preserve"> </w:t>
      </w:r>
      <w:proofErr w:type="spellStart"/>
      <w:r w:rsidR="00C4382D" w:rsidRPr="003F0BBC">
        <w:rPr>
          <w:rFonts w:ascii="Arial" w:hAnsi="Arial" w:cs="Arial"/>
          <w:i/>
          <w:iCs/>
        </w:rPr>
        <w:t>Brasil</w:t>
      </w:r>
      <w:proofErr w:type="spellEnd"/>
      <w:r w:rsidR="00C4382D" w:rsidRPr="003F0BBC">
        <w:rPr>
          <w:rFonts w:ascii="Arial" w:hAnsi="Arial" w:cs="Arial"/>
          <w:i/>
          <w:iCs/>
        </w:rPr>
        <w:t>"</w:t>
      </w:r>
      <w:r w:rsidR="00C4382D" w:rsidRPr="003F0BBC">
        <w:rPr>
          <w:rFonts w:ascii="Arial" w:hAnsi="Arial" w:cs="Arial"/>
        </w:rPr>
        <w:t xml:space="preserve"> (Brazil Cost) pressures on foreign entrants by making long-term planning of the supply chain much clearer.</w:t>
      </w:r>
    </w:p>
    <w:p w14:paraId="7C4CC4A6" w14:textId="0F3AF331" w:rsidR="00AB3C9F" w:rsidRPr="003F0BBC" w:rsidRDefault="00AB3C9F" w:rsidP="00F64103">
      <w:pPr>
        <w:jc w:val="center"/>
        <w:rPr>
          <w:rFonts w:ascii="Arial" w:hAnsi="Arial" w:cs="Arial"/>
        </w:rPr>
      </w:pPr>
      <w:r w:rsidRPr="003F0BBC">
        <w:rPr>
          <w:rFonts w:ascii="Arial" w:hAnsi="Arial" w:cs="Arial"/>
          <w:noProof/>
        </w:rPr>
        <w:drawing>
          <wp:inline distT="0" distB="0" distL="0" distR="0" wp14:anchorId="127AE149" wp14:editId="52C83047">
            <wp:extent cx="5731510" cy="3045460"/>
            <wp:effectExtent l="0" t="0" r="2540" b="2540"/>
            <wp:docPr id="1718285842" name="Picture 4" descr="Doing Business In Brazil: Navigating The 2026 Tax Reform &amp; The New Dual VAT  Framework - Global Law Exp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ing Business In Brazil: Navigating The 2026 Tax Reform &amp; The New Dual VAT  Framework - Global Law Expert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45460"/>
                    </a:xfrm>
                    <a:prstGeom prst="rect">
                      <a:avLst/>
                    </a:prstGeom>
                    <a:noFill/>
                    <a:ln>
                      <a:noFill/>
                    </a:ln>
                  </pic:spPr>
                </pic:pic>
              </a:graphicData>
            </a:graphic>
          </wp:inline>
        </w:drawing>
      </w:r>
    </w:p>
    <w:p w14:paraId="7A24E5DB" w14:textId="586EB353" w:rsidR="00AB3C9F" w:rsidRPr="003F0BBC" w:rsidRDefault="005D2E3C" w:rsidP="00F64103">
      <w:pPr>
        <w:pStyle w:val="Caption"/>
        <w:jc w:val="center"/>
        <w:rPr>
          <w:rFonts w:ascii="Arial" w:hAnsi="Arial" w:cs="Arial"/>
          <w:i w:val="0"/>
          <w:iCs w:val="0"/>
          <w:color w:val="auto"/>
        </w:rPr>
      </w:pPr>
      <w:r w:rsidRPr="003F0BBC">
        <w:rPr>
          <w:rFonts w:ascii="Arial" w:hAnsi="Arial" w:cs="Arial"/>
          <w:i w:val="0"/>
          <w:iCs w:val="0"/>
          <w:color w:val="auto"/>
        </w:rPr>
        <w:t xml:space="preserve">Figure </w:t>
      </w:r>
      <w:r w:rsidR="00091D73">
        <w:rPr>
          <w:rFonts w:ascii="Arial" w:hAnsi="Arial" w:cs="Arial"/>
          <w:i w:val="0"/>
          <w:iCs w:val="0"/>
          <w:color w:val="auto"/>
        </w:rPr>
        <w:t>4:</w:t>
      </w:r>
      <w:r w:rsidRPr="003F0BBC">
        <w:rPr>
          <w:rFonts w:ascii="Arial" w:hAnsi="Arial" w:cs="Arial"/>
          <w:i w:val="0"/>
          <w:iCs w:val="0"/>
          <w:color w:val="auto"/>
        </w:rPr>
        <w:t xml:space="preserve"> </w:t>
      </w:r>
      <w:r w:rsidR="00AB3C9F" w:rsidRPr="003F0BBC">
        <w:rPr>
          <w:rFonts w:ascii="Arial" w:hAnsi="Arial" w:cs="Arial"/>
          <w:i w:val="0"/>
          <w:iCs w:val="0"/>
          <w:color w:val="auto"/>
        </w:rPr>
        <w:t xml:space="preserve">Brazil 2026 Tax Reform and New Dual VAT </w:t>
      </w:r>
      <w:r w:rsidRPr="003F0BBC">
        <w:rPr>
          <w:rFonts w:ascii="Arial" w:hAnsi="Arial" w:cs="Arial"/>
          <w:i w:val="0"/>
          <w:iCs w:val="0"/>
          <w:color w:val="auto"/>
        </w:rPr>
        <w:t>Framework Source</w:t>
      </w:r>
      <w:r w:rsidR="00AB3C9F" w:rsidRPr="003F0BBC">
        <w:rPr>
          <w:rFonts w:ascii="Arial" w:hAnsi="Arial" w:cs="Arial"/>
          <w:i w:val="0"/>
          <w:iCs w:val="0"/>
          <w:color w:val="auto"/>
        </w:rPr>
        <w:t>: (Andrade, 2026)</w:t>
      </w:r>
    </w:p>
    <w:p w14:paraId="35E928B0" w14:textId="77777777" w:rsidR="00C4382D" w:rsidRPr="003F0BBC" w:rsidRDefault="00C4382D" w:rsidP="00C4382D">
      <w:pPr>
        <w:rPr>
          <w:rFonts w:ascii="Arial" w:hAnsi="Arial" w:cs="Arial"/>
          <w:b/>
          <w:bCs/>
        </w:rPr>
      </w:pPr>
      <w:r w:rsidRPr="003F0BBC">
        <w:rPr>
          <w:rFonts w:ascii="Arial" w:hAnsi="Arial" w:cs="Arial"/>
          <w:b/>
          <w:bCs/>
        </w:rPr>
        <w:t>Risks</w:t>
      </w:r>
    </w:p>
    <w:p w14:paraId="4CCABBEF" w14:textId="559214EA" w:rsidR="00C4382D" w:rsidRPr="003F0BBC" w:rsidRDefault="00F9024F" w:rsidP="00F9024F">
      <w:pPr>
        <w:pStyle w:val="ListParagraph"/>
        <w:numPr>
          <w:ilvl w:val="0"/>
          <w:numId w:val="5"/>
        </w:numPr>
        <w:rPr>
          <w:rFonts w:ascii="Arial" w:hAnsi="Arial" w:cs="Arial"/>
        </w:rPr>
      </w:pPr>
      <w:r w:rsidRPr="003F0BBC">
        <w:rPr>
          <w:rFonts w:ascii="Arial" w:hAnsi="Arial" w:cs="Arial"/>
          <w:b/>
          <w:bCs/>
        </w:rPr>
        <w:t>Pre-Election Fiscal Volatility:</w:t>
      </w:r>
      <w:r w:rsidRPr="003F0BBC">
        <w:rPr>
          <w:rFonts w:ascii="Arial" w:hAnsi="Arial" w:cs="Arial"/>
        </w:rPr>
        <w:t xml:space="preserve"> Brazil's Presidential election is currently in swing, and the first round is on October 4, potentially raising policy uncertainty and market sensitivity where fiscal and funding issues are being discussed and debated (</w:t>
      </w:r>
      <w:proofErr w:type="spellStart"/>
      <w:r w:rsidRPr="003F0BBC">
        <w:rPr>
          <w:rFonts w:ascii="Arial" w:hAnsi="Arial" w:cs="Arial"/>
        </w:rPr>
        <w:t>Fedec</w:t>
      </w:r>
      <w:proofErr w:type="spellEnd"/>
      <w:r w:rsidRPr="003F0BBC">
        <w:rPr>
          <w:rFonts w:ascii="Arial" w:hAnsi="Arial" w:cs="Arial"/>
        </w:rPr>
        <w:t xml:space="preserve">, 2026). </w:t>
      </w:r>
      <w:r w:rsidR="00C4382D" w:rsidRPr="003F0BBC">
        <w:rPr>
          <w:rFonts w:ascii="Arial" w:hAnsi="Arial" w:cs="Arial"/>
        </w:rPr>
        <w:t>The unexpected volatility in the Brazilian Real may fuel new price increases of imported store equipment or stock (</w:t>
      </w:r>
      <w:proofErr w:type="spellStart"/>
      <w:r w:rsidR="00C4382D" w:rsidRPr="003F0BBC">
        <w:rPr>
          <w:rFonts w:ascii="Arial" w:hAnsi="Arial" w:cs="Arial"/>
        </w:rPr>
        <w:t>Fedec</w:t>
      </w:r>
      <w:proofErr w:type="spellEnd"/>
      <w:r w:rsidR="00C4382D" w:rsidRPr="003F0BBC">
        <w:rPr>
          <w:rFonts w:ascii="Arial" w:hAnsi="Arial" w:cs="Arial"/>
        </w:rPr>
        <w:t>, 2026).</w:t>
      </w:r>
    </w:p>
    <w:p w14:paraId="18988B0E" w14:textId="4AC0C4EC" w:rsidR="00C4382D" w:rsidRPr="003F0BBC" w:rsidRDefault="00F9024F" w:rsidP="00F9024F">
      <w:pPr>
        <w:pStyle w:val="ListParagraph"/>
        <w:numPr>
          <w:ilvl w:val="0"/>
          <w:numId w:val="5"/>
        </w:numPr>
        <w:rPr>
          <w:rFonts w:ascii="Arial" w:hAnsi="Arial" w:cs="Arial"/>
        </w:rPr>
      </w:pPr>
      <w:r w:rsidRPr="003F0BBC">
        <w:rPr>
          <w:rFonts w:ascii="Arial" w:hAnsi="Arial" w:cs="Arial"/>
          <w:b/>
          <w:bCs/>
        </w:rPr>
        <w:t>Policy Polarization Shifts:</w:t>
      </w:r>
      <w:r w:rsidRPr="003F0BBC">
        <w:rPr>
          <w:rFonts w:ascii="Arial" w:hAnsi="Arial" w:cs="Arial"/>
        </w:rPr>
        <w:t xml:space="preserve"> The political divide can pose a constant threat of </w:t>
      </w:r>
      <w:r w:rsidR="005D2E3C" w:rsidRPr="003F0BBC">
        <w:rPr>
          <w:rFonts w:ascii="Arial" w:hAnsi="Arial" w:cs="Arial"/>
        </w:rPr>
        <w:t>sudden policy changes for consumers going ahead</w:t>
      </w:r>
      <w:r w:rsidRPr="003F0BBC">
        <w:rPr>
          <w:rFonts w:ascii="Arial" w:hAnsi="Arial" w:cs="Arial"/>
        </w:rPr>
        <w:t>.</w:t>
      </w:r>
      <w:r w:rsidR="00C4382D" w:rsidRPr="003F0BBC">
        <w:rPr>
          <w:rFonts w:ascii="Arial" w:hAnsi="Arial" w:cs="Arial"/>
        </w:rPr>
        <w:t xml:space="preserve"> Such a climate makes it harder for foreign companies to make hasty tactical decisions on entering a market than it does for having to be flexible, build long-term connections in the local setting.</w:t>
      </w:r>
    </w:p>
    <w:p w14:paraId="58877F12" w14:textId="077191C5" w:rsidR="00401E80" w:rsidRPr="003F0BBC" w:rsidRDefault="00C4382D" w:rsidP="00C4382D">
      <w:pPr>
        <w:rPr>
          <w:rFonts w:ascii="Arial" w:hAnsi="Arial" w:cs="Arial"/>
        </w:rPr>
      </w:pPr>
      <w:r w:rsidRPr="003F0BBC">
        <w:rPr>
          <w:rFonts w:ascii="Arial" w:hAnsi="Arial" w:cs="Arial"/>
        </w:rPr>
        <w:t xml:space="preserve">In general, the political situation in Brazil is </w:t>
      </w:r>
      <w:r w:rsidR="00F9024F" w:rsidRPr="003F0BBC">
        <w:rPr>
          <w:rFonts w:ascii="Arial" w:hAnsi="Arial" w:cs="Arial"/>
          <w:b/>
          <w:bCs/>
        </w:rPr>
        <w:t>favourable,</w:t>
      </w:r>
      <w:r w:rsidRPr="003F0BBC">
        <w:rPr>
          <w:rFonts w:ascii="Arial" w:hAnsi="Arial" w:cs="Arial"/>
          <w:b/>
          <w:bCs/>
        </w:rPr>
        <w:t xml:space="preserve"> </w:t>
      </w:r>
      <w:r w:rsidRPr="003F0BBC">
        <w:rPr>
          <w:rFonts w:ascii="Arial" w:hAnsi="Arial" w:cs="Arial"/>
        </w:rPr>
        <w:t>but the country's situation is not entirely positive. Even though IKEA's sustainability plan complements the government's agendas, it will take time for it to get off the ground, and to secure good institutional arrangements to ensure the plan will ultimately achieve positive results.</w:t>
      </w:r>
    </w:p>
    <w:p w14:paraId="6C4054AA" w14:textId="13EF7A6C" w:rsidR="00D15952" w:rsidRPr="003F0BBC" w:rsidRDefault="00130255" w:rsidP="00130255">
      <w:pPr>
        <w:pStyle w:val="Heading3"/>
        <w:rPr>
          <w:rFonts w:ascii="Arial" w:hAnsi="Arial" w:cs="Arial"/>
        </w:rPr>
      </w:pPr>
      <w:bookmarkStart w:id="9" w:name="_Toc234686005"/>
      <w:r w:rsidRPr="003F0BBC">
        <w:rPr>
          <w:rFonts w:ascii="Arial" w:hAnsi="Arial" w:cs="Arial"/>
        </w:rPr>
        <w:lastRenderedPageBreak/>
        <w:t xml:space="preserve">2.1.2 </w:t>
      </w:r>
      <w:r w:rsidR="00D15952" w:rsidRPr="003F0BBC">
        <w:rPr>
          <w:rFonts w:ascii="Arial" w:hAnsi="Arial" w:cs="Arial"/>
        </w:rPr>
        <w:t>Economic Environment</w:t>
      </w:r>
      <w:bookmarkEnd w:id="9"/>
    </w:p>
    <w:p w14:paraId="0ABD3240" w14:textId="72F6084F" w:rsidR="00D15952" w:rsidRPr="003F0BBC" w:rsidRDefault="00D15952" w:rsidP="00D15952">
      <w:pPr>
        <w:rPr>
          <w:rFonts w:ascii="Arial" w:hAnsi="Arial" w:cs="Arial"/>
        </w:rPr>
      </w:pPr>
      <w:r w:rsidRPr="003F0BBC">
        <w:rPr>
          <w:rFonts w:ascii="Arial" w:hAnsi="Arial" w:cs="Arial"/>
        </w:rPr>
        <w:t>Brazil is Latin America's economic giant with a stable consumer habitat. It is the largest economy</w:t>
      </w:r>
      <w:r w:rsidR="00AB3C9F" w:rsidRPr="003F0BBC">
        <w:rPr>
          <w:rFonts w:ascii="Arial" w:hAnsi="Arial" w:cs="Arial"/>
        </w:rPr>
        <w:t>,</w:t>
      </w:r>
      <w:r w:rsidRPr="003F0BBC">
        <w:rPr>
          <w:rFonts w:ascii="Arial" w:hAnsi="Arial" w:cs="Arial"/>
        </w:rPr>
        <w:t xml:space="preserve"> with GDP projected to reach a peak of BRL 12.7 trillion in 2025</w:t>
      </w:r>
      <w:r w:rsidR="00AB3C9F" w:rsidRPr="003F0BBC">
        <w:rPr>
          <w:rFonts w:ascii="Arial" w:hAnsi="Arial" w:cs="Arial"/>
        </w:rPr>
        <w:t xml:space="preserve">, </w:t>
      </w:r>
      <w:r w:rsidRPr="003F0BBC">
        <w:rPr>
          <w:rFonts w:ascii="Arial" w:hAnsi="Arial" w:cs="Arial"/>
        </w:rPr>
        <w:t xml:space="preserve">about USD 2.5 trillion in today's value </w:t>
      </w:r>
      <w:r w:rsidR="00AB3C9F" w:rsidRPr="003F0BBC">
        <w:rPr>
          <w:rFonts w:ascii="Arial" w:hAnsi="Arial" w:cs="Arial"/>
        </w:rPr>
        <w:t>(</w:t>
      </w:r>
      <w:r w:rsidRPr="003F0BBC">
        <w:rPr>
          <w:rFonts w:ascii="Arial" w:hAnsi="Arial" w:cs="Arial"/>
        </w:rPr>
        <w:t>Global Times 2025). It has a large population too, as more than 214 million people live in cities and urban centres (Statista, 2026)</w:t>
      </w:r>
      <w:r w:rsidR="00AB3C9F" w:rsidRPr="003F0BBC">
        <w:rPr>
          <w:rFonts w:ascii="Arial" w:hAnsi="Arial" w:cs="Arial"/>
        </w:rPr>
        <w:t>,</w:t>
      </w:r>
      <w:r w:rsidRPr="003F0BBC">
        <w:rPr>
          <w:rFonts w:ascii="Arial" w:hAnsi="Arial" w:cs="Arial"/>
        </w:rPr>
        <w:t xml:space="preserve"> </w:t>
      </w:r>
      <w:r w:rsidR="00AB3C9F" w:rsidRPr="003F0BBC">
        <w:rPr>
          <w:rFonts w:ascii="Arial" w:hAnsi="Arial" w:cs="Arial"/>
        </w:rPr>
        <w:t>providing</w:t>
      </w:r>
      <w:r w:rsidRPr="003F0BBC">
        <w:rPr>
          <w:rFonts w:ascii="Arial" w:hAnsi="Arial" w:cs="Arial"/>
        </w:rPr>
        <w:t xml:space="preserve"> consumers. The growing middle class (</w:t>
      </w:r>
      <w:proofErr w:type="spellStart"/>
      <w:r w:rsidRPr="003F0BBC">
        <w:rPr>
          <w:rFonts w:ascii="Arial" w:hAnsi="Arial" w:cs="Arial"/>
        </w:rPr>
        <w:t>Classe</w:t>
      </w:r>
      <w:proofErr w:type="spellEnd"/>
      <w:r w:rsidRPr="003F0BBC">
        <w:rPr>
          <w:rFonts w:ascii="Arial" w:hAnsi="Arial" w:cs="Arial"/>
        </w:rPr>
        <w:t xml:space="preserve"> </w:t>
      </w:r>
      <w:proofErr w:type="spellStart"/>
      <w:r w:rsidRPr="003F0BBC">
        <w:rPr>
          <w:rFonts w:ascii="Arial" w:hAnsi="Arial" w:cs="Arial"/>
        </w:rPr>
        <w:t>Média</w:t>
      </w:r>
      <w:proofErr w:type="spellEnd"/>
      <w:r w:rsidRPr="003F0BBC">
        <w:rPr>
          <w:rFonts w:ascii="Arial" w:hAnsi="Arial" w:cs="Arial"/>
        </w:rPr>
        <w:t xml:space="preserve">) looks for value for money and is becoming </w:t>
      </w:r>
      <w:r w:rsidR="00AB3C9F" w:rsidRPr="003F0BBC">
        <w:rPr>
          <w:rFonts w:ascii="Arial" w:hAnsi="Arial" w:cs="Arial"/>
        </w:rPr>
        <w:t>design-conscious</w:t>
      </w:r>
      <w:r w:rsidRPr="003F0BBC">
        <w:rPr>
          <w:rFonts w:ascii="Arial" w:hAnsi="Arial" w:cs="Arial"/>
        </w:rPr>
        <w:t xml:space="preserve">, providing an opportunity for IKEA's </w:t>
      </w:r>
      <w:r w:rsidR="00AB3C9F" w:rsidRPr="003F0BBC">
        <w:rPr>
          <w:rFonts w:ascii="Arial" w:hAnsi="Arial" w:cs="Arial"/>
        </w:rPr>
        <w:t>flat-pack</w:t>
      </w:r>
      <w:r w:rsidRPr="003F0BBC">
        <w:rPr>
          <w:rFonts w:ascii="Arial" w:hAnsi="Arial" w:cs="Arial"/>
        </w:rPr>
        <w:t xml:space="preserve"> design.</w:t>
      </w:r>
    </w:p>
    <w:p w14:paraId="183EFFB0" w14:textId="43E3D309" w:rsidR="00D15952" w:rsidRPr="003F0BBC" w:rsidRDefault="00D15952" w:rsidP="00F64103">
      <w:pPr>
        <w:jc w:val="center"/>
        <w:rPr>
          <w:rFonts w:ascii="Arial" w:hAnsi="Arial" w:cs="Arial"/>
        </w:rPr>
      </w:pPr>
      <w:r w:rsidRPr="003F0BBC">
        <w:rPr>
          <w:rFonts w:ascii="Arial" w:hAnsi="Arial" w:cs="Arial"/>
          <w:noProof/>
        </w:rPr>
        <w:drawing>
          <wp:inline distT="0" distB="0" distL="0" distR="0" wp14:anchorId="1623E0C8" wp14:editId="0D5BE5BD">
            <wp:extent cx="5731510" cy="4688840"/>
            <wp:effectExtent l="0" t="0" r="2540" b="0"/>
            <wp:docPr id="190503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3041" name=""/>
                    <pic:cNvPicPr/>
                  </pic:nvPicPr>
                  <pic:blipFill>
                    <a:blip r:embed="rId17"/>
                    <a:stretch>
                      <a:fillRect/>
                    </a:stretch>
                  </pic:blipFill>
                  <pic:spPr>
                    <a:xfrm>
                      <a:off x="0" y="0"/>
                      <a:ext cx="5731510" cy="4688840"/>
                    </a:xfrm>
                    <a:prstGeom prst="rect">
                      <a:avLst/>
                    </a:prstGeom>
                  </pic:spPr>
                </pic:pic>
              </a:graphicData>
            </a:graphic>
          </wp:inline>
        </w:drawing>
      </w:r>
    </w:p>
    <w:p w14:paraId="25FEFD16" w14:textId="7757A14C" w:rsidR="00517C0B" w:rsidRPr="003F0BBC" w:rsidRDefault="00AB3C9F" w:rsidP="00F64103">
      <w:pPr>
        <w:pStyle w:val="Caption"/>
        <w:jc w:val="center"/>
        <w:rPr>
          <w:rFonts w:ascii="Arial" w:hAnsi="Arial" w:cs="Arial"/>
          <w:i w:val="0"/>
          <w:iCs w:val="0"/>
          <w:color w:val="auto"/>
        </w:rPr>
      </w:pPr>
      <w:r w:rsidRPr="003F0BBC">
        <w:rPr>
          <w:rFonts w:ascii="Arial" w:hAnsi="Arial" w:cs="Arial"/>
          <w:i w:val="0"/>
          <w:iCs w:val="0"/>
          <w:color w:val="auto"/>
        </w:rPr>
        <w:t xml:space="preserve">Figure </w:t>
      </w:r>
      <w:r w:rsidR="00091D73">
        <w:rPr>
          <w:rFonts w:ascii="Arial" w:hAnsi="Arial" w:cs="Arial"/>
          <w:i w:val="0"/>
          <w:iCs w:val="0"/>
          <w:color w:val="auto"/>
        </w:rPr>
        <w:t>5:</w:t>
      </w:r>
      <w:r w:rsidRPr="003F0BBC">
        <w:rPr>
          <w:rFonts w:ascii="Arial" w:hAnsi="Arial" w:cs="Arial"/>
          <w:i w:val="0"/>
          <w:iCs w:val="0"/>
          <w:color w:val="auto"/>
        </w:rPr>
        <w:t xml:space="preserve"> </w:t>
      </w:r>
      <w:r w:rsidR="00517C0B" w:rsidRPr="003F0BBC">
        <w:rPr>
          <w:rFonts w:ascii="Arial" w:hAnsi="Arial" w:cs="Arial"/>
          <w:i w:val="0"/>
          <w:iCs w:val="0"/>
          <w:color w:val="auto"/>
        </w:rPr>
        <w:t>Brazil Population in 2026; Source: (Statista, 2026)</w:t>
      </w:r>
    </w:p>
    <w:p w14:paraId="173D69B7" w14:textId="77777777" w:rsidR="00D15952" w:rsidRPr="003F0BBC" w:rsidRDefault="00D15952" w:rsidP="00D15952">
      <w:pPr>
        <w:rPr>
          <w:rFonts w:ascii="Arial" w:hAnsi="Arial" w:cs="Arial"/>
          <w:b/>
          <w:bCs/>
        </w:rPr>
      </w:pPr>
      <w:r w:rsidRPr="003F0BBC">
        <w:rPr>
          <w:rFonts w:ascii="Arial" w:hAnsi="Arial" w:cs="Arial"/>
          <w:b/>
          <w:bCs/>
        </w:rPr>
        <w:t>Key Strengths</w:t>
      </w:r>
    </w:p>
    <w:p w14:paraId="2A0D4841" w14:textId="76CFBF90" w:rsidR="00D15952" w:rsidRPr="003F0BBC" w:rsidRDefault="00D15952" w:rsidP="00D15952">
      <w:pPr>
        <w:pStyle w:val="ListParagraph"/>
        <w:numPr>
          <w:ilvl w:val="0"/>
          <w:numId w:val="6"/>
        </w:numPr>
        <w:rPr>
          <w:rFonts w:ascii="Arial" w:hAnsi="Arial" w:cs="Arial"/>
        </w:rPr>
      </w:pPr>
      <w:r w:rsidRPr="003F0BBC">
        <w:rPr>
          <w:rFonts w:ascii="Arial" w:hAnsi="Arial" w:cs="Arial"/>
          <w:b/>
          <w:bCs/>
        </w:rPr>
        <w:t>Urban Consumer Scale:</w:t>
      </w:r>
      <w:r w:rsidRPr="003F0BBC">
        <w:rPr>
          <w:rFonts w:ascii="Arial" w:hAnsi="Arial" w:cs="Arial"/>
        </w:rPr>
        <w:t xml:space="preserve"> The domestic population of these cities has surpassed the mark of 214 million (Statista, 2026)</w:t>
      </w:r>
      <w:r w:rsidR="00CB79AD" w:rsidRPr="003F0BBC">
        <w:rPr>
          <w:rFonts w:ascii="Arial" w:hAnsi="Arial" w:cs="Arial"/>
        </w:rPr>
        <w:t>,</w:t>
      </w:r>
      <w:r w:rsidRPr="003F0BBC">
        <w:rPr>
          <w:rFonts w:ascii="Arial" w:hAnsi="Arial" w:cs="Arial"/>
        </w:rPr>
        <w:t xml:space="preserve"> and the consumers are densely concentrated in huge urban </w:t>
      </w:r>
      <w:r w:rsidR="00CB79AD" w:rsidRPr="003F0BBC">
        <w:rPr>
          <w:rFonts w:ascii="Arial" w:hAnsi="Arial" w:cs="Arial"/>
        </w:rPr>
        <w:t>centres</w:t>
      </w:r>
      <w:r w:rsidRPr="003F0BBC">
        <w:rPr>
          <w:rFonts w:ascii="Arial" w:hAnsi="Arial" w:cs="Arial"/>
        </w:rPr>
        <w:t xml:space="preserve"> such as São Paulo and Rio de Janeiro (Navarro et al., 2023). The big focus increases the number of IKEA's target customers within a geographical and logistical radius of the regional </w:t>
      </w:r>
      <w:r w:rsidRPr="003F0BBC">
        <w:rPr>
          <w:rFonts w:ascii="Arial" w:hAnsi="Arial" w:cs="Arial"/>
        </w:rPr>
        <w:lastRenderedPageBreak/>
        <w:t>distribution centres.</w:t>
      </w:r>
    </w:p>
    <w:p w14:paraId="5A99B6FC" w14:textId="7623942B" w:rsidR="00D15952" w:rsidRPr="003F0BBC" w:rsidRDefault="00D15952" w:rsidP="00D15952">
      <w:pPr>
        <w:pStyle w:val="ListParagraph"/>
        <w:numPr>
          <w:ilvl w:val="0"/>
          <w:numId w:val="6"/>
        </w:numPr>
        <w:rPr>
          <w:rFonts w:ascii="Arial" w:hAnsi="Arial" w:cs="Arial"/>
          <w:color w:val="EE0000"/>
        </w:rPr>
      </w:pPr>
      <w:r w:rsidRPr="003F0BBC">
        <w:rPr>
          <w:rFonts w:ascii="Arial" w:hAnsi="Arial" w:cs="Arial"/>
          <w:b/>
          <w:bCs/>
        </w:rPr>
        <w:t>Middle-Class Demand Reset:</w:t>
      </w:r>
      <w:r w:rsidRPr="003F0BBC">
        <w:rPr>
          <w:rFonts w:ascii="Arial" w:hAnsi="Arial" w:cs="Arial"/>
        </w:rPr>
        <w:t xml:space="preserve"> According to Navarro et al. (2023)</w:t>
      </w:r>
      <w:r w:rsidR="00CB79AD" w:rsidRPr="003F0BBC">
        <w:rPr>
          <w:rFonts w:ascii="Arial" w:hAnsi="Arial" w:cs="Arial"/>
        </w:rPr>
        <w:t>,</w:t>
      </w:r>
      <w:r w:rsidRPr="003F0BBC">
        <w:rPr>
          <w:rFonts w:ascii="Arial" w:hAnsi="Arial" w:cs="Arial"/>
        </w:rPr>
        <w:t xml:space="preserve"> the growth of the </w:t>
      </w:r>
      <w:proofErr w:type="spellStart"/>
      <w:r w:rsidRPr="003F0BBC">
        <w:rPr>
          <w:rFonts w:ascii="Arial" w:hAnsi="Arial" w:cs="Arial"/>
          <w:i/>
          <w:iCs/>
        </w:rPr>
        <w:t>Classe</w:t>
      </w:r>
      <w:proofErr w:type="spellEnd"/>
      <w:r w:rsidRPr="003F0BBC">
        <w:rPr>
          <w:rFonts w:ascii="Arial" w:hAnsi="Arial" w:cs="Arial"/>
          <w:i/>
          <w:iCs/>
        </w:rPr>
        <w:t xml:space="preserve"> </w:t>
      </w:r>
      <w:proofErr w:type="spellStart"/>
      <w:r w:rsidRPr="003F0BBC">
        <w:rPr>
          <w:rFonts w:ascii="Arial" w:hAnsi="Arial" w:cs="Arial"/>
          <w:i/>
          <w:iCs/>
        </w:rPr>
        <w:t>Média</w:t>
      </w:r>
      <w:proofErr w:type="spellEnd"/>
      <w:r w:rsidRPr="003F0BBC">
        <w:rPr>
          <w:rFonts w:ascii="Arial" w:hAnsi="Arial" w:cs="Arial"/>
        </w:rPr>
        <w:t xml:space="preserve"> (middle class) is fuelling consistent demand for practical yet designed residential properties. </w:t>
      </w:r>
      <w:r w:rsidR="009D064B" w:rsidRPr="003F0BBC">
        <w:rPr>
          <w:rFonts w:ascii="Arial" w:hAnsi="Arial" w:cs="Arial"/>
        </w:rPr>
        <w:t>This is where it seems like a great choice for the people looking for more luxurious home décor options that don't compromise in terms of value.</w:t>
      </w:r>
    </w:p>
    <w:p w14:paraId="560DC56D" w14:textId="77777777" w:rsidR="00D15952" w:rsidRPr="003F0BBC" w:rsidRDefault="00D15952" w:rsidP="00D15952">
      <w:pPr>
        <w:rPr>
          <w:rFonts w:ascii="Arial" w:hAnsi="Arial" w:cs="Arial"/>
          <w:b/>
          <w:bCs/>
        </w:rPr>
      </w:pPr>
      <w:r w:rsidRPr="003F0BBC">
        <w:rPr>
          <w:rFonts w:ascii="Arial" w:hAnsi="Arial" w:cs="Arial"/>
          <w:b/>
          <w:bCs/>
        </w:rPr>
        <w:t>Economic Challenges</w:t>
      </w:r>
    </w:p>
    <w:p w14:paraId="1FB6AE53" w14:textId="77777777" w:rsidR="009D064B" w:rsidRPr="003F0BBC" w:rsidRDefault="009D064B" w:rsidP="009D064B">
      <w:pPr>
        <w:pStyle w:val="ListParagraph"/>
        <w:numPr>
          <w:ilvl w:val="0"/>
          <w:numId w:val="7"/>
        </w:numPr>
        <w:rPr>
          <w:rFonts w:ascii="Arial" w:hAnsi="Arial" w:cs="Arial"/>
        </w:rPr>
      </w:pPr>
      <w:r w:rsidRPr="003F0BBC">
        <w:rPr>
          <w:rFonts w:ascii="Arial" w:hAnsi="Arial" w:cs="Arial"/>
          <w:b/>
          <w:bCs/>
        </w:rPr>
        <w:t>Inflation &amp; High Interest Rates:</w:t>
      </w:r>
      <w:r w:rsidRPr="003F0BBC">
        <w:rPr>
          <w:rFonts w:ascii="Arial" w:hAnsi="Arial" w:cs="Arial"/>
        </w:rPr>
        <w:t xml:space="preserve"> In Brazil, the yearly inflation reached 4.72% in mid-2026 due to a combination of various factors, such as rising prices due to international energy crises, and domestic pressure from food inflation (Cardoso and Moreira 2026). To reverse this trend, the Central Bank of Brazil (BCB) instituted a rate reduction of the </w:t>
      </w:r>
      <w:proofErr w:type="spellStart"/>
      <w:r w:rsidRPr="003F0BBC">
        <w:rPr>
          <w:rFonts w:ascii="Arial" w:hAnsi="Arial" w:cs="Arial"/>
        </w:rPr>
        <w:t>Selic</w:t>
      </w:r>
      <w:proofErr w:type="spellEnd"/>
      <w:r w:rsidRPr="003F0BBC">
        <w:rPr>
          <w:rFonts w:ascii="Arial" w:hAnsi="Arial" w:cs="Arial"/>
        </w:rPr>
        <w:t xml:space="preserve"> interest rate, bringing it down from 14.5% to 14.25% (Trevisani and Miller, 2026). IKEA's </w:t>
      </w:r>
      <w:r w:rsidRPr="003F0BBC">
        <w:rPr>
          <w:rFonts w:ascii="Arial" w:hAnsi="Arial" w:cs="Arial"/>
          <w:i/>
          <w:iCs/>
        </w:rPr>
        <w:t>"low price with meaning"</w:t>
      </w:r>
      <w:r w:rsidRPr="003F0BBC">
        <w:rPr>
          <w:rFonts w:ascii="Arial" w:hAnsi="Arial" w:cs="Arial"/>
        </w:rPr>
        <w:t xml:space="preserve"> positioning of its bigger-sized product segments is under threat from the rocky consumer credit markets and spiralling household debt.</w:t>
      </w:r>
    </w:p>
    <w:p w14:paraId="3E4A57C1" w14:textId="77777777" w:rsidR="009D064B" w:rsidRPr="003F0BBC" w:rsidRDefault="009D064B" w:rsidP="009D064B">
      <w:pPr>
        <w:pStyle w:val="ListParagraph"/>
        <w:numPr>
          <w:ilvl w:val="0"/>
          <w:numId w:val="7"/>
        </w:numPr>
        <w:rPr>
          <w:rFonts w:ascii="Arial" w:hAnsi="Arial" w:cs="Arial"/>
        </w:rPr>
      </w:pPr>
      <w:r w:rsidRPr="003F0BBC">
        <w:rPr>
          <w:rFonts w:ascii="Arial" w:hAnsi="Arial" w:cs="Arial"/>
          <w:b/>
          <w:bCs/>
        </w:rPr>
        <w:t>Logistical Road Dependence:</w:t>
      </w:r>
      <w:r w:rsidRPr="003F0BBC">
        <w:rPr>
          <w:rFonts w:ascii="Arial" w:hAnsi="Arial" w:cs="Arial"/>
        </w:rPr>
        <w:t xml:space="preserve"> Distribution networks are not dominated by railways, but are dominated by roads, which means there is a risk of Price Rises and bottlenecks for companies. According to </w:t>
      </w:r>
      <w:proofErr w:type="spellStart"/>
      <w:r w:rsidRPr="003F0BBC">
        <w:rPr>
          <w:rFonts w:ascii="Arial" w:hAnsi="Arial" w:cs="Arial"/>
        </w:rPr>
        <w:t>Taveira</w:t>
      </w:r>
      <w:proofErr w:type="spellEnd"/>
      <w:r w:rsidRPr="003F0BBC">
        <w:rPr>
          <w:rFonts w:ascii="Arial" w:hAnsi="Arial" w:cs="Arial"/>
        </w:rPr>
        <w:t xml:space="preserve">, Menezes and </w:t>
      </w:r>
      <w:proofErr w:type="spellStart"/>
      <w:r w:rsidRPr="003F0BBC">
        <w:rPr>
          <w:rFonts w:ascii="Arial" w:hAnsi="Arial" w:cs="Arial"/>
        </w:rPr>
        <w:t>Buarque</w:t>
      </w:r>
      <w:proofErr w:type="spellEnd"/>
      <w:r w:rsidRPr="003F0BBC">
        <w:rPr>
          <w:rFonts w:ascii="Arial" w:hAnsi="Arial" w:cs="Arial"/>
        </w:rPr>
        <w:t xml:space="preserve"> (2026), the country has 1,720,909 kilometres of roads, with just 213,500 kilometres (12.4%) of which paved. The cost of large volumes of structural stores from state to state becomes very high and supplies must be local.</w:t>
      </w:r>
    </w:p>
    <w:p w14:paraId="0F6237B5" w14:textId="7B9FD3A1" w:rsidR="00D15952" w:rsidRPr="003F0BBC" w:rsidRDefault="00D15952" w:rsidP="00D15952">
      <w:pPr>
        <w:rPr>
          <w:rFonts w:ascii="Arial" w:hAnsi="Arial" w:cs="Arial"/>
          <w:color w:val="EE0000"/>
        </w:rPr>
      </w:pPr>
      <w:r w:rsidRPr="003F0BBC">
        <w:rPr>
          <w:rFonts w:ascii="Arial" w:hAnsi="Arial" w:cs="Arial"/>
        </w:rPr>
        <w:t xml:space="preserve">Brazil’s economic environment is </w:t>
      </w:r>
      <w:r w:rsidRPr="003F0BBC">
        <w:rPr>
          <w:rFonts w:ascii="Arial" w:hAnsi="Arial" w:cs="Arial"/>
          <w:b/>
          <w:bCs/>
          <w:i/>
          <w:iCs/>
        </w:rPr>
        <w:t>attractive but financially challenging.</w:t>
      </w:r>
      <w:r w:rsidRPr="003F0BBC">
        <w:rPr>
          <w:rFonts w:ascii="Arial" w:hAnsi="Arial" w:cs="Arial"/>
        </w:rPr>
        <w:t xml:space="preserve"> </w:t>
      </w:r>
      <w:r w:rsidR="009D064B" w:rsidRPr="003F0BBC">
        <w:rPr>
          <w:rFonts w:ascii="Arial" w:hAnsi="Arial" w:cs="Arial"/>
        </w:rPr>
        <w:t>Even with its size and potential, IKEA would have to alter its pricing model if it wanted to engage with its price-sensitive consumers, and invest in its efficient logistics to compensate for a lack of adequate infrastructure in tomorrow's world.</w:t>
      </w:r>
    </w:p>
    <w:p w14:paraId="45FFDAF8" w14:textId="0B9773DF" w:rsidR="00D15952" w:rsidRPr="003F0BBC" w:rsidRDefault="00130255" w:rsidP="00130255">
      <w:pPr>
        <w:pStyle w:val="Heading3"/>
        <w:rPr>
          <w:rFonts w:ascii="Arial" w:hAnsi="Arial" w:cs="Arial"/>
        </w:rPr>
      </w:pPr>
      <w:bookmarkStart w:id="10" w:name="_Toc234686006"/>
      <w:r w:rsidRPr="003F0BBC">
        <w:rPr>
          <w:rFonts w:ascii="Arial" w:hAnsi="Arial" w:cs="Arial"/>
        </w:rPr>
        <w:t xml:space="preserve">2.1.3 </w:t>
      </w:r>
      <w:r w:rsidR="00D15952" w:rsidRPr="003F0BBC">
        <w:rPr>
          <w:rFonts w:ascii="Arial" w:hAnsi="Arial" w:cs="Arial"/>
        </w:rPr>
        <w:t>Legal Environment</w:t>
      </w:r>
      <w:bookmarkEnd w:id="10"/>
    </w:p>
    <w:p w14:paraId="038034A0" w14:textId="13C8D417" w:rsidR="00D15952" w:rsidRPr="003F0BBC" w:rsidRDefault="00D15952" w:rsidP="00D15952">
      <w:pPr>
        <w:rPr>
          <w:rFonts w:ascii="Arial" w:hAnsi="Arial" w:cs="Arial"/>
        </w:rPr>
      </w:pPr>
      <w:r w:rsidRPr="003F0BBC">
        <w:rPr>
          <w:rFonts w:ascii="Arial" w:hAnsi="Arial" w:cs="Arial"/>
        </w:rPr>
        <w:t xml:space="preserve">The </w:t>
      </w:r>
      <w:r w:rsidR="000F5F57" w:rsidRPr="003F0BBC">
        <w:rPr>
          <w:rFonts w:ascii="Arial" w:hAnsi="Arial" w:cs="Arial"/>
        </w:rPr>
        <w:t xml:space="preserve">Legal environment of </w:t>
      </w:r>
      <w:r w:rsidRPr="003F0BBC">
        <w:rPr>
          <w:rFonts w:ascii="Arial" w:hAnsi="Arial" w:cs="Arial"/>
        </w:rPr>
        <w:t>Brazil</w:t>
      </w:r>
      <w:r w:rsidR="000F5F57" w:rsidRPr="003F0BBC">
        <w:rPr>
          <w:rFonts w:ascii="Arial" w:hAnsi="Arial" w:cs="Arial"/>
        </w:rPr>
        <w:t xml:space="preserve"> is complex as </w:t>
      </w:r>
      <w:r w:rsidR="009D064B" w:rsidRPr="003F0BBC">
        <w:rPr>
          <w:rFonts w:ascii="Arial" w:hAnsi="Arial" w:cs="Arial"/>
        </w:rPr>
        <w:t>the market</w:t>
      </w:r>
      <w:r w:rsidRPr="003F0BBC">
        <w:rPr>
          <w:rFonts w:ascii="Arial" w:hAnsi="Arial" w:cs="Arial"/>
        </w:rPr>
        <w:t xml:space="preserve"> is extremely </w:t>
      </w:r>
      <w:r w:rsidRPr="003F0BBC">
        <w:rPr>
          <w:rFonts w:ascii="Arial" w:hAnsi="Arial" w:cs="Arial"/>
          <w:i/>
          <w:iCs/>
        </w:rPr>
        <w:t>protective, complex,</w:t>
      </w:r>
      <w:r w:rsidRPr="003F0BBC">
        <w:rPr>
          <w:rFonts w:ascii="Arial" w:hAnsi="Arial" w:cs="Arial"/>
        </w:rPr>
        <w:t xml:space="preserve"> and has well-defined rules. Legal compliance requires a practical and locally-oriented approach to ensure smooth operation in the country, despite its pro-nation-building sentiment towards foreign investment.</w:t>
      </w:r>
    </w:p>
    <w:p w14:paraId="686F95B8" w14:textId="77777777" w:rsidR="00D15952" w:rsidRPr="003F0BBC" w:rsidRDefault="00D15952" w:rsidP="00D15952">
      <w:pPr>
        <w:rPr>
          <w:rFonts w:ascii="Arial" w:hAnsi="Arial" w:cs="Arial"/>
          <w:b/>
          <w:bCs/>
        </w:rPr>
      </w:pPr>
      <w:r w:rsidRPr="003F0BBC">
        <w:rPr>
          <w:rFonts w:ascii="Arial" w:hAnsi="Arial" w:cs="Arial"/>
          <w:b/>
          <w:bCs/>
        </w:rPr>
        <w:t>Advantages Include</w:t>
      </w:r>
    </w:p>
    <w:p w14:paraId="1BCFAB82" w14:textId="63D1F10B" w:rsidR="00D15952" w:rsidRPr="003F0BBC" w:rsidRDefault="00D15952" w:rsidP="00D15952">
      <w:pPr>
        <w:pStyle w:val="ListParagraph"/>
        <w:numPr>
          <w:ilvl w:val="0"/>
          <w:numId w:val="8"/>
        </w:numPr>
        <w:rPr>
          <w:rFonts w:ascii="Arial" w:hAnsi="Arial" w:cs="Arial"/>
        </w:rPr>
      </w:pPr>
      <w:r w:rsidRPr="003F0BBC">
        <w:rPr>
          <w:rFonts w:ascii="Arial" w:hAnsi="Arial" w:cs="Arial"/>
          <w:b/>
          <w:bCs/>
        </w:rPr>
        <w:lastRenderedPageBreak/>
        <w:t>Open Retail Ownership:</w:t>
      </w:r>
      <w:r w:rsidRPr="003F0BBC">
        <w:rPr>
          <w:rFonts w:ascii="Arial" w:hAnsi="Arial" w:cs="Arial"/>
        </w:rPr>
        <w:t xml:space="preserve">  Brazil allows for 100% foreign direct investment (FDI) in retailing by all channels (</w:t>
      </w:r>
      <w:proofErr w:type="spellStart"/>
      <w:r w:rsidRPr="003F0BBC">
        <w:rPr>
          <w:rFonts w:ascii="Arial" w:hAnsi="Arial" w:cs="Arial"/>
        </w:rPr>
        <w:t>Bellak</w:t>
      </w:r>
      <w:proofErr w:type="spellEnd"/>
      <w:r w:rsidRPr="003F0BBC">
        <w:rPr>
          <w:rFonts w:ascii="Arial" w:hAnsi="Arial" w:cs="Arial"/>
        </w:rPr>
        <w:t xml:space="preserve"> and </w:t>
      </w:r>
      <w:proofErr w:type="spellStart"/>
      <w:r w:rsidRPr="003F0BBC">
        <w:rPr>
          <w:rFonts w:ascii="Arial" w:hAnsi="Arial" w:cs="Arial"/>
        </w:rPr>
        <w:t>Leibrecht</w:t>
      </w:r>
      <w:proofErr w:type="spellEnd"/>
      <w:r w:rsidRPr="003F0BBC">
        <w:rPr>
          <w:rFonts w:ascii="Arial" w:hAnsi="Arial" w:cs="Arial"/>
        </w:rPr>
        <w:t>, 2024), thus granting IKEA the legal freedom to establish a foreign-owned operation without a local partner's involvement.</w:t>
      </w:r>
    </w:p>
    <w:p w14:paraId="08F350C7" w14:textId="40525603" w:rsidR="00D15952" w:rsidRPr="003F0BBC" w:rsidRDefault="00D15952" w:rsidP="00D15952">
      <w:pPr>
        <w:pStyle w:val="ListParagraph"/>
        <w:numPr>
          <w:ilvl w:val="0"/>
          <w:numId w:val="8"/>
        </w:numPr>
        <w:rPr>
          <w:rFonts w:ascii="Arial" w:hAnsi="Arial" w:cs="Arial"/>
        </w:rPr>
      </w:pPr>
      <w:r w:rsidRPr="003F0BBC">
        <w:rPr>
          <w:rFonts w:ascii="Arial" w:hAnsi="Arial" w:cs="Arial"/>
          <w:b/>
          <w:bCs/>
        </w:rPr>
        <w:t>Strong Intellectual Property Protections:</w:t>
      </w:r>
      <w:r w:rsidRPr="003F0BBC">
        <w:rPr>
          <w:rFonts w:ascii="Arial" w:hAnsi="Arial" w:cs="Arial"/>
        </w:rPr>
        <w:t xml:space="preserve"> IKEA has the security it needs to bring to the market its safe</w:t>
      </w:r>
      <w:r w:rsidR="00CB79AD" w:rsidRPr="003F0BBC">
        <w:rPr>
          <w:rFonts w:ascii="Arial" w:hAnsi="Arial" w:cs="Arial"/>
        </w:rPr>
        <w:t>,</w:t>
      </w:r>
      <w:r w:rsidRPr="003F0BBC">
        <w:rPr>
          <w:rFonts w:ascii="Arial" w:hAnsi="Arial" w:cs="Arial"/>
        </w:rPr>
        <w:t xml:space="preserve"> patented furniture and assembly processes and styles, thanks to national frameworks that protect its international IP.</w:t>
      </w:r>
    </w:p>
    <w:p w14:paraId="796E9EC2" w14:textId="77777777" w:rsidR="00D15952" w:rsidRPr="003F0BBC" w:rsidRDefault="00D15952" w:rsidP="00D15952">
      <w:pPr>
        <w:rPr>
          <w:rFonts w:ascii="Arial" w:hAnsi="Arial" w:cs="Arial"/>
          <w:b/>
          <w:bCs/>
        </w:rPr>
      </w:pPr>
      <w:r w:rsidRPr="003F0BBC">
        <w:rPr>
          <w:rFonts w:ascii="Arial" w:hAnsi="Arial" w:cs="Arial"/>
          <w:b/>
          <w:bCs/>
        </w:rPr>
        <w:t>Challenges Include</w:t>
      </w:r>
    </w:p>
    <w:p w14:paraId="23CD68B9" w14:textId="5F8296B6" w:rsidR="00D15952" w:rsidRPr="003F0BBC" w:rsidRDefault="00D15952" w:rsidP="00D15952">
      <w:pPr>
        <w:pStyle w:val="ListParagraph"/>
        <w:numPr>
          <w:ilvl w:val="0"/>
          <w:numId w:val="9"/>
        </w:numPr>
        <w:rPr>
          <w:rFonts w:ascii="Arial" w:hAnsi="Arial" w:cs="Arial"/>
        </w:rPr>
      </w:pPr>
      <w:r w:rsidRPr="003F0BBC">
        <w:rPr>
          <w:rFonts w:ascii="Arial" w:hAnsi="Arial" w:cs="Arial"/>
          <w:b/>
          <w:bCs/>
        </w:rPr>
        <w:t>Intricate Tax Frameworks:</w:t>
      </w:r>
      <w:r w:rsidRPr="003F0BBC">
        <w:rPr>
          <w:rFonts w:ascii="Arial" w:hAnsi="Arial" w:cs="Arial"/>
        </w:rPr>
        <w:t xml:space="preserve"> Brazil </w:t>
      </w:r>
      <w:r w:rsidR="00AB3C9F" w:rsidRPr="003F0BBC">
        <w:rPr>
          <w:rFonts w:ascii="Arial" w:hAnsi="Arial" w:cs="Arial"/>
        </w:rPr>
        <w:t>has</w:t>
      </w:r>
      <w:r w:rsidRPr="003F0BBC">
        <w:rPr>
          <w:rFonts w:ascii="Arial" w:hAnsi="Arial" w:cs="Arial"/>
        </w:rPr>
        <w:t xml:space="preserve"> one of the most complicated and complex tax systems in the world when it comes to taxes levied on </w:t>
      </w:r>
      <w:r w:rsidR="00AB3C9F" w:rsidRPr="003F0BBC">
        <w:rPr>
          <w:rFonts w:ascii="Arial" w:hAnsi="Arial" w:cs="Arial"/>
        </w:rPr>
        <w:t xml:space="preserve">the </w:t>
      </w:r>
      <w:r w:rsidRPr="003F0BBC">
        <w:rPr>
          <w:rFonts w:ascii="Arial" w:hAnsi="Arial" w:cs="Arial"/>
        </w:rPr>
        <w:t>consumption of goods and services. Concurrent state and federal laws such as ICMS, PIS</w:t>
      </w:r>
      <w:r w:rsidR="005D2E3C" w:rsidRPr="003F0BBC">
        <w:rPr>
          <w:rFonts w:ascii="Arial" w:hAnsi="Arial" w:cs="Arial"/>
        </w:rPr>
        <w:t>,</w:t>
      </w:r>
      <w:r w:rsidRPr="003F0BBC">
        <w:rPr>
          <w:rFonts w:ascii="Arial" w:hAnsi="Arial" w:cs="Arial"/>
        </w:rPr>
        <w:t xml:space="preserve"> and COFINs are very complex to navigate (</w:t>
      </w:r>
      <w:proofErr w:type="spellStart"/>
      <w:r w:rsidRPr="003F0BBC">
        <w:rPr>
          <w:rFonts w:ascii="Arial" w:hAnsi="Arial" w:cs="Arial"/>
        </w:rPr>
        <w:t>Cebreiro</w:t>
      </w:r>
      <w:proofErr w:type="spellEnd"/>
      <w:r w:rsidRPr="003F0BBC">
        <w:rPr>
          <w:rFonts w:ascii="Arial" w:hAnsi="Arial" w:cs="Arial"/>
        </w:rPr>
        <w:t xml:space="preserve"> Gomez, 2026). </w:t>
      </w:r>
      <w:r w:rsidR="00174B71" w:rsidRPr="003F0BBC">
        <w:rPr>
          <w:rFonts w:ascii="Arial" w:hAnsi="Arial" w:cs="Arial"/>
        </w:rPr>
        <w:t xml:space="preserve">At a very </w:t>
      </w:r>
      <w:r w:rsidR="005D2E3C" w:rsidRPr="003F0BBC">
        <w:rPr>
          <w:rFonts w:ascii="Arial" w:hAnsi="Arial" w:cs="Arial"/>
        </w:rPr>
        <w:t>high level,</w:t>
      </w:r>
      <w:r w:rsidR="00174B71" w:rsidRPr="003F0BBC">
        <w:rPr>
          <w:rFonts w:ascii="Arial" w:hAnsi="Arial" w:cs="Arial"/>
        </w:rPr>
        <w:t xml:space="preserve"> IPI, ICMS and PIS/COFINS are calculated in line with what has become known in Brazil as the ‘non-cumulative’ system. </w:t>
      </w:r>
      <w:r w:rsidRPr="003F0BBC">
        <w:rPr>
          <w:rFonts w:ascii="Arial" w:hAnsi="Arial" w:cs="Arial"/>
        </w:rPr>
        <w:t>Despite reform efforts, companies still need local accounting units specifically engaged in the field of cross-border shipments to avoid penalties.</w:t>
      </w:r>
    </w:p>
    <w:p w14:paraId="1A373895" w14:textId="6E026AD7" w:rsidR="00D15952" w:rsidRPr="003F0BBC" w:rsidRDefault="00D15952" w:rsidP="00D15952">
      <w:pPr>
        <w:pStyle w:val="ListParagraph"/>
        <w:numPr>
          <w:ilvl w:val="0"/>
          <w:numId w:val="9"/>
        </w:numPr>
        <w:rPr>
          <w:rFonts w:ascii="Arial" w:hAnsi="Arial" w:cs="Arial"/>
        </w:rPr>
      </w:pPr>
      <w:r w:rsidRPr="003F0BBC">
        <w:rPr>
          <w:rFonts w:ascii="Arial" w:hAnsi="Arial" w:cs="Arial"/>
          <w:b/>
          <w:bCs/>
        </w:rPr>
        <w:t xml:space="preserve">Complex </w:t>
      </w:r>
      <w:r w:rsidR="005D2E3C" w:rsidRPr="003F0BBC">
        <w:rPr>
          <w:rFonts w:ascii="Arial" w:hAnsi="Arial" w:cs="Arial"/>
          <w:b/>
          <w:bCs/>
        </w:rPr>
        <w:t>Labour</w:t>
      </w:r>
      <w:r w:rsidRPr="003F0BBC">
        <w:rPr>
          <w:rFonts w:ascii="Arial" w:hAnsi="Arial" w:cs="Arial"/>
          <w:b/>
          <w:bCs/>
        </w:rPr>
        <w:t xml:space="preserve"> Compliance:</w:t>
      </w:r>
      <w:r w:rsidRPr="003F0BBC">
        <w:rPr>
          <w:rFonts w:ascii="Arial" w:hAnsi="Arial" w:cs="Arial"/>
        </w:rPr>
        <w:t xml:space="preserve"> Fernandes (2020) states that in Brazil, corporate labour relations are heavily regulated by the </w:t>
      </w:r>
      <w:proofErr w:type="spellStart"/>
      <w:r w:rsidRPr="003F0BBC">
        <w:rPr>
          <w:rFonts w:ascii="Arial" w:hAnsi="Arial" w:cs="Arial"/>
          <w:i/>
          <w:iCs/>
        </w:rPr>
        <w:t>Consolidação</w:t>
      </w:r>
      <w:proofErr w:type="spellEnd"/>
      <w:r w:rsidRPr="003F0BBC">
        <w:rPr>
          <w:rFonts w:ascii="Arial" w:hAnsi="Arial" w:cs="Arial"/>
          <w:i/>
          <w:iCs/>
        </w:rPr>
        <w:t xml:space="preserve"> das Leis do </w:t>
      </w:r>
      <w:proofErr w:type="spellStart"/>
      <w:r w:rsidRPr="003F0BBC">
        <w:rPr>
          <w:rFonts w:ascii="Arial" w:hAnsi="Arial" w:cs="Arial"/>
          <w:i/>
          <w:iCs/>
        </w:rPr>
        <w:t>Trabalho</w:t>
      </w:r>
      <w:proofErr w:type="spellEnd"/>
      <w:r w:rsidRPr="003F0BBC">
        <w:rPr>
          <w:rFonts w:ascii="Arial" w:hAnsi="Arial" w:cs="Arial"/>
        </w:rPr>
        <w:t xml:space="preserve"> (CLT). This framework has strict operational requirements that affect the staffing model </w:t>
      </w:r>
      <w:r w:rsidR="005D2E3C" w:rsidRPr="003F0BBC">
        <w:rPr>
          <w:rFonts w:ascii="Arial" w:hAnsi="Arial" w:cs="Arial"/>
        </w:rPr>
        <w:t>in</w:t>
      </w:r>
      <w:r w:rsidRPr="003F0BBC">
        <w:rPr>
          <w:rFonts w:ascii="Arial" w:hAnsi="Arial" w:cs="Arial"/>
        </w:rPr>
        <w:t xml:space="preserve"> large retail locations, as well as employee benefits and payroll taxes.</w:t>
      </w:r>
    </w:p>
    <w:p w14:paraId="53826885" w14:textId="014BF66E" w:rsidR="00D15952" w:rsidRPr="003F0BBC" w:rsidRDefault="00D15952" w:rsidP="00D15952">
      <w:pPr>
        <w:pStyle w:val="ListParagraph"/>
        <w:numPr>
          <w:ilvl w:val="0"/>
          <w:numId w:val="9"/>
        </w:numPr>
        <w:rPr>
          <w:rFonts w:ascii="Arial" w:hAnsi="Arial" w:cs="Arial"/>
        </w:rPr>
      </w:pPr>
      <w:r w:rsidRPr="003F0BBC">
        <w:rPr>
          <w:rFonts w:ascii="Arial" w:hAnsi="Arial" w:cs="Arial"/>
          <w:b/>
          <w:bCs/>
        </w:rPr>
        <w:t>Rigorous Environmental Standards:</w:t>
      </w:r>
      <w:r w:rsidRPr="003F0BBC">
        <w:rPr>
          <w:rFonts w:ascii="Arial" w:hAnsi="Arial" w:cs="Arial"/>
        </w:rPr>
        <w:t xml:space="preserve"> Large "blue-box" retail development requires careful environmental licensing in the local community and rigorous community impact assessment, which can extend the time schedule for large greenfield projects.</w:t>
      </w:r>
    </w:p>
    <w:p w14:paraId="4CF09F97" w14:textId="7E3618D0" w:rsidR="00D15952" w:rsidRPr="003F0BBC" w:rsidRDefault="00D15952" w:rsidP="00D15952">
      <w:pPr>
        <w:rPr>
          <w:rFonts w:ascii="Arial" w:hAnsi="Arial" w:cs="Arial"/>
        </w:rPr>
      </w:pPr>
      <w:r w:rsidRPr="003F0BBC">
        <w:rPr>
          <w:rFonts w:ascii="Arial" w:hAnsi="Arial" w:cs="Arial"/>
        </w:rPr>
        <w:t xml:space="preserve">The legal environment is </w:t>
      </w:r>
      <w:r w:rsidRPr="003F0BBC">
        <w:rPr>
          <w:rFonts w:ascii="Arial" w:hAnsi="Arial" w:cs="Arial"/>
          <w:b/>
          <w:bCs/>
          <w:i/>
          <w:iCs/>
        </w:rPr>
        <w:t>unfavourable for quick entry</w:t>
      </w:r>
      <w:r w:rsidRPr="003F0BBC">
        <w:rPr>
          <w:rFonts w:ascii="Arial" w:hAnsi="Arial" w:cs="Arial"/>
        </w:rPr>
        <w:t xml:space="preserve"> because of complexity and compliance regulations. </w:t>
      </w:r>
    </w:p>
    <w:p w14:paraId="46274590" w14:textId="2D7BA90E" w:rsidR="00D15952" w:rsidRPr="003F0BBC" w:rsidRDefault="00130255" w:rsidP="00130255">
      <w:pPr>
        <w:pStyle w:val="Heading3"/>
        <w:rPr>
          <w:rFonts w:ascii="Arial" w:hAnsi="Arial" w:cs="Arial"/>
        </w:rPr>
      </w:pPr>
      <w:bookmarkStart w:id="11" w:name="_Toc234686007"/>
      <w:r w:rsidRPr="003F0BBC">
        <w:rPr>
          <w:rFonts w:ascii="Arial" w:hAnsi="Arial" w:cs="Arial"/>
        </w:rPr>
        <w:t xml:space="preserve">2.1.4 </w:t>
      </w:r>
      <w:r w:rsidR="00D15952" w:rsidRPr="003F0BBC">
        <w:rPr>
          <w:rFonts w:ascii="Arial" w:hAnsi="Arial" w:cs="Arial"/>
        </w:rPr>
        <w:t>Cultural Environment</w:t>
      </w:r>
      <w:bookmarkEnd w:id="11"/>
    </w:p>
    <w:p w14:paraId="6BA479C1" w14:textId="76A92564" w:rsidR="00D15952" w:rsidRPr="003F0BBC" w:rsidRDefault="00D15952" w:rsidP="00D15952">
      <w:pPr>
        <w:rPr>
          <w:rFonts w:ascii="Arial" w:hAnsi="Arial" w:cs="Arial"/>
        </w:rPr>
      </w:pPr>
      <w:r w:rsidRPr="003F0BBC">
        <w:rPr>
          <w:rFonts w:ascii="Arial" w:hAnsi="Arial" w:cs="Arial"/>
        </w:rPr>
        <w:t>In Brazil, success at home retailing is greatly determined by cultural influences. The domestic population lives an expressive and very social life, shaping their perception of personal habitats.</w:t>
      </w:r>
      <w:r w:rsidR="00174B71" w:rsidRPr="003F0BBC">
        <w:rPr>
          <w:rFonts w:ascii="Arial" w:hAnsi="Arial" w:cs="Arial"/>
        </w:rPr>
        <w:t xml:space="preserve"> According to </w:t>
      </w:r>
      <w:proofErr w:type="spellStart"/>
      <w:r w:rsidR="00174B71" w:rsidRPr="003F0BBC">
        <w:rPr>
          <w:rFonts w:ascii="Arial" w:hAnsi="Arial" w:cs="Arial"/>
        </w:rPr>
        <w:t>Alenezi</w:t>
      </w:r>
      <w:proofErr w:type="spellEnd"/>
      <w:r w:rsidR="00174B71" w:rsidRPr="003F0BBC">
        <w:rPr>
          <w:rFonts w:ascii="Arial" w:hAnsi="Arial" w:cs="Arial"/>
        </w:rPr>
        <w:t xml:space="preserve"> et al. (2019), IKEA faced </w:t>
      </w:r>
      <w:r w:rsidR="00CB79AD" w:rsidRPr="003F0BBC">
        <w:rPr>
          <w:rFonts w:ascii="Arial" w:hAnsi="Arial" w:cs="Arial"/>
        </w:rPr>
        <w:t xml:space="preserve">a </w:t>
      </w:r>
      <w:r w:rsidR="00174B71" w:rsidRPr="003F0BBC">
        <w:rPr>
          <w:rFonts w:ascii="Arial" w:hAnsi="Arial" w:cs="Arial"/>
        </w:rPr>
        <w:t xml:space="preserve">problem while expanding </w:t>
      </w:r>
      <w:r w:rsidR="00CB79AD" w:rsidRPr="003F0BBC">
        <w:rPr>
          <w:rFonts w:ascii="Arial" w:hAnsi="Arial" w:cs="Arial"/>
        </w:rPr>
        <w:t>its</w:t>
      </w:r>
      <w:r w:rsidR="00174B71" w:rsidRPr="003F0BBC">
        <w:rPr>
          <w:rFonts w:ascii="Arial" w:hAnsi="Arial" w:cs="Arial"/>
        </w:rPr>
        <w:t xml:space="preserve"> markets</w:t>
      </w:r>
      <w:r w:rsidR="00CB79AD" w:rsidRPr="003F0BBC">
        <w:rPr>
          <w:rFonts w:ascii="Arial" w:hAnsi="Arial" w:cs="Arial"/>
        </w:rPr>
        <w:t>, which</w:t>
      </w:r>
      <w:r w:rsidR="00174B71" w:rsidRPr="003F0BBC">
        <w:rPr>
          <w:rFonts w:ascii="Arial" w:hAnsi="Arial" w:cs="Arial"/>
        </w:rPr>
        <w:t xml:space="preserve"> was the understanding of different cultures and needs. </w:t>
      </w:r>
    </w:p>
    <w:p w14:paraId="1FDFD627" w14:textId="5B9924AE" w:rsidR="00D15952" w:rsidRPr="003F0BBC" w:rsidRDefault="00D15952" w:rsidP="00D15952">
      <w:pPr>
        <w:pStyle w:val="ListParagraph"/>
        <w:numPr>
          <w:ilvl w:val="0"/>
          <w:numId w:val="10"/>
        </w:numPr>
        <w:rPr>
          <w:rFonts w:ascii="Arial" w:hAnsi="Arial" w:cs="Arial"/>
        </w:rPr>
      </w:pPr>
      <w:r w:rsidRPr="003F0BBC">
        <w:rPr>
          <w:rFonts w:ascii="Arial" w:hAnsi="Arial" w:cs="Arial"/>
          <w:b/>
          <w:bCs/>
        </w:rPr>
        <w:lastRenderedPageBreak/>
        <w:t>Social Status and the Home:</w:t>
      </w:r>
      <w:r w:rsidRPr="003F0BBC">
        <w:rPr>
          <w:rFonts w:ascii="Arial" w:hAnsi="Arial" w:cs="Arial"/>
        </w:rPr>
        <w:t xml:space="preserve"> The home is traditionally seen as the main hub of the family and social entertainment. Brazilians really pride themselves </w:t>
      </w:r>
      <w:r w:rsidR="008E16C8" w:rsidRPr="003F0BBC">
        <w:rPr>
          <w:rFonts w:ascii="Arial" w:hAnsi="Arial" w:cs="Arial"/>
        </w:rPr>
        <w:t>on</w:t>
      </w:r>
      <w:r w:rsidRPr="003F0BBC">
        <w:rPr>
          <w:rFonts w:ascii="Arial" w:hAnsi="Arial" w:cs="Arial"/>
        </w:rPr>
        <w:t xml:space="preserve"> establishing a cosy, beautiful living room and dining room (Diallo et al, 2019), making it a perfect match for IKEA's dream room setting showrooms.</w:t>
      </w:r>
    </w:p>
    <w:p w14:paraId="2258D10C" w14:textId="40205E67" w:rsidR="00174B71" w:rsidRPr="003F0BBC" w:rsidRDefault="00174B71" w:rsidP="00D15952">
      <w:pPr>
        <w:pStyle w:val="ListParagraph"/>
        <w:numPr>
          <w:ilvl w:val="0"/>
          <w:numId w:val="10"/>
        </w:numPr>
        <w:rPr>
          <w:rFonts w:ascii="Arial" w:hAnsi="Arial" w:cs="Arial"/>
        </w:rPr>
      </w:pPr>
      <w:r w:rsidRPr="003F0BBC">
        <w:rPr>
          <w:rFonts w:ascii="Arial" w:hAnsi="Arial" w:cs="Arial"/>
          <w:b/>
          <w:bCs/>
        </w:rPr>
        <w:t>Family-Oriented Purchasing Behaviour:</w:t>
      </w:r>
      <w:r w:rsidRPr="003F0BBC">
        <w:rPr>
          <w:rFonts w:ascii="Arial" w:hAnsi="Arial" w:cs="Arial"/>
        </w:rPr>
        <w:t xml:space="preserve"> Brazilian consumers are very family-oriented in their purchasing habits, and they tend to live within nuclear families or </w:t>
      </w:r>
      <w:r w:rsidR="00E90AF7" w:rsidRPr="003F0BBC">
        <w:rPr>
          <w:rFonts w:ascii="Arial" w:hAnsi="Arial" w:cs="Arial"/>
        </w:rPr>
        <w:t>in</w:t>
      </w:r>
      <w:r w:rsidRPr="003F0BBC">
        <w:rPr>
          <w:rFonts w:ascii="Arial" w:hAnsi="Arial" w:cs="Arial"/>
        </w:rPr>
        <w:t xml:space="preserve"> close proximity</w:t>
      </w:r>
      <w:r w:rsidR="006212B1" w:rsidRPr="003F0BBC">
        <w:rPr>
          <w:rFonts w:ascii="Arial" w:hAnsi="Arial" w:cs="Arial"/>
        </w:rPr>
        <w:t xml:space="preserve"> (</w:t>
      </w:r>
      <w:proofErr w:type="spellStart"/>
      <w:r w:rsidR="006212B1" w:rsidRPr="003F0BBC">
        <w:rPr>
          <w:rFonts w:ascii="Arial" w:hAnsi="Arial" w:cs="Arial"/>
        </w:rPr>
        <w:t>Braz</w:t>
      </w:r>
      <w:proofErr w:type="spellEnd"/>
      <w:r w:rsidR="006212B1" w:rsidRPr="003F0BBC">
        <w:rPr>
          <w:rFonts w:ascii="Arial" w:hAnsi="Arial" w:cs="Arial"/>
        </w:rPr>
        <w:t xml:space="preserve"> et al., 2023)</w:t>
      </w:r>
      <w:r w:rsidRPr="003F0BBC">
        <w:rPr>
          <w:rFonts w:ascii="Arial" w:hAnsi="Arial" w:cs="Arial"/>
        </w:rPr>
        <w:t>. The purchasing of home goods is seen as a family affair, and durability, comfort for the whole family</w:t>
      </w:r>
      <w:r w:rsidR="00E90AF7" w:rsidRPr="003F0BBC">
        <w:rPr>
          <w:rFonts w:ascii="Arial" w:hAnsi="Arial" w:cs="Arial"/>
        </w:rPr>
        <w:t>,</w:t>
      </w:r>
      <w:r w:rsidRPr="003F0BBC">
        <w:rPr>
          <w:rFonts w:ascii="Arial" w:hAnsi="Arial" w:cs="Arial"/>
        </w:rPr>
        <w:t xml:space="preserve"> and the possibility of modularity are all considered important properties. This cultural shift requires IKEA to carefully select functional and sustainable product configurations suitable for the use of the family in a home over several generations, where a lot of traffic is expected.</w:t>
      </w:r>
    </w:p>
    <w:p w14:paraId="69276584" w14:textId="1CB92E00" w:rsidR="00D15952" w:rsidRPr="003F0BBC" w:rsidRDefault="00D15952" w:rsidP="00D15952">
      <w:pPr>
        <w:pStyle w:val="ListParagraph"/>
        <w:numPr>
          <w:ilvl w:val="0"/>
          <w:numId w:val="10"/>
        </w:numPr>
        <w:rPr>
          <w:rFonts w:ascii="Arial" w:hAnsi="Arial" w:cs="Arial"/>
        </w:rPr>
      </w:pPr>
      <w:r w:rsidRPr="003F0BBC">
        <w:rPr>
          <w:rFonts w:ascii="Arial" w:hAnsi="Arial" w:cs="Arial"/>
          <w:b/>
          <w:bCs/>
        </w:rPr>
        <w:t>Rapid Digital and Payment Acceptance:</w:t>
      </w:r>
      <w:r w:rsidRPr="003F0BBC">
        <w:rPr>
          <w:rFonts w:ascii="Arial" w:hAnsi="Arial" w:cs="Arial"/>
        </w:rPr>
        <w:t xml:space="preserve"> The consumers are very tech-savvy, deeply engaged with Social Commerce and Digital Purchase. Few technologies have changed daily life in Brazil as quickly as </w:t>
      </w:r>
      <w:proofErr w:type="spellStart"/>
      <w:r w:rsidRPr="003F0BBC">
        <w:rPr>
          <w:rFonts w:ascii="Arial" w:hAnsi="Arial" w:cs="Arial"/>
        </w:rPr>
        <w:t>Pix</w:t>
      </w:r>
      <w:proofErr w:type="spellEnd"/>
      <w:r w:rsidRPr="003F0BBC">
        <w:rPr>
          <w:rFonts w:ascii="Arial" w:hAnsi="Arial" w:cs="Arial"/>
        </w:rPr>
        <w:t>. (</w:t>
      </w:r>
      <w:proofErr w:type="spellStart"/>
      <w:r w:rsidRPr="003F0BBC">
        <w:rPr>
          <w:rFonts w:ascii="Arial" w:hAnsi="Arial" w:cs="Arial"/>
        </w:rPr>
        <w:t>Avramovic</w:t>
      </w:r>
      <w:proofErr w:type="spellEnd"/>
      <w:r w:rsidRPr="003F0BBC">
        <w:rPr>
          <w:rFonts w:ascii="Arial" w:hAnsi="Arial" w:cs="Arial"/>
        </w:rPr>
        <w:t xml:space="preserve"> et al., 2025), which must be incorporated seamlessly into IKEA's e-commerce checkout process.</w:t>
      </w:r>
    </w:p>
    <w:p w14:paraId="276E6081" w14:textId="5505FEB0" w:rsidR="00D15952" w:rsidRPr="003F0BBC" w:rsidRDefault="00D15952" w:rsidP="00D15952">
      <w:pPr>
        <w:pStyle w:val="ListParagraph"/>
        <w:numPr>
          <w:ilvl w:val="0"/>
          <w:numId w:val="10"/>
        </w:numPr>
        <w:rPr>
          <w:rFonts w:ascii="Arial" w:hAnsi="Arial" w:cs="Arial"/>
        </w:rPr>
      </w:pPr>
      <w:r w:rsidRPr="003F0BBC">
        <w:rPr>
          <w:rFonts w:ascii="Arial" w:hAnsi="Arial" w:cs="Arial"/>
          <w:b/>
          <w:bCs/>
        </w:rPr>
        <w:t>Pro-Conservation Mindset:</w:t>
      </w:r>
      <w:r w:rsidRPr="003F0BBC">
        <w:rPr>
          <w:rFonts w:ascii="Arial" w:hAnsi="Arial" w:cs="Arial"/>
        </w:rPr>
        <w:t xml:space="preserve"> </w:t>
      </w:r>
      <w:proofErr w:type="spellStart"/>
      <w:r w:rsidR="00CD1EC5" w:rsidRPr="003F0BBC">
        <w:rPr>
          <w:rFonts w:ascii="Arial" w:hAnsi="Arial" w:cs="Arial"/>
        </w:rPr>
        <w:t>Ellwanger</w:t>
      </w:r>
      <w:proofErr w:type="spellEnd"/>
      <w:r w:rsidR="00CD1EC5" w:rsidRPr="003F0BBC">
        <w:rPr>
          <w:rFonts w:ascii="Arial" w:hAnsi="Arial" w:cs="Arial"/>
        </w:rPr>
        <w:t xml:space="preserve"> (2022) argued that Brazilian d</w:t>
      </w:r>
      <w:r w:rsidRPr="003F0BBC">
        <w:rPr>
          <w:rFonts w:ascii="Arial" w:hAnsi="Arial" w:cs="Arial"/>
        </w:rPr>
        <w:t>omestic synergy with ecological sustainability and conservation is steadily growing. More likely</w:t>
      </w:r>
      <w:r w:rsidR="00AB3C9F" w:rsidRPr="003F0BBC">
        <w:rPr>
          <w:rFonts w:ascii="Arial" w:hAnsi="Arial" w:cs="Arial"/>
        </w:rPr>
        <w:t>,</w:t>
      </w:r>
      <w:r w:rsidRPr="003F0BBC">
        <w:rPr>
          <w:rFonts w:ascii="Arial" w:hAnsi="Arial" w:cs="Arial"/>
        </w:rPr>
        <w:t xml:space="preserve"> many urban customers who prefer to shop in an eco-friendly way will have a better perception of IKEA's non-alternative wood sourcing and transparent supply chain.</w:t>
      </w:r>
    </w:p>
    <w:p w14:paraId="50790FC0" w14:textId="04C3F287" w:rsidR="00D15952" w:rsidRPr="003F0BBC" w:rsidRDefault="00D15952" w:rsidP="00D15952">
      <w:pPr>
        <w:rPr>
          <w:rFonts w:ascii="Arial" w:hAnsi="Arial" w:cs="Arial"/>
        </w:rPr>
      </w:pPr>
      <w:r w:rsidRPr="003F0BBC">
        <w:rPr>
          <w:rFonts w:ascii="Arial" w:hAnsi="Arial" w:cs="Arial"/>
        </w:rPr>
        <w:t xml:space="preserve">The cultural environment is </w:t>
      </w:r>
      <w:r w:rsidRPr="003F0BBC">
        <w:rPr>
          <w:rFonts w:ascii="Arial" w:hAnsi="Arial" w:cs="Arial"/>
          <w:b/>
          <w:bCs/>
          <w:i/>
          <w:iCs/>
        </w:rPr>
        <w:t>highly favourable</w:t>
      </w:r>
      <w:r w:rsidRPr="003F0BBC">
        <w:rPr>
          <w:rFonts w:ascii="Arial" w:hAnsi="Arial" w:cs="Arial"/>
        </w:rPr>
        <w:t xml:space="preserve"> for IKEA</w:t>
      </w:r>
      <w:r w:rsidR="00174B71" w:rsidRPr="003F0BBC">
        <w:rPr>
          <w:rFonts w:ascii="Arial" w:hAnsi="Arial" w:cs="Arial"/>
        </w:rPr>
        <w:t>’s market expansion</w:t>
      </w:r>
      <w:r w:rsidRPr="003F0BBC">
        <w:rPr>
          <w:rFonts w:ascii="Arial" w:hAnsi="Arial" w:cs="Arial"/>
        </w:rPr>
        <w:t xml:space="preserve">. </w:t>
      </w:r>
      <w:r w:rsidR="00174B71" w:rsidRPr="003F0BBC">
        <w:rPr>
          <w:rFonts w:ascii="Arial" w:hAnsi="Arial" w:cs="Arial"/>
        </w:rPr>
        <w:t xml:space="preserve"> IKEA is a very family-oriented company, with the belief that children are the most important people and the home is the most important place. Its</w:t>
      </w:r>
      <w:r w:rsidRPr="003F0BBC">
        <w:rPr>
          <w:rFonts w:ascii="Arial" w:hAnsi="Arial" w:cs="Arial"/>
        </w:rPr>
        <w:t xml:space="preserve"> low cost and flexible designs have a strong </w:t>
      </w:r>
      <w:r w:rsidR="00A7712D" w:rsidRPr="003F0BBC">
        <w:rPr>
          <w:rFonts w:ascii="Arial" w:hAnsi="Arial" w:cs="Arial"/>
        </w:rPr>
        <w:t>affinity</w:t>
      </w:r>
      <w:r w:rsidRPr="003F0BBC">
        <w:rPr>
          <w:rFonts w:ascii="Arial" w:hAnsi="Arial" w:cs="Arial"/>
        </w:rPr>
        <w:t xml:space="preserve"> with the Brazilian consumers' values, emphasizing the urban middle classes.</w:t>
      </w:r>
      <w:r w:rsidR="00174B71" w:rsidRPr="003F0BBC">
        <w:rPr>
          <w:rFonts w:ascii="Arial" w:hAnsi="Arial" w:cs="Arial"/>
        </w:rPr>
        <w:t xml:space="preserve"> </w:t>
      </w:r>
    </w:p>
    <w:p w14:paraId="12A85A04" w14:textId="272DCBB1" w:rsidR="00227ED4" w:rsidRPr="003F0BBC" w:rsidRDefault="00227ED4" w:rsidP="00672FDC">
      <w:pPr>
        <w:pStyle w:val="Heading2"/>
        <w:rPr>
          <w:rFonts w:ascii="Arial" w:hAnsi="Arial" w:cs="Arial"/>
        </w:rPr>
      </w:pPr>
      <w:bookmarkStart w:id="12" w:name="_Toc234686008"/>
      <w:r w:rsidRPr="003F0BBC">
        <w:rPr>
          <w:rFonts w:ascii="Arial" w:hAnsi="Arial" w:cs="Arial"/>
        </w:rPr>
        <w:t>2.2 Market Entry</w:t>
      </w:r>
      <w:bookmarkEnd w:id="12"/>
    </w:p>
    <w:p w14:paraId="5F920F30" w14:textId="55EC86C5" w:rsidR="00227ED4" w:rsidRPr="003F0BBC" w:rsidRDefault="00227ED4" w:rsidP="00227ED4">
      <w:pPr>
        <w:rPr>
          <w:rFonts w:ascii="Arial" w:hAnsi="Arial" w:cs="Arial"/>
        </w:rPr>
      </w:pPr>
      <w:r w:rsidRPr="003F0BBC">
        <w:rPr>
          <w:rFonts w:ascii="Arial" w:hAnsi="Arial" w:cs="Arial"/>
        </w:rPr>
        <w:t>They have incorporated the external macro-environmental findings in this section</w:t>
      </w:r>
      <w:r w:rsidR="00A7712D" w:rsidRPr="003F0BBC">
        <w:rPr>
          <w:rFonts w:ascii="Arial" w:hAnsi="Arial" w:cs="Arial"/>
        </w:rPr>
        <w:t>,</w:t>
      </w:r>
      <w:r w:rsidRPr="003F0BBC">
        <w:rPr>
          <w:rFonts w:ascii="Arial" w:hAnsi="Arial" w:cs="Arial"/>
        </w:rPr>
        <w:t xml:space="preserve"> utilizing </w:t>
      </w:r>
      <w:r w:rsidR="00A7712D" w:rsidRPr="003F0BBC">
        <w:rPr>
          <w:rFonts w:ascii="Arial" w:hAnsi="Arial" w:cs="Arial"/>
        </w:rPr>
        <w:t xml:space="preserve">the </w:t>
      </w:r>
      <w:r w:rsidRPr="003F0BBC">
        <w:rPr>
          <w:rFonts w:ascii="Arial" w:hAnsi="Arial" w:cs="Arial"/>
        </w:rPr>
        <w:t>theory of the Eclectic Paradigm by John Dunning. It identifies and separates out ownership, location</w:t>
      </w:r>
      <w:r w:rsidR="00A7712D" w:rsidRPr="003F0BBC">
        <w:rPr>
          <w:rFonts w:ascii="Arial" w:hAnsi="Arial" w:cs="Arial"/>
        </w:rPr>
        <w:t>,</w:t>
      </w:r>
      <w:r w:rsidRPr="003F0BBC">
        <w:rPr>
          <w:rFonts w:ascii="Arial" w:hAnsi="Arial" w:cs="Arial"/>
        </w:rPr>
        <w:t xml:space="preserve"> and internalisation factors, thereby charting how certain operating gains drive changes in domestic requirements in order to figure out how successful market entry occurs.</w:t>
      </w:r>
    </w:p>
    <w:p w14:paraId="4E87633E" w14:textId="5229F952" w:rsidR="00D15952" w:rsidRPr="003F0BBC" w:rsidRDefault="00130255" w:rsidP="00130255">
      <w:pPr>
        <w:pStyle w:val="Heading3"/>
        <w:rPr>
          <w:rFonts w:ascii="Arial" w:hAnsi="Arial" w:cs="Arial"/>
        </w:rPr>
      </w:pPr>
      <w:bookmarkStart w:id="13" w:name="_Toc234686009"/>
      <w:r w:rsidRPr="003F0BBC">
        <w:rPr>
          <w:rFonts w:ascii="Arial" w:hAnsi="Arial" w:cs="Arial"/>
        </w:rPr>
        <w:lastRenderedPageBreak/>
        <w:t xml:space="preserve">2.2.1 </w:t>
      </w:r>
      <w:r w:rsidR="00D15952" w:rsidRPr="003F0BBC">
        <w:rPr>
          <w:rFonts w:ascii="Arial" w:hAnsi="Arial" w:cs="Arial"/>
        </w:rPr>
        <w:t>OLI Analysis (Dunning's Eclectic Paradigm)</w:t>
      </w:r>
      <w:bookmarkEnd w:id="13"/>
    </w:p>
    <w:p w14:paraId="1C45E210" w14:textId="13B8A12C" w:rsidR="00227ED4" w:rsidRPr="003F0BBC" w:rsidRDefault="00D15952" w:rsidP="00227ED4">
      <w:pPr>
        <w:rPr>
          <w:rFonts w:ascii="Arial" w:hAnsi="Arial" w:cs="Arial"/>
        </w:rPr>
      </w:pPr>
      <w:r w:rsidRPr="003F0BBC">
        <w:rPr>
          <w:rFonts w:ascii="Arial" w:hAnsi="Arial" w:cs="Arial"/>
        </w:rPr>
        <w:t>According to Dunning's Eclectic Paradigm (1988), an expanding international firm involves a delicate balancing of three basic benefits to limit risk and generate meaningful market success.</w:t>
      </w:r>
      <w:r w:rsidR="00227ED4" w:rsidRPr="003F0BBC">
        <w:rPr>
          <w:rFonts w:ascii="Arial" w:hAnsi="Arial" w:cs="Arial"/>
        </w:rPr>
        <w:t xml:space="preserve"> Summarizing these benefits </w:t>
      </w:r>
      <w:r w:rsidR="00A7712D" w:rsidRPr="003F0BBC">
        <w:rPr>
          <w:rFonts w:ascii="Arial" w:hAnsi="Arial" w:cs="Arial"/>
        </w:rPr>
        <w:t>singles</w:t>
      </w:r>
      <w:r w:rsidR="00227ED4" w:rsidRPr="003F0BBC">
        <w:rPr>
          <w:rFonts w:ascii="Arial" w:hAnsi="Arial" w:cs="Arial"/>
        </w:rPr>
        <w:t xml:space="preserve"> out certain key elements and </w:t>
      </w:r>
      <w:r w:rsidR="00A7712D" w:rsidRPr="003F0BBC">
        <w:rPr>
          <w:rFonts w:ascii="Arial" w:hAnsi="Arial" w:cs="Arial"/>
        </w:rPr>
        <w:t xml:space="preserve">a </w:t>
      </w:r>
      <w:r w:rsidR="00227ED4" w:rsidRPr="003F0BBC">
        <w:rPr>
          <w:rFonts w:ascii="Arial" w:hAnsi="Arial" w:cs="Arial"/>
        </w:rPr>
        <w:t xml:space="preserve">specific direction in which IKEA's penetration into Brazil is expected to occur.  </w:t>
      </w:r>
    </w:p>
    <w:p w14:paraId="6620765F" w14:textId="667A7768" w:rsidR="00AB3C9F" w:rsidRPr="003F0BBC" w:rsidRDefault="00AB3C9F" w:rsidP="00F64103">
      <w:pPr>
        <w:jc w:val="center"/>
        <w:rPr>
          <w:rFonts w:ascii="Arial" w:hAnsi="Arial" w:cs="Arial"/>
        </w:rPr>
      </w:pPr>
      <w:r w:rsidRPr="003F0BBC">
        <w:rPr>
          <w:rFonts w:ascii="Arial" w:hAnsi="Arial" w:cs="Arial"/>
          <w:noProof/>
        </w:rPr>
        <w:drawing>
          <wp:inline distT="0" distB="0" distL="0" distR="0" wp14:anchorId="0C8E343B" wp14:editId="46EFA637">
            <wp:extent cx="5731510" cy="2506980"/>
            <wp:effectExtent l="0" t="0" r="2540" b="7620"/>
            <wp:docPr id="353582137" name="Picture 3"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lectic Paradigm - Definition, Advantages, Examp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506980"/>
                    </a:xfrm>
                    <a:prstGeom prst="rect">
                      <a:avLst/>
                    </a:prstGeom>
                    <a:noFill/>
                    <a:ln>
                      <a:noFill/>
                    </a:ln>
                  </pic:spPr>
                </pic:pic>
              </a:graphicData>
            </a:graphic>
          </wp:inline>
        </w:drawing>
      </w:r>
    </w:p>
    <w:p w14:paraId="615615A2" w14:textId="29CBDAF7" w:rsidR="00AB3C9F" w:rsidRPr="003F0BBC" w:rsidRDefault="00AB3C9F" w:rsidP="00F64103">
      <w:pPr>
        <w:pStyle w:val="Caption"/>
        <w:jc w:val="center"/>
        <w:rPr>
          <w:rFonts w:ascii="Arial" w:hAnsi="Arial" w:cs="Arial"/>
          <w:i w:val="0"/>
          <w:iCs w:val="0"/>
          <w:color w:val="auto"/>
        </w:rPr>
      </w:pPr>
      <w:r w:rsidRPr="003F0BBC">
        <w:rPr>
          <w:rFonts w:ascii="Arial" w:hAnsi="Arial" w:cs="Arial"/>
          <w:i w:val="0"/>
          <w:iCs w:val="0"/>
          <w:color w:val="auto"/>
        </w:rPr>
        <w:t xml:space="preserve">Figure </w:t>
      </w:r>
      <w:r w:rsidR="00091D73">
        <w:rPr>
          <w:rFonts w:ascii="Arial" w:hAnsi="Arial" w:cs="Arial"/>
          <w:i w:val="0"/>
          <w:iCs w:val="0"/>
          <w:color w:val="auto"/>
        </w:rPr>
        <w:t>6:</w:t>
      </w:r>
      <w:r w:rsidRPr="003F0BBC">
        <w:rPr>
          <w:rFonts w:ascii="Arial" w:hAnsi="Arial" w:cs="Arial"/>
          <w:i w:val="0"/>
          <w:iCs w:val="0"/>
          <w:color w:val="auto"/>
        </w:rPr>
        <w:t xml:space="preserve"> Eclectic Paradigm (OLI Analysis); Source: (CFI, 2022)</w:t>
      </w:r>
    </w:p>
    <w:p w14:paraId="169AC8B4" w14:textId="65C2B4EC" w:rsidR="00227ED4" w:rsidRPr="003F0BBC" w:rsidRDefault="00227ED4" w:rsidP="00227ED4">
      <w:pPr>
        <w:pStyle w:val="ListParagraph"/>
        <w:numPr>
          <w:ilvl w:val="0"/>
          <w:numId w:val="12"/>
        </w:numPr>
        <w:rPr>
          <w:rFonts w:ascii="Arial" w:hAnsi="Arial" w:cs="Arial"/>
        </w:rPr>
      </w:pPr>
      <w:r w:rsidRPr="003F0BBC">
        <w:rPr>
          <w:rFonts w:ascii="Arial" w:hAnsi="Arial" w:cs="Arial"/>
          <w:b/>
          <w:bCs/>
        </w:rPr>
        <w:t>Ownership (O) Advantages:</w:t>
      </w:r>
      <w:r w:rsidRPr="003F0BBC">
        <w:rPr>
          <w:rFonts w:ascii="Arial" w:hAnsi="Arial" w:cs="Arial"/>
        </w:rPr>
        <w:t xml:space="preserve"> </w:t>
      </w:r>
      <w:r w:rsidR="00174B71" w:rsidRPr="003F0BBC">
        <w:rPr>
          <w:rFonts w:ascii="Arial" w:hAnsi="Arial" w:cs="Arial"/>
        </w:rPr>
        <w:t>IKEA is one of the most recognizable home furniture brands worldwide. It</w:t>
      </w:r>
      <w:r w:rsidRPr="003F0BBC">
        <w:rPr>
          <w:rFonts w:ascii="Arial" w:hAnsi="Arial" w:cs="Arial"/>
        </w:rPr>
        <w:t xml:space="preserve"> has a strong </w:t>
      </w:r>
      <w:r w:rsidRPr="003F0BBC">
        <w:rPr>
          <w:rFonts w:ascii="Arial" w:hAnsi="Arial" w:cs="Arial"/>
          <w:b/>
          <w:bCs/>
          <w:i/>
          <w:iCs/>
        </w:rPr>
        <w:t>ownership advantage</w:t>
      </w:r>
      <w:r w:rsidRPr="003F0BBC">
        <w:rPr>
          <w:rFonts w:ascii="Arial" w:hAnsi="Arial" w:cs="Arial"/>
        </w:rPr>
        <w:t xml:space="preserve"> in the form of its brand recognition, its IP on the flat-pack system</w:t>
      </w:r>
      <w:r w:rsidR="00E90AF7" w:rsidRPr="003F0BBC">
        <w:rPr>
          <w:rFonts w:ascii="Arial" w:hAnsi="Arial" w:cs="Arial"/>
        </w:rPr>
        <w:t>,</w:t>
      </w:r>
      <w:r w:rsidRPr="003F0BBC">
        <w:rPr>
          <w:rFonts w:ascii="Arial" w:hAnsi="Arial" w:cs="Arial"/>
        </w:rPr>
        <w:t xml:space="preserve"> and its production and delivery chain blueprints</w:t>
      </w:r>
      <w:r w:rsidR="00174B71" w:rsidRPr="003F0BBC">
        <w:rPr>
          <w:rFonts w:ascii="Arial" w:hAnsi="Arial" w:cs="Arial"/>
        </w:rPr>
        <w:t xml:space="preserve"> (</w:t>
      </w:r>
      <w:proofErr w:type="spellStart"/>
      <w:r w:rsidR="00174B71" w:rsidRPr="003F0BBC">
        <w:rPr>
          <w:rFonts w:ascii="Arial" w:hAnsi="Arial" w:cs="Arial"/>
        </w:rPr>
        <w:t>Alenezi</w:t>
      </w:r>
      <w:proofErr w:type="spellEnd"/>
      <w:r w:rsidR="00174B71" w:rsidRPr="003F0BBC">
        <w:rPr>
          <w:rFonts w:ascii="Arial" w:hAnsi="Arial" w:cs="Arial"/>
        </w:rPr>
        <w:t xml:space="preserve"> et al., 2019)</w:t>
      </w:r>
      <w:r w:rsidRPr="003F0BBC">
        <w:rPr>
          <w:rFonts w:ascii="Arial" w:hAnsi="Arial" w:cs="Arial"/>
        </w:rPr>
        <w:t xml:space="preserve">. The </w:t>
      </w:r>
      <w:r w:rsidRPr="003F0BBC">
        <w:rPr>
          <w:rFonts w:ascii="Arial" w:hAnsi="Arial" w:cs="Arial"/>
          <w:b/>
          <w:bCs/>
          <w:i/>
          <w:iCs/>
        </w:rPr>
        <w:t>unique design approach</w:t>
      </w:r>
      <w:r w:rsidRPr="003F0BBC">
        <w:rPr>
          <w:rFonts w:ascii="Arial" w:hAnsi="Arial" w:cs="Arial"/>
        </w:rPr>
        <w:t xml:space="preserve"> through </w:t>
      </w:r>
      <w:r w:rsidRPr="003F0BBC">
        <w:rPr>
          <w:rFonts w:ascii="Arial" w:hAnsi="Arial" w:cs="Arial"/>
          <w:i/>
          <w:iCs/>
        </w:rPr>
        <w:t xml:space="preserve">“democratic design” </w:t>
      </w:r>
      <w:r w:rsidRPr="003F0BBC">
        <w:rPr>
          <w:rFonts w:ascii="Arial" w:hAnsi="Arial" w:cs="Arial"/>
        </w:rPr>
        <w:t>is well able to achieve a look which manages to strike the right note between form, quality, function, sustainability and low price</w:t>
      </w:r>
      <w:r w:rsidR="00174B71" w:rsidRPr="003F0BBC">
        <w:rPr>
          <w:rFonts w:ascii="Arial" w:hAnsi="Arial" w:cs="Arial"/>
        </w:rPr>
        <w:t xml:space="preserve"> (IKEA, 2025)</w:t>
      </w:r>
      <w:r w:rsidRPr="003F0BBC">
        <w:rPr>
          <w:rFonts w:ascii="Arial" w:hAnsi="Arial" w:cs="Arial"/>
        </w:rPr>
        <w:t>. This scale provides IKEA advantages such as cost-leadership that the local boutique stores cannot match</w:t>
      </w:r>
      <w:r w:rsidR="00E90AF7" w:rsidRPr="003F0BBC">
        <w:rPr>
          <w:rFonts w:ascii="Arial" w:hAnsi="Arial" w:cs="Arial"/>
        </w:rPr>
        <w:t>,</w:t>
      </w:r>
      <w:r w:rsidRPr="003F0BBC">
        <w:rPr>
          <w:rFonts w:ascii="Arial" w:hAnsi="Arial" w:cs="Arial"/>
        </w:rPr>
        <w:t xml:space="preserve"> since the market is price-sensitive. A very </w:t>
      </w:r>
      <w:r w:rsidRPr="003F0BBC">
        <w:rPr>
          <w:rFonts w:ascii="Arial" w:hAnsi="Arial" w:cs="Arial"/>
          <w:b/>
          <w:bCs/>
          <w:i/>
          <w:iCs/>
        </w:rPr>
        <w:t>positive effect</w:t>
      </w:r>
      <w:r w:rsidRPr="003F0BBC">
        <w:rPr>
          <w:rFonts w:ascii="Arial" w:hAnsi="Arial" w:cs="Arial"/>
        </w:rPr>
        <w:t xml:space="preserve"> is exerted by this component. Acting as the key competitive weapon for gaining market share, which it could enjoy because of day one volumes, it is the tool used to edge its way through local price barriers. </w:t>
      </w:r>
    </w:p>
    <w:p w14:paraId="4B12602E" w14:textId="0037F183" w:rsidR="00227ED4" w:rsidRPr="003F0BBC" w:rsidRDefault="00227ED4" w:rsidP="00227ED4">
      <w:pPr>
        <w:pStyle w:val="ListParagraph"/>
        <w:numPr>
          <w:ilvl w:val="0"/>
          <w:numId w:val="12"/>
        </w:numPr>
        <w:rPr>
          <w:rFonts w:ascii="Arial" w:hAnsi="Arial" w:cs="Arial"/>
        </w:rPr>
      </w:pPr>
      <w:r w:rsidRPr="003F0BBC">
        <w:rPr>
          <w:rFonts w:ascii="Arial" w:hAnsi="Arial" w:cs="Arial"/>
          <w:b/>
          <w:bCs/>
        </w:rPr>
        <w:t>Location (L) Advantages:</w:t>
      </w:r>
      <w:r w:rsidRPr="003F0BBC">
        <w:rPr>
          <w:rFonts w:ascii="Arial" w:hAnsi="Arial" w:cs="Arial"/>
        </w:rPr>
        <w:t xml:space="preserve"> </w:t>
      </w:r>
      <w:r w:rsidR="00174B71" w:rsidRPr="003F0BBC">
        <w:rPr>
          <w:rFonts w:ascii="Arial" w:hAnsi="Arial" w:cs="Arial"/>
        </w:rPr>
        <w:t xml:space="preserve">Brazil has distinct </w:t>
      </w:r>
      <w:r w:rsidR="00174B71" w:rsidRPr="003F0BBC">
        <w:rPr>
          <w:rFonts w:ascii="Arial" w:hAnsi="Arial" w:cs="Arial"/>
          <w:b/>
          <w:bCs/>
          <w:i/>
          <w:iCs/>
        </w:rPr>
        <w:t>geographic advantages,</w:t>
      </w:r>
      <w:r w:rsidR="00174B71" w:rsidRPr="003F0BBC">
        <w:rPr>
          <w:rFonts w:ascii="Arial" w:hAnsi="Arial" w:cs="Arial"/>
        </w:rPr>
        <w:t xml:space="preserve"> including an urbanizing middle-class consumer market and a vast timber resource base in the area. </w:t>
      </w:r>
      <w:r w:rsidRPr="003F0BBC">
        <w:rPr>
          <w:rFonts w:ascii="Arial" w:hAnsi="Arial" w:cs="Arial"/>
        </w:rPr>
        <w:t xml:space="preserve"> </w:t>
      </w:r>
      <w:r w:rsidR="00174B71" w:rsidRPr="003F0BBC">
        <w:rPr>
          <w:rFonts w:ascii="Arial" w:hAnsi="Arial" w:cs="Arial"/>
        </w:rPr>
        <w:t>Geographically, Brazil’s location is a strategic gateway to both Latin American and North American markets. </w:t>
      </w:r>
      <w:r w:rsidRPr="003F0BBC">
        <w:rPr>
          <w:rFonts w:ascii="Arial" w:hAnsi="Arial" w:cs="Arial"/>
        </w:rPr>
        <w:t>Instead, IKEA has taken an active step in locating these benefits, for instance</w:t>
      </w:r>
      <w:r w:rsidR="005D2E3C" w:rsidRPr="003F0BBC">
        <w:rPr>
          <w:rFonts w:ascii="Arial" w:hAnsi="Arial" w:cs="Arial"/>
        </w:rPr>
        <w:t>,</w:t>
      </w:r>
      <w:r w:rsidRPr="003F0BBC">
        <w:rPr>
          <w:rFonts w:ascii="Arial" w:hAnsi="Arial" w:cs="Arial"/>
        </w:rPr>
        <w:t xml:space="preserve"> by investing in </w:t>
      </w:r>
      <w:r w:rsidRPr="003F0BBC">
        <w:rPr>
          <w:rFonts w:ascii="Arial" w:hAnsi="Arial" w:cs="Arial"/>
        </w:rPr>
        <w:lastRenderedPageBreak/>
        <w:t>forestry and restoration in the timber-rich Paraná and Santa Catarina states as well as by continuing to develop supplier audits to include more local companies based on IKEA's strict IWAY code of conduct</w:t>
      </w:r>
      <w:r w:rsidR="00174B71" w:rsidRPr="003F0BBC">
        <w:rPr>
          <w:rFonts w:ascii="Arial" w:hAnsi="Arial" w:cs="Arial"/>
        </w:rPr>
        <w:t xml:space="preserve"> (IKEA, 2025)</w:t>
      </w:r>
      <w:r w:rsidRPr="003F0BBC">
        <w:rPr>
          <w:rFonts w:ascii="Arial" w:hAnsi="Arial" w:cs="Arial"/>
        </w:rPr>
        <w:t>. Besides, Brazil's place in the trade bloc Mercosur suggests that there is potential for expansion in the Latin American market</w:t>
      </w:r>
      <w:r w:rsidR="00174B71" w:rsidRPr="003F0BBC">
        <w:rPr>
          <w:rFonts w:ascii="Arial" w:hAnsi="Arial" w:cs="Arial"/>
        </w:rPr>
        <w:t xml:space="preserve"> (</w:t>
      </w:r>
      <w:proofErr w:type="spellStart"/>
      <w:r w:rsidR="00174B71" w:rsidRPr="003F0BBC">
        <w:rPr>
          <w:rFonts w:ascii="Arial" w:hAnsi="Arial" w:cs="Arial"/>
        </w:rPr>
        <w:t>Rumiantsev</w:t>
      </w:r>
      <w:proofErr w:type="spellEnd"/>
      <w:r w:rsidR="00174B71" w:rsidRPr="003F0BBC">
        <w:rPr>
          <w:rFonts w:ascii="Arial" w:hAnsi="Arial" w:cs="Arial"/>
        </w:rPr>
        <w:t xml:space="preserve"> and </w:t>
      </w:r>
      <w:proofErr w:type="spellStart"/>
      <w:r w:rsidR="00174B71" w:rsidRPr="003F0BBC">
        <w:rPr>
          <w:rFonts w:ascii="Arial" w:hAnsi="Arial" w:cs="Arial"/>
        </w:rPr>
        <w:t>Radziyevska</w:t>
      </w:r>
      <w:proofErr w:type="spellEnd"/>
      <w:r w:rsidR="00174B71" w:rsidRPr="003F0BBC">
        <w:rPr>
          <w:rFonts w:ascii="Arial" w:hAnsi="Arial" w:cs="Arial"/>
        </w:rPr>
        <w:t>, 2025)</w:t>
      </w:r>
      <w:r w:rsidRPr="003F0BBC">
        <w:rPr>
          <w:rFonts w:ascii="Arial" w:hAnsi="Arial" w:cs="Arial"/>
        </w:rPr>
        <w:t xml:space="preserve">. This creates a </w:t>
      </w:r>
      <w:r w:rsidRPr="003F0BBC">
        <w:rPr>
          <w:rFonts w:ascii="Arial" w:hAnsi="Arial" w:cs="Arial"/>
          <w:b/>
          <w:bCs/>
          <w:i/>
          <w:iCs/>
        </w:rPr>
        <w:t>positive influence</w:t>
      </w:r>
      <w:r w:rsidRPr="003F0BBC">
        <w:rPr>
          <w:rFonts w:ascii="Arial" w:hAnsi="Arial" w:cs="Arial"/>
        </w:rPr>
        <w:t xml:space="preserve"> that transforms IKEA to an implementation that is self-reliant, with an ecosystem of production closer to the source of the supply. </w:t>
      </w:r>
      <w:r w:rsidR="008E16C8" w:rsidRPr="003F0BBC">
        <w:rPr>
          <w:rFonts w:ascii="Arial" w:hAnsi="Arial" w:cs="Arial"/>
        </w:rPr>
        <w:t xml:space="preserve">Brazil has a highly </w:t>
      </w:r>
      <w:r w:rsidR="008E16C8" w:rsidRPr="003F0BBC">
        <w:rPr>
          <w:rFonts w:ascii="Arial" w:hAnsi="Arial" w:cs="Arial"/>
          <w:b/>
          <w:bCs/>
          <w:i/>
          <w:iCs/>
        </w:rPr>
        <w:t>diverse</w:t>
      </w:r>
      <w:r w:rsidR="00E90AF7" w:rsidRPr="003F0BBC">
        <w:rPr>
          <w:rFonts w:ascii="Arial" w:hAnsi="Arial" w:cs="Arial"/>
          <w:b/>
          <w:bCs/>
          <w:i/>
          <w:iCs/>
        </w:rPr>
        <w:t>,</w:t>
      </w:r>
      <w:r w:rsidR="008E16C8" w:rsidRPr="003F0BBC">
        <w:rPr>
          <w:rFonts w:ascii="Arial" w:hAnsi="Arial" w:cs="Arial"/>
          <w:b/>
          <w:bCs/>
          <w:i/>
          <w:iCs/>
        </w:rPr>
        <w:t xml:space="preserve"> skilled workforce</w:t>
      </w:r>
      <w:r w:rsidR="008E16C8" w:rsidRPr="003F0BBC">
        <w:rPr>
          <w:rFonts w:ascii="Arial" w:hAnsi="Arial" w:cs="Arial"/>
        </w:rPr>
        <w:t xml:space="preserve"> due to laudable investments in education and skill-building</w:t>
      </w:r>
      <w:r w:rsidR="00E90AF7" w:rsidRPr="003F0BBC">
        <w:rPr>
          <w:rFonts w:ascii="Arial" w:hAnsi="Arial" w:cs="Arial"/>
        </w:rPr>
        <w:t>,</w:t>
      </w:r>
      <w:r w:rsidR="008E16C8" w:rsidRPr="003F0BBC">
        <w:rPr>
          <w:rFonts w:ascii="Arial" w:hAnsi="Arial" w:cs="Arial"/>
        </w:rPr>
        <w:t xml:space="preserve"> which is another advantage. </w:t>
      </w:r>
    </w:p>
    <w:p w14:paraId="7077D070" w14:textId="1719BFC5" w:rsidR="008E16C8" w:rsidRPr="003F0BBC" w:rsidRDefault="00227ED4" w:rsidP="008E16C8">
      <w:pPr>
        <w:pStyle w:val="ListParagraph"/>
        <w:numPr>
          <w:ilvl w:val="0"/>
          <w:numId w:val="12"/>
        </w:numPr>
        <w:rPr>
          <w:rFonts w:ascii="Arial" w:hAnsi="Arial" w:cs="Arial"/>
        </w:rPr>
      </w:pPr>
      <w:r w:rsidRPr="003F0BBC">
        <w:rPr>
          <w:rFonts w:ascii="Arial" w:hAnsi="Arial" w:cs="Arial"/>
          <w:b/>
          <w:bCs/>
        </w:rPr>
        <w:t>Internalisation (I) Advantages:</w:t>
      </w:r>
      <w:r w:rsidRPr="003F0BBC">
        <w:rPr>
          <w:rFonts w:ascii="Arial" w:hAnsi="Arial" w:cs="Arial"/>
        </w:rPr>
        <w:t xml:space="preserve"> Brazil's complicated tax systems (ICMS, PIS</w:t>
      </w:r>
      <w:r w:rsidR="00E90AF7" w:rsidRPr="003F0BBC">
        <w:rPr>
          <w:rFonts w:ascii="Arial" w:hAnsi="Arial" w:cs="Arial"/>
        </w:rPr>
        <w:t>,</w:t>
      </w:r>
      <w:r w:rsidRPr="003F0BBC">
        <w:rPr>
          <w:rFonts w:ascii="Arial" w:hAnsi="Arial" w:cs="Arial"/>
        </w:rPr>
        <w:t xml:space="preserve"> and COFINS) and consumer protection codes leave internalisation highly advantageous. </w:t>
      </w:r>
      <w:r w:rsidR="008E16C8" w:rsidRPr="003F0BBC">
        <w:rPr>
          <w:rFonts w:ascii="Arial" w:hAnsi="Arial" w:cs="Arial"/>
        </w:rPr>
        <w:t xml:space="preserve">Instead of </w:t>
      </w:r>
      <w:r w:rsidR="008E16C8" w:rsidRPr="003F0BBC">
        <w:rPr>
          <w:rFonts w:ascii="Arial" w:hAnsi="Arial" w:cs="Arial"/>
          <w:b/>
          <w:bCs/>
          <w:i/>
          <w:iCs/>
        </w:rPr>
        <w:t>licensing the technology</w:t>
      </w:r>
      <w:r w:rsidR="008E16C8" w:rsidRPr="003F0BBC">
        <w:rPr>
          <w:rFonts w:ascii="Arial" w:hAnsi="Arial" w:cs="Arial"/>
        </w:rPr>
        <w:t xml:space="preserve"> or retail rights to locals, IKEA chooses to keep the drive-to-manufacturing connection, </w:t>
      </w:r>
      <w:r w:rsidR="00E90AF7" w:rsidRPr="003F0BBC">
        <w:rPr>
          <w:rFonts w:ascii="Arial" w:hAnsi="Arial" w:cs="Arial"/>
        </w:rPr>
        <w:t>worldwide</w:t>
      </w:r>
      <w:r w:rsidR="008E16C8" w:rsidRPr="003F0BBC">
        <w:rPr>
          <w:rFonts w:ascii="Arial" w:hAnsi="Arial" w:cs="Arial"/>
        </w:rPr>
        <w:t xml:space="preserve"> </w:t>
      </w:r>
      <w:r w:rsidR="008E16C8" w:rsidRPr="003F0BBC">
        <w:rPr>
          <w:rFonts w:ascii="Arial" w:hAnsi="Arial" w:cs="Arial"/>
          <w:b/>
          <w:bCs/>
          <w:i/>
          <w:iCs/>
        </w:rPr>
        <w:t>digital software systems</w:t>
      </w:r>
      <w:r w:rsidR="008E16C8" w:rsidRPr="003F0BBC">
        <w:rPr>
          <w:rFonts w:ascii="Arial" w:hAnsi="Arial" w:cs="Arial"/>
        </w:rPr>
        <w:t xml:space="preserve"> to handle its digital content, and its system of providing the end-to-end </w:t>
      </w:r>
      <w:r w:rsidR="008E16C8" w:rsidRPr="003F0BBC">
        <w:rPr>
          <w:rFonts w:ascii="Arial" w:hAnsi="Arial" w:cs="Arial"/>
          <w:b/>
          <w:bCs/>
          <w:i/>
          <w:iCs/>
        </w:rPr>
        <w:t>customer experience</w:t>
      </w:r>
      <w:r w:rsidR="008E16C8" w:rsidRPr="003F0BBC">
        <w:rPr>
          <w:rFonts w:ascii="Arial" w:hAnsi="Arial" w:cs="Arial"/>
        </w:rPr>
        <w:t xml:space="preserve">. The company limits external inefficiency in a challenging regulatory climate </w:t>
      </w:r>
      <w:r w:rsidR="00E90AF7" w:rsidRPr="003F0BBC">
        <w:rPr>
          <w:rFonts w:ascii="Arial" w:hAnsi="Arial" w:cs="Arial"/>
        </w:rPr>
        <w:t>through</w:t>
      </w:r>
      <w:r w:rsidR="008E16C8" w:rsidRPr="003F0BBC">
        <w:rPr>
          <w:rFonts w:ascii="Arial" w:hAnsi="Arial" w:cs="Arial"/>
        </w:rPr>
        <w:t xml:space="preserve"> these simple operations. Finally, internalization directly reduces the inherent </w:t>
      </w:r>
      <w:r w:rsidR="008E16C8" w:rsidRPr="003F0BBC">
        <w:rPr>
          <w:rFonts w:ascii="Arial" w:hAnsi="Arial" w:cs="Arial"/>
          <w:i/>
          <w:iCs/>
        </w:rPr>
        <w:t>threat of intellectual property,</w:t>
      </w:r>
      <w:r w:rsidR="008E16C8" w:rsidRPr="003F0BBC">
        <w:rPr>
          <w:rFonts w:ascii="Arial" w:hAnsi="Arial" w:cs="Arial"/>
        </w:rPr>
        <w:t xml:space="preserve"> protects proprietary design secrets from </w:t>
      </w:r>
      <w:r w:rsidR="00A40136" w:rsidRPr="003F0BBC">
        <w:rPr>
          <w:rFonts w:ascii="Arial" w:hAnsi="Arial" w:cs="Arial"/>
        </w:rPr>
        <w:t xml:space="preserve">the </w:t>
      </w:r>
      <w:r w:rsidR="008E16C8" w:rsidRPr="003F0BBC">
        <w:rPr>
          <w:rFonts w:ascii="Arial" w:hAnsi="Arial" w:cs="Arial"/>
        </w:rPr>
        <w:t xml:space="preserve">chances </w:t>
      </w:r>
      <w:r w:rsidR="00E90AF7" w:rsidRPr="003F0BBC">
        <w:rPr>
          <w:rFonts w:ascii="Arial" w:hAnsi="Arial" w:cs="Arial"/>
        </w:rPr>
        <w:t>of</w:t>
      </w:r>
      <w:r w:rsidR="008E16C8" w:rsidRPr="003F0BBC">
        <w:rPr>
          <w:rFonts w:ascii="Arial" w:hAnsi="Arial" w:cs="Arial"/>
        </w:rPr>
        <w:t xml:space="preserve"> local copying, helps </w:t>
      </w:r>
      <w:r w:rsidR="008E16C8" w:rsidRPr="003F0BBC">
        <w:rPr>
          <w:rFonts w:ascii="Arial" w:hAnsi="Arial" w:cs="Arial"/>
          <w:i/>
          <w:iCs/>
        </w:rPr>
        <w:t>reduce quality deviations</w:t>
      </w:r>
      <w:r w:rsidR="008E16C8" w:rsidRPr="003F0BBC">
        <w:rPr>
          <w:rFonts w:ascii="Arial" w:hAnsi="Arial" w:cs="Arial"/>
        </w:rPr>
        <w:t xml:space="preserve"> in local furniture production, and completely </w:t>
      </w:r>
      <w:r w:rsidR="008E16C8" w:rsidRPr="003F0BBC">
        <w:rPr>
          <w:rFonts w:ascii="Arial" w:hAnsi="Arial" w:cs="Arial"/>
          <w:i/>
          <w:iCs/>
        </w:rPr>
        <w:t>removes any strategic reliance</w:t>
      </w:r>
      <w:r w:rsidR="008E16C8" w:rsidRPr="003F0BBC">
        <w:rPr>
          <w:rFonts w:ascii="Arial" w:hAnsi="Arial" w:cs="Arial"/>
        </w:rPr>
        <w:t xml:space="preserve"> on partners that may have trouble getting their products registered in the country's complex market. As a result, the OLI approach presents strong support for foreign direct investment as the entry mode for foreigners instead of contractual forms, such as franchising and licensing.</w:t>
      </w:r>
    </w:p>
    <w:p w14:paraId="571851D5" w14:textId="3E4F81E7" w:rsidR="00130255" w:rsidRPr="003F0BBC" w:rsidRDefault="00130255" w:rsidP="00130255">
      <w:pPr>
        <w:pStyle w:val="Heading3"/>
        <w:rPr>
          <w:rFonts w:ascii="Arial" w:hAnsi="Arial" w:cs="Arial"/>
        </w:rPr>
      </w:pPr>
      <w:bookmarkStart w:id="14" w:name="_Toc234686010"/>
      <w:r w:rsidRPr="003F0BBC">
        <w:rPr>
          <w:rFonts w:ascii="Arial" w:hAnsi="Arial" w:cs="Arial"/>
        </w:rPr>
        <w:t>2.2.2 Market Attractiveness Assessment</w:t>
      </w:r>
      <w:bookmarkEnd w:id="14"/>
    </w:p>
    <w:p w14:paraId="030B8AAC" w14:textId="000B57DB" w:rsidR="00227ED4" w:rsidRPr="003F0BBC" w:rsidRDefault="00227ED4" w:rsidP="00227ED4">
      <w:pPr>
        <w:rPr>
          <w:rFonts w:ascii="Arial" w:hAnsi="Arial" w:cs="Arial"/>
        </w:rPr>
      </w:pPr>
      <w:r w:rsidRPr="003F0BBC">
        <w:rPr>
          <w:rFonts w:ascii="Arial" w:hAnsi="Arial" w:cs="Arial"/>
        </w:rPr>
        <w:t xml:space="preserve">Brazil </w:t>
      </w:r>
      <w:r w:rsidR="008E16C8" w:rsidRPr="003F0BBC">
        <w:rPr>
          <w:rFonts w:ascii="Arial" w:hAnsi="Arial" w:cs="Arial"/>
        </w:rPr>
        <w:t>offers</w:t>
      </w:r>
      <w:r w:rsidRPr="003F0BBC">
        <w:rPr>
          <w:rFonts w:ascii="Arial" w:hAnsi="Arial" w:cs="Arial"/>
        </w:rPr>
        <w:t xml:space="preserve"> a </w:t>
      </w:r>
      <w:r w:rsidRPr="003F0BBC">
        <w:rPr>
          <w:rFonts w:ascii="Arial" w:hAnsi="Arial" w:cs="Arial"/>
          <w:b/>
          <w:bCs/>
        </w:rPr>
        <w:t>high potential market</w:t>
      </w:r>
      <w:r w:rsidRPr="003F0BBC">
        <w:rPr>
          <w:rFonts w:ascii="Arial" w:hAnsi="Arial" w:cs="Arial"/>
        </w:rPr>
        <w:t xml:space="preserve"> but a very complex market situation for IKEA. It's high potential because the scale of its consumers is great, the middle class is digitally connected</w:t>
      </w:r>
      <w:r w:rsidR="00E90AF7" w:rsidRPr="003F0BBC">
        <w:rPr>
          <w:rFonts w:ascii="Arial" w:hAnsi="Arial" w:cs="Arial"/>
        </w:rPr>
        <w:t>,</w:t>
      </w:r>
      <w:r w:rsidRPr="003F0BBC">
        <w:rPr>
          <w:rFonts w:ascii="Arial" w:hAnsi="Arial" w:cs="Arial"/>
        </w:rPr>
        <w:t xml:space="preserve"> and home spaces have a cultural pride akin to IKEA's room-setting showroom architecture. It </w:t>
      </w:r>
      <w:r w:rsidR="00E90AF7" w:rsidRPr="003F0BBC">
        <w:rPr>
          <w:rFonts w:ascii="Arial" w:hAnsi="Arial" w:cs="Arial"/>
        </w:rPr>
        <w:t>is also</w:t>
      </w:r>
      <w:r w:rsidRPr="003F0BBC">
        <w:rPr>
          <w:rFonts w:ascii="Arial" w:hAnsi="Arial" w:cs="Arial"/>
        </w:rPr>
        <w:t xml:space="preserve"> very complicated because the region has a notoriously complicated regional tax system, high interest rates</w:t>
      </w:r>
      <w:r w:rsidR="00E90AF7" w:rsidRPr="003F0BBC">
        <w:rPr>
          <w:rFonts w:ascii="Arial" w:hAnsi="Arial" w:cs="Arial"/>
        </w:rPr>
        <w:t>,</w:t>
      </w:r>
      <w:r w:rsidRPr="003F0BBC">
        <w:rPr>
          <w:rFonts w:ascii="Arial" w:hAnsi="Arial" w:cs="Arial"/>
        </w:rPr>
        <w:t xml:space="preserve"> and substantial logistical challenges due to road dependency</w:t>
      </w:r>
      <w:r w:rsidR="00A40136" w:rsidRPr="003F0BBC">
        <w:rPr>
          <w:rFonts w:ascii="Arial" w:hAnsi="Arial" w:cs="Arial"/>
        </w:rPr>
        <w:t>,</w:t>
      </w:r>
      <w:r w:rsidRPr="003F0BBC">
        <w:rPr>
          <w:rFonts w:ascii="Arial" w:hAnsi="Arial" w:cs="Arial"/>
        </w:rPr>
        <w:t xml:space="preserve"> known as </w:t>
      </w:r>
      <w:proofErr w:type="spellStart"/>
      <w:r w:rsidRPr="003F0BBC">
        <w:rPr>
          <w:rFonts w:ascii="Arial" w:hAnsi="Arial" w:cs="Arial"/>
          <w:i/>
          <w:iCs/>
        </w:rPr>
        <w:t>Custo</w:t>
      </w:r>
      <w:proofErr w:type="spellEnd"/>
      <w:r w:rsidRPr="003F0BBC">
        <w:rPr>
          <w:rFonts w:ascii="Arial" w:hAnsi="Arial" w:cs="Arial"/>
          <w:i/>
          <w:iCs/>
        </w:rPr>
        <w:t xml:space="preserve"> </w:t>
      </w:r>
      <w:proofErr w:type="spellStart"/>
      <w:r w:rsidRPr="003F0BBC">
        <w:rPr>
          <w:rFonts w:ascii="Arial" w:hAnsi="Arial" w:cs="Arial"/>
          <w:i/>
          <w:iCs/>
        </w:rPr>
        <w:t>Brasil</w:t>
      </w:r>
      <w:proofErr w:type="spellEnd"/>
      <w:r w:rsidRPr="003F0BBC">
        <w:rPr>
          <w:rFonts w:ascii="Arial" w:hAnsi="Arial" w:cs="Arial"/>
        </w:rPr>
        <w:t xml:space="preserve">, </w:t>
      </w:r>
    </w:p>
    <w:p w14:paraId="29B03BF8" w14:textId="6266F73F" w:rsidR="00D15952" w:rsidRPr="003F0BBC" w:rsidRDefault="00227ED4" w:rsidP="00227ED4">
      <w:pPr>
        <w:rPr>
          <w:rFonts w:ascii="Arial" w:hAnsi="Arial" w:cs="Arial"/>
        </w:rPr>
      </w:pPr>
      <w:r w:rsidRPr="003F0BBC">
        <w:rPr>
          <w:rFonts w:ascii="Arial" w:hAnsi="Arial" w:cs="Arial"/>
        </w:rPr>
        <w:t xml:space="preserve">Brazil is an environment that is </w:t>
      </w:r>
      <w:r w:rsidRPr="003F0BBC">
        <w:rPr>
          <w:rFonts w:ascii="Arial" w:hAnsi="Arial" w:cs="Arial"/>
          <w:b/>
          <w:bCs/>
        </w:rPr>
        <w:t xml:space="preserve">favourable </w:t>
      </w:r>
      <w:r w:rsidRPr="003F0BBC">
        <w:rPr>
          <w:rFonts w:ascii="Arial" w:hAnsi="Arial" w:cs="Arial"/>
        </w:rPr>
        <w:t xml:space="preserve">overall for the IKEA expansion in the long term. The high level of favourability is entirely justified with the clear realisation of </w:t>
      </w:r>
      <w:r w:rsidRPr="003F0BBC">
        <w:rPr>
          <w:rFonts w:ascii="Arial" w:hAnsi="Arial" w:cs="Arial"/>
        </w:rPr>
        <w:lastRenderedPageBreak/>
        <w:t>several long-term trends, which are obviously the government's big green-industrial turnaround or the increased demand for affordable functional furniture</w:t>
      </w:r>
      <w:r w:rsidR="00130255" w:rsidRPr="003F0BBC">
        <w:rPr>
          <w:rFonts w:ascii="Arial" w:hAnsi="Arial" w:cs="Arial"/>
        </w:rPr>
        <w:t>,</w:t>
      </w:r>
      <w:r w:rsidRPr="003F0BBC">
        <w:rPr>
          <w:rFonts w:ascii="Arial" w:hAnsi="Arial" w:cs="Arial"/>
        </w:rPr>
        <w:t xml:space="preserve"> compared to the near-term hurdles. Using John Dunning's OLI framework, IKEA can address these challenges safely by leveraging its ownership advantages and direct operation. With localized production, IKEA will be able to mitigate regulatory risks and carve out the large retail market in Latin America with a staged rollout, starting with a digital e-commerce platform.</w:t>
      </w:r>
    </w:p>
    <w:p w14:paraId="7D99FB66" w14:textId="506AF570" w:rsidR="008E16C8" w:rsidRPr="003F0BBC" w:rsidRDefault="008E16C8" w:rsidP="00A42F12">
      <w:pPr>
        <w:pStyle w:val="Heading1"/>
        <w:rPr>
          <w:rFonts w:ascii="Arial" w:hAnsi="Arial" w:cs="Arial"/>
        </w:rPr>
      </w:pPr>
      <w:bookmarkStart w:id="15" w:name="_Toc234686011"/>
      <w:r w:rsidRPr="003F0BBC">
        <w:rPr>
          <w:rFonts w:ascii="Arial" w:hAnsi="Arial" w:cs="Arial"/>
        </w:rPr>
        <w:t>3. Entry Mode Strategy and Strategic Synthesis</w:t>
      </w:r>
      <w:bookmarkEnd w:id="15"/>
      <w:r w:rsidRPr="003F0BBC">
        <w:rPr>
          <w:rFonts w:ascii="Arial" w:hAnsi="Arial" w:cs="Arial"/>
        </w:rPr>
        <w:t xml:space="preserve"> </w:t>
      </w:r>
    </w:p>
    <w:p w14:paraId="54B71BBC" w14:textId="77777777" w:rsidR="005677D8" w:rsidRPr="003F0BBC" w:rsidRDefault="005677D8" w:rsidP="00512A0E">
      <w:pPr>
        <w:pStyle w:val="Heading2"/>
        <w:rPr>
          <w:rFonts w:ascii="Arial" w:hAnsi="Arial" w:cs="Arial"/>
        </w:rPr>
      </w:pPr>
      <w:bookmarkStart w:id="16" w:name="_Toc234686012"/>
      <w:r w:rsidRPr="003F0BBC">
        <w:rPr>
          <w:rFonts w:ascii="Arial" w:hAnsi="Arial" w:cs="Arial"/>
        </w:rPr>
        <w:t>3.1 Historical Pattern Recognition</w:t>
      </w:r>
      <w:bookmarkEnd w:id="16"/>
    </w:p>
    <w:p w14:paraId="64C59989" w14:textId="550C0613" w:rsidR="005677D8" w:rsidRPr="003F0BBC" w:rsidRDefault="005677D8" w:rsidP="005677D8">
      <w:pPr>
        <w:rPr>
          <w:rFonts w:ascii="Arial" w:hAnsi="Arial" w:cs="Arial"/>
        </w:rPr>
      </w:pPr>
      <w:r w:rsidRPr="003F0BBC">
        <w:rPr>
          <w:rFonts w:ascii="Arial" w:hAnsi="Arial" w:cs="Arial"/>
        </w:rPr>
        <w:t>The analysis of IKEA's institutional entry mode choices for Brazil needs to be focused on the dominant modes of entry that IKEA would use</w:t>
      </w:r>
      <w:r w:rsidR="00E90AF7" w:rsidRPr="003F0BBC">
        <w:rPr>
          <w:rFonts w:ascii="Arial" w:hAnsi="Arial" w:cs="Arial"/>
        </w:rPr>
        <w:t>,</w:t>
      </w:r>
      <w:r w:rsidRPr="003F0BBC">
        <w:rPr>
          <w:rFonts w:ascii="Arial" w:hAnsi="Arial" w:cs="Arial"/>
        </w:rPr>
        <w:t xml:space="preserve"> and not on the sequential order </w:t>
      </w:r>
      <w:r w:rsidR="00E90AF7" w:rsidRPr="003F0BBC">
        <w:rPr>
          <w:rFonts w:ascii="Arial" w:hAnsi="Arial" w:cs="Arial"/>
        </w:rPr>
        <w:t xml:space="preserve">in which </w:t>
      </w:r>
      <w:r w:rsidRPr="003F0BBC">
        <w:rPr>
          <w:rFonts w:ascii="Arial" w:hAnsi="Arial" w:cs="Arial"/>
        </w:rPr>
        <w:t xml:space="preserve">it operates. On a global basis, the company has an intelligent matrix approach to internationalization, in which its presence in overseas markets is divided between the formation of </w:t>
      </w:r>
      <w:r w:rsidRPr="003F0BBC">
        <w:rPr>
          <w:rFonts w:ascii="Arial" w:hAnsi="Arial" w:cs="Arial"/>
          <w:b/>
          <w:bCs/>
          <w:i/>
          <w:iCs/>
        </w:rPr>
        <w:t>Wholly Owned Subsidiaries</w:t>
      </w:r>
      <w:r w:rsidRPr="003F0BBC">
        <w:rPr>
          <w:rFonts w:ascii="Arial" w:hAnsi="Arial" w:cs="Arial"/>
        </w:rPr>
        <w:t xml:space="preserve"> and the creation of a centralized </w:t>
      </w:r>
      <w:r w:rsidRPr="003F0BBC">
        <w:rPr>
          <w:rFonts w:ascii="Arial" w:hAnsi="Arial" w:cs="Arial"/>
          <w:b/>
          <w:bCs/>
          <w:i/>
          <w:iCs/>
        </w:rPr>
        <w:t>Master Franchising system</w:t>
      </w:r>
      <w:r w:rsidRPr="003F0BBC">
        <w:rPr>
          <w:rFonts w:ascii="Arial" w:hAnsi="Arial" w:cs="Arial"/>
        </w:rPr>
        <w:t xml:space="preserve"> (sometimes complemented by </w:t>
      </w:r>
      <w:r w:rsidRPr="003F0BBC">
        <w:rPr>
          <w:rFonts w:ascii="Arial" w:hAnsi="Arial" w:cs="Arial"/>
          <w:b/>
          <w:bCs/>
          <w:i/>
          <w:iCs/>
        </w:rPr>
        <w:t>Strategic Blending</w:t>
      </w:r>
      <w:r w:rsidRPr="003F0BBC">
        <w:rPr>
          <w:rFonts w:ascii="Arial" w:hAnsi="Arial" w:cs="Arial"/>
        </w:rPr>
        <w:t xml:space="preserve">). </w:t>
      </w:r>
    </w:p>
    <w:p w14:paraId="0BA01482" w14:textId="77777777" w:rsidR="005677D8" w:rsidRPr="003F0BBC" w:rsidRDefault="005677D8" w:rsidP="005677D8">
      <w:pPr>
        <w:jc w:val="center"/>
        <w:rPr>
          <w:rFonts w:ascii="Arial" w:hAnsi="Arial" w:cs="Arial"/>
          <w:b/>
          <w:bCs/>
          <w:color w:val="1F497D" w:themeColor="text2"/>
        </w:rPr>
      </w:pPr>
      <w:r w:rsidRPr="003F0BBC">
        <w:rPr>
          <w:rFonts w:ascii="Arial" w:hAnsi="Arial" w:cs="Arial"/>
          <w:b/>
          <w:bCs/>
          <w:color w:val="1F497D" w:themeColor="text2"/>
        </w:rPr>
        <w:t>Wholly Owned Subsidiaries</w:t>
      </w:r>
    </w:p>
    <w:p w14:paraId="173F7CBF" w14:textId="3FD7BB87" w:rsidR="005677D8" w:rsidRPr="003F0BBC" w:rsidRDefault="00E90AF7" w:rsidP="005677D8">
      <w:pPr>
        <w:rPr>
          <w:rFonts w:ascii="Arial" w:hAnsi="Arial" w:cs="Arial"/>
        </w:rPr>
      </w:pPr>
      <w:r w:rsidRPr="003F0BBC">
        <w:rPr>
          <w:rFonts w:ascii="Arial" w:hAnsi="Arial" w:cs="Arial"/>
        </w:rPr>
        <w:t>The absolute</w:t>
      </w:r>
      <w:r w:rsidR="005677D8" w:rsidRPr="003F0BBC">
        <w:rPr>
          <w:rFonts w:ascii="Arial" w:hAnsi="Arial" w:cs="Arial"/>
        </w:rPr>
        <w:t xml:space="preserve"> dominant entry mode that IKEA used was the wholly owned subsidiary setup, owned and managed directly by the corporate arm</w:t>
      </w:r>
      <w:r w:rsidRPr="003F0BBC">
        <w:rPr>
          <w:rFonts w:ascii="Arial" w:hAnsi="Arial" w:cs="Arial"/>
        </w:rPr>
        <w:t>,</w:t>
      </w:r>
      <w:r w:rsidR="005677D8" w:rsidRPr="003F0BBC">
        <w:rPr>
          <w:rFonts w:ascii="Arial" w:hAnsi="Arial" w:cs="Arial"/>
        </w:rPr>
        <w:t xml:space="preserve"> INGKA Holding B.V (IKEA, 2025). It is the FDI approach where the parent company fully controls all aspects of the real property development, manufacturing, and daily retail activities of local firms. </w:t>
      </w:r>
    </w:p>
    <w:p w14:paraId="79A163BB" w14:textId="761C1408" w:rsidR="005677D8" w:rsidRPr="003F0BBC" w:rsidRDefault="005677D8" w:rsidP="005677D8">
      <w:pPr>
        <w:rPr>
          <w:rFonts w:ascii="Arial" w:hAnsi="Arial" w:cs="Arial"/>
        </w:rPr>
      </w:pPr>
      <w:r w:rsidRPr="003F0BBC">
        <w:rPr>
          <w:rFonts w:ascii="Arial" w:hAnsi="Arial" w:cs="Arial"/>
        </w:rPr>
        <w:t xml:space="preserve">IKEA makes extensive use of this commitment mode on </w:t>
      </w:r>
      <w:r w:rsidR="00E90AF7" w:rsidRPr="003F0BBC">
        <w:rPr>
          <w:rFonts w:ascii="Arial" w:hAnsi="Arial" w:cs="Arial"/>
        </w:rPr>
        <w:t>its</w:t>
      </w:r>
      <w:r w:rsidRPr="003F0BBC">
        <w:rPr>
          <w:rFonts w:ascii="Arial" w:hAnsi="Arial" w:cs="Arial"/>
        </w:rPr>
        <w:t xml:space="preserve"> biggest global marketplaces, such as Western Europe, </w:t>
      </w:r>
      <w:r w:rsidR="00E90AF7" w:rsidRPr="003F0BBC">
        <w:rPr>
          <w:rFonts w:ascii="Arial" w:hAnsi="Arial" w:cs="Arial"/>
        </w:rPr>
        <w:t xml:space="preserve">the </w:t>
      </w:r>
      <w:r w:rsidRPr="003F0BBC">
        <w:rPr>
          <w:rFonts w:ascii="Arial" w:hAnsi="Arial" w:cs="Arial"/>
        </w:rPr>
        <w:t>USA, and some equally significant Asian economies such as China and India (</w:t>
      </w:r>
      <w:proofErr w:type="spellStart"/>
      <w:r w:rsidRPr="003F0BBC">
        <w:rPr>
          <w:rFonts w:ascii="Arial" w:hAnsi="Arial" w:cs="Arial"/>
        </w:rPr>
        <w:t>Alenezi</w:t>
      </w:r>
      <w:proofErr w:type="spellEnd"/>
      <w:r w:rsidRPr="003F0BBC">
        <w:rPr>
          <w:rFonts w:ascii="Arial" w:hAnsi="Arial" w:cs="Arial"/>
        </w:rPr>
        <w:t xml:space="preserve"> et al., 2019). </w:t>
      </w:r>
      <w:r w:rsidR="009D064B" w:rsidRPr="003F0BBC">
        <w:rPr>
          <w:rFonts w:ascii="Arial" w:hAnsi="Arial" w:cs="Arial"/>
        </w:rPr>
        <w:t xml:space="preserve">The ultimate goal of subsidiary ownership is to have control over the proprietary digital platforms used by customers, their downstream experience, and vertical value chain management (VCM) cores (Chang, Chung, and Moon, 2013). This sort of structural arrangement achieves what it takes to resolve partner disagreements, encourage proprietary designs, and be able to keep 100% of the local profits. </w:t>
      </w:r>
    </w:p>
    <w:p w14:paraId="3F7BED8D" w14:textId="77777777" w:rsidR="005677D8" w:rsidRPr="003F0BBC" w:rsidRDefault="005677D8" w:rsidP="005677D8">
      <w:pPr>
        <w:jc w:val="center"/>
        <w:rPr>
          <w:rFonts w:ascii="Arial" w:hAnsi="Arial" w:cs="Arial"/>
          <w:b/>
          <w:bCs/>
        </w:rPr>
      </w:pPr>
      <w:r w:rsidRPr="003F0BBC">
        <w:rPr>
          <w:rFonts w:ascii="Arial" w:hAnsi="Arial" w:cs="Arial"/>
          <w:b/>
          <w:bCs/>
        </w:rPr>
        <w:t>Master Franchising</w:t>
      </w:r>
    </w:p>
    <w:p w14:paraId="1055145D" w14:textId="370FDA3E" w:rsidR="005677D8" w:rsidRPr="003F0BBC" w:rsidRDefault="009D064B" w:rsidP="005677D8">
      <w:pPr>
        <w:rPr>
          <w:rFonts w:ascii="Arial" w:hAnsi="Arial" w:cs="Arial"/>
        </w:rPr>
      </w:pPr>
      <w:r w:rsidRPr="003F0BBC">
        <w:rPr>
          <w:rFonts w:ascii="Arial" w:hAnsi="Arial" w:cs="Arial"/>
        </w:rPr>
        <w:lastRenderedPageBreak/>
        <w:t xml:space="preserve">IKEA's Master Franchising strategy is very conservative. They elected not to go where they cannot move or where the market is unlikely to embrace their product and activities. </w:t>
      </w:r>
      <w:r w:rsidR="005677D8" w:rsidRPr="003F0BBC">
        <w:rPr>
          <w:rFonts w:ascii="Arial" w:hAnsi="Arial" w:cs="Arial"/>
        </w:rPr>
        <w:t>The total global business structure, the brand trademark</w:t>
      </w:r>
      <w:r w:rsidR="00E90AF7" w:rsidRPr="003F0BBC">
        <w:rPr>
          <w:rFonts w:ascii="Arial" w:hAnsi="Arial" w:cs="Arial"/>
        </w:rPr>
        <w:t>,</w:t>
      </w:r>
      <w:r w:rsidR="005677D8" w:rsidRPr="003F0BBC">
        <w:rPr>
          <w:rFonts w:ascii="Arial" w:hAnsi="Arial" w:cs="Arial"/>
        </w:rPr>
        <w:t xml:space="preserve"> and </w:t>
      </w:r>
      <w:r w:rsidR="00A40136" w:rsidRPr="003F0BBC">
        <w:rPr>
          <w:rFonts w:ascii="Arial" w:hAnsi="Arial" w:cs="Arial"/>
        </w:rPr>
        <w:t xml:space="preserve">the </w:t>
      </w:r>
      <w:r w:rsidR="005677D8" w:rsidRPr="003F0BBC">
        <w:rPr>
          <w:rFonts w:ascii="Arial" w:hAnsi="Arial" w:cs="Arial"/>
        </w:rPr>
        <w:t xml:space="preserve">operating system </w:t>
      </w:r>
      <w:r w:rsidR="00AB3C9F" w:rsidRPr="003F0BBC">
        <w:rPr>
          <w:rFonts w:ascii="Arial" w:hAnsi="Arial" w:cs="Arial"/>
        </w:rPr>
        <w:t>are</w:t>
      </w:r>
      <w:r w:rsidR="005677D8" w:rsidRPr="003F0BBC">
        <w:rPr>
          <w:rFonts w:ascii="Arial" w:hAnsi="Arial" w:cs="Arial"/>
        </w:rPr>
        <w:t xml:space="preserve"> owned by the master franchisor, Inter IKEA Systems B.V. (IKEA, 2025). </w:t>
      </w:r>
    </w:p>
    <w:p w14:paraId="2AFAFAF8" w14:textId="4FC24EB8" w:rsidR="005677D8" w:rsidRPr="003F0BBC" w:rsidRDefault="005677D8" w:rsidP="005677D8">
      <w:pPr>
        <w:rPr>
          <w:rFonts w:ascii="Arial" w:hAnsi="Arial" w:cs="Arial"/>
        </w:rPr>
      </w:pPr>
      <w:r w:rsidRPr="003F0BBC">
        <w:rPr>
          <w:rFonts w:ascii="Arial" w:hAnsi="Arial" w:cs="Arial"/>
        </w:rPr>
        <w:t xml:space="preserve">In this scheme, independent business units organize themselves into regional businesses, pledging to pay an annual standard rate of 3% of all revenues and investing in all start-up assets in their region. </w:t>
      </w:r>
      <w:proofErr w:type="spellStart"/>
      <w:r w:rsidRPr="003F0BBC">
        <w:rPr>
          <w:rFonts w:ascii="Arial" w:hAnsi="Arial" w:cs="Arial"/>
        </w:rPr>
        <w:t>Alenezi</w:t>
      </w:r>
      <w:proofErr w:type="spellEnd"/>
      <w:r w:rsidRPr="003F0BBC">
        <w:rPr>
          <w:rFonts w:ascii="Arial" w:hAnsi="Arial" w:cs="Arial"/>
        </w:rPr>
        <w:t xml:space="preserve"> et al. (2019) </w:t>
      </w:r>
      <w:r w:rsidR="00E90AF7" w:rsidRPr="003F0BBC">
        <w:rPr>
          <w:rFonts w:ascii="Arial" w:hAnsi="Arial" w:cs="Arial"/>
        </w:rPr>
        <w:t>report</w:t>
      </w:r>
      <w:r w:rsidRPr="003F0BBC">
        <w:rPr>
          <w:rFonts w:ascii="Arial" w:hAnsi="Arial" w:cs="Arial"/>
        </w:rPr>
        <w:t xml:space="preserve"> that this entry mode is used by different regional clusters such as pilot countries in the Middle East (Saudi Arabia, UAE, Kuwait</w:t>
      </w:r>
      <w:r w:rsidR="00E90AF7" w:rsidRPr="003F0BBC">
        <w:rPr>
          <w:rFonts w:ascii="Arial" w:hAnsi="Arial" w:cs="Arial"/>
        </w:rPr>
        <w:t>,</w:t>
      </w:r>
      <w:r w:rsidRPr="003F0BBC">
        <w:rPr>
          <w:rFonts w:ascii="Arial" w:hAnsi="Arial" w:cs="Arial"/>
        </w:rPr>
        <w:t xml:space="preserve"> and Jordan) and parts of Southeast Asia (Indonesia, Malaysia</w:t>
      </w:r>
      <w:r w:rsidR="00E90AF7" w:rsidRPr="003F0BBC">
        <w:rPr>
          <w:rFonts w:ascii="Arial" w:hAnsi="Arial" w:cs="Arial"/>
        </w:rPr>
        <w:t>,</w:t>
      </w:r>
      <w:r w:rsidRPr="003F0BBC">
        <w:rPr>
          <w:rFonts w:ascii="Arial" w:hAnsi="Arial" w:cs="Arial"/>
        </w:rPr>
        <w:t xml:space="preserve"> and </w:t>
      </w:r>
      <w:r w:rsidR="00A40136" w:rsidRPr="003F0BBC">
        <w:rPr>
          <w:rFonts w:ascii="Arial" w:hAnsi="Arial" w:cs="Arial"/>
        </w:rPr>
        <w:t xml:space="preserve">the </w:t>
      </w:r>
      <w:r w:rsidRPr="003F0BBC">
        <w:rPr>
          <w:rFonts w:ascii="Arial" w:hAnsi="Arial" w:cs="Arial"/>
        </w:rPr>
        <w:t xml:space="preserve">Philippines). Master franchising allows for fast market entry and low financial risk due to transferring the full asset burden to the local franchisees and provides high brand replication. </w:t>
      </w:r>
    </w:p>
    <w:p w14:paraId="797AC4FF" w14:textId="77777777" w:rsidR="005677D8" w:rsidRPr="003F0BBC" w:rsidRDefault="005677D8" w:rsidP="005677D8">
      <w:pPr>
        <w:jc w:val="center"/>
        <w:rPr>
          <w:rFonts w:ascii="Arial" w:hAnsi="Arial" w:cs="Arial"/>
          <w:b/>
          <w:bCs/>
          <w:color w:val="1F497D" w:themeColor="text2"/>
        </w:rPr>
      </w:pPr>
      <w:r w:rsidRPr="003F0BBC">
        <w:rPr>
          <w:rFonts w:ascii="Arial" w:hAnsi="Arial" w:cs="Arial"/>
          <w:b/>
          <w:bCs/>
          <w:color w:val="1F497D" w:themeColor="text2"/>
        </w:rPr>
        <w:t>Strategic Blending</w:t>
      </w:r>
    </w:p>
    <w:p w14:paraId="75E460B9" w14:textId="1CDCA422" w:rsidR="005677D8" w:rsidRPr="003F0BBC" w:rsidRDefault="005677D8" w:rsidP="005677D8">
      <w:pPr>
        <w:rPr>
          <w:rFonts w:ascii="Arial" w:hAnsi="Arial" w:cs="Arial"/>
        </w:rPr>
      </w:pPr>
      <w:r w:rsidRPr="003F0BBC">
        <w:rPr>
          <w:rFonts w:ascii="Arial" w:hAnsi="Arial" w:cs="Arial"/>
        </w:rPr>
        <w:t xml:space="preserve">IKEA has a technique for adapting to complex macro environments called Strategic Blending (IKEA, 2025), </w:t>
      </w:r>
      <w:r w:rsidR="00E90AF7" w:rsidRPr="003F0BBC">
        <w:rPr>
          <w:rFonts w:ascii="Arial" w:hAnsi="Arial" w:cs="Arial"/>
        </w:rPr>
        <w:t xml:space="preserve">which </w:t>
      </w:r>
      <w:r w:rsidRPr="003F0BBC">
        <w:rPr>
          <w:rFonts w:ascii="Arial" w:hAnsi="Arial" w:cs="Arial"/>
        </w:rPr>
        <w:t xml:space="preserve">is a mix of direct investments in business and external partnerships with suppliers. In this strategy, the company goes into a country as an upstream procurement and sourcing partner prior to opening stores in these areas (Guo et al., 2024). This particular entry blending operation was used during the expansion in </w:t>
      </w:r>
      <w:r w:rsidR="00E90AF7" w:rsidRPr="003F0BBC">
        <w:rPr>
          <w:rFonts w:ascii="Arial" w:hAnsi="Arial" w:cs="Arial"/>
        </w:rPr>
        <w:t>Eastern</w:t>
      </w:r>
      <w:r w:rsidRPr="003F0BBC">
        <w:rPr>
          <w:rFonts w:ascii="Arial" w:hAnsi="Arial" w:cs="Arial"/>
        </w:rPr>
        <w:t xml:space="preserve"> Europe (Poland) and in Russia. IKEA invests first in establishing direct manufacturing networks and supplier integrations in order to minimise the local production and barrier volatility before launching its retail brand </w:t>
      </w:r>
      <w:r w:rsidR="00E90AF7" w:rsidRPr="003F0BBC">
        <w:rPr>
          <w:rFonts w:ascii="Arial" w:hAnsi="Arial" w:cs="Arial"/>
        </w:rPr>
        <w:t>in</w:t>
      </w:r>
      <w:r w:rsidRPr="003F0BBC">
        <w:rPr>
          <w:rFonts w:ascii="Arial" w:hAnsi="Arial" w:cs="Arial"/>
        </w:rPr>
        <w:t xml:space="preserve"> the country. </w:t>
      </w:r>
    </w:p>
    <w:p w14:paraId="5902A596" w14:textId="7D0E4376" w:rsidR="005677D8" w:rsidRPr="003F0BBC" w:rsidRDefault="005677D8" w:rsidP="005677D8">
      <w:pPr>
        <w:pStyle w:val="Heading2"/>
        <w:rPr>
          <w:rFonts w:ascii="Arial" w:hAnsi="Arial" w:cs="Arial"/>
        </w:rPr>
      </w:pPr>
      <w:bookmarkStart w:id="17" w:name="_Toc234686013"/>
      <w:r w:rsidRPr="003F0BBC">
        <w:rPr>
          <w:rFonts w:ascii="Arial" w:hAnsi="Arial" w:cs="Arial"/>
        </w:rPr>
        <w:t>3.2 Strategic Fit &amp; Justification</w:t>
      </w:r>
      <w:bookmarkEnd w:id="17"/>
    </w:p>
    <w:p w14:paraId="5597433B" w14:textId="2B93C08D" w:rsidR="005677D8" w:rsidRPr="003F0BBC" w:rsidRDefault="005677D8" w:rsidP="005677D8">
      <w:pPr>
        <w:pStyle w:val="Heading3"/>
        <w:rPr>
          <w:rFonts w:ascii="Arial" w:hAnsi="Arial" w:cs="Arial"/>
        </w:rPr>
      </w:pPr>
      <w:bookmarkStart w:id="18" w:name="_Toc234686014"/>
      <w:r w:rsidRPr="003F0BBC">
        <w:rPr>
          <w:rFonts w:ascii="Arial" w:hAnsi="Arial" w:cs="Arial"/>
        </w:rPr>
        <w:t>3.2.1 Suitability for Brazil</w:t>
      </w:r>
      <w:bookmarkEnd w:id="18"/>
    </w:p>
    <w:p w14:paraId="7D14DE4B" w14:textId="77777777" w:rsidR="005677D8" w:rsidRPr="003F0BBC" w:rsidRDefault="005677D8" w:rsidP="005677D8">
      <w:pPr>
        <w:rPr>
          <w:rFonts w:ascii="Arial" w:hAnsi="Arial" w:cs="Arial"/>
        </w:rPr>
      </w:pPr>
      <w:r w:rsidRPr="003F0BBC">
        <w:rPr>
          <w:rFonts w:ascii="Arial" w:hAnsi="Arial" w:cs="Arial"/>
        </w:rPr>
        <w:t xml:space="preserve">In Brazil, the issue of suitability is to weigh the corporate benefits of a </w:t>
      </w:r>
      <w:r w:rsidRPr="003F0BBC">
        <w:rPr>
          <w:rFonts w:ascii="Arial" w:hAnsi="Arial" w:cs="Arial"/>
          <w:b/>
          <w:bCs/>
          <w:i/>
          <w:iCs/>
        </w:rPr>
        <w:t xml:space="preserve">Wholly Owned Greenfield approach </w:t>
      </w:r>
      <w:r w:rsidRPr="003F0BBC">
        <w:rPr>
          <w:rFonts w:ascii="Arial" w:hAnsi="Arial" w:cs="Arial"/>
        </w:rPr>
        <w:t>against the significant operating challenges involved in such a project.</w:t>
      </w:r>
    </w:p>
    <w:p w14:paraId="24A0E04E" w14:textId="77777777" w:rsidR="005677D8" w:rsidRPr="003F0BBC" w:rsidRDefault="005677D8" w:rsidP="005677D8">
      <w:pPr>
        <w:rPr>
          <w:rFonts w:ascii="Arial" w:hAnsi="Arial" w:cs="Arial"/>
          <w:b/>
          <w:bCs/>
        </w:rPr>
      </w:pPr>
      <w:r w:rsidRPr="003F0BBC">
        <w:rPr>
          <w:rFonts w:ascii="Arial" w:hAnsi="Arial" w:cs="Arial"/>
          <w:b/>
          <w:bCs/>
        </w:rPr>
        <w:t>Advantages</w:t>
      </w:r>
    </w:p>
    <w:p w14:paraId="4AC9C9F5" w14:textId="18C66F71" w:rsidR="005677D8" w:rsidRPr="003F0BBC" w:rsidRDefault="005677D8" w:rsidP="005677D8">
      <w:pPr>
        <w:pStyle w:val="ListParagraph"/>
        <w:numPr>
          <w:ilvl w:val="0"/>
          <w:numId w:val="13"/>
        </w:numPr>
        <w:rPr>
          <w:rFonts w:ascii="Arial" w:hAnsi="Arial" w:cs="Arial"/>
        </w:rPr>
      </w:pPr>
      <w:r w:rsidRPr="003F0BBC">
        <w:rPr>
          <w:rFonts w:ascii="Arial" w:hAnsi="Arial" w:cs="Arial"/>
          <w:b/>
          <w:bCs/>
        </w:rPr>
        <w:t>Strategic Control:</w:t>
      </w:r>
      <w:r w:rsidRPr="003F0BBC">
        <w:rPr>
          <w:rFonts w:ascii="Arial" w:hAnsi="Arial" w:cs="Arial"/>
        </w:rPr>
        <w:t xml:space="preserve"> Control of 100% can give IKEA absolute control over its unique corporate secrets, its exclusive digital tracking software, and its intricate ‘democratic design’ value chain (IKEA, 2025). </w:t>
      </w:r>
    </w:p>
    <w:p w14:paraId="3A5589A1" w14:textId="0356B295" w:rsidR="005677D8" w:rsidRPr="003F0BBC" w:rsidRDefault="005677D8" w:rsidP="005677D8">
      <w:pPr>
        <w:pStyle w:val="ListParagraph"/>
        <w:numPr>
          <w:ilvl w:val="0"/>
          <w:numId w:val="13"/>
        </w:numPr>
        <w:rPr>
          <w:rFonts w:ascii="Arial" w:hAnsi="Arial" w:cs="Arial"/>
        </w:rPr>
      </w:pPr>
      <w:r w:rsidRPr="003F0BBC">
        <w:rPr>
          <w:rFonts w:ascii="Arial" w:hAnsi="Arial" w:cs="Arial"/>
          <w:b/>
          <w:bCs/>
        </w:rPr>
        <w:lastRenderedPageBreak/>
        <w:t>Long-Term Commitment:</w:t>
      </w:r>
      <w:r w:rsidRPr="003F0BBC">
        <w:rPr>
          <w:rFonts w:ascii="Arial" w:hAnsi="Arial" w:cs="Arial"/>
        </w:rPr>
        <w:t xml:space="preserve"> This signals economic trust to the Brazilian municipal authorities, facilitating industrial support, the development of green energy and local logistical development.</w:t>
      </w:r>
    </w:p>
    <w:p w14:paraId="7E8DC638" w14:textId="0A392200" w:rsidR="005677D8" w:rsidRPr="003F0BBC" w:rsidRDefault="005677D8" w:rsidP="005677D8">
      <w:pPr>
        <w:pStyle w:val="ListParagraph"/>
        <w:numPr>
          <w:ilvl w:val="0"/>
          <w:numId w:val="13"/>
        </w:numPr>
        <w:rPr>
          <w:rFonts w:ascii="Arial" w:hAnsi="Arial" w:cs="Arial"/>
        </w:rPr>
      </w:pPr>
      <w:r w:rsidRPr="003F0BBC">
        <w:rPr>
          <w:rFonts w:ascii="Arial" w:hAnsi="Arial" w:cs="Arial"/>
          <w:b/>
          <w:bCs/>
        </w:rPr>
        <w:t>Supply Chain Development:</w:t>
      </w:r>
      <w:r w:rsidRPr="003F0BBC">
        <w:rPr>
          <w:rFonts w:ascii="Arial" w:hAnsi="Arial" w:cs="Arial"/>
        </w:rPr>
        <w:t xml:space="preserve"> </w:t>
      </w:r>
      <w:r w:rsidR="00E90AF7" w:rsidRPr="003F0BBC">
        <w:rPr>
          <w:rFonts w:ascii="Arial" w:hAnsi="Arial" w:cs="Arial"/>
        </w:rPr>
        <w:t>Taking</w:t>
      </w:r>
      <w:r w:rsidRPr="003F0BBC">
        <w:rPr>
          <w:rFonts w:ascii="Arial" w:hAnsi="Arial" w:cs="Arial"/>
        </w:rPr>
        <w:t xml:space="preserve"> over ownership means the Inter IKEA Group can continue the good work it has done in Brazil and Europe by negotiating directly with the Portuguese-owned timber operators in Paraná and Santa Catarina, putting IWAY sustainability standards across the entire supply chain (IKEA, 2025).</w:t>
      </w:r>
    </w:p>
    <w:p w14:paraId="1FFA3F4B" w14:textId="77777777" w:rsidR="005677D8" w:rsidRPr="003F0BBC" w:rsidRDefault="005677D8" w:rsidP="005677D8">
      <w:pPr>
        <w:rPr>
          <w:rFonts w:ascii="Arial" w:hAnsi="Arial" w:cs="Arial"/>
          <w:b/>
          <w:bCs/>
        </w:rPr>
      </w:pPr>
      <w:r w:rsidRPr="003F0BBC">
        <w:rPr>
          <w:rFonts w:ascii="Arial" w:hAnsi="Arial" w:cs="Arial"/>
          <w:b/>
          <w:bCs/>
        </w:rPr>
        <w:t>Disadvantages</w:t>
      </w:r>
    </w:p>
    <w:p w14:paraId="5E5AD7EB" w14:textId="699C4195" w:rsidR="005677D8" w:rsidRPr="003F0BBC" w:rsidRDefault="005677D8" w:rsidP="005677D8">
      <w:pPr>
        <w:pStyle w:val="ListParagraph"/>
        <w:numPr>
          <w:ilvl w:val="0"/>
          <w:numId w:val="14"/>
        </w:numPr>
        <w:rPr>
          <w:rFonts w:ascii="Arial" w:hAnsi="Arial" w:cs="Arial"/>
        </w:rPr>
      </w:pPr>
      <w:r w:rsidRPr="003F0BBC">
        <w:rPr>
          <w:rFonts w:ascii="Arial" w:hAnsi="Arial" w:cs="Arial"/>
          <w:b/>
          <w:bCs/>
        </w:rPr>
        <w:t>High Capital Requirements:</w:t>
      </w:r>
      <w:r w:rsidRPr="003F0BBC">
        <w:rPr>
          <w:rFonts w:ascii="Arial" w:hAnsi="Arial" w:cs="Arial"/>
        </w:rPr>
        <w:t xml:space="preserve"> They need </w:t>
      </w:r>
      <w:r w:rsidR="00E90AF7" w:rsidRPr="003F0BBC">
        <w:rPr>
          <w:rFonts w:ascii="Arial" w:hAnsi="Arial" w:cs="Arial"/>
        </w:rPr>
        <w:t xml:space="preserve">a </w:t>
      </w:r>
      <w:r w:rsidRPr="003F0BBC">
        <w:rPr>
          <w:rFonts w:ascii="Arial" w:hAnsi="Arial" w:cs="Arial"/>
        </w:rPr>
        <w:t xml:space="preserve">huge initial capital investment to build a massive warehouse format, which can </w:t>
      </w:r>
      <w:r w:rsidR="00E90AF7" w:rsidRPr="003F0BBC">
        <w:rPr>
          <w:rFonts w:ascii="Arial" w:hAnsi="Arial" w:cs="Arial"/>
        </w:rPr>
        <w:t>make</w:t>
      </w:r>
      <w:r w:rsidRPr="003F0BBC">
        <w:rPr>
          <w:rFonts w:ascii="Arial" w:hAnsi="Arial" w:cs="Arial"/>
        </w:rPr>
        <w:t xml:space="preserve"> the company vulnerable to currency</w:t>
      </w:r>
      <w:r w:rsidR="00E90AF7" w:rsidRPr="003F0BBC">
        <w:rPr>
          <w:rFonts w:ascii="Arial" w:hAnsi="Arial" w:cs="Arial"/>
        </w:rPr>
        <w:t xml:space="preserve"> fluctuations</w:t>
      </w:r>
      <w:r w:rsidRPr="003F0BBC">
        <w:rPr>
          <w:rFonts w:ascii="Arial" w:hAnsi="Arial" w:cs="Arial"/>
        </w:rPr>
        <w:t>.</w:t>
      </w:r>
    </w:p>
    <w:p w14:paraId="5E1A2AA3" w14:textId="2E9BAF9E" w:rsidR="005677D8" w:rsidRPr="003F0BBC" w:rsidRDefault="005677D8" w:rsidP="005677D8">
      <w:pPr>
        <w:pStyle w:val="ListParagraph"/>
        <w:numPr>
          <w:ilvl w:val="0"/>
          <w:numId w:val="14"/>
        </w:numPr>
        <w:rPr>
          <w:rFonts w:ascii="Arial" w:hAnsi="Arial" w:cs="Arial"/>
        </w:rPr>
      </w:pPr>
      <w:r w:rsidRPr="003F0BBC">
        <w:rPr>
          <w:rFonts w:ascii="Arial" w:hAnsi="Arial" w:cs="Arial"/>
          <w:b/>
          <w:bCs/>
        </w:rPr>
        <w:t>Regulatory &amp; Operational Risk:</w:t>
      </w:r>
      <w:r w:rsidRPr="003F0BBC">
        <w:rPr>
          <w:rFonts w:ascii="Arial" w:hAnsi="Arial" w:cs="Arial"/>
        </w:rPr>
        <w:t xml:space="preserve"> With this </w:t>
      </w:r>
      <w:r w:rsidR="00E90AF7" w:rsidRPr="003F0BBC">
        <w:rPr>
          <w:rFonts w:ascii="Arial" w:hAnsi="Arial" w:cs="Arial"/>
        </w:rPr>
        <w:t>greenfield</w:t>
      </w:r>
      <w:r w:rsidRPr="003F0BBC">
        <w:rPr>
          <w:rFonts w:ascii="Arial" w:hAnsi="Arial" w:cs="Arial"/>
        </w:rPr>
        <w:t xml:space="preserve"> project, IKEA is exposed to all of </w:t>
      </w:r>
      <w:r w:rsidR="00E90AF7" w:rsidRPr="003F0BBC">
        <w:rPr>
          <w:rFonts w:ascii="Arial" w:hAnsi="Arial" w:cs="Arial"/>
        </w:rPr>
        <w:t xml:space="preserve">the </w:t>
      </w:r>
      <w:proofErr w:type="spellStart"/>
      <w:r w:rsidRPr="003F0BBC">
        <w:rPr>
          <w:rFonts w:ascii="Arial" w:hAnsi="Arial" w:cs="Arial"/>
          <w:i/>
          <w:iCs/>
        </w:rPr>
        <w:t>Custo</w:t>
      </w:r>
      <w:proofErr w:type="spellEnd"/>
      <w:r w:rsidRPr="003F0BBC">
        <w:rPr>
          <w:rFonts w:ascii="Arial" w:hAnsi="Arial" w:cs="Arial"/>
          <w:i/>
          <w:iCs/>
        </w:rPr>
        <w:t xml:space="preserve"> </w:t>
      </w:r>
      <w:proofErr w:type="spellStart"/>
      <w:r w:rsidRPr="003F0BBC">
        <w:rPr>
          <w:rFonts w:ascii="Arial" w:hAnsi="Arial" w:cs="Arial"/>
          <w:i/>
          <w:iCs/>
        </w:rPr>
        <w:t>Brasil</w:t>
      </w:r>
      <w:proofErr w:type="spellEnd"/>
      <w:r w:rsidRPr="003F0BBC">
        <w:rPr>
          <w:rFonts w:ascii="Arial" w:hAnsi="Arial" w:cs="Arial"/>
        </w:rPr>
        <w:t xml:space="preserve"> barriers. Local environmental licensing processes, State-level trade bureaucracy</w:t>
      </w:r>
      <w:r w:rsidR="00E90AF7" w:rsidRPr="003F0BBC">
        <w:rPr>
          <w:rFonts w:ascii="Arial" w:hAnsi="Arial" w:cs="Arial"/>
        </w:rPr>
        <w:t>,</w:t>
      </w:r>
      <w:r w:rsidRPr="003F0BBC">
        <w:rPr>
          <w:rFonts w:ascii="Arial" w:hAnsi="Arial" w:cs="Arial"/>
        </w:rPr>
        <w:t xml:space="preserve"> and the strict framework of the CLT can cause significant delays in the process. </w:t>
      </w:r>
    </w:p>
    <w:p w14:paraId="2CE28802" w14:textId="5D4007A2" w:rsidR="005677D8" w:rsidRPr="003F0BBC" w:rsidRDefault="005677D8" w:rsidP="005677D8">
      <w:pPr>
        <w:pStyle w:val="ListParagraph"/>
        <w:numPr>
          <w:ilvl w:val="0"/>
          <w:numId w:val="14"/>
        </w:numPr>
        <w:rPr>
          <w:rFonts w:ascii="Arial" w:hAnsi="Arial" w:cs="Arial"/>
        </w:rPr>
      </w:pPr>
      <w:r w:rsidRPr="003F0BBC">
        <w:rPr>
          <w:rFonts w:ascii="Arial" w:hAnsi="Arial" w:cs="Arial"/>
          <w:b/>
          <w:bCs/>
        </w:rPr>
        <w:t>Financial Friction:</w:t>
      </w:r>
      <w:r w:rsidRPr="003F0BBC">
        <w:rPr>
          <w:rFonts w:ascii="Arial" w:hAnsi="Arial" w:cs="Arial"/>
        </w:rPr>
        <w:t xml:space="preserve"> Consumer financing is costly since they enter a market with a benchmark interest rate (</w:t>
      </w:r>
      <w:proofErr w:type="spellStart"/>
      <w:r w:rsidRPr="003F0BBC">
        <w:rPr>
          <w:rFonts w:ascii="Arial" w:hAnsi="Arial" w:cs="Arial"/>
        </w:rPr>
        <w:t>Selic</w:t>
      </w:r>
      <w:proofErr w:type="spellEnd"/>
      <w:r w:rsidRPr="003F0BBC">
        <w:rPr>
          <w:rFonts w:ascii="Arial" w:hAnsi="Arial" w:cs="Arial"/>
        </w:rPr>
        <w:t>) around 14.25%, which diminishes the speed of large purchases of furniture, an essential foothold for the high costs of an enormous destination store.</w:t>
      </w:r>
    </w:p>
    <w:p w14:paraId="09887192" w14:textId="4772EBE1" w:rsidR="005677D8" w:rsidRPr="003F0BBC" w:rsidRDefault="005677D8" w:rsidP="005677D8">
      <w:pPr>
        <w:pStyle w:val="Heading3"/>
        <w:rPr>
          <w:rFonts w:ascii="Arial" w:hAnsi="Arial" w:cs="Arial"/>
        </w:rPr>
      </w:pPr>
      <w:bookmarkStart w:id="19" w:name="_Toc234686015"/>
      <w:r w:rsidRPr="003F0BBC">
        <w:rPr>
          <w:rFonts w:ascii="Arial" w:hAnsi="Arial" w:cs="Arial"/>
        </w:rPr>
        <w:t>3.2.2 Alternative Entry Mode</w:t>
      </w:r>
      <w:bookmarkEnd w:id="19"/>
    </w:p>
    <w:p w14:paraId="5279B465" w14:textId="45B84668" w:rsidR="005677D8" w:rsidRPr="003F0BBC" w:rsidRDefault="005677D8" w:rsidP="005677D8">
      <w:pPr>
        <w:rPr>
          <w:rFonts w:ascii="Arial" w:hAnsi="Arial" w:cs="Arial"/>
        </w:rPr>
      </w:pPr>
      <w:r w:rsidRPr="003F0BBC">
        <w:rPr>
          <w:rFonts w:ascii="Arial" w:hAnsi="Arial" w:cs="Arial"/>
        </w:rPr>
        <w:t xml:space="preserve">Another option that might be considered is a </w:t>
      </w:r>
      <w:r w:rsidRPr="003F0BBC">
        <w:rPr>
          <w:rFonts w:ascii="Arial" w:hAnsi="Arial" w:cs="Arial"/>
          <w:b/>
          <w:bCs/>
          <w:i/>
          <w:iCs/>
        </w:rPr>
        <w:t>Strategic Joint Venture</w:t>
      </w:r>
      <w:r w:rsidRPr="003F0BBC">
        <w:rPr>
          <w:rFonts w:ascii="Arial" w:hAnsi="Arial" w:cs="Arial"/>
        </w:rPr>
        <w:t xml:space="preserve"> or a </w:t>
      </w:r>
      <w:r w:rsidRPr="003F0BBC">
        <w:rPr>
          <w:rFonts w:ascii="Arial" w:hAnsi="Arial" w:cs="Arial"/>
          <w:b/>
          <w:bCs/>
          <w:i/>
          <w:iCs/>
        </w:rPr>
        <w:t>partial acquisition</w:t>
      </w:r>
      <w:r w:rsidRPr="003F0BBC">
        <w:rPr>
          <w:rFonts w:ascii="Arial" w:hAnsi="Arial" w:cs="Arial"/>
        </w:rPr>
        <w:t xml:space="preserve"> of any existing domestic house retailer</w:t>
      </w:r>
      <w:r w:rsidR="00E90AF7" w:rsidRPr="003F0BBC">
        <w:rPr>
          <w:rFonts w:ascii="Arial" w:hAnsi="Arial" w:cs="Arial"/>
        </w:rPr>
        <w:t>,</w:t>
      </w:r>
      <w:r w:rsidRPr="003F0BBC">
        <w:rPr>
          <w:rFonts w:ascii="Arial" w:hAnsi="Arial" w:cs="Arial"/>
        </w:rPr>
        <w:t xml:space="preserve"> such as </w:t>
      </w:r>
      <w:proofErr w:type="spellStart"/>
      <w:r w:rsidRPr="003F0BBC">
        <w:rPr>
          <w:rFonts w:ascii="Arial" w:hAnsi="Arial" w:cs="Arial"/>
        </w:rPr>
        <w:t>Mobly</w:t>
      </w:r>
      <w:proofErr w:type="spellEnd"/>
      <w:r w:rsidRPr="003F0BBC">
        <w:rPr>
          <w:rFonts w:ascii="Arial" w:hAnsi="Arial" w:cs="Arial"/>
        </w:rPr>
        <w:t xml:space="preserve"> or </w:t>
      </w:r>
      <w:proofErr w:type="spellStart"/>
      <w:r w:rsidRPr="003F0BBC">
        <w:rPr>
          <w:rFonts w:ascii="Arial" w:hAnsi="Arial" w:cs="Arial"/>
        </w:rPr>
        <w:t>Tok&amp;Stok</w:t>
      </w:r>
      <w:proofErr w:type="spellEnd"/>
      <w:r w:rsidRPr="003F0BBC">
        <w:rPr>
          <w:rFonts w:ascii="Arial" w:hAnsi="Arial" w:cs="Arial"/>
        </w:rPr>
        <w:t>.</w:t>
      </w:r>
    </w:p>
    <w:p w14:paraId="220A7609" w14:textId="77777777" w:rsidR="005677D8" w:rsidRPr="003F0BBC" w:rsidRDefault="005677D8" w:rsidP="005677D8">
      <w:pPr>
        <w:rPr>
          <w:rFonts w:ascii="Arial" w:hAnsi="Arial" w:cs="Arial"/>
          <w:b/>
          <w:bCs/>
        </w:rPr>
      </w:pPr>
      <w:r w:rsidRPr="003F0BBC">
        <w:rPr>
          <w:rFonts w:ascii="Arial" w:hAnsi="Arial" w:cs="Arial"/>
          <w:b/>
          <w:bCs/>
        </w:rPr>
        <w:t>Advantages</w:t>
      </w:r>
    </w:p>
    <w:p w14:paraId="065F0DF7" w14:textId="77777777" w:rsidR="005677D8" w:rsidRPr="003F0BBC" w:rsidRDefault="005677D8" w:rsidP="005677D8">
      <w:pPr>
        <w:pStyle w:val="ListParagraph"/>
        <w:numPr>
          <w:ilvl w:val="0"/>
          <w:numId w:val="15"/>
        </w:numPr>
        <w:rPr>
          <w:rFonts w:ascii="Arial" w:hAnsi="Arial" w:cs="Arial"/>
        </w:rPr>
      </w:pPr>
      <w:r w:rsidRPr="003F0BBC">
        <w:rPr>
          <w:rFonts w:ascii="Arial" w:hAnsi="Arial" w:cs="Arial"/>
          <w:b/>
          <w:bCs/>
        </w:rPr>
        <w:t>Rapid Market Access:</w:t>
      </w:r>
      <w:r w:rsidRPr="003F0BBC">
        <w:rPr>
          <w:rFonts w:ascii="Arial" w:hAnsi="Arial" w:cs="Arial"/>
        </w:rPr>
        <w:t xml:space="preserve"> With a partnership, IKEA will have access to a market near to their preferences with pre-cleared urban real estate and known operational distribution hubs.</w:t>
      </w:r>
    </w:p>
    <w:p w14:paraId="07A77647" w14:textId="5F76B5AE" w:rsidR="005677D8" w:rsidRPr="003F0BBC" w:rsidRDefault="005677D8" w:rsidP="005677D8">
      <w:pPr>
        <w:pStyle w:val="ListParagraph"/>
        <w:numPr>
          <w:ilvl w:val="0"/>
          <w:numId w:val="15"/>
        </w:numPr>
        <w:rPr>
          <w:rFonts w:ascii="Arial" w:hAnsi="Arial" w:cs="Arial"/>
        </w:rPr>
      </w:pPr>
      <w:r w:rsidRPr="003F0BBC">
        <w:rPr>
          <w:rFonts w:ascii="Arial" w:hAnsi="Arial" w:cs="Arial"/>
          <w:b/>
          <w:bCs/>
        </w:rPr>
        <w:t>Localized Knowledge:</w:t>
      </w:r>
      <w:r w:rsidRPr="003F0BBC">
        <w:rPr>
          <w:rFonts w:ascii="Arial" w:hAnsi="Arial" w:cs="Arial"/>
        </w:rPr>
        <w:t xml:space="preserve"> A local partner that offers on the spot knowledge in the complex Brazilian tax regime (ICMS, PIS, COFINS) (Jefferson, 2026).</w:t>
      </w:r>
    </w:p>
    <w:p w14:paraId="3E714873" w14:textId="77777777" w:rsidR="005677D8" w:rsidRPr="003F0BBC" w:rsidRDefault="005677D8" w:rsidP="005677D8">
      <w:pPr>
        <w:pStyle w:val="ListParagraph"/>
        <w:numPr>
          <w:ilvl w:val="0"/>
          <w:numId w:val="15"/>
        </w:numPr>
        <w:rPr>
          <w:rFonts w:ascii="Arial" w:hAnsi="Arial" w:cs="Arial"/>
        </w:rPr>
      </w:pPr>
      <w:r w:rsidRPr="003F0BBC">
        <w:rPr>
          <w:rFonts w:ascii="Arial" w:hAnsi="Arial" w:cs="Arial"/>
          <w:b/>
          <w:bCs/>
        </w:rPr>
        <w:t>Political Legitimacy:</w:t>
      </w:r>
      <w:r w:rsidRPr="003F0BBC">
        <w:rPr>
          <w:rFonts w:ascii="Arial" w:hAnsi="Arial" w:cs="Arial"/>
        </w:rPr>
        <w:t xml:space="preserve"> Aligning of considerable leeway of all companies facilitates relatively swift regulatory clearances and forestalls regional protectionist opposition.</w:t>
      </w:r>
    </w:p>
    <w:p w14:paraId="1AF548A2" w14:textId="77777777" w:rsidR="005677D8" w:rsidRPr="003F0BBC" w:rsidRDefault="005677D8" w:rsidP="005677D8">
      <w:pPr>
        <w:rPr>
          <w:rFonts w:ascii="Arial" w:hAnsi="Arial" w:cs="Arial"/>
          <w:b/>
          <w:bCs/>
        </w:rPr>
      </w:pPr>
      <w:r w:rsidRPr="003F0BBC">
        <w:rPr>
          <w:rFonts w:ascii="Arial" w:hAnsi="Arial" w:cs="Arial"/>
          <w:b/>
          <w:bCs/>
        </w:rPr>
        <w:lastRenderedPageBreak/>
        <w:t>Disadvantages</w:t>
      </w:r>
    </w:p>
    <w:p w14:paraId="4EF0350F" w14:textId="77777777" w:rsidR="005677D8" w:rsidRPr="003F0BBC" w:rsidRDefault="005677D8" w:rsidP="005677D8">
      <w:pPr>
        <w:pStyle w:val="ListParagraph"/>
        <w:numPr>
          <w:ilvl w:val="0"/>
          <w:numId w:val="16"/>
        </w:numPr>
        <w:rPr>
          <w:rFonts w:ascii="Arial" w:hAnsi="Arial" w:cs="Arial"/>
        </w:rPr>
      </w:pPr>
      <w:r w:rsidRPr="003F0BBC">
        <w:rPr>
          <w:rFonts w:ascii="Arial" w:hAnsi="Arial" w:cs="Arial"/>
          <w:b/>
          <w:bCs/>
        </w:rPr>
        <w:t>Diminished Control:</w:t>
      </w:r>
      <w:r w:rsidRPr="003F0BBC">
        <w:rPr>
          <w:rFonts w:ascii="Arial" w:hAnsi="Arial" w:cs="Arial"/>
        </w:rPr>
        <w:t xml:space="preserve"> Shared ownership can lead to a decrease in control in the company and restrict operational flexibility.</w:t>
      </w:r>
    </w:p>
    <w:p w14:paraId="703061DA" w14:textId="0708A6E8" w:rsidR="005677D8" w:rsidRPr="003F0BBC" w:rsidRDefault="005677D8" w:rsidP="005677D8">
      <w:pPr>
        <w:pStyle w:val="ListParagraph"/>
        <w:numPr>
          <w:ilvl w:val="0"/>
          <w:numId w:val="16"/>
        </w:numPr>
        <w:rPr>
          <w:rFonts w:ascii="Arial" w:hAnsi="Arial" w:cs="Arial"/>
        </w:rPr>
      </w:pPr>
      <w:r w:rsidRPr="003F0BBC">
        <w:rPr>
          <w:rFonts w:ascii="Arial" w:hAnsi="Arial" w:cs="Arial"/>
          <w:b/>
          <w:bCs/>
        </w:rPr>
        <w:t>Potential Intellectual Property Risks:</w:t>
      </w:r>
      <w:r w:rsidRPr="003F0BBC">
        <w:rPr>
          <w:rFonts w:ascii="Arial" w:hAnsi="Arial" w:cs="Arial"/>
        </w:rPr>
        <w:t xml:space="preserve"> When working together, the risk of </w:t>
      </w:r>
      <w:r w:rsidR="00E90AF7" w:rsidRPr="003F0BBC">
        <w:rPr>
          <w:rFonts w:ascii="Arial" w:hAnsi="Arial" w:cs="Arial"/>
        </w:rPr>
        <w:t xml:space="preserve">a </w:t>
      </w:r>
      <w:r w:rsidRPr="003F0BBC">
        <w:rPr>
          <w:rFonts w:ascii="Arial" w:hAnsi="Arial" w:cs="Arial"/>
        </w:rPr>
        <w:t>leak of information, copying of layouts, or some deviation of the "IKEA way" approach is higher.</w:t>
      </w:r>
    </w:p>
    <w:p w14:paraId="0B26ED7F" w14:textId="2727C418" w:rsidR="005677D8" w:rsidRPr="003F0BBC" w:rsidRDefault="005677D8" w:rsidP="005677D8">
      <w:pPr>
        <w:pStyle w:val="ListParagraph"/>
        <w:numPr>
          <w:ilvl w:val="0"/>
          <w:numId w:val="16"/>
        </w:numPr>
        <w:rPr>
          <w:rFonts w:ascii="Arial" w:hAnsi="Arial" w:cs="Arial"/>
        </w:rPr>
      </w:pPr>
      <w:r w:rsidRPr="003F0BBC">
        <w:rPr>
          <w:rFonts w:ascii="Arial" w:hAnsi="Arial" w:cs="Arial"/>
          <w:b/>
          <w:bCs/>
        </w:rPr>
        <w:t>Strategic Conflicts:</w:t>
      </w:r>
      <w:r w:rsidRPr="003F0BBC">
        <w:rPr>
          <w:rFonts w:ascii="Arial" w:hAnsi="Arial" w:cs="Arial"/>
        </w:rPr>
        <w:t xml:space="preserve"> IKEA's operational efficiencies, both in its technology and logistics</w:t>
      </w:r>
      <w:r w:rsidR="00E90AF7" w:rsidRPr="003F0BBC">
        <w:rPr>
          <w:rFonts w:ascii="Arial" w:hAnsi="Arial" w:cs="Arial"/>
        </w:rPr>
        <w:t>,</w:t>
      </w:r>
      <w:r w:rsidRPr="003F0BBC">
        <w:rPr>
          <w:rFonts w:ascii="Arial" w:hAnsi="Arial" w:cs="Arial"/>
        </w:rPr>
        <w:t xml:space="preserve"> and in its very specific retail pathing, and its virtually non-negotiable sustainability codes, put a significant strain on the shared corporate structure.</w:t>
      </w:r>
    </w:p>
    <w:p w14:paraId="6F71DA01" w14:textId="52B19007" w:rsidR="005677D8" w:rsidRPr="003F0BBC" w:rsidRDefault="005677D8" w:rsidP="005677D8">
      <w:pPr>
        <w:pStyle w:val="Heading2"/>
        <w:rPr>
          <w:rFonts w:ascii="Arial" w:hAnsi="Arial" w:cs="Arial"/>
        </w:rPr>
      </w:pPr>
      <w:bookmarkStart w:id="20" w:name="_Toc234686016"/>
      <w:r w:rsidRPr="003F0BBC">
        <w:rPr>
          <w:rFonts w:ascii="Arial" w:hAnsi="Arial" w:cs="Arial"/>
        </w:rPr>
        <w:t>3.3 Recommendation</w:t>
      </w:r>
      <w:bookmarkEnd w:id="20"/>
    </w:p>
    <w:p w14:paraId="7DC55364" w14:textId="0DA60002" w:rsidR="005677D8" w:rsidRPr="003F0BBC" w:rsidRDefault="005677D8" w:rsidP="005677D8">
      <w:pPr>
        <w:rPr>
          <w:rFonts w:ascii="Arial" w:hAnsi="Arial" w:cs="Arial"/>
        </w:rPr>
      </w:pPr>
      <w:r w:rsidRPr="003F0BBC">
        <w:rPr>
          <w:rFonts w:ascii="Arial" w:hAnsi="Arial" w:cs="Arial"/>
        </w:rPr>
        <w:t>This report suggests IKEA should avoid an immediate</w:t>
      </w:r>
      <w:r w:rsidR="00E90AF7" w:rsidRPr="003F0BBC">
        <w:rPr>
          <w:rFonts w:ascii="Arial" w:hAnsi="Arial" w:cs="Arial"/>
        </w:rPr>
        <w:t>,</w:t>
      </w:r>
      <w:r w:rsidRPr="003F0BBC">
        <w:rPr>
          <w:rFonts w:ascii="Arial" w:hAnsi="Arial" w:cs="Arial"/>
        </w:rPr>
        <w:t xml:space="preserve"> highly aggressive</w:t>
      </w:r>
      <w:r w:rsidR="00E90AF7" w:rsidRPr="003F0BBC">
        <w:rPr>
          <w:rFonts w:ascii="Arial" w:hAnsi="Arial" w:cs="Arial"/>
        </w:rPr>
        <w:t>,</w:t>
      </w:r>
      <w:r w:rsidRPr="003F0BBC">
        <w:rPr>
          <w:rFonts w:ascii="Arial" w:hAnsi="Arial" w:cs="Arial"/>
        </w:rPr>
        <w:t xml:space="preserve"> Wholly </w:t>
      </w:r>
      <w:r w:rsidR="00E90AF7" w:rsidRPr="003F0BBC">
        <w:rPr>
          <w:rFonts w:ascii="Arial" w:hAnsi="Arial" w:cs="Arial"/>
        </w:rPr>
        <w:t>Owned</w:t>
      </w:r>
      <w:r w:rsidRPr="003F0BBC">
        <w:rPr>
          <w:rFonts w:ascii="Arial" w:hAnsi="Arial" w:cs="Arial"/>
        </w:rPr>
        <w:t xml:space="preserve"> Greenfield storefront deployment and instead implement a well-thought-out Phased Entry Strategy to enter the Brazilian market ably: </w:t>
      </w:r>
    </w:p>
    <w:p w14:paraId="161D2D6D" w14:textId="72479B99" w:rsidR="005677D8" w:rsidRPr="003F0BBC" w:rsidRDefault="005677D8" w:rsidP="005677D8">
      <w:pPr>
        <w:rPr>
          <w:rFonts w:ascii="Arial" w:hAnsi="Arial" w:cs="Arial"/>
        </w:rPr>
      </w:pPr>
      <w:r w:rsidRPr="003F0BBC">
        <w:rPr>
          <w:rFonts w:ascii="Arial" w:hAnsi="Arial" w:cs="Arial"/>
          <w:b/>
          <w:bCs/>
        </w:rPr>
        <w:t>Phase 1: Digital and Urban Anchor:</w:t>
      </w:r>
      <w:r w:rsidRPr="003F0BBC">
        <w:rPr>
          <w:rFonts w:ascii="Arial" w:hAnsi="Arial" w:cs="Arial"/>
        </w:rPr>
        <w:t xml:space="preserve"> IKEA's expansion should take off through the implementation of e-commerce with high technology and local development, and </w:t>
      </w:r>
      <w:r w:rsidR="00E90AF7" w:rsidRPr="003F0BBC">
        <w:rPr>
          <w:rFonts w:ascii="Arial" w:hAnsi="Arial" w:cs="Arial"/>
        </w:rPr>
        <w:t xml:space="preserve">be </w:t>
      </w:r>
      <w:r w:rsidRPr="003F0BBC">
        <w:rPr>
          <w:rFonts w:ascii="Arial" w:hAnsi="Arial" w:cs="Arial"/>
        </w:rPr>
        <w:t xml:space="preserve">fully interconnected with Brazil's instant digital payment system, named </w:t>
      </w:r>
      <w:r w:rsidRPr="003F0BBC">
        <w:rPr>
          <w:rFonts w:ascii="Arial" w:hAnsi="Arial" w:cs="Arial"/>
          <w:b/>
          <w:bCs/>
          <w:i/>
          <w:iCs/>
        </w:rPr>
        <w:t>'</w:t>
      </w:r>
      <w:proofErr w:type="spellStart"/>
      <w:r w:rsidRPr="003F0BBC">
        <w:rPr>
          <w:rFonts w:ascii="Arial" w:hAnsi="Arial" w:cs="Arial"/>
          <w:b/>
          <w:bCs/>
          <w:i/>
          <w:iCs/>
        </w:rPr>
        <w:t>Pix</w:t>
      </w:r>
      <w:proofErr w:type="spellEnd"/>
      <w:r w:rsidRPr="003F0BBC">
        <w:rPr>
          <w:rFonts w:ascii="Arial" w:hAnsi="Arial" w:cs="Arial"/>
          <w:b/>
          <w:bCs/>
          <w:i/>
          <w:iCs/>
        </w:rPr>
        <w:t xml:space="preserve">'. </w:t>
      </w:r>
      <w:r w:rsidRPr="003F0BBC">
        <w:rPr>
          <w:rFonts w:ascii="Arial" w:hAnsi="Arial" w:cs="Arial"/>
        </w:rPr>
        <w:t xml:space="preserve">Such a move needs to be combined with a real push of fireside </w:t>
      </w:r>
      <w:r w:rsidRPr="003F0BBC">
        <w:rPr>
          <w:rFonts w:ascii="Arial" w:hAnsi="Arial" w:cs="Arial"/>
          <w:i/>
          <w:iCs/>
        </w:rPr>
        <w:t xml:space="preserve">"Planning studios" </w:t>
      </w:r>
      <w:r w:rsidRPr="003F0BBC">
        <w:rPr>
          <w:rFonts w:ascii="Arial" w:hAnsi="Arial" w:cs="Arial"/>
        </w:rPr>
        <w:t>in compact city centres to achieve low-cost brand awareness, collect initial urban consumer data</w:t>
      </w:r>
      <w:r w:rsidR="00E90AF7" w:rsidRPr="003F0BBC">
        <w:rPr>
          <w:rFonts w:ascii="Arial" w:hAnsi="Arial" w:cs="Arial"/>
        </w:rPr>
        <w:t>,</w:t>
      </w:r>
      <w:r w:rsidRPr="003F0BBC">
        <w:rPr>
          <w:rFonts w:ascii="Arial" w:hAnsi="Arial" w:cs="Arial"/>
        </w:rPr>
        <w:t xml:space="preserve"> and reduce the risks of high initial up-front real estate investments.</w:t>
      </w:r>
    </w:p>
    <w:p w14:paraId="2292947D" w14:textId="0A64200C" w:rsidR="009D064B" w:rsidRPr="003F0BBC" w:rsidRDefault="005677D8" w:rsidP="009D064B">
      <w:pPr>
        <w:rPr>
          <w:rFonts w:ascii="Arial" w:hAnsi="Arial" w:cs="Arial"/>
        </w:rPr>
      </w:pPr>
      <w:r w:rsidRPr="003F0BBC">
        <w:rPr>
          <w:rFonts w:ascii="Arial" w:hAnsi="Arial" w:cs="Arial"/>
          <w:b/>
          <w:bCs/>
        </w:rPr>
        <w:t>Phase 2: Supply Chain Localization:</w:t>
      </w:r>
      <w:r w:rsidRPr="003F0BBC">
        <w:rPr>
          <w:rFonts w:ascii="Arial" w:hAnsi="Arial" w:cs="Arial"/>
        </w:rPr>
        <w:t xml:space="preserve"> </w:t>
      </w:r>
      <w:r w:rsidR="009D064B" w:rsidRPr="003F0BBC">
        <w:rPr>
          <w:rFonts w:ascii="Arial" w:hAnsi="Arial" w:cs="Arial"/>
        </w:rPr>
        <w:t>The company must strengthen the concept that companies will bring their wood supply chain to the wood producer, and that companies in the resource states in the South (Santa Catarina and Paraná) will produce finished products. A localised sourcing matrix allows the company to systematically lower high level import duties (Olufemi-Phillips et al., 2024), obtain a wide base of supply in the country that adheres to the IWAY global standards, and lower per-unit production cost before scaling-up.</w:t>
      </w:r>
    </w:p>
    <w:p w14:paraId="7420569A" w14:textId="77777777" w:rsidR="009D064B" w:rsidRPr="003F0BBC" w:rsidRDefault="005677D8" w:rsidP="009D064B">
      <w:pPr>
        <w:rPr>
          <w:rFonts w:ascii="Arial" w:hAnsi="Arial" w:cs="Arial"/>
        </w:rPr>
      </w:pPr>
      <w:r w:rsidRPr="003F0BBC">
        <w:rPr>
          <w:rFonts w:ascii="Arial" w:hAnsi="Arial" w:cs="Arial"/>
          <w:b/>
          <w:bCs/>
        </w:rPr>
        <w:t>Phase 3: Wholly Owned Store Rollout:</w:t>
      </w:r>
      <w:r w:rsidRPr="003F0BBC">
        <w:rPr>
          <w:rFonts w:ascii="Arial" w:hAnsi="Arial" w:cs="Arial"/>
        </w:rPr>
        <w:t xml:space="preserve"> </w:t>
      </w:r>
      <w:r w:rsidR="009D064B" w:rsidRPr="003F0BBC">
        <w:rPr>
          <w:rFonts w:ascii="Arial" w:hAnsi="Arial" w:cs="Arial"/>
        </w:rPr>
        <w:t xml:space="preserve">If conditions at a local level in the region become more stable and IKEA's local supply chain functions well, IKEA can proceed safely to its "destination" warehouses, the giant “blue-box” stores for which the company is famous. INGKA Holding B.V. will have 100% operational control of these major storefronts to guarantee full control of the brand and ensure proper consistency. </w:t>
      </w:r>
    </w:p>
    <w:p w14:paraId="17A74497" w14:textId="77777777" w:rsidR="009D064B" w:rsidRPr="003F0BBC" w:rsidRDefault="009D064B" w:rsidP="009D064B">
      <w:pPr>
        <w:rPr>
          <w:rFonts w:ascii="Arial" w:hAnsi="Arial" w:cs="Arial"/>
        </w:rPr>
      </w:pPr>
      <w:r w:rsidRPr="003F0BBC">
        <w:rPr>
          <w:rFonts w:ascii="Arial" w:hAnsi="Arial" w:cs="Arial"/>
        </w:rPr>
        <w:lastRenderedPageBreak/>
        <w:t>This gradual approach ultimately considers risk reduction while bringing forward long-term strategies. First, it has a low-cost digital footprint in the digital world, namely IKEA, and, it can adequately test its Brazil demand and, simultaneously, cover the exposure of its initial capital.</w:t>
      </w:r>
    </w:p>
    <w:p w14:paraId="5AB34AF6" w14:textId="626D10DB" w:rsidR="00FE4F19" w:rsidRPr="003F0BBC" w:rsidRDefault="00FE4F19" w:rsidP="006C66E0">
      <w:pPr>
        <w:pStyle w:val="Heading1"/>
        <w:rPr>
          <w:rFonts w:ascii="Arial" w:hAnsi="Arial" w:cs="Arial"/>
        </w:rPr>
      </w:pPr>
      <w:bookmarkStart w:id="21" w:name="_Toc234686017"/>
      <w:r w:rsidRPr="003F0BBC">
        <w:rPr>
          <w:rFonts w:ascii="Arial" w:hAnsi="Arial" w:cs="Arial"/>
        </w:rPr>
        <w:t>Conclusion</w:t>
      </w:r>
      <w:bookmarkEnd w:id="21"/>
    </w:p>
    <w:p w14:paraId="2B4FA618" w14:textId="3931E60D" w:rsidR="00FE4F19" w:rsidRPr="003F0BBC" w:rsidRDefault="000F5F57" w:rsidP="00FE4F19">
      <w:pPr>
        <w:rPr>
          <w:rFonts w:ascii="Arial" w:hAnsi="Arial" w:cs="Arial"/>
        </w:rPr>
      </w:pPr>
      <w:r w:rsidRPr="003F0BBC">
        <w:rPr>
          <w:rFonts w:ascii="Arial" w:hAnsi="Arial" w:cs="Arial"/>
        </w:rPr>
        <w:t>The whole analysis reveals that Brazilian market is the best expansion market scenarios for IKEA in the near future</w:t>
      </w:r>
      <w:r w:rsidR="00FE4F19" w:rsidRPr="003F0BBC">
        <w:rPr>
          <w:rFonts w:ascii="Arial" w:hAnsi="Arial" w:cs="Arial"/>
        </w:rPr>
        <w:t>. The tax system, congestion</w:t>
      </w:r>
      <w:r w:rsidR="00A40136" w:rsidRPr="003F0BBC">
        <w:rPr>
          <w:rFonts w:ascii="Arial" w:hAnsi="Arial" w:cs="Arial"/>
        </w:rPr>
        <w:t>,</w:t>
      </w:r>
      <w:r w:rsidR="00FE4F19" w:rsidRPr="003F0BBC">
        <w:rPr>
          <w:rFonts w:ascii="Arial" w:hAnsi="Arial" w:cs="Arial"/>
        </w:rPr>
        <w:t xml:space="preserve"> and elevated interest rates offer significant near-term hurdles in </w:t>
      </w:r>
      <w:proofErr w:type="spellStart"/>
      <w:r w:rsidR="00FE4F19" w:rsidRPr="003F0BBC">
        <w:rPr>
          <w:rFonts w:ascii="Arial" w:hAnsi="Arial" w:cs="Arial"/>
          <w:i/>
          <w:iCs/>
        </w:rPr>
        <w:t>Custo</w:t>
      </w:r>
      <w:proofErr w:type="spellEnd"/>
      <w:r w:rsidR="00FE4F19" w:rsidRPr="003F0BBC">
        <w:rPr>
          <w:rFonts w:ascii="Arial" w:hAnsi="Arial" w:cs="Arial"/>
          <w:i/>
          <w:iCs/>
        </w:rPr>
        <w:t xml:space="preserve"> </w:t>
      </w:r>
      <w:proofErr w:type="spellStart"/>
      <w:r w:rsidR="00FE4F19" w:rsidRPr="003F0BBC">
        <w:rPr>
          <w:rFonts w:ascii="Arial" w:hAnsi="Arial" w:cs="Arial"/>
          <w:i/>
          <w:iCs/>
        </w:rPr>
        <w:t>Brasil</w:t>
      </w:r>
      <w:proofErr w:type="spellEnd"/>
      <w:r w:rsidR="00FE4F19" w:rsidRPr="003F0BBC">
        <w:rPr>
          <w:rFonts w:ascii="Arial" w:hAnsi="Arial" w:cs="Arial"/>
        </w:rPr>
        <w:t>, but a large urban middle class, degree of digitalization</w:t>
      </w:r>
      <w:r w:rsidR="00A40136" w:rsidRPr="003F0BBC">
        <w:rPr>
          <w:rFonts w:ascii="Arial" w:hAnsi="Arial" w:cs="Arial"/>
        </w:rPr>
        <w:t>,</w:t>
      </w:r>
      <w:r w:rsidR="00FE4F19" w:rsidRPr="003F0BBC">
        <w:rPr>
          <w:rFonts w:ascii="Arial" w:hAnsi="Arial" w:cs="Arial"/>
        </w:rPr>
        <w:t xml:space="preserve"> and the propensity to have a family-oriented home life </w:t>
      </w:r>
      <w:r w:rsidR="00A40136" w:rsidRPr="003F0BBC">
        <w:rPr>
          <w:rFonts w:ascii="Arial" w:hAnsi="Arial" w:cs="Arial"/>
        </w:rPr>
        <w:t>are</w:t>
      </w:r>
      <w:r w:rsidR="00FE4F19" w:rsidRPr="003F0BBC">
        <w:rPr>
          <w:rFonts w:ascii="Arial" w:hAnsi="Arial" w:cs="Arial"/>
        </w:rPr>
        <w:t xml:space="preserve"> an enticing growth space. Using a supplier first entry sequence in a digitally driven approach, IKEA can make good use of its core ownership strengths </w:t>
      </w:r>
      <w:r w:rsidR="00A40136" w:rsidRPr="003F0BBC">
        <w:rPr>
          <w:rFonts w:ascii="Arial" w:hAnsi="Arial" w:cs="Arial"/>
        </w:rPr>
        <w:t xml:space="preserve">to </w:t>
      </w:r>
      <w:r w:rsidR="00FE4F19" w:rsidRPr="003F0BBC">
        <w:rPr>
          <w:rFonts w:ascii="Arial" w:hAnsi="Arial" w:cs="Arial"/>
        </w:rPr>
        <w:t xml:space="preserve">beat the domestic competition and open a very profitable, sustainable entry in the largest economy in Latin America. </w:t>
      </w:r>
    </w:p>
    <w:p w14:paraId="210CC703" w14:textId="77777777" w:rsidR="00FE4F19" w:rsidRPr="003F0BBC" w:rsidRDefault="00FE4F19" w:rsidP="006C66E0">
      <w:pPr>
        <w:pStyle w:val="Heading1"/>
        <w:rPr>
          <w:rFonts w:ascii="Arial" w:hAnsi="Arial" w:cs="Arial"/>
        </w:rPr>
      </w:pPr>
      <w:bookmarkStart w:id="22" w:name="_Toc234686018"/>
      <w:r w:rsidRPr="003F0BBC">
        <w:rPr>
          <w:rFonts w:ascii="Arial" w:hAnsi="Arial" w:cs="Arial"/>
        </w:rPr>
        <w:t>Section 2: Reflective Account</w:t>
      </w:r>
      <w:bookmarkEnd w:id="22"/>
    </w:p>
    <w:p w14:paraId="61363BFB" w14:textId="7927162D" w:rsidR="00FE4F19" w:rsidRPr="003F0BBC" w:rsidRDefault="00FE4F19" w:rsidP="00FE4F19">
      <w:pPr>
        <w:rPr>
          <w:rFonts w:ascii="Arial" w:hAnsi="Arial" w:cs="Arial"/>
        </w:rPr>
      </w:pPr>
      <w:r w:rsidRPr="003F0BBC">
        <w:rPr>
          <w:rFonts w:ascii="Arial" w:hAnsi="Arial" w:cs="Arial"/>
        </w:rPr>
        <w:t>This reflective account uses Gibbs reflective Cycle</w:t>
      </w:r>
      <w:r w:rsidR="00A40136" w:rsidRPr="003F0BBC">
        <w:rPr>
          <w:rFonts w:ascii="Arial" w:hAnsi="Arial" w:cs="Arial"/>
        </w:rPr>
        <w:t xml:space="preserve"> (1998)</w:t>
      </w:r>
      <w:r w:rsidRPr="003F0BBC">
        <w:rPr>
          <w:rFonts w:ascii="Arial" w:hAnsi="Arial" w:cs="Arial"/>
        </w:rPr>
        <w:t xml:space="preserve"> to critically analyse the </w:t>
      </w:r>
      <w:r w:rsidR="00E90AF7" w:rsidRPr="003F0BBC">
        <w:rPr>
          <w:rFonts w:ascii="Arial" w:hAnsi="Arial" w:cs="Arial"/>
        </w:rPr>
        <w:t>research</w:t>
      </w:r>
      <w:r w:rsidR="0065225B" w:rsidRPr="003F0BBC">
        <w:rPr>
          <w:rFonts w:ascii="Arial" w:hAnsi="Arial" w:cs="Arial"/>
        </w:rPr>
        <w:t xml:space="preserve">’s </w:t>
      </w:r>
      <w:r w:rsidRPr="003F0BBC">
        <w:rPr>
          <w:rFonts w:ascii="Arial" w:hAnsi="Arial" w:cs="Arial"/>
        </w:rPr>
        <w:t>analytical and developmental process used throughout this assignment.</w:t>
      </w:r>
    </w:p>
    <w:p w14:paraId="32A23932" w14:textId="1DEC3BD8" w:rsidR="00F64103" w:rsidRPr="003F0BBC" w:rsidRDefault="00F64103" w:rsidP="00F64103">
      <w:pPr>
        <w:jc w:val="center"/>
        <w:rPr>
          <w:rFonts w:ascii="Arial" w:hAnsi="Arial" w:cs="Arial"/>
        </w:rPr>
      </w:pPr>
      <w:r w:rsidRPr="003F0BBC">
        <w:rPr>
          <w:rFonts w:ascii="Arial" w:hAnsi="Arial" w:cs="Arial"/>
          <w:noProof/>
        </w:rPr>
        <w:drawing>
          <wp:inline distT="0" distB="0" distL="0" distR="0" wp14:anchorId="28C1A4BE" wp14:editId="1CBEF945">
            <wp:extent cx="4238045" cy="3959140"/>
            <wp:effectExtent l="0" t="0" r="0" b="3810"/>
            <wp:docPr id="1726844655" name="Picture 5" descr="Gibbs' reflective cycle, adopted from Husebø et al. (201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adopted from Husebø et al. (2013)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43159" cy="3963918"/>
                    </a:xfrm>
                    <a:prstGeom prst="rect">
                      <a:avLst/>
                    </a:prstGeom>
                    <a:noFill/>
                    <a:ln>
                      <a:noFill/>
                    </a:ln>
                  </pic:spPr>
                </pic:pic>
              </a:graphicData>
            </a:graphic>
          </wp:inline>
        </w:drawing>
      </w:r>
    </w:p>
    <w:p w14:paraId="39A6A0D9" w14:textId="4C434986" w:rsidR="00F64103" w:rsidRPr="003F0BBC" w:rsidRDefault="00F64103" w:rsidP="00F64103">
      <w:pPr>
        <w:pStyle w:val="Caption"/>
        <w:jc w:val="center"/>
        <w:rPr>
          <w:rFonts w:ascii="Arial" w:hAnsi="Arial" w:cs="Arial"/>
          <w:i w:val="0"/>
          <w:iCs w:val="0"/>
          <w:color w:val="auto"/>
        </w:rPr>
      </w:pPr>
      <w:r w:rsidRPr="003F0BBC">
        <w:rPr>
          <w:rFonts w:ascii="Arial" w:hAnsi="Arial" w:cs="Arial"/>
          <w:i w:val="0"/>
          <w:iCs w:val="0"/>
          <w:color w:val="auto"/>
        </w:rPr>
        <w:lastRenderedPageBreak/>
        <w:t xml:space="preserve">Figure </w:t>
      </w:r>
      <w:r w:rsidR="00091D73">
        <w:rPr>
          <w:rFonts w:ascii="Arial" w:hAnsi="Arial" w:cs="Arial"/>
          <w:i w:val="0"/>
          <w:iCs w:val="0"/>
          <w:color w:val="auto"/>
        </w:rPr>
        <w:t>7:</w:t>
      </w:r>
      <w:r w:rsidRPr="003F0BBC">
        <w:rPr>
          <w:rFonts w:ascii="Arial" w:hAnsi="Arial" w:cs="Arial"/>
          <w:i w:val="0"/>
          <w:iCs w:val="0"/>
          <w:color w:val="auto"/>
        </w:rPr>
        <w:t xml:space="preserve"> Gibbs’ reflective cycle; Adopted from </w:t>
      </w:r>
      <w:proofErr w:type="spellStart"/>
      <w:r w:rsidRPr="003F0BBC">
        <w:rPr>
          <w:rFonts w:ascii="Arial" w:hAnsi="Arial" w:cs="Arial"/>
          <w:i w:val="0"/>
          <w:iCs w:val="0"/>
          <w:color w:val="auto"/>
        </w:rPr>
        <w:t>Sellberg</w:t>
      </w:r>
      <w:proofErr w:type="spellEnd"/>
      <w:r w:rsidRPr="003F0BBC">
        <w:rPr>
          <w:rFonts w:ascii="Arial" w:hAnsi="Arial" w:cs="Arial"/>
          <w:i w:val="0"/>
          <w:iCs w:val="0"/>
          <w:color w:val="auto"/>
        </w:rPr>
        <w:t xml:space="preserve"> and Wiig (2020)</w:t>
      </w:r>
    </w:p>
    <w:p w14:paraId="78A7FD66" w14:textId="77777777" w:rsidR="00FE4F19" w:rsidRPr="003F0BBC" w:rsidRDefault="00FE4F19" w:rsidP="00FE4F19">
      <w:pPr>
        <w:rPr>
          <w:rFonts w:ascii="Arial" w:hAnsi="Arial" w:cs="Arial"/>
          <w:b/>
          <w:bCs/>
        </w:rPr>
      </w:pPr>
      <w:r w:rsidRPr="003F0BBC">
        <w:rPr>
          <w:rFonts w:ascii="Arial" w:hAnsi="Arial" w:cs="Arial"/>
          <w:b/>
          <w:bCs/>
        </w:rPr>
        <w:t>Description</w:t>
      </w:r>
    </w:p>
    <w:p w14:paraId="5FB11D80" w14:textId="25670B1C" w:rsidR="00FE4F19" w:rsidRPr="003F0BBC" w:rsidRDefault="00FE4F19" w:rsidP="00FE4F19">
      <w:pPr>
        <w:rPr>
          <w:rFonts w:ascii="Arial" w:hAnsi="Arial" w:cs="Arial"/>
        </w:rPr>
      </w:pPr>
      <w:r w:rsidRPr="003F0BBC">
        <w:rPr>
          <w:rFonts w:ascii="Arial" w:hAnsi="Arial" w:cs="Arial"/>
        </w:rPr>
        <w:t xml:space="preserve">This assignment aimed to analyse the potential for international expansion for IKEA to Brazil, applying existing theories of international business and frameworks. The task involved analysing IKEA's global configuration of theorized strategy, performing a detailed macro-environmental evaluation of Brazil, and proposing an entry mode strategy suitable </w:t>
      </w:r>
      <w:r w:rsidR="00A40136" w:rsidRPr="003F0BBC">
        <w:rPr>
          <w:rFonts w:ascii="Arial" w:hAnsi="Arial" w:cs="Arial"/>
        </w:rPr>
        <w:t xml:space="preserve">and </w:t>
      </w:r>
      <w:r w:rsidRPr="003F0BBC">
        <w:rPr>
          <w:rFonts w:ascii="Arial" w:hAnsi="Arial" w:cs="Arial"/>
        </w:rPr>
        <w:t>informed by public data until mid-2026.</w:t>
      </w:r>
    </w:p>
    <w:p w14:paraId="28C5A3A0" w14:textId="77777777" w:rsidR="00FE4F19" w:rsidRPr="003F0BBC" w:rsidRDefault="00FE4F19" w:rsidP="00FE4F19">
      <w:pPr>
        <w:rPr>
          <w:rFonts w:ascii="Arial" w:hAnsi="Arial" w:cs="Arial"/>
          <w:b/>
          <w:bCs/>
        </w:rPr>
      </w:pPr>
      <w:r w:rsidRPr="003F0BBC">
        <w:rPr>
          <w:rFonts w:ascii="Arial" w:hAnsi="Arial" w:cs="Arial"/>
          <w:b/>
          <w:bCs/>
        </w:rPr>
        <w:t>Feelings</w:t>
      </w:r>
    </w:p>
    <w:p w14:paraId="4122E8B9" w14:textId="2180CA78" w:rsidR="00FE4F19" w:rsidRPr="003F0BBC" w:rsidRDefault="00FE4F19" w:rsidP="00FE4F19">
      <w:pPr>
        <w:rPr>
          <w:rFonts w:ascii="Arial" w:hAnsi="Arial" w:cs="Arial"/>
        </w:rPr>
      </w:pPr>
      <w:r w:rsidRPr="003F0BBC">
        <w:rPr>
          <w:rFonts w:ascii="Arial" w:hAnsi="Arial" w:cs="Arial"/>
        </w:rPr>
        <w:t xml:space="preserve">In making my entry into this topic, I found myself somewhat overwhelmed by the amount of data on both IKEA's operations </w:t>
      </w:r>
      <w:r w:rsidR="00A40136" w:rsidRPr="003F0BBC">
        <w:rPr>
          <w:rFonts w:ascii="Arial" w:hAnsi="Arial" w:cs="Arial"/>
        </w:rPr>
        <w:t>and</w:t>
      </w:r>
      <w:r w:rsidRPr="003F0BBC">
        <w:rPr>
          <w:rFonts w:ascii="Arial" w:hAnsi="Arial" w:cs="Arial"/>
        </w:rPr>
        <w:t xml:space="preserve"> Brazil's large macroeconomic landscape. But I was especially concerned with describing the intricate dynamics of institutional exchanges and transactions in Brazil's retail sector without oversimplifying my account of the descriptive facts. Facing the special regulatory issues for </w:t>
      </w:r>
      <w:proofErr w:type="spellStart"/>
      <w:r w:rsidRPr="003F0BBC">
        <w:rPr>
          <w:rFonts w:ascii="Arial" w:hAnsi="Arial" w:cs="Arial"/>
          <w:i/>
          <w:iCs/>
        </w:rPr>
        <w:t>Custo</w:t>
      </w:r>
      <w:proofErr w:type="spellEnd"/>
      <w:r w:rsidRPr="003F0BBC">
        <w:rPr>
          <w:rFonts w:ascii="Arial" w:hAnsi="Arial" w:cs="Arial"/>
          <w:i/>
          <w:iCs/>
        </w:rPr>
        <w:t xml:space="preserve"> </w:t>
      </w:r>
      <w:proofErr w:type="spellStart"/>
      <w:r w:rsidRPr="003F0BBC">
        <w:rPr>
          <w:rFonts w:ascii="Arial" w:hAnsi="Arial" w:cs="Arial"/>
          <w:i/>
          <w:iCs/>
        </w:rPr>
        <w:t>Brasil</w:t>
      </w:r>
      <w:proofErr w:type="spellEnd"/>
      <w:r w:rsidRPr="003F0BBC">
        <w:rPr>
          <w:rFonts w:ascii="Arial" w:hAnsi="Arial" w:cs="Arial"/>
        </w:rPr>
        <w:t>, like a new tax regime from 2026, seemed difficult</w:t>
      </w:r>
      <w:r w:rsidR="00A40136" w:rsidRPr="003F0BBC">
        <w:rPr>
          <w:rFonts w:ascii="Arial" w:hAnsi="Arial" w:cs="Arial"/>
        </w:rPr>
        <w:t>,</w:t>
      </w:r>
      <w:r w:rsidRPr="003F0BBC">
        <w:rPr>
          <w:rFonts w:ascii="Arial" w:hAnsi="Arial" w:cs="Arial"/>
        </w:rPr>
        <w:t xml:space="preserve"> and I was afraid I would not be able to do it well</w:t>
      </w:r>
      <w:r w:rsidR="00A40136" w:rsidRPr="003F0BBC">
        <w:rPr>
          <w:rFonts w:ascii="Arial" w:hAnsi="Arial" w:cs="Arial"/>
        </w:rPr>
        <w:t>,</w:t>
      </w:r>
      <w:r w:rsidRPr="003F0BBC">
        <w:rPr>
          <w:rFonts w:ascii="Arial" w:hAnsi="Arial" w:cs="Arial"/>
        </w:rPr>
        <w:t xml:space="preserve"> combining concrete data with theoretical approaches.</w:t>
      </w:r>
    </w:p>
    <w:p w14:paraId="7346D280" w14:textId="60C3EA52" w:rsidR="00FE4F19" w:rsidRPr="003F0BBC" w:rsidRDefault="00FE4F19" w:rsidP="00FE4F19">
      <w:pPr>
        <w:rPr>
          <w:rFonts w:ascii="Arial" w:hAnsi="Arial" w:cs="Arial"/>
        </w:rPr>
      </w:pPr>
      <w:r w:rsidRPr="003F0BBC">
        <w:rPr>
          <w:rFonts w:ascii="Arial" w:hAnsi="Arial" w:cs="Arial"/>
        </w:rPr>
        <w:t>As I had started to format the report and outline my research plan</w:t>
      </w:r>
      <w:r w:rsidR="00A40136" w:rsidRPr="003F0BBC">
        <w:rPr>
          <w:rFonts w:ascii="Arial" w:hAnsi="Arial" w:cs="Arial"/>
        </w:rPr>
        <w:t>,</w:t>
      </w:r>
      <w:r w:rsidRPr="003F0BBC">
        <w:rPr>
          <w:rFonts w:ascii="Arial" w:hAnsi="Arial" w:cs="Arial"/>
        </w:rPr>
        <w:t xml:space="preserve"> though, my anxiety became my engagement. Using the OLI framework systematically for IKEA's unique vertical integration gave me a structured roadmap, boosting my confidence. When it comes to real-life operational decisions, such as IKEA's forestry investments in Santa Catarina, directly contributed to the benefits of proximity, the research process was most rewarding.</w:t>
      </w:r>
    </w:p>
    <w:p w14:paraId="7F067BC5" w14:textId="77777777" w:rsidR="00FE4F19" w:rsidRPr="003F0BBC" w:rsidRDefault="00FE4F19" w:rsidP="00FE4F19">
      <w:pPr>
        <w:rPr>
          <w:rFonts w:ascii="Arial" w:hAnsi="Arial" w:cs="Arial"/>
          <w:b/>
          <w:bCs/>
        </w:rPr>
      </w:pPr>
      <w:r w:rsidRPr="003F0BBC">
        <w:rPr>
          <w:rFonts w:ascii="Arial" w:hAnsi="Arial" w:cs="Arial"/>
          <w:b/>
          <w:bCs/>
        </w:rPr>
        <w:t>Evaluation</w:t>
      </w:r>
    </w:p>
    <w:p w14:paraId="36C73DC3" w14:textId="170A7783" w:rsidR="00FE4F19" w:rsidRPr="003F0BBC" w:rsidRDefault="00FE4F19" w:rsidP="00FE4F19">
      <w:pPr>
        <w:rPr>
          <w:rFonts w:ascii="Arial" w:hAnsi="Arial" w:cs="Arial"/>
        </w:rPr>
      </w:pPr>
      <w:r w:rsidRPr="003F0BBC">
        <w:rPr>
          <w:rFonts w:ascii="Arial" w:hAnsi="Arial" w:cs="Arial"/>
        </w:rPr>
        <w:t>One major positive aspect of this assignment was that IKEA is an extensively researched multinational corporation. I was able to access a significant amount of top-quality academic research, as well as industry overviews and corporate reports</w:t>
      </w:r>
      <w:r w:rsidR="00A40136" w:rsidRPr="003F0BBC">
        <w:rPr>
          <w:rFonts w:ascii="Arial" w:hAnsi="Arial" w:cs="Arial"/>
        </w:rPr>
        <w:t>,</w:t>
      </w:r>
      <w:r w:rsidRPr="003F0BBC">
        <w:rPr>
          <w:rFonts w:ascii="Arial" w:hAnsi="Arial" w:cs="Arial"/>
        </w:rPr>
        <w:t xml:space="preserve"> and gain in-depth information about its value chain in the global context. Secondly, by organizing the macro-environmental section by subheadings, I had to be analytical instead of superficial in my country summary.</w:t>
      </w:r>
    </w:p>
    <w:p w14:paraId="14992BCC" w14:textId="36E88322" w:rsidR="00FE4F19" w:rsidRPr="003F0BBC" w:rsidRDefault="00FE4F19" w:rsidP="00FE4F19">
      <w:pPr>
        <w:rPr>
          <w:rFonts w:ascii="Arial" w:hAnsi="Arial" w:cs="Arial"/>
        </w:rPr>
      </w:pPr>
      <w:r w:rsidRPr="003F0BBC">
        <w:rPr>
          <w:rFonts w:ascii="Arial" w:hAnsi="Arial" w:cs="Arial"/>
        </w:rPr>
        <w:t xml:space="preserve">The most difficult part I found for myself was distinguishing between what was merely descriptive, macro-economic data, and a critical analysis of the strategic. In my </w:t>
      </w:r>
      <w:r w:rsidRPr="003F0BBC">
        <w:rPr>
          <w:rFonts w:ascii="Arial" w:hAnsi="Arial" w:cs="Arial"/>
        </w:rPr>
        <w:lastRenderedPageBreak/>
        <w:t xml:space="preserve">preliminary research, I discovered that I was spending too much time describing Brazil's past GDP fluctuations and inadequate time figuring out how the high </w:t>
      </w:r>
      <w:proofErr w:type="spellStart"/>
      <w:r w:rsidRPr="003F0BBC">
        <w:rPr>
          <w:rFonts w:ascii="Arial" w:hAnsi="Arial" w:cs="Arial"/>
        </w:rPr>
        <w:t>Selic</w:t>
      </w:r>
      <w:proofErr w:type="spellEnd"/>
      <w:r w:rsidRPr="003F0BBC">
        <w:rPr>
          <w:rFonts w:ascii="Arial" w:hAnsi="Arial" w:cs="Arial"/>
        </w:rPr>
        <w:t xml:space="preserve"> rate (14.25%) and the debt burden of its households would affect, in practice, IKEA's "low price with meaning" approach to durable goods. To overcome that, I kept asking myself what the connection of each host country variable was to specific advantages IKEA gained</w:t>
      </w:r>
      <w:r w:rsidR="00A40136" w:rsidRPr="003F0BBC">
        <w:rPr>
          <w:rFonts w:ascii="Arial" w:hAnsi="Arial" w:cs="Arial"/>
        </w:rPr>
        <w:t>,</w:t>
      </w:r>
      <w:r w:rsidRPr="003F0BBC">
        <w:rPr>
          <w:rFonts w:ascii="Arial" w:hAnsi="Arial" w:cs="Arial"/>
        </w:rPr>
        <w:t xml:space="preserve"> and costs were sustained in that country.</w:t>
      </w:r>
    </w:p>
    <w:p w14:paraId="5331EF4D" w14:textId="77777777" w:rsidR="00FE4F19" w:rsidRPr="003F0BBC" w:rsidRDefault="00FE4F19" w:rsidP="00FE4F19">
      <w:pPr>
        <w:rPr>
          <w:rFonts w:ascii="Arial" w:hAnsi="Arial" w:cs="Arial"/>
          <w:b/>
          <w:bCs/>
        </w:rPr>
      </w:pPr>
      <w:r w:rsidRPr="003F0BBC">
        <w:rPr>
          <w:rFonts w:ascii="Arial" w:hAnsi="Arial" w:cs="Arial"/>
          <w:b/>
          <w:bCs/>
        </w:rPr>
        <w:t>Analysis</w:t>
      </w:r>
    </w:p>
    <w:p w14:paraId="3DB62DAC" w14:textId="4292300E" w:rsidR="00FE4F19" w:rsidRPr="003F0BBC" w:rsidRDefault="00FE4F19" w:rsidP="00FE4F19">
      <w:pPr>
        <w:rPr>
          <w:rFonts w:ascii="Arial" w:hAnsi="Arial" w:cs="Arial"/>
        </w:rPr>
      </w:pPr>
      <w:r w:rsidRPr="003F0BBC">
        <w:rPr>
          <w:rFonts w:ascii="Arial" w:hAnsi="Arial" w:cs="Arial"/>
        </w:rPr>
        <w:t>This exercise was very useful in indicating the importance of theories of International Business in realizing business problems. Having read the paper, I realized that what IKEA is doing in terms of internationalization can be seen in its traditions, as they are quite typical at the transnational level, and IKEA has certain patterns that promote global efficiency by using standardized product platforms.</w:t>
      </w:r>
    </w:p>
    <w:p w14:paraId="1102EB04" w14:textId="78025524" w:rsidR="00FE4F19" w:rsidRPr="003F0BBC" w:rsidRDefault="00FE4F19" w:rsidP="00FE4F19">
      <w:pPr>
        <w:rPr>
          <w:rFonts w:ascii="Arial" w:hAnsi="Arial" w:cs="Arial"/>
        </w:rPr>
      </w:pPr>
      <w:r w:rsidRPr="003F0BBC">
        <w:rPr>
          <w:rFonts w:ascii="Arial" w:hAnsi="Arial" w:cs="Arial"/>
        </w:rPr>
        <w:t xml:space="preserve">A key mechanism used to link both host country conditions and internal company attributes is the structural one suggested by Dunning's OLI framework. The </w:t>
      </w:r>
      <w:r w:rsidRPr="003F0BBC">
        <w:rPr>
          <w:rFonts w:ascii="Arial" w:hAnsi="Arial" w:cs="Arial"/>
          <w:i/>
          <w:iCs/>
        </w:rPr>
        <w:t>internalisation (I) advantage</w:t>
      </w:r>
      <w:r w:rsidRPr="003F0BBC">
        <w:rPr>
          <w:rFonts w:ascii="Arial" w:hAnsi="Arial" w:cs="Arial"/>
        </w:rPr>
        <w:t xml:space="preserve"> dimension helped me grasp why direct investment serves as an effective buffer against quality deviations and strategic partner dependence</w:t>
      </w:r>
      <w:r w:rsidR="00A40136" w:rsidRPr="003F0BBC">
        <w:rPr>
          <w:rFonts w:ascii="Arial" w:hAnsi="Arial" w:cs="Arial"/>
        </w:rPr>
        <w:t>,</w:t>
      </w:r>
      <w:r w:rsidRPr="003F0BBC">
        <w:rPr>
          <w:rFonts w:ascii="Arial" w:hAnsi="Arial" w:cs="Arial"/>
        </w:rPr>
        <w:t xml:space="preserve"> and how to incorporate and leverage complex consumer protection codes and Brazil's heterogeneous tax regime into that. Besides, the examination pointed out that historical pattern recognition with the local context would solve all the previous lessons learnt by companies in market penetration, even IKEA's first misjudgement on its market in Japan. The course lectures and readings on institutional distance have given me a valuable insight into the necessity of balancing global cost-leadership scale while allowing for flexible entry-pacing at the local level if one wishes to be successful when internationalizing.</w:t>
      </w:r>
    </w:p>
    <w:p w14:paraId="37FEAF87" w14:textId="77777777" w:rsidR="00FE4F19" w:rsidRPr="003F0BBC" w:rsidRDefault="00FE4F19" w:rsidP="00FE4F19">
      <w:pPr>
        <w:rPr>
          <w:rFonts w:ascii="Arial" w:hAnsi="Arial" w:cs="Arial"/>
          <w:b/>
          <w:bCs/>
        </w:rPr>
      </w:pPr>
      <w:r w:rsidRPr="003F0BBC">
        <w:rPr>
          <w:rFonts w:ascii="Arial" w:hAnsi="Arial" w:cs="Arial"/>
          <w:b/>
          <w:bCs/>
        </w:rPr>
        <w:t>Conclusion</w:t>
      </w:r>
    </w:p>
    <w:p w14:paraId="40A094ED" w14:textId="2724B461" w:rsidR="00FE4F19" w:rsidRPr="003F0BBC" w:rsidRDefault="00FE4F19" w:rsidP="00FE4F19">
      <w:pPr>
        <w:rPr>
          <w:rFonts w:ascii="Arial" w:hAnsi="Arial" w:cs="Arial"/>
        </w:rPr>
      </w:pPr>
      <w:r w:rsidRPr="003F0BBC">
        <w:rPr>
          <w:rFonts w:ascii="Arial" w:hAnsi="Arial" w:cs="Arial"/>
        </w:rPr>
        <w:t xml:space="preserve">The assignment has greatly improved my knowledge of and ability to assess country risk and make decisions on entering international markets. I have become more </w:t>
      </w:r>
      <w:r w:rsidR="00A40136" w:rsidRPr="003F0BBC">
        <w:rPr>
          <w:rFonts w:ascii="Arial" w:hAnsi="Arial" w:cs="Arial"/>
        </w:rPr>
        <w:t>analytical</w:t>
      </w:r>
      <w:r w:rsidRPr="003F0BBC">
        <w:rPr>
          <w:rFonts w:ascii="Arial" w:hAnsi="Arial" w:cs="Arial"/>
        </w:rPr>
        <w:t xml:space="preserve"> and am able to move from descriptive data gathering to evidence-based strategic thinking.</w:t>
      </w:r>
    </w:p>
    <w:p w14:paraId="6B7E1B7E" w14:textId="03C1D87F" w:rsidR="00FE4F19" w:rsidRPr="003F0BBC" w:rsidRDefault="00FE4F19" w:rsidP="00FE4F19">
      <w:pPr>
        <w:rPr>
          <w:rFonts w:ascii="Arial" w:hAnsi="Arial" w:cs="Arial"/>
        </w:rPr>
      </w:pPr>
      <w:r w:rsidRPr="003F0BBC">
        <w:rPr>
          <w:rFonts w:ascii="Arial" w:hAnsi="Arial" w:cs="Arial"/>
        </w:rPr>
        <w:t xml:space="preserve">In this exercise, it is clear that successful market entry into a foreign market cannot be a single one size fits all entry mode concept. IKEA does see a flexible approach in a </w:t>
      </w:r>
      <w:r w:rsidRPr="003F0BBC">
        <w:rPr>
          <w:rFonts w:ascii="Arial" w:hAnsi="Arial" w:cs="Arial"/>
        </w:rPr>
        <w:lastRenderedPageBreak/>
        <w:t>host environment of high complexity, as opposed to wholly owned greenfield investments</w:t>
      </w:r>
      <w:r w:rsidR="00A40136" w:rsidRPr="003F0BBC">
        <w:rPr>
          <w:rFonts w:ascii="Arial" w:hAnsi="Arial" w:cs="Arial"/>
        </w:rPr>
        <w:t>,</w:t>
      </w:r>
      <w:r w:rsidRPr="003F0BBC">
        <w:rPr>
          <w:rFonts w:ascii="Arial" w:hAnsi="Arial" w:cs="Arial"/>
        </w:rPr>
        <w:t xml:space="preserve"> which are the main means of long-term profit maximisation. I discovered </w:t>
      </w:r>
      <w:r w:rsidR="00A40136" w:rsidRPr="003F0BBC">
        <w:rPr>
          <w:rFonts w:ascii="Arial" w:hAnsi="Arial" w:cs="Arial"/>
        </w:rPr>
        <w:t xml:space="preserve">that </w:t>
      </w:r>
      <w:r w:rsidRPr="003F0BBC">
        <w:rPr>
          <w:rFonts w:ascii="Arial" w:hAnsi="Arial" w:cs="Arial"/>
        </w:rPr>
        <w:t xml:space="preserve">the challenge of institutional distances involves negotiating the tension between global efficiency and local responsiveness. </w:t>
      </w:r>
    </w:p>
    <w:p w14:paraId="5FF190FB" w14:textId="77777777" w:rsidR="00FE4F19" w:rsidRPr="003F0BBC" w:rsidRDefault="00FE4F19" w:rsidP="00FE4F19">
      <w:pPr>
        <w:rPr>
          <w:rFonts w:ascii="Arial" w:hAnsi="Arial" w:cs="Arial"/>
          <w:b/>
          <w:bCs/>
        </w:rPr>
      </w:pPr>
      <w:r w:rsidRPr="003F0BBC">
        <w:rPr>
          <w:rFonts w:ascii="Arial" w:hAnsi="Arial" w:cs="Arial"/>
          <w:b/>
          <w:bCs/>
        </w:rPr>
        <w:t>Action Plan</w:t>
      </w:r>
    </w:p>
    <w:p w14:paraId="1A0E0817" w14:textId="23BB1E84" w:rsidR="005677D8" w:rsidRPr="003F0BBC" w:rsidRDefault="00FE4F19" w:rsidP="00FE4F19">
      <w:pPr>
        <w:rPr>
          <w:rFonts w:ascii="Arial" w:hAnsi="Arial" w:cs="Arial"/>
        </w:rPr>
      </w:pPr>
      <w:r w:rsidRPr="003F0BBC">
        <w:rPr>
          <w:rFonts w:ascii="Arial" w:hAnsi="Arial" w:cs="Arial"/>
        </w:rPr>
        <w:t xml:space="preserve">I will use a more systematic way of researching and synthesising theories in my future research for </w:t>
      </w:r>
      <w:r w:rsidR="00A40136" w:rsidRPr="003F0BBC">
        <w:rPr>
          <w:rFonts w:ascii="Arial" w:hAnsi="Arial" w:cs="Arial"/>
        </w:rPr>
        <w:t>a postgraduate</w:t>
      </w:r>
      <w:r w:rsidRPr="003F0BBC">
        <w:rPr>
          <w:rFonts w:ascii="Arial" w:hAnsi="Arial" w:cs="Arial"/>
        </w:rPr>
        <w:t xml:space="preserve"> assignment and for my professional market analysis. Based on my own development actions, and taking into account what was learnt from this task, I've created the following development specific action plan:</w:t>
      </w:r>
    </w:p>
    <w:tbl>
      <w:tblPr>
        <w:tblStyle w:val="TableGridLight"/>
        <w:tblW w:w="0" w:type="auto"/>
        <w:tblLook w:val="04A0" w:firstRow="1" w:lastRow="0" w:firstColumn="1" w:lastColumn="0" w:noHBand="0" w:noVBand="1"/>
      </w:tblPr>
      <w:tblGrid>
        <w:gridCol w:w="1808"/>
        <w:gridCol w:w="2613"/>
        <w:gridCol w:w="1817"/>
        <w:gridCol w:w="2778"/>
      </w:tblGrid>
      <w:tr w:rsidR="006C66E0" w:rsidRPr="003F0BBC" w14:paraId="65246376" w14:textId="77777777" w:rsidTr="006C66E0">
        <w:tc>
          <w:tcPr>
            <w:tcW w:w="0" w:type="auto"/>
            <w:vAlign w:val="center"/>
            <w:hideMark/>
          </w:tcPr>
          <w:p w14:paraId="1EDC88D6" w14:textId="77777777" w:rsidR="006C66E0" w:rsidRPr="003F0BBC" w:rsidRDefault="006C66E0" w:rsidP="006C66E0">
            <w:pPr>
              <w:spacing w:after="200"/>
              <w:jc w:val="center"/>
              <w:rPr>
                <w:rFonts w:ascii="Arial" w:hAnsi="Arial" w:cs="Arial"/>
              </w:rPr>
            </w:pPr>
            <w:r w:rsidRPr="003F0BBC">
              <w:rPr>
                <w:rFonts w:ascii="Arial" w:hAnsi="Arial" w:cs="Arial"/>
                <w:b/>
                <w:bCs/>
              </w:rPr>
              <w:t>Skills to Improve</w:t>
            </w:r>
          </w:p>
        </w:tc>
        <w:tc>
          <w:tcPr>
            <w:tcW w:w="0" w:type="auto"/>
            <w:vAlign w:val="center"/>
            <w:hideMark/>
          </w:tcPr>
          <w:p w14:paraId="0D7A4CEA" w14:textId="77777777" w:rsidR="006C66E0" w:rsidRPr="003F0BBC" w:rsidRDefault="006C66E0" w:rsidP="006C66E0">
            <w:pPr>
              <w:spacing w:after="200"/>
              <w:jc w:val="center"/>
              <w:rPr>
                <w:rFonts w:ascii="Arial" w:hAnsi="Arial" w:cs="Arial"/>
              </w:rPr>
            </w:pPr>
            <w:r w:rsidRPr="003F0BBC">
              <w:rPr>
                <w:rFonts w:ascii="Arial" w:hAnsi="Arial" w:cs="Arial"/>
                <w:b/>
                <w:bCs/>
              </w:rPr>
              <w:t>Actions to Take</w:t>
            </w:r>
          </w:p>
        </w:tc>
        <w:tc>
          <w:tcPr>
            <w:tcW w:w="0" w:type="auto"/>
            <w:vAlign w:val="center"/>
            <w:hideMark/>
          </w:tcPr>
          <w:p w14:paraId="27E57850" w14:textId="77777777" w:rsidR="006C66E0" w:rsidRPr="003F0BBC" w:rsidRDefault="006C66E0" w:rsidP="006C66E0">
            <w:pPr>
              <w:spacing w:after="200"/>
              <w:jc w:val="center"/>
              <w:rPr>
                <w:rFonts w:ascii="Arial" w:hAnsi="Arial" w:cs="Arial"/>
              </w:rPr>
            </w:pPr>
            <w:r w:rsidRPr="003F0BBC">
              <w:rPr>
                <w:rFonts w:ascii="Arial" w:hAnsi="Arial" w:cs="Arial"/>
                <w:b/>
                <w:bCs/>
              </w:rPr>
              <w:t>Timeline</w:t>
            </w:r>
          </w:p>
        </w:tc>
        <w:tc>
          <w:tcPr>
            <w:tcW w:w="0" w:type="auto"/>
            <w:vAlign w:val="center"/>
            <w:hideMark/>
          </w:tcPr>
          <w:p w14:paraId="29455D98" w14:textId="77777777" w:rsidR="006C66E0" w:rsidRPr="003F0BBC" w:rsidRDefault="006C66E0" w:rsidP="006C66E0">
            <w:pPr>
              <w:spacing w:after="200"/>
              <w:jc w:val="center"/>
              <w:rPr>
                <w:rFonts w:ascii="Arial" w:hAnsi="Arial" w:cs="Arial"/>
              </w:rPr>
            </w:pPr>
            <w:r w:rsidRPr="003F0BBC">
              <w:rPr>
                <w:rFonts w:ascii="Arial" w:hAnsi="Arial" w:cs="Arial"/>
                <w:b/>
                <w:bCs/>
              </w:rPr>
              <w:t>Expected Outcome</w:t>
            </w:r>
          </w:p>
        </w:tc>
      </w:tr>
      <w:tr w:rsidR="006C66E0" w:rsidRPr="003F0BBC" w14:paraId="40002920" w14:textId="77777777" w:rsidTr="006C66E0">
        <w:tc>
          <w:tcPr>
            <w:tcW w:w="0" w:type="auto"/>
            <w:hideMark/>
          </w:tcPr>
          <w:p w14:paraId="40089E81" w14:textId="77777777" w:rsidR="006C66E0" w:rsidRPr="003F0BBC" w:rsidRDefault="006C66E0" w:rsidP="00266B84">
            <w:pPr>
              <w:spacing w:after="200"/>
              <w:rPr>
                <w:rFonts w:ascii="Arial" w:hAnsi="Arial" w:cs="Arial"/>
              </w:rPr>
            </w:pPr>
            <w:r w:rsidRPr="003F0BBC">
              <w:rPr>
                <w:rFonts w:ascii="Arial" w:hAnsi="Arial" w:cs="Arial"/>
                <w:b/>
                <w:bCs/>
              </w:rPr>
              <w:t>Broaden Academic Sourcing</w:t>
            </w:r>
          </w:p>
        </w:tc>
        <w:tc>
          <w:tcPr>
            <w:tcW w:w="0" w:type="auto"/>
            <w:hideMark/>
          </w:tcPr>
          <w:p w14:paraId="25B57F46" w14:textId="77777777" w:rsidR="006C66E0" w:rsidRPr="003F0BBC" w:rsidRDefault="006C66E0" w:rsidP="00266B84">
            <w:pPr>
              <w:spacing w:after="200"/>
              <w:rPr>
                <w:rFonts w:ascii="Arial" w:hAnsi="Arial" w:cs="Arial"/>
              </w:rPr>
            </w:pPr>
            <w:r w:rsidRPr="003F0BBC">
              <w:rPr>
                <w:rFonts w:ascii="Arial" w:hAnsi="Arial" w:cs="Arial"/>
              </w:rPr>
              <w:t>Actively utilize digital databases to seek out co-authored global business journals, focusing on emerging economies.</w:t>
            </w:r>
          </w:p>
        </w:tc>
        <w:tc>
          <w:tcPr>
            <w:tcW w:w="0" w:type="auto"/>
            <w:hideMark/>
          </w:tcPr>
          <w:p w14:paraId="3EE0740D" w14:textId="77777777" w:rsidR="006C66E0" w:rsidRPr="003F0BBC" w:rsidRDefault="006C66E0" w:rsidP="00266B84">
            <w:pPr>
              <w:spacing w:after="200"/>
              <w:rPr>
                <w:rFonts w:ascii="Arial" w:hAnsi="Arial" w:cs="Arial"/>
              </w:rPr>
            </w:pPr>
            <w:r w:rsidRPr="003F0BBC">
              <w:rPr>
                <w:rFonts w:ascii="Arial" w:hAnsi="Arial" w:cs="Arial"/>
              </w:rPr>
              <w:t>First two weeks of any new research project.</w:t>
            </w:r>
          </w:p>
        </w:tc>
        <w:tc>
          <w:tcPr>
            <w:tcW w:w="0" w:type="auto"/>
            <w:hideMark/>
          </w:tcPr>
          <w:p w14:paraId="43D0E579" w14:textId="77777777" w:rsidR="006C66E0" w:rsidRPr="003F0BBC" w:rsidRDefault="006C66E0" w:rsidP="00266B84">
            <w:pPr>
              <w:spacing w:after="200"/>
              <w:rPr>
                <w:rFonts w:ascii="Arial" w:hAnsi="Arial" w:cs="Arial"/>
              </w:rPr>
            </w:pPr>
            <w:r w:rsidRPr="003F0BBC">
              <w:rPr>
                <w:rFonts w:ascii="Arial" w:hAnsi="Arial" w:cs="Arial"/>
              </w:rPr>
              <w:t>A minimum of 40–60 peer-reviewed sources to back up strategic claims.</w:t>
            </w:r>
          </w:p>
        </w:tc>
      </w:tr>
      <w:tr w:rsidR="006C66E0" w:rsidRPr="003F0BBC" w14:paraId="21806F73" w14:textId="77777777" w:rsidTr="006C66E0">
        <w:tc>
          <w:tcPr>
            <w:tcW w:w="0" w:type="auto"/>
            <w:hideMark/>
          </w:tcPr>
          <w:p w14:paraId="6136861E" w14:textId="77777777" w:rsidR="006C66E0" w:rsidRPr="003F0BBC" w:rsidRDefault="006C66E0" w:rsidP="00266B84">
            <w:pPr>
              <w:spacing w:after="200"/>
              <w:rPr>
                <w:rFonts w:ascii="Arial" w:hAnsi="Arial" w:cs="Arial"/>
              </w:rPr>
            </w:pPr>
            <w:r w:rsidRPr="003F0BBC">
              <w:rPr>
                <w:rFonts w:ascii="Arial" w:hAnsi="Arial" w:cs="Arial"/>
                <w:b/>
                <w:bCs/>
              </w:rPr>
              <w:t>Critical Assessment &amp; Synthesis</w:t>
            </w:r>
          </w:p>
        </w:tc>
        <w:tc>
          <w:tcPr>
            <w:tcW w:w="0" w:type="auto"/>
            <w:hideMark/>
          </w:tcPr>
          <w:p w14:paraId="03C41068" w14:textId="77777777" w:rsidR="006C66E0" w:rsidRPr="003F0BBC" w:rsidRDefault="006C66E0" w:rsidP="00266B84">
            <w:pPr>
              <w:spacing w:after="200"/>
              <w:rPr>
                <w:rFonts w:ascii="Arial" w:hAnsi="Arial" w:cs="Arial"/>
              </w:rPr>
            </w:pPr>
            <w:r w:rsidRPr="003F0BBC">
              <w:rPr>
                <w:rFonts w:ascii="Arial" w:hAnsi="Arial" w:cs="Arial"/>
              </w:rPr>
              <w:t>Use structured brainstorming matrices to explicitly link environmental data (PEST) directly to firm capabilities before drafting.</w:t>
            </w:r>
          </w:p>
        </w:tc>
        <w:tc>
          <w:tcPr>
            <w:tcW w:w="0" w:type="auto"/>
            <w:hideMark/>
          </w:tcPr>
          <w:p w14:paraId="13B621A7" w14:textId="77777777" w:rsidR="006C66E0" w:rsidRPr="003F0BBC" w:rsidRDefault="006C66E0" w:rsidP="00266B84">
            <w:pPr>
              <w:spacing w:after="200"/>
              <w:rPr>
                <w:rFonts w:ascii="Arial" w:hAnsi="Arial" w:cs="Arial"/>
              </w:rPr>
            </w:pPr>
            <w:r w:rsidRPr="003F0BBC">
              <w:rPr>
                <w:rFonts w:ascii="Arial" w:hAnsi="Arial" w:cs="Arial"/>
              </w:rPr>
              <w:t>During the mid-way planning stage of coursework.</w:t>
            </w:r>
          </w:p>
        </w:tc>
        <w:tc>
          <w:tcPr>
            <w:tcW w:w="0" w:type="auto"/>
            <w:hideMark/>
          </w:tcPr>
          <w:p w14:paraId="4D35BC2A" w14:textId="77777777" w:rsidR="006C66E0" w:rsidRPr="003F0BBC" w:rsidRDefault="006C66E0" w:rsidP="00266B84">
            <w:pPr>
              <w:spacing w:after="200"/>
              <w:rPr>
                <w:rFonts w:ascii="Arial" w:hAnsi="Arial" w:cs="Arial"/>
              </w:rPr>
            </w:pPr>
            <w:r w:rsidRPr="003F0BBC">
              <w:rPr>
                <w:rFonts w:ascii="Arial" w:hAnsi="Arial" w:cs="Arial"/>
              </w:rPr>
              <w:t>Reduction in descriptive writing, leading to highly critical, executive-level arguments.</w:t>
            </w:r>
          </w:p>
        </w:tc>
      </w:tr>
      <w:tr w:rsidR="006C66E0" w:rsidRPr="003F0BBC" w14:paraId="758105DC" w14:textId="77777777" w:rsidTr="006C66E0">
        <w:tc>
          <w:tcPr>
            <w:tcW w:w="0" w:type="auto"/>
            <w:hideMark/>
          </w:tcPr>
          <w:p w14:paraId="6779C028" w14:textId="77777777" w:rsidR="006C66E0" w:rsidRPr="003F0BBC" w:rsidRDefault="006C66E0" w:rsidP="00266B84">
            <w:pPr>
              <w:spacing w:after="200"/>
              <w:rPr>
                <w:rFonts w:ascii="Arial" w:hAnsi="Arial" w:cs="Arial"/>
              </w:rPr>
            </w:pPr>
            <w:r w:rsidRPr="003F0BBC">
              <w:rPr>
                <w:rFonts w:ascii="Arial" w:hAnsi="Arial" w:cs="Arial"/>
                <w:b/>
                <w:bCs/>
              </w:rPr>
              <w:t>Confidence in Market Analysis</w:t>
            </w:r>
          </w:p>
        </w:tc>
        <w:tc>
          <w:tcPr>
            <w:tcW w:w="0" w:type="auto"/>
            <w:hideMark/>
          </w:tcPr>
          <w:p w14:paraId="44CDB90A" w14:textId="77777777" w:rsidR="006C66E0" w:rsidRPr="003F0BBC" w:rsidRDefault="006C66E0" w:rsidP="00266B84">
            <w:pPr>
              <w:spacing w:after="200"/>
              <w:rPr>
                <w:rFonts w:ascii="Arial" w:hAnsi="Arial" w:cs="Arial"/>
              </w:rPr>
            </w:pPr>
            <w:r w:rsidRPr="003F0BBC">
              <w:rPr>
                <w:rFonts w:ascii="Arial" w:hAnsi="Arial" w:cs="Arial"/>
              </w:rPr>
              <w:t>Engage actively in seminar presentations and lead group discussions regarding country risk appraisals.</w:t>
            </w:r>
          </w:p>
        </w:tc>
        <w:tc>
          <w:tcPr>
            <w:tcW w:w="0" w:type="auto"/>
            <w:hideMark/>
          </w:tcPr>
          <w:p w14:paraId="23408DCD" w14:textId="77777777" w:rsidR="006C66E0" w:rsidRPr="003F0BBC" w:rsidRDefault="006C66E0" w:rsidP="00266B84">
            <w:pPr>
              <w:spacing w:after="200"/>
              <w:rPr>
                <w:rFonts w:ascii="Arial" w:hAnsi="Arial" w:cs="Arial"/>
              </w:rPr>
            </w:pPr>
            <w:r w:rsidRPr="003F0BBC">
              <w:rPr>
                <w:rFonts w:ascii="Arial" w:hAnsi="Arial" w:cs="Arial"/>
              </w:rPr>
              <w:t>Weekly during academic terms.</w:t>
            </w:r>
          </w:p>
        </w:tc>
        <w:tc>
          <w:tcPr>
            <w:tcW w:w="0" w:type="auto"/>
            <w:hideMark/>
          </w:tcPr>
          <w:p w14:paraId="7E8CAACA" w14:textId="77777777" w:rsidR="006C66E0" w:rsidRPr="003F0BBC" w:rsidRDefault="006C66E0" w:rsidP="00266B84">
            <w:pPr>
              <w:spacing w:after="200"/>
              <w:rPr>
                <w:rFonts w:ascii="Arial" w:hAnsi="Arial" w:cs="Arial"/>
              </w:rPr>
            </w:pPr>
            <w:r w:rsidRPr="003F0BBC">
              <w:rPr>
                <w:rFonts w:ascii="Arial" w:hAnsi="Arial" w:cs="Arial"/>
              </w:rPr>
              <w:t>Enhanced confidence in defending strategic entry recommendations in front of peers and lecturers.</w:t>
            </w:r>
          </w:p>
        </w:tc>
      </w:tr>
    </w:tbl>
    <w:p w14:paraId="7E5BC65E" w14:textId="577C2B3F" w:rsidR="006C66E0" w:rsidRPr="003F0BBC" w:rsidRDefault="006F61D0" w:rsidP="006F61D0">
      <w:pPr>
        <w:pStyle w:val="Heading1"/>
        <w:rPr>
          <w:rFonts w:ascii="Arial" w:hAnsi="Arial" w:cs="Arial"/>
        </w:rPr>
      </w:pPr>
      <w:r w:rsidRPr="003F0BBC">
        <w:rPr>
          <w:rFonts w:ascii="Arial" w:hAnsi="Arial" w:cs="Arial"/>
        </w:rPr>
        <w:lastRenderedPageBreak/>
        <w:t>References</w:t>
      </w:r>
    </w:p>
    <w:p w14:paraId="1B104918" w14:textId="77777777" w:rsidR="006F61D0" w:rsidRPr="003F0BBC" w:rsidRDefault="006F61D0" w:rsidP="00040E20">
      <w:pPr>
        <w:ind w:left="720" w:hanging="720"/>
        <w:rPr>
          <w:rFonts w:ascii="Arial" w:hAnsi="Arial" w:cs="Arial"/>
        </w:rPr>
      </w:pPr>
      <w:proofErr w:type="spellStart"/>
      <w:r w:rsidRPr="003F0BBC">
        <w:rPr>
          <w:rFonts w:ascii="Arial" w:hAnsi="Arial" w:cs="Arial"/>
        </w:rPr>
        <w:t>Alenezi</w:t>
      </w:r>
      <w:proofErr w:type="spellEnd"/>
      <w:r w:rsidRPr="003F0BBC">
        <w:rPr>
          <w:rFonts w:ascii="Arial" w:hAnsi="Arial" w:cs="Arial"/>
        </w:rPr>
        <w:t xml:space="preserve">, S., </w:t>
      </w:r>
      <w:proofErr w:type="spellStart"/>
      <w:r w:rsidRPr="003F0BBC">
        <w:rPr>
          <w:rFonts w:ascii="Arial" w:hAnsi="Arial" w:cs="Arial"/>
        </w:rPr>
        <w:t>Mutairi</w:t>
      </w:r>
      <w:proofErr w:type="spellEnd"/>
      <w:r w:rsidRPr="003F0BBC">
        <w:rPr>
          <w:rFonts w:ascii="Arial" w:hAnsi="Arial" w:cs="Arial"/>
        </w:rPr>
        <w:t xml:space="preserve">, N.A., </w:t>
      </w:r>
      <w:proofErr w:type="spellStart"/>
      <w:r w:rsidRPr="003F0BBC">
        <w:rPr>
          <w:rFonts w:ascii="Arial" w:hAnsi="Arial" w:cs="Arial"/>
        </w:rPr>
        <w:t>Alenezi</w:t>
      </w:r>
      <w:proofErr w:type="spellEnd"/>
      <w:r w:rsidRPr="003F0BBC">
        <w:rPr>
          <w:rFonts w:ascii="Arial" w:hAnsi="Arial" w:cs="Arial"/>
        </w:rPr>
        <w:t xml:space="preserve">, S. and </w:t>
      </w:r>
      <w:proofErr w:type="spellStart"/>
      <w:r w:rsidRPr="003F0BBC">
        <w:rPr>
          <w:rFonts w:ascii="Arial" w:hAnsi="Arial" w:cs="Arial"/>
        </w:rPr>
        <w:t>Münzer</w:t>
      </w:r>
      <w:proofErr w:type="spellEnd"/>
      <w:r w:rsidRPr="003F0BBC">
        <w:rPr>
          <w:rFonts w:ascii="Arial" w:hAnsi="Arial" w:cs="Arial"/>
        </w:rPr>
        <w:t xml:space="preserve">, S.M. (2019). Analysis of IKEA’s Internationalization Strategy. </w:t>
      </w:r>
      <w:r w:rsidRPr="003F0BBC">
        <w:rPr>
          <w:rFonts w:ascii="Arial" w:hAnsi="Arial" w:cs="Arial"/>
          <w:i/>
          <w:iCs/>
        </w:rPr>
        <w:t>Journal of the community development in Asia</w:t>
      </w:r>
      <w:r w:rsidRPr="003F0BBC">
        <w:rPr>
          <w:rFonts w:ascii="Arial" w:hAnsi="Arial" w:cs="Arial"/>
        </w:rPr>
        <w:t>, 2(3), pp.16–28.</w:t>
      </w:r>
    </w:p>
    <w:p w14:paraId="5AD0D76A" w14:textId="77777777" w:rsidR="006F61D0" w:rsidRPr="003F0BBC" w:rsidRDefault="006F61D0" w:rsidP="00040E20">
      <w:pPr>
        <w:ind w:left="720" w:hanging="720"/>
        <w:rPr>
          <w:rFonts w:ascii="Arial" w:hAnsi="Arial" w:cs="Arial"/>
        </w:rPr>
      </w:pPr>
      <w:r w:rsidRPr="003F0BBC">
        <w:rPr>
          <w:rFonts w:ascii="Arial" w:hAnsi="Arial" w:cs="Arial"/>
        </w:rPr>
        <w:t xml:space="preserve">Andrade, S.A.S. (2026). </w:t>
      </w:r>
      <w:r w:rsidRPr="003F0BBC">
        <w:rPr>
          <w:rFonts w:ascii="Arial" w:hAnsi="Arial" w:cs="Arial"/>
          <w:i/>
          <w:iCs/>
        </w:rPr>
        <w:t xml:space="preserve">Doing Business </w:t>
      </w:r>
      <w:proofErr w:type="gramStart"/>
      <w:r w:rsidRPr="003F0BBC">
        <w:rPr>
          <w:rFonts w:ascii="Arial" w:hAnsi="Arial" w:cs="Arial"/>
          <w:i/>
          <w:iCs/>
        </w:rPr>
        <w:t>In</w:t>
      </w:r>
      <w:proofErr w:type="gramEnd"/>
      <w:r w:rsidRPr="003F0BBC">
        <w:rPr>
          <w:rFonts w:ascii="Arial" w:hAnsi="Arial" w:cs="Arial"/>
          <w:i/>
          <w:iCs/>
        </w:rPr>
        <w:t xml:space="preserve"> Brazil: Navigating The 2026 Tax Reform &amp; The New Dual VAT Framework - Global Law Experts</w:t>
      </w:r>
      <w:r w:rsidRPr="003F0BBC">
        <w:rPr>
          <w:rFonts w:ascii="Arial" w:hAnsi="Arial" w:cs="Arial"/>
        </w:rPr>
        <w:t xml:space="preserve">. [online] Global Law Experts. Available at: </w:t>
      </w:r>
      <w:hyperlink r:id="rId20" w:history="1">
        <w:r w:rsidRPr="003F0BBC">
          <w:rPr>
            <w:rStyle w:val="Hyperlink"/>
            <w:rFonts w:ascii="Arial" w:hAnsi="Arial" w:cs="Arial"/>
          </w:rPr>
          <w:t>https://globallawexperts.com/doing-business-in-brazil-navigating-the-2026-tax-reform-the-new-dual-vat-framework/</w:t>
        </w:r>
      </w:hyperlink>
      <w:r w:rsidRPr="003F0BBC">
        <w:rPr>
          <w:rFonts w:ascii="Arial" w:hAnsi="Arial" w:cs="Arial"/>
        </w:rPr>
        <w:t xml:space="preserve"> [Accessed 11 July 2026].</w:t>
      </w:r>
    </w:p>
    <w:p w14:paraId="18E4D21B" w14:textId="77777777" w:rsidR="006F61D0" w:rsidRPr="003F0BBC" w:rsidRDefault="006F61D0" w:rsidP="00040E20">
      <w:pPr>
        <w:ind w:left="720" w:hanging="720"/>
        <w:rPr>
          <w:rFonts w:ascii="Arial" w:hAnsi="Arial" w:cs="Arial"/>
        </w:rPr>
      </w:pPr>
      <w:proofErr w:type="spellStart"/>
      <w:r w:rsidRPr="003F0BBC">
        <w:rPr>
          <w:rFonts w:ascii="Arial" w:hAnsi="Arial" w:cs="Arial"/>
        </w:rPr>
        <w:t>Avramovic</w:t>
      </w:r>
      <w:proofErr w:type="spellEnd"/>
      <w:r w:rsidRPr="003F0BBC">
        <w:rPr>
          <w:rFonts w:ascii="Arial" w:hAnsi="Arial" w:cs="Arial"/>
        </w:rPr>
        <w:t xml:space="preserve">, P., </w:t>
      </w:r>
      <w:proofErr w:type="spellStart"/>
      <w:r w:rsidRPr="003F0BBC">
        <w:rPr>
          <w:rFonts w:ascii="Arial" w:hAnsi="Arial" w:cs="Arial"/>
        </w:rPr>
        <w:t>Juneja</w:t>
      </w:r>
      <w:proofErr w:type="spellEnd"/>
      <w:r w:rsidRPr="003F0BBC">
        <w:rPr>
          <w:rFonts w:ascii="Arial" w:hAnsi="Arial" w:cs="Arial"/>
        </w:rPr>
        <w:t>, S., Suresh, K. and Zhang, B.Z., 2025. Digital Public Infrastructure and Digital Financial Services: Convergence, Landscape and Regulatory Considerations. </w:t>
      </w:r>
      <w:r w:rsidRPr="003F0BBC">
        <w:rPr>
          <w:rFonts w:ascii="Arial" w:hAnsi="Arial" w:cs="Arial"/>
          <w:i/>
          <w:iCs/>
        </w:rPr>
        <w:t>Landscape and Regulatory Considerations (July 09, 2025)</w:t>
      </w:r>
      <w:r w:rsidRPr="003F0BBC">
        <w:rPr>
          <w:rFonts w:ascii="Arial" w:hAnsi="Arial" w:cs="Arial"/>
        </w:rPr>
        <w:t xml:space="preserve">. </w:t>
      </w:r>
      <w:hyperlink r:id="rId21" w:history="1">
        <w:r w:rsidRPr="003F0BBC">
          <w:rPr>
            <w:rStyle w:val="Hyperlink"/>
            <w:rFonts w:ascii="Arial" w:hAnsi="Arial" w:cs="Arial"/>
          </w:rPr>
          <w:t>https://dx.doi.org/10.2139/ssrn.6147566</w:t>
        </w:r>
      </w:hyperlink>
      <w:r w:rsidRPr="003F0BBC">
        <w:rPr>
          <w:rFonts w:ascii="Arial" w:hAnsi="Arial" w:cs="Arial"/>
        </w:rPr>
        <w:t xml:space="preserve"> </w:t>
      </w:r>
    </w:p>
    <w:p w14:paraId="1D5D0C0F" w14:textId="77777777" w:rsidR="006F61D0" w:rsidRPr="003F0BBC" w:rsidRDefault="006F61D0" w:rsidP="00040E20">
      <w:pPr>
        <w:ind w:left="720" w:hanging="720"/>
        <w:rPr>
          <w:rFonts w:ascii="Arial" w:hAnsi="Arial" w:cs="Arial"/>
        </w:rPr>
      </w:pPr>
      <w:proofErr w:type="spellStart"/>
      <w:r w:rsidRPr="003F0BBC">
        <w:rPr>
          <w:rFonts w:ascii="Arial" w:hAnsi="Arial" w:cs="Arial"/>
        </w:rPr>
        <w:t>Baraldi</w:t>
      </w:r>
      <w:proofErr w:type="spellEnd"/>
      <w:r w:rsidRPr="003F0BBC">
        <w:rPr>
          <w:rFonts w:ascii="Arial" w:hAnsi="Arial" w:cs="Arial"/>
        </w:rPr>
        <w:t>, E., 2018. Strategy in industrial networks: experiences from IKEA. </w:t>
      </w:r>
      <w:r w:rsidRPr="003F0BBC">
        <w:rPr>
          <w:rFonts w:ascii="Arial" w:hAnsi="Arial" w:cs="Arial"/>
          <w:i/>
          <w:iCs/>
        </w:rPr>
        <w:t>California management review</w:t>
      </w:r>
      <w:r w:rsidRPr="003F0BBC">
        <w:rPr>
          <w:rFonts w:ascii="Arial" w:hAnsi="Arial" w:cs="Arial"/>
        </w:rPr>
        <w:t>, </w:t>
      </w:r>
      <w:r w:rsidRPr="003F0BBC">
        <w:rPr>
          <w:rFonts w:ascii="Arial" w:hAnsi="Arial" w:cs="Arial"/>
          <w:i/>
          <w:iCs/>
        </w:rPr>
        <w:t>50</w:t>
      </w:r>
      <w:r w:rsidRPr="003F0BBC">
        <w:rPr>
          <w:rFonts w:ascii="Arial" w:hAnsi="Arial" w:cs="Arial"/>
        </w:rPr>
        <w:t xml:space="preserve">(4), pp.99-126. </w:t>
      </w:r>
      <w:hyperlink r:id="rId22" w:history="1">
        <w:r w:rsidRPr="003F0BBC">
          <w:rPr>
            <w:rStyle w:val="Hyperlink"/>
            <w:rFonts w:ascii="Arial" w:hAnsi="Arial" w:cs="Arial"/>
          </w:rPr>
          <w:t>https://doi.org/10.2307/41166458</w:t>
        </w:r>
      </w:hyperlink>
      <w:r w:rsidRPr="003F0BBC">
        <w:rPr>
          <w:rFonts w:ascii="Arial" w:hAnsi="Arial" w:cs="Arial"/>
        </w:rPr>
        <w:t xml:space="preserve"> </w:t>
      </w:r>
    </w:p>
    <w:p w14:paraId="15A46269" w14:textId="77777777" w:rsidR="006F61D0" w:rsidRPr="003F0BBC" w:rsidRDefault="006F61D0" w:rsidP="00040E20">
      <w:pPr>
        <w:ind w:left="720" w:hanging="720"/>
        <w:rPr>
          <w:rFonts w:ascii="Arial" w:hAnsi="Arial" w:cs="Arial"/>
        </w:rPr>
      </w:pPr>
      <w:r w:rsidRPr="003F0BBC">
        <w:rPr>
          <w:rFonts w:ascii="Arial" w:hAnsi="Arial" w:cs="Arial"/>
        </w:rPr>
        <w:t>Bartlett, C. and Ghoshal, S. (1991) Global Strategic Management: Impact on the New Frontiers of Strategy Research. Strategic Management Journal, 12, 5-16.</w:t>
      </w:r>
      <w:r w:rsidRPr="003F0BBC">
        <w:rPr>
          <w:rFonts w:ascii="Arial" w:hAnsi="Arial" w:cs="Arial"/>
        </w:rPr>
        <w:br/>
      </w:r>
      <w:hyperlink r:id="rId23" w:history="1">
        <w:r w:rsidRPr="003F0BBC">
          <w:rPr>
            <w:rStyle w:val="Hyperlink"/>
            <w:rFonts w:ascii="Arial" w:hAnsi="Arial" w:cs="Arial"/>
          </w:rPr>
          <w:t>https://doi.org/10.1002/smj.4250120903</w:t>
        </w:r>
      </w:hyperlink>
      <w:r w:rsidRPr="003F0BBC">
        <w:rPr>
          <w:rFonts w:ascii="Arial" w:hAnsi="Arial" w:cs="Arial"/>
        </w:rPr>
        <w:t xml:space="preserve"> </w:t>
      </w:r>
    </w:p>
    <w:p w14:paraId="5E600A25" w14:textId="77777777" w:rsidR="006F61D0" w:rsidRPr="003F0BBC" w:rsidRDefault="006F61D0" w:rsidP="00040E20">
      <w:pPr>
        <w:ind w:left="720" w:hanging="720"/>
        <w:rPr>
          <w:rFonts w:ascii="Arial" w:hAnsi="Arial" w:cs="Arial"/>
        </w:rPr>
      </w:pPr>
      <w:proofErr w:type="spellStart"/>
      <w:r w:rsidRPr="003F0BBC">
        <w:rPr>
          <w:rFonts w:ascii="Arial" w:hAnsi="Arial" w:cs="Arial"/>
        </w:rPr>
        <w:t>Bellak</w:t>
      </w:r>
      <w:proofErr w:type="spellEnd"/>
      <w:r w:rsidRPr="003F0BBC">
        <w:rPr>
          <w:rFonts w:ascii="Arial" w:hAnsi="Arial" w:cs="Arial"/>
        </w:rPr>
        <w:t xml:space="preserve">, C., and </w:t>
      </w:r>
      <w:proofErr w:type="spellStart"/>
      <w:r w:rsidRPr="003F0BBC">
        <w:rPr>
          <w:rFonts w:ascii="Arial" w:hAnsi="Arial" w:cs="Arial"/>
        </w:rPr>
        <w:t>Leibrecht</w:t>
      </w:r>
      <w:proofErr w:type="spellEnd"/>
      <w:r w:rsidRPr="003F0BBC">
        <w:rPr>
          <w:rFonts w:ascii="Arial" w:hAnsi="Arial" w:cs="Arial"/>
        </w:rPr>
        <w:t xml:space="preserve">, M. (2024). Do the New Brazilian Agreements on Cooperation and Facilitation of Investment Promote Outward Foreign Direct </w:t>
      </w:r>
      <w:proofErr w:type="gramStart"/>
      <w:r w:rsidRPr="003F0BBC">
        <w:rPr>
          <w:rFonts w:ascii="Arial" w:hAnsi="Arial" w:cs="Arial"/>
        </w:rPr>
        <w:t>Investment?.</w:t>
      </w:r>
      <w:proofErr w:type="gramEnd"/>
      <w:r w:rsidRPr="003F0BBC">
        <w:rPr>
          <w:rFonts w:ascii="Arial" w:hAnsi="Arial" w:cs="Arial"/>
        </w:rPr>
        <w:t> </w:t>
      </w:r>
      <w:r w:rsidRPr="003F0BBC">
        <w:rPr>
          <w:rFonts w:ascii="Arial" w:hAnsi="Arial" w:cs="Arial"/>
          <w:i/>
          <w:iCs/>
        </w:rPr>
        <w:t>The Journal of World Investment &amp; Trade</w:t>
      </w:r>
      <w:r w:rsidRPr="003F0BBC">
        <w:rPr>
          <w:rFonts w:ascii="Arial" w:hAnsi="Arial" w:cs="Arial"/>
        </w:rPr>
        <w:t>, </w:t>
      </w:r>
      <w:r w:rsidRPr="003F0BBC">
        <w:rPr>
          <w:rFonts w:ascii="Arial" w:hAnsi="Arial" w:cs="Arial"/>
          <w:i/>
          <w:iCs/>
        </w:rPr>
        <w:t>25</w:t>
      </w:r>
      <w:r w:rsidRPr="003F0BBC">
        <w:rPr>
          <w:rFonts w:ascii="Arial" w:hAnsi="Arial" w:cs="Arial"/>
        </w:rPr>
        <w:t>(4), 535-563. </w:t>
      </w:r>
      <w:hyperlink r:id="rId24" w:tgtFrame="_blank" w:history="1">
        <w:r w:rsidRPr="003F0BBC">
          <w:rPr>
            <w:rStyle w:val="Hyperlink"/>
            <w:rFonts w:ascii="Arial" w:hAnsi="Arial" w:cs="Arial"/>
          </w:rPr>
          <w:t>https://doi.org/10.1163/22119000-12340336</w:t>
        </w:r>
      </w:hyperlink>
      <w:r w:rsidRPr="003F0BBC">
        <w:rPr>
          <w:rFonts w:ascii="Arial" w:hAnsi="Arial" w:cs="Arial"/>
        </w:rPr>
        <w:t xml:space="preserve"> </w:t>
      </w:r>
    </w:p>
    <w:p w14:paraId="25720988" w14:textId="77777777" w:rsidR="006F61D0" w:rsidRPr="003F0BBC" w:rsidRDefault="006F61D0" w:rsidP="00040E20">
      <w:pPr>
        <w:ind w:left="720" w:hanging="720"/>
        <w:rPr>
          <w:rFonts w:ascii="Arial" w:hAnsi="Arial" w:cs="Arial"/>
        </w:rPr>
      </w:pPr>
      <w:proofErr w:type="spellStart"/>
      <w:r w:rsidRPr="003F0BBC">
        <w:rPr>
          <w:rFonts w:ascii="Arial" w:hAnsi="Arial" w:cs="Arial"/>
        </w:rPr>
        <w:t>Braz</w:t>
      </w:r>
      <w:proofErr w:type="spellEnd"/>
      <w:r w:rsidRPr="003F0BBC">
        <w:rPr>
          <w:rFonts w:ascii="Arial" w:hAnsi="Arial" w:cs="Arial"/>
        </w:rPr>
        <w:t xml:space="preserve">, A.C., Leme, V.R.B., Barham, E.J., </w:t>
      </w:r>
      <w:proofErr w:type="spellStart"/>
      <w:r w:rsidRPr="003F0BBC">
        <w:rPr>
          <w:rFonts w:ascii="Arial" w:hAnsi="Arial" w:cs="Arial"/>
        </w:rPr>
        <w:t>Squassoni</w:t>
      </w:r>
      <w:proofErr w:type="spellEnd"/>
      <w:r w:rsidRPr="003F0BBC">
        <w:rPr>
          <w:rFonts w:ascii="Arial" w:hAnsi="Arial" w:cs="Arial"/>
        </w:rPr>
        <w:t xml:space="preserve">, C.E., Coimbra, S., </w:t>
      </w:r>
      <w:proofErr w:type="spellStart"/>
      <w:r w:rsidRPr="003F0BBC">
        <w:rPr>
          <w:rFonts w:ascii="Arial" w:hAnsi="Arial" w:cs="Arial"/>
        </w:rPr>
        <w:t>Pizzani</w:t>
      </w:r>
      <w:proofErr w:type="spellEnd"/>
      <w:r w:rsidRPr="003F0BBC">
        <w:rPr>
          <w:rFonts w:ascii="Arial" w:hAnsi="Arial" w:cs="Arial"/>
        </w:rPr>
        <w:t xml:space="preserve">, L. and Fontaine, A.M.G.V., 2023. A cross-cultural adaptation of a measure of intergenerational family relations, for use in Brazil. Journal of Intergenerational Relationships, 21(2), pp.234-252. </w:t>
      </w:r>
      <w:hyperlink r:id="rId25" w:history="1">
        <w:r w:rsidRPr="003F0BBC">
          <w:rPr>
            <w:rStyle w:val="Hyperlink"/>
            <w:rFonts w:ascii="Arial" w:hAnsi="Arial" w:cs="Arial"/>
          </w:rPr>
          <w:t>https://doi.org/10.1080/15350770.2022.2027836</w:t>
        </w:r>
      </w:hyperlink>
      <w:r w:rsidRPr="003F0BBC">
        <w:rPr>
          <w:rFonts w:ascii="Arial" w:hAnsi="Arial" w:cs="Arial"/>
        </w:rPr>
        <w:t xml:space="preserve"> </w:t>
      </w:r>
    </w:p>
    <w:p w14:paraId="22E462F3" w14:textId="77777777" w:rsidR="006F61D0" w:rsidRPr="003F0BBC" w:rsidRDefault="006F61D0" w:rsidP="00040E20">
      <w:pPr>
        <w:ind w:left="720" w:hanging="720"/>
        <w:rPr>
          <w:rFonts w:ascii="Arial" w:hAnsi="Arial" w:cs="Arial"/>
        </w:rPr>
      </w:pPr>
      <w:r w:rsidRPr="003F0BBC">
        <w:rPr>
          <w:rFonts w:ascii="Arial" w:hAnsi="Arial" w:cs="Arial"/>
        </w:rPr>
        <w:t>Cardoso, F. and Moreira, C. (2026). Brazil&amp;#x</w:t>
      </w:r>
      <w:proofErr w:type="gramStart"/>
      <w:r w:rsidRPr="003F0BBC">
        <w:rPr>
          <w:rFonts w:ascii="Arial" w:hAnsi="Arial" w:cs="Arial"/>
        </w:rPr>
        <w:t>27;s</w:t>
      </w:r>
      <w:proofErr w:type="gramEnd"/>
      <w:r w:rsidRPr="003F0BBC">
        <w:rPr>
          <w:rFonts w:ascii="Arial" w:hAnsi="Arial" w:cs="Arial"/>
        </w:rPr>
        <w:t xml:space="preserve"> inflation accelerates in May, tops target range ahead of rate decision. </w:t>
      </w:r>
      <w:r w:rsidRPr="003F0BBC">
        <w:rPr>
          <w:rFonts w:ascii="Arial" w:hAnsi="Arial" w:cs="Arial"/>
          <w:i/>
          <w:iCs/>
        </w:rPr>
        <w:t>Reuters</w:t>
      </w:r>
      <w:r w:rsidRPr="003F0BBC">
        <w:rPr>
          <w:rFonts w:ascii="Arial" w:hAnsi="Arial" w:cs="Arial"/>
        </w:rPr>
        <w:t xml:space="preserve">. [online] 12 June. Available at: </w:t>
      </w:r>
      <w:hyperlink r:id="rId26" w:history="1">
        <w:r w:rsidRPr="003F0BBC">
          <w:rPr>
            <w:rStyle w:val="Hyperlink"/>
            <w:rFonts w:ascii="Arial" w:hAnsi="Arial" w:cs="Arial"/>
          </w:rPr>
          <w:t>https://www.reuters.com/world/americas/brazils-inflation-accelerates-may-tops-target-range-ahead-rate-decision-2026-06-12/</w:t>
        </w:r>
      </w:hyperlink>
      <w:r w:rsidRPr="003F0BBC">
        <w:rPr>
          <w:rFonts w:ascii="Arial" w:hAnsi="Arial" w:cs="Arial"/>
        </w:rPr>
        <w:t xml:space="preserve">  [Accessed 10 July 2026].</w:t>
      </w:r>
    </w:p>
    <w:p w14:paraId="2EB4D520" w14:textId="77777777" w:rsidR="006F61D0" w:rsidRPr="003F0BBC" w:rsidRDefault="006F61D0" w:rsidP="00040E20">
      <w:pPr>
        <w:ind w:left="720" w:hanging="720"/>
        <w:rPr>
          <w:rFonts w:ascii="Arial" w:hAnsi="Arial" w:cs="Arial"/>
        </w:rPr>
      </w:pPr>
      <w:proofErr w:type="spellStart"/>
      <w:r w:rsidRPr="003F0BBC">
        <w:rPr>
          <w:rFonts w:ascii="Arial" w:hAnsi="Arial" w:cs="Arial"/>
        </w:rPr>
        <w:t>Carrai</w:t>
      </w:r>
      <w:proofErr w:type="spellEnd"/>
      <w:r w:rsidRPr="003F0BBC">
        <w:rPr>
          <w:rFonts w:ascii="Arial" w:hAnsi="Arial" w:cs="Arial"/>
        </w:rPr>
        <w:t xml:space="preserve">, R., </w:t>
      </w:r>
      <w:proofErr w:type="spellStart"/>
      <w:r w:rsidRPr="003F0BBC">
        <w:rPr>
          <w:rFonts w:ascii="Arial" w:hAnsi="Arial" w:cs="Arial"/>
        </w:rPr>
        <w:t>Brejzek</w:t>
      </w:r>
      <w:proofErr w:type="spellEnd"/>
      <w:r w:rsidRPr="003F0BBC">
        <w:rPr>
          <w:rFonts w:ascii="Arial" w:hAnsi="Arial" w:cs="Arial"/>
        </w:rPr>
        <w:t xml:space="preserve">, T., </w:t>
      </w:r>
      <w:proofErr w:type="spellStart"/>
      <w:r w:rsidRPr="003F0BBC">
        <w:rPr>
          <w:rFonts w:ascii="Arial" w:hAnsi="Arial" w:cs="Arial"/>
        </w:rPr>
        <w:t>Hinkel</w:t>
      </w:r>
      <w:proofErr w:type="spellEnd"/>
      <w:r w:rsidRPr="003F0BBC">
        <w:rPr>
          <w:rFonts w:ascii="Arial" w:hAnsi="Arial" w:cs="Arial"/>
        </w:rPr>
        <w:t>, R.U. and Wallen, L., 2022. The materialisation of Bauhaus in IKEA’s democratic design. </w:t>
      </w:r>
      <w:r w:rsidRPr="003F0BBC">
        <w:rPr>
          <w:rFonts w:ascii="Arial" w:hAnsi="Arial" w:cs="Arial"/>
          <w:i/>
          <w:iCs/>
        </w:rPr>
        <w:t>Bauhaus</w:t>
      </w:r>
      <w:r w:rsidRPr="003F0BBC">
        <w:rPr>
          <w:rFonts w:ascii="Arial" w:hAnsi="Arial" w:cs="Arial"/>
        </w:rPr>
        <w:t>, </w:t>
      </w:r>
      <w:r w:rsidRPr="003F0BBC">
        <w:rPr>
          <w:rFonts w:ascii="Arial" w:hAnsi="Arial" w:cs="Arial"/>
          <w:i/>
          <w:iCs/>
        </w:rPr>
        <w:t>9</w:t>
      </w:r>
      <w:r w:rsidRPr="003F0BBC">
        <w:rPr>
          <w:rFonts w:ascii="Arial" w:hAnsi="Arial" w:cs="Arial"/>
        </w:rPr>
        <w:t xml:space="preserve">.  </w:t>
      </w:r>
    </w:p>
    <w:p w14:paraId="6A610616" w14:textId="77777777" w:rsidR="006F61D0" w:rsidRPr="003F0BBC" w:rsidRDefault="006F61D0" w:rsidP="00040E20">
      <w:pPr>
        <w:ind w:left="720" w:hanging="720"/>
        <w:rPr>
          <w:rFonts w:ascii="Arial" w:hAnsi="Arial" w:cs="Arial"/>
        </w:rPr>
      </w:pPr>
      <w:proofErr w:type="spellStart"/>
      <w:r w:rsidRPr="003F0BBC">
        <w:rPr>
          <w:rFonts w:ascii="Arial" w:hAnsi="Arial" w:cs="Arial"/>
        </w:rPr>
        <w:t>Cavusgil</w:t>
      </w:r>
      <w:proofErr w:type="spellEnd"/>
      <w:r w:rsidRPr="003F0BBC">
        <w:rPr>
          <w:rFonts w:ascii="Arial" w:hAnsi="Arial" w:cs="Arial"/>
        </w:rPr>
        <w:t xml:space="preserve">, S.T., Knight, G., </w:t>
      </w:r>
      <w:proofErr w:type="spellStart"/>
      <w:r w:rsidRPr="003F0BBC">
        <w:rPr>
          <w:rFonts w:ascii="Arial" w:hAnsi="Arial" w:cs="Arial"/>
        </w:rPr>
        <w:t>Riesenberger</w:t>
      </w:r>
      <w:proofErr w:type="spellEnd"/>
      <w:r w:rsidRPr="003F0BBC">
        <w:rPr>
          <w:rFonts w:ascii="Arial" w:hAnsi="Arial" w:cs="Arial"/>
        </w:rPr>
        <w:t xml:space="preserve">, J.R., </w:t>
      </w:r>
      <w:proofErr w:type="spellStart"/>
      <w:r w:rsidRPr="003F0BBC">
        <w:rPr>
          <w:rFonts w:ascii="Arial" w:hAnsi="Arial" w:cs="Arial"/>
        </w:rPr>
        <w:t>Rammal</w:t>
      </w:r>
      <w:proofErr w:type="spellEnd"/>
      <w:r w:rsidRPr="003F0BBC">
        <w:rPr>
          <w:rFonts w:ascii="Arial" w:hAnsi="Arial" w:cs="Arial"/>
        </w:rPr>
        <w:t>, H.G. and Rose, E.L., 2014. </w:t>
      </w:r>
      <w:r w:rsidRPr="003F0BBC">
        <w:rPr>
          <w:rFonts w:ascii="Arial" w:hAnsi="Arial" w:cs="Arial"/>
          <w:i/>
          <w:iCs/>
        </w:rPr>
        <w:t>International business</w:t>
      </w:r>
      <w:r w:rsidRPr="003F0BBC">
        <w:rPr>
          <w:rFonts w:ascii="Arial" w:hAnsi="Arial" w:cs="Arial"/>
        </w:rPr>
        <w:t>. Pearson Australia.</w:t>
      </w:r>
    </w:p>
    <w:p w14:paraId="2733758D" w14:textId="77777777" w:rsidR="006F61D0" w:rsidRPr="003F0BBC" w:rsidRDefault="006F61D0" w:rsidP="00040E20">
      <w:pPr>
        <w:ind w:left="720" w:hanging="720"/>
        <w:rPr>
          <w:rFonts w:ascii="Arial" w:hAnsi="Arial" w:cs="Arial"/>
        </w:rPr>
      </w:pPr>
      <w:proofErr w:type="spellStart"/>
      <w:r w:rsidRPr="003F0BBC">
        <w:rPr>
          <w:rFonts w:ascii="Arial" w:hAnsi="Arial" w:cs="Arial"/>
        </w:rPr>
        <w:t>Cebreiro</w:t>
      </w:r>
      <w:proofErr w:type="spellEnd"/>
      <w:r w:rsidRPr="003F0BBC">
        <w:rPr>
          <w:rFonts w:ascii="Arial" w:hAnsi="Arial" w:cs="Arial"/>
        </w:rPr>
        <w:t xml:space="preserve"> Gomez, A., </w:t>
      </w:r>
      <w:proofErr w:type="spellStart"/>
      <w:r w:rsidRPr="003F0BBC">
        <w:rPr>
          <w:rFonts w:ascii="Arial" w:hAnsi="Arial" w:cs="Arial"/>
        </w:rPr>
        <w:t>Kolerus</w:t>
      </w:r>
      <w:proofErr w:type="spellEnd"/>
      <w:r w:rsidRPr="003F0BBC">
        <w:rPr>
          <w:rFonts w:ascii="Arial" w:hAnsi="Arial" w:cs="Arial"/>
        </w:rPr>
        <w:t xml:space="preserve">, C., Dal </w:t>
      </w:r>
      <w:proofErr w:type="spellStart"/>
      <w:r w:rsidRPr="003F0BBC">
        <w:rPr>
          <w:rFonts w:ascii="Arial" w:hAnsi="Arial" w:cs="Arial"/>
        </w:rPr>
        <w:t>Pizzol</w:t>
      </w:r>
      <w:proofErr w:type="spellEnd"/>
      <w:r w:rsidRPr="003F0BBC">
        <w:rPr>
          <w:rFonts w:ascii="Arial" w:hAnsi="Arial" w:cs="Arial"/>
        </w:rPr>
        <w:t xml:space="preserve">, G., Moreira, P. and </w:t>
      </w:r>
      <w:proofErr w:type="spellStart"/>
      <w:r w:rsidRPr="003F0BBC">
        <w:rPr>
          <w:rFonts w:ascii="Arial" w:hAnsi="Arial" w:cs="Arial"/>
        </w:rPr>
        <w:t>Pecho</w:t>
      </w:r>
      <w:proofErr w:type="spellEnd"/>
      <w:r w:rsidRPr="003F0BBC">
        <w:rPr>
          <w:rFonts w:ascii="Arial" w:hAnsi="Arial" w:cs="Arial"/>
        </w:rPr>
        <w:t xml:space="preserve">, M. (2026). Brazil’s VAT Reform: Ensuring Revenue Neutrality. </w:t>
      </w:r>
      <w:r w:rsidRPr="003F0BBC">
        <w:rPr>
          <w:rFonts w:ascii="Arial" w:hAnsi="Arial" w:cs="Arial"/>
          <w:i/>
          <w:iCs/>
        </w:rPr>
        <w:t xml:space="preserve">IMF </w:t>
      </w:r>
      <w:proofErr w:type="spellStart"/>
      <w:r w:rsidRPr="003F0BBC">
        <w:rPr>
          <w:rFonts w:ascii="Arial" w:hAnsi="Arial" w:cs="Arial"/>
          <w:i/>
          <w:iCs/>
        </w:rPr>
        <w:t>eLibrary</w:t>
      </w:r>
      <w:proofErr w:type="spellEnd"/>
      <w:r w:rsidRPr="003F0BBC">
        <w:rPr>
          <w:rFonts w:ascii="Arial" w:hAnsi="Arial" w:cs="Arial"/>
        </w:rPr>
        <w:t xml:space="preserve">, 2025(266). </w:t>
      </w:r>
      <w:hyperlink r:id="rId27" w:history="1">
        <w:r w:rsidRPr="003F0BBC">
          <w:rPr>
            <w:rStyle w:val="Hyperlink"/>
            <w:rFonts w:ascii="Arial" w:hAnsi="Arial" w:cs="Arial"/>
          </w:rPr>
          <w:t>https://doi.org/10.5089/9798229032971.001</w:t>
        </w:r>
      </w:hyperlink>
      <w:r w:rsidRPr="003F0BBC">
        <w:rPr>
          <w:rFonts w:ascii="Arial" w:hAnsi="Arial" w:cs="Arial"/>
        </w:rPr>
        <w:t xml:space="preserve"> </w:t>
      </w:r>
    </w:p>
    <w:p w14:paraId="7C3169DA" w14:textId="77777777" w:rsidR="006F61D0" w:rsidRPr="003F0BBC" w:rsidRDefault="006F61D0" w:rsidP="00040E20">
      <w:pPr>
        <w:ind w:left="720" w:hanging="720"/>
        <w:rPr>
          <w:rFonts w:ascii="Arial" w:hAnsi="Arial" w:cs="Arial"/>
        </w:rPr>
      </w:pPr>
      <w:r w:rsidRPr="003F0BBC">
        <w:rPr>
          <w:rFonts w:ascii="Arial" w:hAnsi="Arial" w:cs="Arial"/>
        </w:rPr>
        <w:t xml:space="preserve">CFI (2022). </w:t>
      </w:r>
      <w:r w:rsidRPr="003F0BBC">
        <w:rPr>
          <w:rFonts w:ascii="Arial" w:hAnsi="Arial" w:cs="Arial"/>
          <w:i/>
          <w:iCs/>
        </w:rPr>
        <w:t>Eclectic Paradigm</w:t>
      </w:r>
      <w:r w:rsidRPr="003F0BBC">
        <w:rPr>
          <w:rFonts w:ascii="Arial" w:hAnsi="Arial" w:cs="Arial"/>
        </w:rPr>
        <w:t xml:space="preserve">. [online] Corporate Finance Institute. Available at: </w:t>
      </w:r>
      <w:hyperlink r:id="rId28" w:history="1">
        <w:r w:rsidRPr="003F0BBC">
          <w:rPr>
            <w:rStyle w:val="Hyperlink"/>
            <w:rFonts w:ascii="Arial" w:hAnsi="Arial" w:cs="Arial"/>
          </w:rPr>
          <w:t>https://corporatefinanceinstitute.com/resources/management/eclectic-paradigm/</w:t>
        </w:r>
      </w:hyperlink>
      <w:r w:rsidRPr="003F0BBC">
        <w:rPr>
          <w:rFonts w:ascii="Arial" w:hAnsi="Arial" w:cs="Arial"/>
        </w:rPr>
        <w:t xml:space="preserve">  [Accessed 11 July 2026].</w:t>
      </w:r>
    </w:p>
    <w:p w14:paraId="0EB6C2EA" w14:textId="17A878B7" w:rsidR="006F61D0" w:rsidRPr="003F0BBC" w:rsidRDefault="006F61D0" w:rsidP="00040E20">
      <w:pPr>
        <w:ind w:left="720" w:hanging="720"/>
        <w:rPr>
          <w:rFonts w:ascii="Arial" w:hAnsi="Arial" w:cs="Arial"/>
        </w:rPr>
      </w:pPr>
      <w:r w:rsidRPr="003F0BBC">
        <w:rPr>
          <w:rFonts w:ascii="Arial" w:hAnsi="Arial" w:cs="Arial"/>
        </w:rPr>
        <w:t xml:space="preserve">Chang, S.-J., Chung, J. and Moon, J.J. (2013). When Do Wholly Owned Subsidiaries Perform Better Than Joint Ventures? </w:t>
      </w:r>
      <w:r w:rsidRPr="003F0BBC">
        <w:rPr>
          <w:rFonts w:ascii="Arial" w:hAnsi="Arial" w:cs="Arial"/>
          <w:i/>
          <w:iCs/>
        </w:rPr>
        <w:t>Strategic Management Journal</w:t>
      </w:r>
      <w:r w:rsidRPr="003F0BBC">
        <w:rPr>
          <w:rFonts w:ascii="Arial" w:hAnsi="Arial" w:cs="Arial"/>
        </w:rPr>
        <w:t xml:space="preserve">, [online] 34(3), pp.317–337. </w:t>
      </w:r>
    </w:p>
    <w:p w14:paraId="14604215" w14:textId="77777777" w:rsidR="006F61D0" w:rsidRPr="003F0BBC" w:rsidRDefault="006F61D0" w:rsidP="00040E20">
      <w:pPr>
        <w:ind w:left="720" w:hanging="720"/>
        <w:rPr>
          <w:rFonts w:ascii="Arial" w:hAnsi="Arial" w:cs="Arial"/>
        </w:rPr>
      </w:pPr>
      <w:r w:rsidRPr="003F0BBC">
        <w:rPr>
          <w:rFonts w:ascii="Arial" w:hAnsi="Arial" w:cs="Arial"/>
        </w:rPr>
        <w:t>Diallo, M.F., Burt, S. and Sparks, L., 2019. The influence of image and consumer factors on store brand choice in the Brazilian market: Evidence from two retail chains. </w:t>
      </w:r>
      <w:r w:rsidRPr="003F0BBC">
        <w:rPr>
          <w:rFonts w:ascii="Arial" w:hAnsi="Arial" w:cs="Arial"/>
          <w:i/>
          <w:iCs/>
        </w:rPr>
        <w:t>European Business Review</w:t>
      </w:r>
      <w:r w:rsidRPr="003F0BBC">
        <w:rPr>
          <w:rFonts w:ascii="Arial" w:hAnsi="Arial" w:cs="Arial"/>
        </w:rPr>
        <w:t>, </w:t>
      </w:r>
      <w:r w:rsidRPr="003F0BBC">
        <w:rPr>
          <w:rFonts w:ascii="Arial" w:hAnsi="Arial" w:cs="Arial"/>
          <w:i/>
          <w:iCs/>
        </w:rPr>
        <w:t>27</w:t>
      </w:r>
      <w:r w:rsidRPr="003F0BBC">
        <w:rPr>
          <w:rFonts w:ascii="Arial" w:hAnsi="Arial" w:cs="Arial"/>
        </w:rPr>
        <w:t xml:space="preserve">(5), pp.495-512. </w:t>
      </w:r>
      <w:hyperlink r:id="rId29" w:history="1">
        <w:r w:rsidRPr="003F0BBC">
          <w:rPr>
            <w:rStyle w:val="Hyperlink"/>
            <w:rFonts w:ascii="Arial" w:hAnsi="Arial" w:cs="Arial"/>
          </w:rPr>
          <w:t>https://doi.org/10.1108/EBR-03-2013-0048</w:t>
        </w:r>
      </w:hyperlink>
      <w:r w:rsidRPr="003F0BBC">
        <w:rPr>
          <w:rFonts w:ascii="Arial" w:hAnsi="Arial" w:cs="Arial"/>
        </w:rPr>
        <w:t xml:space="preserve"> </w:t>
      </w:r>
    </w:p>
    <w:p w14:paraId="4BD3E683" w14:textId="77777777" w:rsidR="006F61D0" w:rsidRPr="003F0BBC" w:rsidRDefault="006F61D0" w:rsidP="00040E20">
      <w:pPr>
        <w:ind w:left="720" w:hanging="720"/>
        <w:rPr>
          <w:rFonts w:ascii="Arial" w:hAnsi="Arial" w:cs="Arial"/>
        </w:rPr>
      </w:pPr>
      <w:r w:rsidRPr="003F0BBC">
        <w:rPr>
          <w:rFonts w:ascii="Arial" w:hAnsi="Arial" w:cs="Arial"/>
        </w:rPr>
        <w:t xml:space="preserve">Dunning, J.H. (1988) The Eclectic Paradigm of International Production: A Restatement and Some Possible Extensions. Journal of International Business Studies, 19, 1-31. </w:t>
      </w:r>
      <w:hyperlink r:id="rId30" w:history="1">
        <w:r w:rsidRPr="003F0BBC">
          <w:rPr>
            <w:rStyle w:val="Hyperlink"/>
            <w:rFonts w:ascii="Arial" w:hAnsi="Arial" w:cs="Arial"/>
          </w:rPr>
          <w:t>http://dx.doi.org/10.1057/palgrave.jibs.8490372</w:t>
        </w:r>
      </w:hyperlink>
      <w:r w:rsidRPr="003F0BBC">
        <w:rPr>
          <w:rFonts w:ascii="Arial" w:hAnsi="Arial" w:cs="Arial"/>
        </w:rPr>
        <w:t xml:space="preserve"> </w:t>
      </w:r>
    </w:p>
    <w:p w14:paraId="1B3F02FD" w14:textId="77777777" w:rsidR="006F61D0" w:rsidRPr="003F0BBC" w:rsidRDefault="006F61D0" w:rsidP="00040E20">
      <w:pPr>
        <w:ind w:left="720" w:hanging="720"/>
        <w:rPr>
          <w:rFonts w:ascii="Arial" w:hAnsi="Arial" w:cs="Arial"/>
        </w:rPr>
      </w:pPr>
      <w:proofErr w:type="spellStart"/>
      <w:r w:rsidRPr="003F0BBC">
        <w:rPr>
          <w:rFonts w:ascii="Arial" w:hAnsi="Arial" w:cs="Arial"/>
        </w:rPr>
        <w:t>Ellwanger</w:t>
      </w:r>
      <w:proofErr w:type="spellEnd"/>
      <w:r w:rsidRPr="003F0BBC">
        <w:rPr>
          <w:rFonts w:ascii="Arial" w:hAnsi="Arial" w:cs="Arial"/>
        </w:rPr>
        <w:t xml:space="preserve">, J.H., </w:t>
      </w:r>
      <w:proofErr w:type="spellStart"/>
      <w:r w:rsidRPr="003F0BBC">
        <w:rPr>
          <w:rFonts w:ascii="Arial" w:hAnsi="Arial" w:cs="Arial"/>
        </w:rPr>
        <w:t>Nobre</w:t>
      </w:r>
      <w:proofErr w:type="spellEnd"/>
      <w:r w:rsidRPr="003F0BBC">
        <w:rPr>
          <w:rFonts w:ascii="Arial" w:hAnsi="Arial" w:cs="Arial"/>
        </w:rPr>
        <w:t xml:space="preserve">, C.A. and </w:t>
      </w:r>
      <w:proofErr w:type="spellStart"/>
      <w:r w:rsidRPr="003F0BBC">
        <w:rPr>
          <w:rFonts w:ascii="Arial" w:hAnsi="Arial" w:cs="Arial"/>
        </w:rPr>
        <w:t>Chies</w:t>
      </w:r>
      <w:proofErr w:type="spellEnd"/>
      <w:r w:rsidRPr="003F0BBC">
        <w:rPr>
          <w:rFonts w:ascii="Arial" w:hAnsi="Arial" w:cs="Arial"/>
        </w:rPr>
        <w:t>, J.A.B., 2022. Brazilian biodiversity as a source of power and sustainable development: a neglected opportunity. </w:t>
      </w:r>
      <w:r w:rsidRPr="003F0BBC">
        <w:rPr>
          <w:rFonts w:ascii="Arial" w:hAnsi="Arial" w:cs="Arial"/>
          <w:i/>
          <w:iCs/>
        </w:rPr>
        <w:t>Sustainability</w:t>
      </w:r>
      <w:r w:rsidRPr="003F0BBC">
        <w:rPr>
          <w:rFonts w:ascii="Arial" w:hAnsi="Arial" w:cs="Arial"/>
        </w:rPr>
        <w:t>, </w:t>
      </w:r>
      <w:r w:rsidRPr="003F0BBC">
        <w:rPr>
          <w:rFonts w:ascii="Arial" w:hAnsi="Arial" w:cs="Arial"/>
          <w:i/>
          <w:iCs/>
        </w:rPr>
        <w:t>15</w:t>
      </w:r>
      <w:r w:rsidRPr="003F0BBC">
        <w:rPr>
          <w:rFonts w:ascii="Arial" w:hAnsi="Arial" w:cs="Arial"/>
        </w:rPr>
        <w:t xml:space="preserve">(1), p.482. </w:t>
      </w:r>
      <w:hyperlink r:id="rId31" w:history="1">
        <w:r w:rsidRPr="003F0BBC">
          <w:rPr>
            <w:rStyle w:val="Hyperlink"/>
            <w:rFonts w:ascii="Arial" w:hAnsi="Arial" w:cs="Arial"/>
          </w:rPr>
          <w:t>https://doi.org/10.3390/su15010482</w:t>
        </w:r>
      </w:hyperlink>
      <w:r w:rsidRPr="003F0BBC">
        <w:rPr>
          <w:rFonts w:ascii="Arial" w:hAnsi="Arial" w:cs="Arial"/>
        </w:rPr>
        <w:t xml:space="preserve"> </w:t>
      </w:r>
    </w:p>
    <w:p w14:paraId="5B625DC1" w14:textId="77777777" w:rsidR="006F61D0" w:rsidRPr="003F0BBC" w:rsidRDefault="006F61D0" w:rsidP="00040E20">
      <w:pPr>
        <w:ind w:left="720" w:hanging="720"/>
        <w:rPr>
          <w:rFonts w:ascii="Arial" w:hAnsi="Arial" w:cs="Arial"/>
        </w:rPr>
      </w:pPr>
      <w:proofErr w:type="spellStart"/>
      <w:r w:rsidRPr="003F0BBC">
        <w:rPr>
          <w:rFonts w:ascii="Arial" w:hAnsi="Arial" w:cs="Arial"/>
        </w:rPr>
        <w:t>Fedec</w:t>
      </w:r>
      <w:proofErr w:type="spellEnd"/>
      <w:r w:rsidRPr="003F0BBC">
        <w:rPr>
          <w:rFonts w:ascii="Arial" w:hAnsi="Arial" w:cs="Arial"/>
        </w:rPr>
        <w:t xml:space="preserve">, A. (2026). </w:t>
      </w:r>
      <w:r w:rsidRPr="003F0BBC">
        <w:rPr>
          <w:rFonts w:ascii="Arial" w:hAnsi="Arial" w:cs="Arial"/>
          <w:i/>
          <w:iCs/>
        </w:rPr>
        <w:t>Brazilian Real Extends Rally</w:t>
      </w:r>
      <w:r w:rsidRPr="003F0BBC">
        <w:rPr>
          <w:rFonts w:ascii="Arial" w:hAnsi="Arial" w:cs="Arial"/>
        </w:rPr>
        <w:t xml:space="preserve">. [online] Tradingeconomics.com. Available at: </w:t>
      </w:r>
      <w:hyperlink r:id="rId32" w:history="1">
        <w:r w:rsidRPr="003F0BBC">
          <w:rPr>
            <w:rStyle w:val="Hyperlink"/>
            <w:rFonts w:ascii="Arial" w:hAnsi="Arial" w:cs="Arial"/>
          </w:rPr>
          <w:t>https://tradingeconomics.com/brazil/currency/news/548426</w:t>
        </w:r>
      </w:hyperlink>
      <w:r w:rsidRPr="003F0BBC">
        <w:rPr>
          <w:rFonts w:ascii="Arial" w:hAnsi="Arial" w:cs="Arial"/>
        </w:rPr>
        <w:t xml:space="preserve"> [Accessed 10 July 2026].</w:t>
      </w:r>
    </w:p>
    <w:p w14:paraId="67B397A4" w14:textId="77777777" w:rsidR="006F61D0" w:rsidRPr="003F0BBC" w:rsidRDefault="006F61D0" w:rsidP="00040E20">
      <w:pPr>
        <w:ind w:left="720" w:hanging="720"/>
        <w:rPr>
          <w:rFonts w:ascii="Arial" w:hAnsi="Arial" w:cs="Arial"/>
        </w:rPr>
      </w:pPr>
      <w:r w:rsidRPr="003F0BBC">
        <w:rPr>
          <w:rFonts w:ascii="Arial" w:hAnsi="Arial" w:cs="Arial"/>
        </w:rPr>
        <w:lastRenderedPageBreak/>
        <w:t xml:space="preserve">Fernandes, J.R.L. (2020). LABOR LAW, CLT AND THE 2017 BRAZILIAN LABOR REFORM. </w:t>
      </w:r>
      <w:r w:rsidRPr="003F0BBC">
        <w:rPr>
          <w:rFonts w:ascii="Arial" w:hAnsi="Arial" w:cs="Arial"/>
          <w:i/>
          <w:iCs/>
        </w:rPr>
        <w:t>PANORAMA OF BRAZILIAN LAW</w:t>
      </w:r>
      <w:r w:rsidRPr="003F0BBC">
        <w:rPr>
          <w:rFonts w:ascii="Arial" w:hAnsi="Arial" w:cs="Arial"/>
        </w:rPr>
        <w:t>, 5(7–8), pp.210–242. doi:10.17768/</w:t>
      </w:r>
      <w:proofErr w:type="gramStart"/>
      <w:r w:rsidRPr="003F0BBC">
        <w:rPr>
          <w:rFonts w:ascii="Arial" w:hAnsi="Arial" w:cs="Arial"/>
        </w:rPr>
        <w:t>pbl.y</w:t>
      </w:r>
      <w:proofErr w:type="gramEnd"/>
      <w:r w:rsidRPr="003F0BBC">
        <w:rPr>
          <w:rFonts w:ascii="Arial" w:hAnsi="Arial" w:cs="Arial"/>
        </w:rPr>
        <w:t xml:space="preserve">5n7-8.p210-242 </w:t>
      </w:r>
    </w:p>
    <w:p w14:paraId="6FCD694F" w14:textId="77777777" w:rsidR="006F61D0" w:rsidRPr="003F0BBC" w:rsidRDefault="006F61D0" w:rsidP="00040E20">
      <w:pPr>
        <w:ind w:left="720" w:hanging="720"/>
        <w:rPr>
          <w:rFonts w:ascii="Arial" w:hAnsi="Arial" w:cs="Arial"/>
        </w:rPr>
      </w:pPr>
      <w:r w:rsidRPr="003F0BBC">
        <w:rPr>
          <w:rFonts w:ascii="Arial" w:hAnsi="Arial" w:cs="Arial"/>
        </w:rPr>
        <w:t xml:space="preserve">Ferreira, F.C.M., </w:t>
      </w:r>
      <w:proofErr w:type="spellStart"/>
      <w:r w:rsidRPr="003F0BBC">
        <w:rPr>
          <w:rFonts w:ascii="Arial" w:hAnsi="Arial" w:cs="Arial"/>
        </w:rPr>
        <w:t>Biazzin</w:t>
      </w:r>
      <w:proofErr w:type="spellEnd"/>
      <w:r w:rsidRPr="003F0BBC">
        <w:rPr>
          <w:rFonts w:ascii="Arial" w:hAnsi="Arial" w:cs="Arial"/>
        </w:rPr>
        <w:t>, C. and Hong, P.C., 2024. Transition paths of Brazil from an agricultural economy to a regional powerhouse: A global supply chain perspective. </w:t>
      </w:r>
      <w:r w:rsidRPr="003F0BBC">
        <w:rPr>
          <w:rFonts w:ascii="Arial" w:hAnsi="Arial" w:cs="Arial"/>
          <w:i/>
          <w:iCs/>
        </w:rPr>
        <w:t>Sustainability</w:t>
      </w:r>
      <w:r w:rsidRPr="003F0BBC">
        <w:rPr>
          <w:rFonts w:ascii="Arial" w:hAnsi="Arial" w:cs="Arial"/>
        </w:rPr>
        <w:t>, </w:t>
      </w:r>
      <w:r w:rsidRPr="003F0BBC">
        <w:rPr>
          <w:rFonts w:ascii="Arial" w:hAnsi="Arial" w:cs="Arial"/>
          <w:i/>
          <w:iCs/>
        </w:rPr>
        <w:t>16</w:t>
      </w:r>
      <w:r w:rsidRPr="003F0BBC">
        <w:rPr>
          <w:rFonts w:ascii="Arial" w:hAnsi="Arial" w:cs="Arial"/>
        </w:rPr>
        <w:t xml:space="preserve">(7), p.2872. </w:t>
      </w:r>
      <w:hyperlink r:id="rId33" w:history="1">
        <w:r w:rsidRPr="003F0BBC">
          <w:rPr>
            <w:rStyle w:val="Hyperlink"/>
            <w:rFonts w:ascii="Arial" w:hAnsi="Arial" w:cs="Arial"/>
          </w:rPr>
          <w:t>https://doi.org/10.3390/su16072872</w:t>
        </w:r>
      </w:hyperlink>
      <w:r w:rsidRPr="003F0BBC">
        <w:rPr>
          <w:rFonts w:ascii="Arial" w:hAnsi="Arial" w:cs="Arial"/>
        </w:rPr>
        <w:t xml:space="preserve"> </w:t>
      </w:r>
    </w:p>
    <w:p w14:paraId="364DE9C5" w14:textId="77777777" w:rsidR="006F61D0" w:rsidRPr="003F0BBC" w:rsidRDefault="006F61D0" w:rsidP="00040E20">
      <w:pPr>
        <w:ind w:left="720" w:hanging="720"/>
        <w:rPr>
          <w:rFonts w:ascii="Arial" w:hAnsi="Arial" w:cs="Arial"/>
        </w:rPr>
      </w:pPr>
      <w:r w:rsidRPr="003F0BBC">
        <w:rPr>
          <w:rFonts w:ascii="Arial" w:hAnsi="Arial" w:cs="Arial"/>
        </w:rPr>
        <w:t xml:space="preserve">Gaetani, F. (2025). </w:t>
      </w:r>
      <w:r w:rsidRPr="003F0BBC">
        <w:rPr>
          <w:rFonts w:ascii="Arial" w:hAnsi="Arial" w:cs="Arial"/>
          <w:i/>
          <w:iCs/>
        </w:rPr>
        <w:t>Brazil in the Labyrinth: State, Democracy and Inequality</w:t>
      </w:r>
      <w:r w:rsidRPr="003F0BBC">
        <w:rPr>
          <w:rFonts w:ascii="Arial" w:hAnsi="Arial" w:cs="Arial"/>
        </w:rPr>
        <w:t xml:space="preserve">. [online] Social Europe. Available at: </w:t>
      </w:r>
      <w:hyperlink r:id="rId34" w:history="1">
        <w:r w:rsidRPr="003F0BBC">
          <w:rPr>
            <w:rStyle w:val="Hyperlink"/>
            <w:rFonts w:ascii="Arial" w:hAnsi="Arial" w:cs="Arial"/>
          </w:rPr>
          <w:t>https://www.socialeurope.eu/brazil-in-the-labyrinth-state-democracy-and-inequality</w:t>
        </w:r>
      </w:hyperlink>
      <w:r w:rsidRPr="003F0BBC">
        <w:rPr>
          <w:rFonts w:ascii="Arial" w:hAnsi="Arial" w:cs="Arial"/>
        </w:rPr>
        <w:t xml:space="preserve">  [Accessed 10 July 2026].</w:t>
      </w:r>
    </w:p>
    <w:p w14:paraId="660DFDF6" w14:textId="77777777" w:rsidR="006F61D0" w:rsidRPr="003F0BBC" w:rsidRDefault="006F61D0" w:rsidP="00040E20">
      <w:pPr>
        <w:ind w:left="720" w:hanging="720"/>
        <w:rPr>
          <w:rFonts w:ascii="Arial" w:hAnsi="Arial" w:cs="Arial"/>
        </w:rPr>
      </w:pPr>
      <w:proofErr w:type="spellStart"/>
      <w:r w:rsidRPr="003F0BBC">
        <w:rPr>
          <w:rFonts w:ascii="Arial" w:hAnsi="Arial" w:cs="Arial"/>
        </w:rPr>
        <w:t>Gaier</w:t>
      </w:r>
      <w:proofErr w:type="spellEnd"/>
      <w:r w:rsidRPr="003F0BBC">
        <w:rPr>
          <w:rFonts w:ascii="Arial" w:hAnsi="Arial" w:cs="Arial"/>
        </w:rPr>
        <w:t xml:space="preserve">, R.V. (2023). Brazil’s Lula unveils $350 </w:t>
      </w:r>
      <w:proofErr w:type="spellStart"/>
      <w:r w:rsidRPr="003F0BBC">
        <w:rPr>
          <w:rFonts w:ascii="Arial" w:hAnsi="Arial" w:cs="Arial"/>
        </w:rPr>
        <w:t>bln</w:t>
      </w:r>
      <w:proofErr w:type="spellEnd"/>
      <w:r w:rsidRPr="003F0BBC">
        <w:rPr>
          <w:rFonts w:ascii="Arial" w:hAnsi="Arial" w:cs="Arial"/>
        </w:rPr>
        <w:t xml:space="preserve"> “growth acceleration” plan. </w:t>
      </w:r>
      <w:r w:rsidRPr="003F0BBC">
        <w:rPr>
          <w:rFonts w:ascii="Arial" w:hAnsi="Arial" w:cs="Arial"/>
          <w:i/>
          <w:iCs/>
        </w:rPr>
        <w:t>Reuters</w:t>
      </w:r>
      <w:r w:rsidRPr="003F0BBC">
        <w:rPr>
          <w:rFonts w:ascii="Arial" w:hAnsi="Arial" w:cs="Arial"/>
        </w:rPr>
        <w:t xml:space="preserve">. [online] 11 Aug. Available at: </w:t>
      </w:r>
      <w:hyperlink r:id="rId35" w:history="1">
        <w:r w:rsidRPr="003F0BBC">
          <w:rPr>
            <w:rStyle w:val="Hyperlink"/>
            <w:rFonts w:ascii="Arial" w:hAnsi="Arial" w:cs="Arial"/>
          </w:rPr>
          <w:t>https://www.reuters.com/world/americas/brazil-launches-growth-acceleration-plan-set-invest-350-bln-2023-08-11/</w:t>
        </w:r>
      </w:hyperlink>
      <w:r w:rsidRPr="003F0BBC">
        <w:rPr>
          <w:rFonts w:ascii="Arial" w:hAnsi="Arial" w:cs="Arial"/>
        </w:rPr>
        <w:t xml:space="preserve"> [Accessed 10 July 2026].</w:t>
      </w:r>
    </w:p>
    <w:p w14:paraId="41D4A693" w14:textId="77777777" w:rsidR="006F61D0" w:rsidRPr="003F0BBC" w:rsidRDefault="006F61D0" w:rsidP="00040E20">
      <w:pPr>
        <w:ind w:left="720" w:hanging="720"/>
        <w:rPr>
          <w:rFonts w:ascii="Arial" w:hAnsi="Arial" w:cs="Arial"/>
        </w:rPr>
      </w:pPr>
      <w:r w:rsidRPr="003F0BBC">
        <w:rPr>
          <w:rFonts w:ascii="Arial" w:hAnsi="Arial" w:cs="Arial"/>
        </w:rPr>
        <w:t>Gibbs, G. (1998) Learning by Doing: A Guide to Teaching and Learning Methods. Oxford Brooks University, Oxford.</w:t>
      </w:r>
    </w:p>
    <w:p w14:paraId="160737F0" w14:textId="77777777" w:rsidR="006F61D0" w:rsidRPr="003F0BBC" w:rsidRDefault="006F61D0" w:rsidP="00040E20">
      <w:pPr>
        <w:ind w:left="720" w:hanging="720"/>
        <w:rPr>
          <w:rFonts w:ascii="Arial" w:hAnsi="Arial" w:cs="Arial"/>
        </w:rPr>
      </w:pPr>
      <w:r w:rsidRPr="003F0BBC">
        <w:rPr>
          <w:rFonts w:ascii="Arial" w:hAnsi="Arial" w:cs="Arial"/>
        </w:rPr>
        <w:t xml:space="preserve">Global Times (2025). </w:t>
      </w:r>
      <w:r w:rsidRPr="003F0BBC">
        <w:rPr>
          <w:rFonts w:ascii="Arial" w:hAnsi="Arial" w:cs="Arial"/>
          <w:i/>
          <w:iCs/>
        </w:rPr>
        <w:t>Brazil’s GDP expands 2.3% in 2025, reaching R$12.7 trillion as key sectors post strong gains - Global Times</w:t>
      </w:r>
      <w:r w:rsidRPr="003F0BBC">
        <w:rPr>
          <w:rFonts w:ascii="Arial" w:hAnsi="Arial" w:cs="Arial"/>
        </w:rPr>
        <w:t xml:space="preserve">. [online] Globaltimes.cn. Available at: </w:t>
      </w:r>
      <w:hyperlink r:id="rId36" w:history="1">
        <w:r w:rsidRPr="003F0BBC">
          <w:rPr>
            <w:rStyle w:val="Hyperlink"/>
            <w:rFonts w:ascii="Arial" w:hAnsi="Arial" w:cs="Arial"/>
          </w:rPr>
          <w:t>https://www.globaltimes.cn/page/202603/1356419.shtml</w:t>
        </w:r>
      </w:hyperlink>
      <w:r w:rsidRPr="003F0BBC">
        <w:rPr>
          <w:rFonts w:ascii="Arial" w:hAnsi="Arial" w:cs="Arial"/>
        </w:rPr>
        <w:t xml:space="preserve"> [Accessed 10 July 2026].</w:t>
      </w:r>
    </w:p>
    <w:p w14:paraId="2DF9A032" w14:textId="77777777" w:rsidR="006F61D0" w:rsidRPr="003F0BBC" w:rsidRDefault="006F61D0" w:rsidP="00040E20">
      <w:pPr>
        <w:ind w:left="720" w:hanging="720"/>
        <w:rPr>
          <w:rFonts w:ascii="Arial" w:hAnsi="Arial" w:cs="Arial"/>
        </w:rPr>
      </w:pPr>
      <w:r w:rsidRPr="003F0BBC">
        <w:rPr>
          <w:rFonts w:ascii="Arial" w:hAnsi="Arial" w:cs="Arial"/>
        </w:rPr>
        <w:t xml:space="preserve">Guo, Y., Liu, F., Song, J.-S. and Wang, S. (2024). Supply Chain Resilience: A Review from the Inventory Management Perspective. </w:t>
      </w:r>
      <w:r w:rsidRPr="003F0BBC">
        <w:rPr>
          <w:rFonts w:ascii="Arial" w:hAnsi="Arial" w:cs="Arial"/>
          <w:i/>
          <w:iCs/>
        </w:rPr>
        <w:t>Fundamental Research</w:t>
      </w:r>
      <w:r w:rsidRPr="003F0BBC">
        <w:rPr>
          <w:rFonts w:ascii="Arial" w:hAnsi="Arial" w:cs="Arial"/>
        </w:rPr>
        <w:t xml:space="preserve">, [online] 5(2), pp.1–14. </w:t>
      </w:r>
      <w:proofErr w:type="gramStart"/>
      <w:r w:rsidRPr="003F0BBC">
        <w:rPr>
          <w:rFonts w:ascii="Arial" w:hAnsi="Arial" w:cs="Arial"/>
        </w:rPr>
        <w:t>doi:10.1016/j.fmre</w:t>
      </w:r>
      <w:proofErr w:type="gramEnd"/>
      <w:r w:rsidRPr="003F0BBC">
        <w:rPr>
          <w:rFonts w:ascii="Arial" w:hAnsi="Arial" w:cs="Arial"/>
        </w:rPr>
        <w:t>.2024.08.002.</w:t>
      </w:r>
    </w:p>
    <w:p w14:paraId="5C8365DE" w14:textId="77777777" w:rsidR="006F61D0" w:rsidRPr="003F0BBC" w:rsidRDefault="006F61D0" w:rsidP="00040E20">
      <w:pPr>
        <w:ind w:left="720" w:hanging="720"/>
        <w:rPr>
          <w:rFonts w:ascii="Arial" w:hAnsi="Arial" w:cs="Arial"/>
        </w:rPr>
      </w:pPr>
      <w:r w:rsidRPr="003F0BBC">
        <w:rPr>
          <w:rFonts w:ascii="Arial" w:hAnsi="Arial" w:cs="Arial"/>
        </w:rPr>
        <w:t xml:space="preserve">IKEA (2025). </w:t>
      </w:r>
      <w:r w:rsidRPr="003F0BBC">
        <w:rPr>
          <w:rFonts w:ascii="Arial" w:hAnsi="Arial" w:cs="Arial"/>
          <w:i/>
          <w:iCs/>
        </w:rPr>
        <w:t>IWAY: The Code of Conduct for IKEA Suppliers</w:t>
      </w:r>
      <w:r w:rsidRPr="003F0BBC">
        <w:rPr>
          <w:rFonts w:ascii="Arial" w:hAnsi="Arial" w:cs="Arial"/>
        </w:rPr>
        <w:t xml:space="preserve">. [online] IKEA. Available at: </w:t>
      </w:r>
      <w:hyperlink r:id="rId37" w:history="1">
        <w:r w:rsidRPr="003F0BBC">
          <w:rPr>
            <w:rStyle w:val="Hyperlink"/>
            <w:rFonts w:ascii="Arial" w:hAnsi="Arial" w:cs="Arial"/>
          </w:rPr>
          <w:t>https://www.ikea.com/global/en/our-business/how-we-work/iway-our-supplier-code-of-conduct/</w:t>
        </w:r>
      </w:hyperlink>
      <w:r w:rsidRPr="003F0BBC">
        <w:rPr>
          <w:rFonts w:ascii="Arial" w:hAnsi="Arial" w:cs="Arial"/>
        </w:rPr>
        <w:t xml:space="preserve">  [Accessed 10 July 2026].</w:t>
      </w:r>
    </w:p>
    <w:p w14:paraId="37E7EF55" w14:textId="77777777" w:rsidR="006F61D0" w:rsidRPr="003F0BBC" w:rsidRDefault="006F61D0" w:rsidP="00040E20">
      <w:pPr>
        <w:ind w:left="720" w:hanging="720"/>
        <w:rPr>
          <w:rFonts w:ascii="Arial" w:hAnsi="Arial" w:cs="Arial"/>
        </w:rPr>
      </w:pPr>
      <w:r w:rsidRPr="003F0BBC">
        <w:rPr>
          <w:rFonts w:ascii="Arial" w:hAnsi="Arial" w:cs="Arial"/>
        </w:rPr>
        <w:t xml:space="preserve">Jefferson, S. (2026). </w:t>
      </w:r>
      <w:r w:rsidRPr="003F0BBC">
        <w:rPr>
          <w:rFonts w:ascii="Arial" w:hAnsi="Arial" w:cs="Arial"/>
          <w:i/>
          <w:iCs/>
        </w:rPr>
        <w:t>Brazil: Implementation of Tax Reform Begins</w:t>
      </w:r>
      <w:r w:rsidRPr="003F0BBC">
        <w:rPr>
          <w:rFonts w:ascii="Arial" w:hAnsi="Arial" w:cs="Arial"/>
        </w:rPr>
        <w:t xml:space="preserve">. [online] The Library of Congress. Available at: </w:t>
      </w:r>
      <w:hyperlink r:id="rId38" w:history="1">
        <w:r w:rsidRPr="003F0BBC">
          <w:rPr>
            <w:rStyle w:val="Hyperlink"/>
            <w:rFonts w:ascii="Arial" w:hAnsi="Arial" w:cs="Arial"/>
          </w:rPr>
          <w:t>https://www.loc.gov/item/global-legal-monitor/2026-02-18/brazil-implementation-of-tax-reform-begins/</w:t>
        </w:r>
      </w:hyperlink>
      <w:r w:rsidRPr="003F0BBC">
        <w:rPr>
          <w:rFonts w:ascii="Arial" w:hAnsi="Arial" w:cs="Arial"/>
        </w:rPr>
        <w:t xml:space="preserve">  [Accessed 10 July 2026].</w:t>
      </w:r>
    </w:p>
    <w:p w14:paraId="57D5691E" w14:textId="77777777" w:rsidR="006F61D0" w:rsidRPr="003F0BBC" w:rsidRDefault="006F61D0" w:rsidP="00040E20">
      <w:pPr>
        <w:ind w:left="720" w:hanging="720"/>
        <w:rPr>
          <w:rFonts w:ascii="Arial" w:hAnsi="Arial" w:cs="Arial"/>
        </w:rPr>
      </w:pPr>
      <w:r w:rsidRPr="003F0BBC">
        <w:rPr>
          <w:rFonts w:ascii="Arial" w:hAnsi="Arial" w:cs="Arial"/>
        </w:rPr>
        <w:lastRenderedPageBreak/>
        <w:t xml:space="preserve">Jonsson, P., </w:t>
      </w:r>
      <w:proofErr w:type="spellStart"/>
      <w:r w:rsidRPr="003F0BBC">
        <w:rPr>
          <w:rFonts w:ascii="Arial" w:hAnsi="Arial" w:cs="Arial"/>
        </w:rPr>
        <w:t>Rudberg</w:t>
      </w:r>
      <w:proofErr w:type="spellEnd"/>
      <w:r w:rsidRPr="003F0BBC">
        <w:rPr>
          <w:rFonts w:ascii="Arial" w:hAnsi="Arial" w:cs="Arial"/>
        </w:rPr>
        <w:t>, M. and Holmberg, S., 2023. Centralised supply chain planning at IKEA. </w:t>
      </w:r>
      <w:r w:rsidRPr="003F0BBC">
        <w:rPr>
          <w:rFonts w:ascii="Arial" w:hAnsi="Arial" w:cs="Arial"/>
          <w:i/>
          <w:iCs/>
        </w:rPr>
        <w:t>Supply Chain Management: An International Journal</w:t>
      </w:r>
      <w:r w:rsidRPr="003F0BBC">
        <w:rPr>
          <w:rFonts w:ascii="Arial" w:hAnsi="Arial" w:cs="Arial"/>
        </w:rPr>
        <w:t>, </w:t>
      </w:r>
      <w:r w:rsidRPr="003F0BBC">
        <w:rPr>
          <w:rFonts w:ascii="Arial" w:hAnsi="Arial" w:cs="Arial"/>
          <w:i/>
          <w:iCs/>
        </w:rPr>
        <w:t>18</w:t>
      </w:r>
      <w:r w:rsidRPr="003F0BBC">
        <w:rPr>
          <w:rFonts w:ascii="Arial" w:hAnsi="Arial" w:cs="Arial"/>
        </w:rPr>
        <w:t xml:space="preserve">(3), pp.337-350. </w:t>
      </w:r>
      <w:hyperlink r:id="rId39" w:history="1">
        <w:r w:rsidRPr="003F0BBC">
          <w:rPr>
            <w:rStyle w:val="Hyperlink"/>
            <w:rFonts w:ascii="Arial" w:hAnsi="Arial" w:cs="Arial"/>
          </w:rPr>
          <w:t>https://doi.org/10.1108/SCM-05-2012-0158</w:t>
        </w:r>
      </w:hyperlink>
      <w:r w:rsidRPr="003F0BBC">
        <w:rPr>
          <w:rFonts w:ascii="Arial" w:hAnsi="Arial" w:cs="Arial"/>
        </w:rPr>
        <w:t xml:space="preserve"> </w:t>
      </w:r>
    </w:p>
    <w:p w14:paraId="312E8A8D" w14:textId="77777777" w:rsidR="006F61D0" w:rsidRPr="003F0BBC" w:rsidRDefault="006F61D0" w:rsidP="00040E20">
      <w:pPr>
        <w:ind w:left="720" w:hanging="720"/>
        <w:rPr>
          <w:rFonts w:ascii="Arial" w:hAnsi="Arial" w:cs="Arial"/>
        </w:rPr>
      </w:pPr>
      <w:r w:rsidRPr="003F0BBC">
        <w:rPr>
          <w:rFonts w:ascii="Arial" w:hAnsi="Arial" w:cs="Arial"/>
        </w:rPr>
        <w:t xml:space="preserve">Navarro, H.Á.R., Vieira, J.G.V. and </w:t>
      </w:r>
      <w:proofErr w:type="spellStart"/>
      <w:r w:rsidRPr="003F0BBC">
        <w:rPr>
          <w:rFonts w:ascii="Arial" w:hAnsi="Arial" w:cs="Arial"/>
        </w:rPr>
        <w:t>Fransoo</w:t>
      </w:r>
      <w:proofErr w:type="spellEnd"/>
      <w:r w:rsidRPr="003F0BBC">
        <w:rPr>
          <w:rFonts w:ascii="Arial" w:hAnsi="Arial" w:cs="Arial"/>
        </w:rPr>
        <w:t xml:space="preserve">, J.C., 2023. Understanding urban logistics and consumer </w:t>
      </w:r>
      <w:proofErr w:type="spellStart"/>
      <w:r w:rsidRPr="003F0BBC">
        <w:rPr>
          <w:rFonts w:ascii="Arial" w:hAnsi="Arial" w:cs="Arial"/>
        </w:rPr>
        <w:t>behavior</w:t>
      </w:r>
      <w:proofErr w:type="spellEnd"/>
      <w:r w:rsidRPr="003F0BBC">
        <w:rPr>
          <w:rFonts w:ascii="Arial" w:hAnsi="Arial" w:cs="Arial"/>
        </w:rPr>
        <w:t xml:space="preserve"> in São Paulo city. </w:t>
      </w:r>
      <w:r w:rsidRPr="003F0BBC">
        <w:rPr>
          <w:rFonts w:ascii="Arial" w:hAnsi="Arial" w:cs="Arial"/>
          <w:i/>
          <w:iCs/>
        </w:rPr>
        <w:t>Case Studies on Transport Policy</w:t>
      </w:r>
      <w:r w:rsidRPr="003F0BBC">
        <w:rPr>
          <w:rFonts w:ascii="Arial" w:hAnsi="Arial" w:cs="Arial"/>
        </w:rPr>
        <w:t>, </w:t>
      </w:r>
      <w:r w:rsidRPr="003F0BBC">
        <w:rPr>
          <w:rFonts w:ascii="Arial" w:hAnsi="Arial" w:cs="Arial"/>
          <w:i/>
          <w:iCs/>
        </w:rPr>
        <w:t>9</w:t>
      </w:r>
      <w:r w:rsidRPr="003F0BBC">
        <w:rPr>
          <w:rFonts w:ascii="Arial" w:hAnsi="Arial" w:cs="Arial"/>
        </w:rPr>
        <w:t xml:space="preserve">(4), pp.1630-1640. </w:t>
      </w:r>
      <w:hyperlink r:id="rId40" w:history="1">
        <w:r w:rsidRPr="003F0BBC">
          <w:rPr>
            <w:rStyle w:val="Hyperlink"/>
            <w:rFonts w:ascii="Arial" w:hAnsi="Arial" w:cs="Arial"/>
          </w:rPr>
          <w:t>https://doi.org/10.1016/j.cstp.2021.06.017</w:t>
        </w:r>
      </w:hyperlink>
      <w:r w:rsidRPr="003F0BBC">
        <w:rPr>
          <w:rFonts w:ascii="Arial" w:hAnsi="Arial" w:cs="Arial"/>
        </w:rPr>
        <w:t xml:space="preserve"> </w:t>
      </w:r>
    </w:p>
    <w:p w14:paraId="61861737" w14:textId="77777777" w:rsidR="006F61D0" w:rsidRPr="003F0BBC" w:rsidRDefault="006F61D0" w:rsidP="00040E20">
      <w:pPr>
        <w:ind w:left="720" w:hanging="720"/>
        <w:rPr>
          <w:rFonts w:ascii="Arial" w:hAnsi="Arial" w:cs="Arial"/>
        </w:rPr>
      </w:pPr>
      <w:r w:rsidRPr="003F0BBC">
        <w:rPr>
          <w:rFonts w:ascii="Arial" w:hAnsi="Arial" w:cs="Arial"/>
        </w:rPr>
        <w:t xml:space="preserve">Olufemi-Phillips, Q., </w:t>
      </w:r>
      <w:proofErr w:type="spellStart"/>
      <w:r w:rsidRPr="003F0BBC">
        <w:rPr>
          <w:rFonts w:ascii="Arial" w:hAnsi="Arial" w:cs="Arial"/>
        </w:rPr>
        <w:t>Ngochindo</w:t>
      </w:r>
      <w:proofErr w:type="spellEnd"/>
      <w:r w:rsidRPr="003F0BBC">
        <w:rPr>
          <w:rFonts w:ascii="Arial" w:hAnsi="Arial" w:cs="Arial"/>
        </w:rPr>
        <w:t xml:space="preserve">, A., </w:t>
      </w:r>
      <w:proofErr w:type="spellStart"/>
      <w:r w:rsidRPr="003F0BBC">
        <w:rPr>
          <w:rFonts w:ascii="Arial" w:hAnsi="Arial" w:cs="Arial"/>
        </w:rPr>
        <w:t>Toromade</w:t>
      </w:r>
      <w:proofErr w:type="spellEnd"/>
      <w:r w:rsidRPr="003F0BBC">
        <w:rPr>
          <w:rFonts w:ascii="Arial" w:hAnsi="Arial" w:cs="Arial"/>
        </w:rPr>
        <w:t xml:space="preserve">, S., </w:t>
      </w:r>
      <w:proofErr w:type="spellStart"/>
      <w:r w:rsidRPr="003F0BBC">
        <w:rPr>
          <w:rFonts w:ascii="Arial" w:hAnsi="Arial" w:cs="Arial"/>
        </w:rPr>
        <w:t>Eyo</w:t>
      </w:r>
      <w:proofErr w:type="spellEnd"/>
      <w:r w:rsidRPr="003F0BBC">
        <w:rPr>
          <w:rFonts w:ascii="Arial" w:hAnsi="Arial" w:cs="Arial"/>
        </w:rPr>
        <w:t xml:space="preserve">-Udo, L. and Adewale, T. (2024). Global trade dynamics” impact on food pricing and supply chain resilience: A quantitative model. </w:t>
      </w:r>
      <w:r w:rsidRPr="003F0BBC">
        <w:rPr>
          <w:rFonts w:ascii="Arial" w:hAnsi="Arial" w:cs="Arial"/>
          <w:i/>
          <w:iCs/>
        </w:rPr>
        <w:t>World Journal of Advanced Research and Reviews</w:t>
      </w:r>
      <w:r w:rsidRPr="003F0BBC">
        <w:rPr>
          <w:rFonts w:ascii="Arial" w:hAnsi="Arial" w:cs="Arial"/>
        </w:rPr>
        <w:t xml:space="preserve">, 24(2), pp.492–519. </w:t>
      </w:r>
      <w:hyperlink r:id="rId41" w:history="1">
        <w:r w:rsidRPr="003F0BBC">
          <w:rPr>
            <w:rStyle w:val="Hyperlink"/>
            <w:rFonts w:ascii="Arial" w:hAnsi="Arial" w:cs="Arial"/>
          </w:rPr>
          <w:t>https://doi.org/10.30574/wjarr.2024.24.2.3350</w:t>
        </w:r>
      </w:hyperlink>
      <w:r w:rsidRPr="003F0BBC">
        <w:rPr>
          <w:rFonts w:ascii="Arial" w:hAnsi="Arial" w:cs="Arial"/>
        </w:rPr>
        <w:t xml:space="preserve">  </w:t>
      </w:r>
    </w:p>
    <w:p w14:paraId="70358A92" w14:textId="77777777" w:rsidR="006F61D0" w:rsidRPr="003F0BBC" w:rsidRDefault="006F61D0" w:rsidP="00040E20">
      <w:pPr>
        <w:ind w:left="720" w:hanging="720"/>
        <w:rPr>
          <w:rFonts w:ascii="Arial" w:hAnsi="Arial" w:cs="Arial"/>
        </w:rPr>
      </w:pPr>
      <w:proofErr w:type="spellStart"/>
      <w:r w:rsidRPr="003F0BBC">
        <w:rPr>
          <w:rFonts w:ascii="Arial" w:hAnsi="Arial" w:cs="Arial"/>
        </w:rPr>
        <w:t>Rumiantsev</w:t>
      </w:r>
      <w:proofErr w:type="spellEnd"/>
      <w:r w:rsidRPr="003F0BBC">
        <w:rPr>
          <w:rFonts w:ascii="Arial" w:hAnsi="Arial" w:cs="Arial"/>
        </w:rPr>
        <w:t xml:space="preserve">, A. and </w:t>
      </w:r>
      <w:proofErr w:type="spellStart"/>
      <w:r w:rsidRPr="003F0BBC">
        <w:rPr>
          <w:rFonts w:ascii="Arial" w:hAnsi="Arial" w:cs="Arial"/>
        </w:rPr>
        <w:t>Radziyevska</w:t>
      </w:r>
      <w:proofErr w:type="spellEnd"/>
      <w:r w:rsidRPr="003F0BBC">
        <w:rPr>
          <w:rFonts w:ascii="Arial" w:hAnsi="Arial" w:cs="Arial"/>
        </w:rPr>
        <w:t xml:space="preserve">, S. (2025). MERCOSUR AS THE MAIN INTEGRATION BLOC OF LATIN AMERICA AND THE CARIBBEAN. </w:t>
      </w:r>
      <w:r w:rsidRPr="003F0BBC">
        <w:rPr>
          <w:rFonts w:ascii="Arial" w:hAnsi="Arial" w:cs="Arial"/>
          <w:i/>
          <w:iCs/>
        </w:rPr>
        <w:t>Baltic Journal of Economic Studies</w:t>
      </w:r>
      <w:r w:rsidRPr="003F0BBC">
        <w:rPr>
          <w:rFonts w:ascii="Arial" w:hAnsi="Arial" w:cs="Arial"/>
        </w:rPr>
        <w:t>, [online] 11(5), pp.177–189. doi:10.30525/2256-0742/2025-11-5-177-189.</w:t>
      </w:r>
    </w:p>
    <w:p w14:paraId="5111EAF7" w14:textId="77777777" w:rsidR="006F61D0" w:rsidRPr="003F0BBC" w:rsidRDefault="006F61D0" w:rsidP="00040E20">
      <w:pPr>
        <w:ind w:left="720" w:hanging="720"/>
        <w:rPr>
          <w:rFonts w:ascii="Arial" w:hAnsi="Arial" w:cs="Arial"/>
        </w:rPr>
      </w:pPr>
      <w:proofErr w:type="spellStart"/>
      <w:r w:rsidRPr="003F0BBC">
        <w:rPr>
          <w:rFonts w:ascii="Arial" w:hAnsi="Arial" w:cs="Arial"/>
        </w:rPr>
        <w:t>Salzer</w:t>
      </w:r>
      <w:proofErr w:type="spellEnd"/>
      <w:r w:rsidRPr="003F0BBC">
        <w:rPr>
          <w:rFonts w:ascii="Arial" w:hAnsi="Arial" w:cs="Arial"/>
        </w:rPr>
        <w:t>, M., 1994. </w:t>
      </w:r>
      <w:r w:rsidRPr="003F0BBC">
        <w:rPr>
          <w:rFonts w:ascii="Arial" w:hAnsi="Arial" w:cs="Arial"/>
          <w:i/>
          <w:iCs/>
        </w:rPr>
        <w:t>Identity Across Borders A Study in the" IKEA-World"</w:t>
      </w:r>
      <w:r w:rsidRPr="003F0BBC">
        <w:rPr>
          <w:rFonts w:ascii="Arial" w:hAnsi="Arial" w:cs="Arial"/>
        </w:rPr>
        <w:t xml:space="preserve">. </w:t>
      </w:r>
      <w:proofErr w:type="spellStart"/>
      <w:r w:rsidRPr="003F0BBC">
        <w:rPr>
          <w:rFonts w:ascii="Arial" w:hAnsi="Arial" w:cs="Arial"/>
        </w:rPr>
        <w:t>Linkopings</w:t>
      </w:r>
      <w:proofErr w:type="spellEnd"/>
      <w:r w:rsidRPr="003F0BBC">
        <w:rPr>
          <w:rFonts w:ascii="Arial" w:hAnsi="Arial" w:cs="Arial"/>
        </w:rPr>
        <w:t xml:space="preserve"> </w:t>
      </w:r>
      <w:proofErr w:type="spellStart"/>
      <w:r w:rsidRPr="003F0BBC">
        <w:rPr>
          <w:rFonts w:ascii="Arial" w:hAnsi="Arial" w:cs="Arial"/>
        </w:rPr>
        <w:t>Universitet</w:t>
      </w:r>
      <w:proofErr w:type="spellEnd"/>
      <w:r w:rsidRPr="003F0BBC">
        <w:rPr>
          <w:rFonts w:ascii="Arial" w:hAnsi="Arial" w:cs="Arial"/>
        </w:rPr>
        <w:t xml:space="preserve"> (Sweden).</w:t>
      </w:r>
    </w:p>
    <w:p w14:paraId="376FDD2C" w14:textId="77777777" w:rsidR="006F61D0" w:rsidRPr="003F0BBC" w:rsidRDefault="006F61D0" w:rsidP="00040E20">
      <w:pPr>
        <w:ind w:left="720" w:hanging="720"/>
        <w:rPr>
          <w:rFonts w:ascii="Arial" w:hAnsi="Arial" w:cs="Arial"/>
        </w:rPr>
      </w:pPr>
      <w:proofErr w:type="spellStart"/>
      <w:r w:rsidRPr="003F0BBC">
        <w:rPr>
          <w:rFonts w:ascii="Arial" w:hAnsi="Arial" w:cs="Arial"/>
        </w:rPr>
        <w:t>Sellberg</w:t>
      </w:r>
      <w:proofErr w:type="spellEnd"/>
      <w:r w:rsidRPr="003F0BBC">
        <w:rPr>
          <w:rFonts w:ascii="Arial" w:hAnsi="Arial" w:cs="Arial"/>
        </w:rPr>
        <w:t xml:space="preserve">, C. and Wiig, A.C. (2020). Telling Stories from the Sea: Facilitating Professional Learning in Maritime Post-Simulation Debriefings. </w:t>
      </w:r>
      <w:r w:rsidRPr="003F0BBC">
        <w:rPr>
          <w:rFonts w:ascii="Arial" w:hAnsi="Arial" w:cs="Arial"/>
          <w:i/>
          <w:iCs/>
        </w:rPr>
        <w:t>Vocations and Learning</w:t>
      </w:r>
      <w:r w:rsidRPr="003F0BBC">
        <w:rPr>
          <w:rFonts w:ascii="Arial" w:hAnsi="Arial" w:cs="Arial"/>
        </w:rPr>
        <w:t xml:space="preserve">, [online] 13(3), pp.527–550. doi:10.1007/s12186-020-09250-4. </w:t>
      </w:r>
    </w:p>
    <w:p w14:paraId="5984B9D9" w14:textId="77777777" w:rsidR="006F61D0" w:rsidRPr="003F0BBC" w:rsidRDefault="006F61D0" w:rsidP="00040E20">
      <w:pPr>
        <w:ind w:left="720" w:hanging="720"/>
        <w:rPr>
          <w:rFonts w:ascii="Arial" w:hAnsi="Arial" w:cs="Arial"/>
        </w:rPr>
      </w:pPr>
      <w:r w:rsidRPr="003F0BBC">
        <w:rPr>
          <w:rFonts w:ascii="Arial" w:hAnsi="Arial" w:cs="Arial"/>
        </w:rPr>
        <w:t xml:space="preserve">Statista (2026). </w:t>
      </w:r>
      <w:r w:rsidRPr="003F0BBC">
        <w:rPr>
          <w:rFonts w:ascii="Arial" w:hAnsi="Arial" w:cs="Arial"/>
          <w:i/>
          <w:iCs/>
        </w:rPr>
        <w:t>Population of Brazil 1980-2031</w:t>
      </w:r>
      <w:r w:rsidRPr="003F0BBC">
        <w:rPr>
          <w:rFonts w:ascii="Arial" w:hAnsi="Arial" w:cs="Arial"/>
        </w:rPr>
        <w:t xml:space="preserve">. [online] Statista. Available at: </w:t>
      </w:r>
      <w:hyperlink r:id="rId42" w:history="1">
        <w:r w:rsidRPr="003F0BBC">
          <w:rPr>
            <w:rStyle w:val="Hyperlink"/>
            <w:rFonts w:ascii="Arial" w:hAnsi="Arial" w:cs="Arial"/>
          </w:rPr>
          <w:t>https://www.statista.com/statistics/263763/total-population-of-brazil/?srsltid=afmbooozqjn3heallmycwvjmhxb-ktvmxzc-iv0bwfusnenivoocduxv</w:t>
        </w:r>
      </w:hyperlink>
      <w:r w:rsidRPr="003F0BBC">
        <w:rPr>
          <w:rFonts w:ascii="Arial" w:hAnsi="Arial" w:cs="Arial"/>
        </w:rPr>
        <w:t xml:space="preserve"> [Accessed 10 July 2026].</w:t>
      </w:r>
    </w:p>
    <w:p w14:paraId="53DAA401" w14:textId="0F5909EB" w:rsidR="006F61D0" w:rsidRPr="003F0BBC" w:rsidRDefault="006F61D0" w:rsidP="00040E20">
      <w:pPr>
        <w:ind w:left="720" w:hanging="720"/>
        <w:rPr>
          <w:rFonts w:ascii="Arial" w:hAnsi="Arial" w:cs="Arial"/>
        </w:rPr>
      </w:pPr>
      <w:proofErr w:type="spellStart"/>
      <w:r w:rsidRPr="003F0BBC">
        <w:rPr>
          <w:rFonts w:ascii="Arial" w:hAnsi="Arial" w:cs="Arial"/>
        </w:rPr>
        <w:t>Taveira</w:t>
      </w:r>
      <w:proofErr w:type="spellEnd"/>
      <w:r w:rsidRPr="003F0BBC">
        <w:rPr>
          <w:rFonts w:ascii="Arial" w:hAnsi="Arial" w:cs="Arial"/>
        </w:rPr>
        <w:t xml:space="preserve">, J., Menezes, R. and </w:t>
      </w:r>
      <w:proofErr w:type="spellStart"/>
      <w:r w:rsidRPr="003F0BBC">
        <w:rPr>
          <w:rFonts w:ascii="Arial" w:hAnsi="Arial" w:cs="Arial"/>
        </w:rPr>
        <w:t>Buarque</w:t>
      </w:r>
      <w:proofErr w:type="spellEnd"/>
      <w:r w:rsidRPr="003F0BBC">
        <w:rPr>
          <w:rFonts w:ascii="Arial" w:hAnsi="Arial" w:cs="Arial"/>
        </w:rPr>
        <w:t xml:space="preserve">, F. (2026). Not all roads are created equal: Network science shows some highways matter more for Brazil’s connectivity. </w:t>
      </w:r>
      <w:r w:rsidRPr="003F0BBC">
        <w:rPr>
          <w:rFonts w:ascii="Arial" w:hAnsi="Arial" w:cs="Arial"/>
          <w:i/>
          <w:iCs/>
        </w:rPr>
        <w:t>Applied Network Science</w:t>
      </w:r>
      <w:r w:rsidRPr="003F0BBC">
        <w:rPr>
          <w:rFonts w:ascii="Arial" w:hAnsi="Arial" w:cs="Arial"/>
        </w:rPr>
        <w:t xml:space="preserve">, 11(1). </w:t>
      </w:r>
    </w:p>
    <w:p w14:paraId="05D2A2F8" w14:textId="3320386D" w:rsidR="006F61D0" w:rsidRPr="003F0BBC" w:rsidRDefault="00BB1E5A" w:rsidP="00040E20">
      <w:pPr>
        <w:ind w:left="720" w:hanging="720"/>
        <w:rPr>
          <w:rFonts w:ascii="Arial" w:hAnsi="Arial" w:cs="Arial"/>
        </w:rPr>
      </w:pPr>
      <w:r w:rsidRPr="003F0BBC">
        <w:rPr>
          <w:rFonts w:ascii="Arial" w:hAnsi="Arial" w:cs="Arial"/>
        </w:rPr>
        <w:t>Trevisani,</w:t>
      </w:r>
      <w:r w:rsidR="006F61D0" w:rsidRPr="003F0BBC">
        <w:rPr>
          <w:rFonts w:ascii="Arial" w:hAnsi="Arial" w:cs="Arial"/>
        </w:rPr>
        <w:t xml:space="preserve"> P. and Miller, N.G. (2026). Brazil’s Central Bank Keeps Cutting Despite Hot Prices. </w:t>
      </w:r>
      <w:r w:rsidR="006F61D0" w:rsidRPr="003F0BBC">
        <w:rPr>
          <w:rFonts w:ascii="Arial" w:hAnsi="Arial" w:cs="Arial"/>
          <w:i/>
          <w:iCs/>
        </w:rPr>
        <w:t xml:space="preserve">The Wall Street </w:t>
      </w:r>
      <w:r w:rsidRPr="003F0BBC">
        <w:rPr>
          <w:rFonts w:ascii="Arial" w:hAnsi="Arial" w:cs="Arial"/>
          <w:i/>
          <w:iCs/>
        </w:rPr>
        <w:t>Journal.</w:t>
      </w:r>
      <w:r w:rsidR="006F61D0" w:rsidRPr="003F0BBC">
        <w:rPr>
          <w:rFonts w:ascii="Arial" w:hAnsi="Arial" w:cs="Arial"/>
        </w:rPr>
        <w:t xml:space="preserve"> [online] Available at: </w:t>
      </w:r>
      <w:hyperlink r:id="rId43" w:history="1">
        <w:r w:rsidR="006F61D0" w:rsidRPr="003F0BBC">
          <w:rPr>
            <w:rStyle w:val="Hyperlink"/>
            <w:rFonts w:ascii="Arial" w:hAnsi="Arial" w:cs="Arial"/>
          </w:rPr>
          <w:t>https://www.wsj.com/economy/central-banking/brazils-central-bank-keeps-cutting-despite-hot-prices-7b2960f5</w:t>
        </w:r>
      </w:hyperlink>
      <w:r w:rsidR="006F61D0" w:rsidRPr="003F0BBC">
        <w:rPr>
          <w:rFonts w:ascii="Arial" w:hAnsi="Arial" w:cs="Arial"/>
        </w:rPr>
        <w:t xml:space="preserve"> [Accessed 10 July 2026].</w:t>
      </w:r>
    </w:p>
    <w:p w14:paraId="65283E3C" w14:textId="48315073" w:rsidR="006F61D0" w:rsidRPr="003F0BBC" w:rsidRDefault="006F61D0" w:rsidP="00040E20">
      <w:pPr>
        <w:ind w:left="720" w:hanging="720"/>
        <w:rPr>
          <w:rFonts w:ascii="Arial" w:hAnsi="Arial" w:cs="Arial"/>
        </w:rPr>
      </w:pPr>
      <w:r w:rsidRPr="003F0BBC">
        <w:rPr>
          <w:rFonts w:ascii="Arial" w:hAnsi="Arial" w:cs="Arial"/>
        </w:rPr>
        <w:lastRenderedPageBreak/>
        <w:t>Tsai, H.T. and Eisingerich, A.B., 2020. Internationalization strategies of emerging markets firms. </w:t>
      </w:r>
      <w:r w:rsidRPr="003F0BBC">
        <w:rPr>
          <w:rFonts w:ascii="Arial" w:hAnsi="Arial" w:cs="Arial"/>
          <w:i/>
          <w:iCs/>
        </w:rPr>
        <w:t>California Management Review</w:t>
      </w:r>
      <w:r w:rsidRPr="003F0BBC">
        <w:rPr>
          <w:rFonts w:ascii="Arial" w:hAnsi="Arial" w:cs="Arial"/>
        </w:rPr>
        <w:t>, </w:t>
      </w:r>
      <w:r w:rsidRPr="003F0BBC">
        <w:rPr>
          <w:rFonts w:ascii="Arial" w:hAnsi="Arial" w:cs="Arial"/>
          <w:i/>
          <w:iCs/>
        </w:rPr>
        <w:t>53</w:t>
      </w:r>
      <w:r w:rsidRPr="003F0BBC">
        <w:rPr>
          <w:rFonts w:ascii="Arial" w:hAnsi="Arial" w:cs="Arial"/>
        </w:rPr>
        <w:t xml:space="preserve">(1), pp.114-135. </w:t>
      </w:r>
      <w:hyperlink r:id="rId44" w:history="1">
        <w:r w:rsidRPr="003F0BBC">
          <w:rPr>
            <w:rStyle w:val="Hyperlink"/>
            <w:rFonts w:ascii="Arial" w:hAnsi="Arial" w:cs="Arial"/>
          </w:rPr>
          <w:t>https://doi.org/10.1525/cmr.2010.53.1.114</w:t>
        </w:r>
      </w:hyperlink>
      <w:r w:rsidRPr="003F0BBC">
        <w:rPr>
          <w:rFonts w:ascii="Arial" w:hAnsi="Arial" w:cs="Arial"/>
        </w:rPr>
        <w:t xml:space="preserve"> </w:t>
      </w:r>
    </w:p>
    <w:sectPr w:rsidR="006F61D0" w:rsidRPr="003F0BBC">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61271" w14:textId="77777777" w:rsidR="00C90CF5" w:rsidRDefault="00C90CF5" w:rsidP="00B06EDC">
      <w:pPr>
        <w:spacing w:after="0" w:line="240" w:lineRule="auto"/>
      </w:pPr>
      <w:r>
        <w:separator/>
      </w:r>
    </w:p>
  </w:endnote>
  <w:endnote w:type="continuationSeparator" w:id="0">
    <w:p w14:paraId="73358572" w14:textId="77777777" w:rsidR="00C90CF5" w:rsidRDefault="00C90CF5" w:rsidP="00B06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857800"/>
      <w:docPartObj>
        <w:docPartGallery w:val="Page Numbers (Bottom of Page)"/>
        <w:docPartUnique/>
      </w:docPartObj>
    </w:sdtPr>
    <w:sdtEndPr>
      <w:rPr>
        <w:noProof/>
      </w:rPr>
    </w:sdtEndPr>
    <w:sdtContent>
      <w:p w14:paraId="2D1E7C91" w14:textId="4C197357" w:rsidR="00130255" w:rsidRDefault="001302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562764" w14:textId="77777777" w:rsidR="00130255" w:rsidRDefault="001302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7EF3D" w14:textId="77777777" w:rsidR="00C90CF5" w:rsidRDefault="00C90CF5" w:rsidP="00B06EDC">
      <w:pPr>
        <w:spacing w:after="0" w:line="240" w:lineRule="auto"/>
      </w:pPr>
      <w:r>
        <w:separator/>
      </w:r>
    </w:p>
  </w:footnote>
  <w:footnote w:type="continuationSeparator" w:id="0">
    <w:p w14:paraId="513F3C07" w14:textId="77777777" w:rsidR="00C90CF5" w:rsidRDefault="00C90CF5" w:rsidP="00B06E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4107"/>
    <w:multiLevelType w:val="hybridMultilevel"/>
    <w:tmpl w:val="B434D2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A1909"/>
    <w:multiLevelType w:val="hybridMultilevel"/>
    <w:tmpl w:val="21B6BD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76AAF"/>
    <w:multiLevelType w:val="hybridMultilevel"/>
    <w:tmpl w:val="1B2A9C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C5C45"/>
    <w:multiLevelType w:val="hybridMultilevel"/>
    <w:tmpl w:val="1DEAF9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F5743F"/>
    <w:multiLevelType w:val="hybridMultilevel"/>
    <w:tmpl w:val="DFBE16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246907"/>
    <w:multiLevelType w:val="hybridMultilevel"/>
    <w:tmpl w:val="1E5C2B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703B85"/>
    <w:multiLevelType w:val="multilevel"/>
    <w:tmpl w:val="603A2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1A0BBB"/>
    <w:multiLevelType w:val="hybridMultilevel"/>
    <w:tmpl w:val="89FADF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CC051B"/>
    <w:multiLevelType w:val="hybridMultilevel"/>
    <w:tmpl w:val="2DF67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9C3000"/>
    <w:multiLevelType w:val="hybridMultilevel"/>
    <w:tmpl w:val="6464A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DC1670"/>
    <w:multiLevelType w:val="hybridMultilevel"/>
    <w:tmpl w:val="FCE8E4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CF1319"/>
    <w:multiLevelType w:val="hybridMultilevel"/>
    <w:tmpl w:val="EAA8ED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034B56"/>
    <w:multiLevelType w:val="hybridMultilevel"/>
    <w:tmpl w:val="B136D4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C579F9"/>
    <w:multiLevelType w:val="hybridMultilevel"/>
    <w:tmpl w:val="375AD6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74556B"/>
    <w:multiLevelType w:val="hybridMultilevel"/>
    <w:tmpl w:val="58ECE2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B75CA5"/>
    <w:multiLevelType w:val="hybridMultilevel"/>
    <w:tmpl w:val="9974A2BC"/>
    <w:lvl w:ilvl="0" w:tplc="83C81D18">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9066C4"/>
    <w:multiLevelType w:val="hybridMultilevel"/>
    <w:tmpl w:val="5BF068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0501C8"/>
    <w:multiLevelType w:val="multilevel"/>
    <w:tmpl w:val="F36E822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2"/>
  </w:num>
  <w:num w:numId="3">
    <w:abstractNumId w:val="2"/>
  </w:num>
  <w:num w:numId="4">
    <w:abstractNumId w:val="16"/>
  </w:num>
  <w:num w:numId="5">
    <w:abstractNumId w:val="14"/>
  </w:num>
  <w:num w:numId="6">
    <w:abstractNumId w:val="15"/>
  </w:num>
  <w:num w:numId="7">
    <w:abstractNumId w:val="3"/>
  </w:num>
  <w:num w:numId="8">
    <w:abstractNumId w:val="10"/>
  </w:num>
  <w:num w:numId="9">
    <w:abstractNumId w:val="7"/>
  </w:num>
  <w:num w:numId="10">
    <w:abstractNumId w:val="0"/>
  </w:num>
  <w:num w:numId="11">
    <w:abstractNumId w:val="9"/>
  </w:num>
  <w:num w:numId="12">
    <w:abstractNumId w:val="11"/>
  </w:num>
  <w:num w:numId="13">
    <w:abstractNumId w:val="1"/>
  </w:num>
  <w:num w:numId="14">
    <w:abstractNumId w:val="13"/>
  </w:num>
  <w:num w:numId="15">
    <w:abstractNumId w:val="5"/>
  </w:num>
  <w:num w:numId="16">
    <w:abstractNumId w:val="4"/>
  </w:num>
  <w:num w:numId="17">
    <w:abstractNumId w:val="17"/>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2D"/>
    <w:rsid w:val="00040E20"/>
    <w:rsid w:val="00061F20"/>
    <w:rsid w:val="00091D73"/>
    <w:rsid w:val="000C22B8"/>
    <w:rsid w:val="000D0402"/>
    <w:rsid w:val="000F5F57"/>
    <w:rsid w:val="001001E6"/>
    <w:rsid w:val="00130255"/>
    <w:rsid w:val="00151729"/>
    <w:rsid w:val="00174B71"/>
    <w:rsid w:val="001A012C"/>
    <w:rsid w:val="001A421D"/>
    <w:rsid w:val="001A57B9"/>
    <w:rsid w:val="001B1DE9"/>
    <w:rsid w:val="001D323B"/>
    <w:rsid w:val="001F48BD"/>
    <w:rsid w:val="00214842"/>
    <w:rsid w:val="00227ED4"/>
    <w:rsid w:val="002B23AB"/>
    <w:rsid w:val="002F2C17"/>
    <w:rsid w:val="00373B7D"/>
    <w:rsid w:val="003B1231"/>
    <w:rsid w:val="003D2D30"/>
    <w:rsid w:val="003F0BBC"/>
    <w:rsid w:val="003F105E"/>
    <w:rsid w:val="00401E80"/>
    <w:rsid w:val="004466D1"/>
    <w:rsid w:val="004C3B76"/>
    <w:rsid w:val="00512A0E"/>
    <w:rsid w:val="00517C0B"/>
    <w:rsid w:val="00522AA7"/>
    <w:rsid w:val="00564CF6"/>
    <w:rsid w:val="005677D8"/>
    <w:rsid w:val="00567C5C"/>
    <w:rsid w:val="005D2E3C"/>
    <w:rsid w:val="005F7F53"/>
    <w:rsid w:val="006212B1"/>
    <w:rsid w:val="0065225B"/>
    <w:rsid w:val="00662939"/>
    <w:rsid w:val="00672FDC"/>
    <w:rsid w:val="006C66E0"/>
    <w:rsid w:val="006F61D0"/>
    <w:rsid w:val="007148B2"/>
    <w:rsid w:val="00783419"/>
    <w:rsid w:val="007B15DD"/>
    <w:rsid w:val="008103BA"/>
    <w:rsid w:val="008431DF"/>
    <w:rsid w:val="00862C87"/>
    <w:rsid w:val="008E16C8"/>
    <w:rsid w:val="008F640D"/>
    <w:rsid w:val="0093677F"/>
    <w:rsid w:val="009A18A4"/>
    <w:rsid w:val="009D064B"/>
    <w:rsid w:val="009D16C5"/>
    <w:rsid w:val="009F355C"/>
    <w:rsid w:val="00A40136"/>
    <w:rsid w:val="00A42F12"/>
    <w:rsid w:val="00A7712D"/>
    <w:rsid w:val="00A82B57"/>
    <w:rsid w:val="00AB3C9F"/>
    <w:rsid w:val="00B06EDC"/>
    <w:rsid w:val="00B07DB1"/>
    <w:rsid w:val="00B94640"/>
    <w:rsid w:val="00BB1E5A"/>
    <w:rsid w:val="00BE32B3"/>
    <w:rsid w:val="00BF5ED7"/>
    <w:rsid w:val="00C07F93"/>
    <w:rsid w:val="00C1682B"/>
    <w:rsid w:val="00C35F39"/>
    <w:rsid w:val="00C4112C"/>
    <w:rsid w:val="00C4382D"/>
    <w:rsid w:val="00C90CF5"/>
    <w:rsid w:val="00CB79AD"/>
    <w:rsid w:val="00CD1EC5"/>
    <w:rsid w:val="00D15952"/>
    <w:rsid w:val="00D46EB1"/>
    <w:rsid w:val="00D65D1F"/>
    <w:rsid w:val="00DB1FCD"/>
    <w:rsid w:val="00E17EE7"/>
    <w:rsid w:val="00E50249"/>
    <w:rsid w:val="00E65649"/>
    <w:rsid w:val="00E76D7A"/>
    <w:rsid w:val="00E90AF7"/>
    <w:rsid w:val="00EC26B2"/>
    <w:rsid w:val="00EE72D0"/>
    <w:rsid w:val="00F0680F"/>
    <w:rsid w:val="00F2546F"/>
    <w:rsid w:val="00F64103"/>
    <w:rsid w:val="00F9024F"/>
    <w:rsid w:val="00FC61A1"/>
    <w:rsid w:val="00FE4F19"/>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F356B"/>
  <w15:chartTrackingRefBased/>
  <w15:docId w15:val="{B0B809A9-8DFE-47B6-BC70-F158B8EF5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C87"/>
    <w:pPr>
      <w:spacing w:line="360" w:lineRule="auto"/>
      <w:jc w:val="both"/>
    </w:pPr>
    <w:rPr>
      <w:rFonts w:ascii="Times New Roman" w:hAnsi="Times New Roman"/>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unhideWhenUsed/>
    <w:qFormat/>
    <w:rsid w:val="00C4382D"/>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4382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4382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382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382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382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rsid w:val="00C4382D"/>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C4382D"/>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C4382D"/>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C4382D"/>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C4382D"/>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C4382D"/>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C4382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82D"/>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C4382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4382D"/>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C4382D"/>
    <w:rPr>
      <w:i/>
      <w:iCs/>
      <w:color w:val="365F91" w:themeColor="accent1" w:themeShade="BF"/>
    </w:rPr>
  </w:style>
  <w:style w:type="paragraph" w:styleId="IntenseQuote">
    <w:name w:val="Intense Quote"/>
    <w:basedOn w:val="Normal"/>
    <w:next w:val="Normal"/>
    <w:link w:val="IntenseQuoteChar"/>
    <w:uiPriority w:val="30"/>
    <w:qFormat/>
    <w:rsid w:val="00C4382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4382D"/>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C4382D"/>
    <w:rPr>
      <w:b/>
      <w:bCs/>
      <w:smallCaps/>
      <w:color w:val="365F91" w:themeColor="accent1" w:themeShade="BF"/>
      <w:spacing w:val="5"/>
    </w:rPr>
  </w:style>
  <w:style w:type="paragraph" w:styleId="TOCHeading">
    <w:name w:val="TOC Heading"/>
    <w:basedOn w:val="Heading1"/>
    <w:next w:val="Normal"/>
    <w:uiPriority w:val="39"/>
    <w:unhideWhenUsed/>
    <w:qFormat/>
    <w:rsid w:val="00672FDC"/>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1A57B9"/>
    <w:pPr>
      <w:tabs>
        <w:tab w:val="right" w:leader="dot" w:pos="9016"/>
      </w:tabs>
      <w:spacing w:after="100"/>
    </w:pPr>
    <w:rPr>
      <w:noProof/>
    </w:rPr>
  </w:style>
  <w:style w:type="paragraph" w:styleId="TOC2">
    <w:name w:val="toc 2"/>
    <w:basedOn w:val="Normal"/>
    <w:next w:val="Normal"/>
    <w:autoRedefine/>
    <w:uiPriority w:val="39"/>
    <w:unhideWhenUsed/>
    <w:rsid w:val="00672FDC"/>
    <w:pPr>
      <w:spacing w:after="100"/>
      <w:ind w:left="240"/>
    </w:pPr>
  </w:style>
  <w:style w:type="character" w:styleId="Hyperlink">
    <w:name w:val="Hyperlink"/>
    <w:basedOn w:val="DefaultParagraphFont"/>
    <w:uiPriority w:val="99"/>
    <w:unhideWhenUsed/>
    <w:rsid w:val="00672FDC"/>
    <w:rPr>
      <w:color w:val="0000FF" w:themeColor="hyperlink"/>
      <w:u w:val="single"/>
    </w:rPr>
  </w:style>
  <w:style w:type="paragraph" w:styleId="Header">
    <w:name w:val="header"/>
    <w:basedOn w:val="Normal"/>
    <w:link w:val="HeaderChar"/>
    <w:uiPriority w:val="99"/>
    <w:unhideWhenUsed/>
    <w:rsid w:val="00B06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EDC"/>
    <w:rPr>
      <w:rFonts w:ascii="Times New Roman" w:hAnsi="Times New Roman"/>
      <w:kern w:val="0"/>
      <w:sz w:val="24"/>
      <w14:ligatures w14:val="none"/>
    </w:rPr>
  </w:style>
  <w:style w:type="paragraph" w:styleId="Footer">
    <w:name w:val="footer"/>
    <w:basedOn w:val="Normal"/>
    <w:link w:val="FooterChar"/>
    <w:uiPriority w:val="99"/>
    <w:unhideWhenUsed/>
    <w:rsid w:val="00B06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EDC"/>
    <w:rPr>
      <w:rFonts w:ascii="Times New Roman" w:hAnsi="Times New Roman"/>
      <w:kern w:val="0"/>
      <w:sz w:val="24"/>
      <w14:ligatures w14:val="none"/>
    </w:rPr>
  </w:style>
  <w:style w:type="paragraph" w:styleId="TOC3">
    <w:name w:val="toc 3"/>
    <w:basedOn w:val="Normal"/>
    <w:next w:val="Normal"/>
    <w:autoRedefine/>
    <w:uiPriority w:val="39"/>
    <w:unhideWhenUsed/>
    <w:rsid w:val="00130255"/>
    <w:pPr>
      <w:spacing w:after="100"/>
      <w:ind w:left="480"/>
    </w:pPr>
  </w:style>
  <w:style w:type="table" w:styleId="TableGridLight">
    <w:name w:val="Grid Table Light"/>
    <w:basedOn w:val="TableNormal"/>
    <w:uiPriority w:val="40"/>
    <w:rsid w:val="006C66E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AB3C9F"/>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6F61D0"/>
    <w:rPr>
      <w:color w:val="605E5C"/>
      <w:shd w:val="clear" w:color="auto" w:fill="E1DFDD"/>
    </w:rPr>
  </w:style>
  <w:style w:type="character" w:styleId="FollowedHyperlink">
    <w:name w:val="FollowedHyperlink"/>
    <w:basedOn w:val="DefaultParagraphFont"/>
    <w:uiPriority w:val="99"/>
    <w:semiHidden/>
    <w:unhideWhenUsed/>
    <w:rsid w:val="006F61D0"/>
    <w:rPr>
      <w:color w:val="800080" w:themeColor="followedHyperlink"/>
      <w:u w:val="single"/>
    </w:rPr>
  </w:style>
  <w:style w:type="paragraph" w:styleId="TableofFigures">
    <w:name w:val="table of figures"/>
    <w:basedOn w:val="Normal"/>
    <w:next w:val="Normal"/>
    <w:uiPriority w:val="99"/>
    <w:unhideWhenUsed/>
    <w:rsid w:val="002B23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hyperlink" Target="https://www.reuters.com/world/americas/brazils-inflation-accelerates-may-tops-target-range-ahead-rate-decision-2026-06-12/" TargetMode="External"/><Relationship Id="rId39" Type="http://schemas.openxmlformats.org/officeDocument/2006/relationships/hyperlink" Target="https://doi.org/10.1108/SCM-05-2012-0158" TargetMode="External"/><Relationship Id="rId21" Type="http://schemas.openxmlformats.org/officeDocument/2006/relationships/hyperlink" Target="https://dx.doi.org/10.2139/ssrn.6147566" TargetMode="External"/><Relationship Id="rId34" Type="http://schemas.openxmlformats.org/officeDocument/2006/relationships/hyperlink" Target="https://www.socialeurope.eu/brazil-in-the-labyrinth-state-democracy-and-inequality" TargetMode="External"/><Relationship Id="rId42" Type="http://schemas.openxmlformats.org/officeDocument/2006/relationships/hyperlink" Target="https://www.statista.com/statistics/263763/total-population-of-brazil/?srsltid=afmbooozqjn3heallmycwvjmhxb-ktvmxzc-iv0bwfusnenivoocduxv"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hyperlink" Target="https://doi.org/10.1108/EBR-03-2013-00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doi.org/10.1163/22119000-12340336" TargetMode="External"/><Relationship Id="rId32" Type="http://schemas.openxmlformats.org/officeDocument/2006/relationships/hyperlink" Target="https://tradingeconomics.com/brazil/currency/news/548426" TargetMode="External"/><Relationship Id="rId37" Type="http://schemas.openxmlformats.org/officeDocument/2006/relationships/hyperlink" Target="https://www.ikea.com/global/en/our-business/how-we-work/iway-our-supplier-code-of-conduct/" TargetMode="External"/><Relationship Id="rId40" Type="http://schemas.openxmlformats.org/officeDocument/2006/relationships/hyperlink" Target="https://doi.org/10.1016/j.cstp.2021.06.017" TargetMode="External"/><Relationship Id="rId45"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doi.org/10.1002/smj.4250120903" TargetMode="External"/><Relationship Id="rId28" Type="http://schemas.openxmlformats.org/officeDocument/2006/relationships/hyperlink" Target="https://corporatefinanceinstitute.com/resources/management/eclectic-paradigm/" TargetMode="External"/><Relationship Id="rId36" Type="http://schemas.openxmlformats.org/officeDocument/2006/relationships/hyperlink" Target="https://www.globaltimes.cn/page/202603/1356419.shtml" TargetMode="Externa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hyperlink" Target="https://doi.org/10.3390/su15010482" TargetMode="External"/><Relationship Id="rId44" Type="http://schemas.openxmlformats.org/officeDocument/2006/relationships/hyperlink" Target="https://doi.org/10.1525/cmr.2010.53.1.1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doi.org/10.2307/41166458" TargetMode="External"/><Relationship Id="rId27" Type="http://schemas.openxmlformats.org/officeDocument/2006/relationships/hyperlink" Target="https://doi.org/10.5089/9798229032971.001" TargetMode="External"/><Relationship Id="rId30" Type="http://schemas.openxmlformats.org/officeDocument/2006/relationships/hyperlink" Target="http://dx.doi.org/10.1057/palgrave.jibs.8490372" TargetMode="External"/><Relationship Id="rId35" Type="http://schemas.openxmlformats.org/officeDocument/2006/relationships/hyperlink" Target="https://www.reuters.com/world/americas/brazil-launches-growth-acceleration-plan-set-invest-350-bln-2023-08-11/" TargetMode="External"/><Relationship Id="rId43" Type="http://schemas.openxmlformats.org/officeDocument/2006/relationships/hyperlink" Target="https://www.wsj.com/economy/central-banking/brazils-central-bank-keeps-cutting-despite-hot-prices-7b2960f5"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s://doi.org/10.1080/15350770.2022.2027836" TargetMode="External"/><Relationship Id="rId33" Type="http://schemas.openxmlformats.org/officeDocument/2006/relationships/hyperlink" Target="https://doi.org/10.3390/su16072872" TargetMode="External"/><Relationship Id="rId38" Type="http://schemas.openxmlformats.org/officeDocument/2006/relationships/hyperlink" Target="https://www.loc.gov/item/global-legal-monitor/2026-02-18/brazil-implementation-of-tax-reform-begins/" TargetMode="External"/><Relationship Id="rId46" Type="http://schemas.openxmlformats.org/officeDocument/2006/relationships/fontTable" Target="fontTable.xml"/><Relationship Id="rId20" Type="http://schemas.openxmlformats.org/officeDocument/2006/relationships/hyperlink" Target="https://globallawexperts.com/doing-business-in-brazil-navigating-the-2026-tax-reform-the-new-dual-vat-framework/" TargetMode="External"/><Relationship Id="rId41" Type="http://schemas.openxmlformats.org/officeDocument/2006/relationships/hyperlink" Target="https://doi.org/10.30574/wjarr.2024.24.2.3350"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781110-925E-4735-8E2C-0D4A562952E7}"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C01163F2-8B39-440C-AB83-D0DEB93D8C04}">
      <dgm:prSet phldrT="[Text]" custT="1"/>
      <dgm:spPr/>
      <dgm:t>
        <a:bodyPr/>
        <a:lstStyle/>
        <a:p>
          <a:pPr algn="ctr">
            <a:buNone/>
          </a:pPr>
          <a:r>
            <a:rPr lang="en-GB" sz="1800"/>
            <a:t>Political Environment</a:t>
          </a:r>
        </a:p>
      </dgm:t>
    </dgm:pt>
    <dgm:pt modelId="{68B1ABC1-6132-4000-B06B-E3B7DF8A1425}" type="parTrans" cxnId="{3491ECDE-F7D3-4C36-A79F-C1EA913B4FED}">
      <dgm:prSet/>
      <dgm:spPr/>
      <dgm:t>
        <a:bodyPr/>
        <a:lstStyle/>
        <a:p>
          <a:pPr algn="ctr"/>
          <a:endParaRPr lang="en-GB" sz="1100"/>
        </a:p>
      </dgm:t>
    </dgm:pt>
    <dgm:pt modelId="{FB67E940-B24D-4B67-88D5-397EAEA10410}" type="sibTrans" cxnId="{3491ECDE-F7D3-4C36-A79F-C1EA913B4FED}">
      <dgm:prSet/>
      <dgm:spPr/>
      <dgm:t>
        <a:bodyPr/>
        <a:lstStyle/>
        <a:p>
          <a:pPr algn="ctr"/>
          <a:endParaRPr lang="en-GB" sz="1100"/>
        </a:p>
      </dgm:t>
    </dgm:pt>
    <dgm:pt modelId="{32A5E966-16C1-43C3-AA29-A59D9046E974}">
      <dgm:prSet phldrT="[Text]" custT="1"/>
      <dgm:spPr/>
      <dgm:t>
        <a:bodyPr/>
        <a:lstStyle/>
        <a:p>
          <a:pPr algn="ctr">
            <a:buNone/>
          </a:pPr>
          <a:r>
            <a:rPr lang="en-GB" sz="1800"/>
            <a:t>Economic Environment</a:t>
          </a:r>
        </a:p>
      </dgm:t>
    </dgm:pt>
    <dgm:pt modelId="{2B446576-12E2-4D4C-8007-BE11787F2F3B}" type="parTrans" cxnId="{23632212-9E8F-4E1C-855F-C59E828D7A3A}">
      <dgm:prSet/>
      <dgm:spPr/>
      <dgm:t>
        <a:bodyPr/>
        <a:lstStyle/>
        <a:p>
          <a:pPr algn="ctr"/>
          <a:endParaRPr lang="en-GB" sz="1100"/>
        </a:p>
      </dgm:t>
    </dgm:pt>
    <dgm:pt modelId="{245D6A89-B5C0-47F2-A9E3-627B88419648}" type="sibTrans" cxnId="{23632212-9E8F-4E1C-855F-C59E828D7A3A}">
      <dgm:prSet/>
      <dgm:spPr/>
      <dgm:t>
        <a:bodyPr/>
        <a:lstStyle/>
        <a:p>
          <a:pPr algn="ctr"/>
          <a:endParaRPr lang="en-GB" sz="1100"/>
        </a:p>
      </dgm:t>
    </dgm:pt>
    <dgm:pt modelId="{567CD6CA-A544-490B-A04A-A577B7E2BA6D}">
      <dgm:prSet phldrT="[Text]" custT="1"/>
      <dgm:spPr/>
      <dgm:t>
        <a:bodyPr/>
        <a:lstStyle/>
        <a:p>
          <a:pPr algn="ctr">
            <a:buNone/>
          </a:pPr>
          <a:r>
            <a:rPr lang="en-GB" sz="1800" b="1"/>
            <a:t>Legal Environment</a:t>
          </a:r>
          <a:r>
            <a:rPr lang="en-GB" sz="1800"/>
            <a:t> </a:t>
          </a:r>
        </a:p>
      </dgm:t>
    </dgm:pt>
    <dgm:pt modelId="{6A60CF9B-1249-4636-A52D-9EEF9C31F63A}" type="parTrans" cxnId="{837D858C-DD70-4597-8E86-46626F2C00FA}">
      <dgm:prSet/>
      <dgm:spPr/>
      <dgm:t>
        <a:bodyPr/>
        <a:lstStyle/>
        <a:p>
          <a:pPr algn="ctr"/>
          <a:endParaRPr lang="en-GB" sz="1100"/>
        </a:p>
      </dgm:t>
    </dgm:pt>
    <dgm:pt modelId="{C22B3DB1-41B9-4F54-8D10-6A3A57010E54}" type="sibTrans" cxnId="{837D858C-DD70-4597-8E86-46626F2C00FA}">
      <dgm:prSet/>
      <dgm:spPr/>
      <dgm:t>
        <a:bodyPr/>
        <a:lstStyle/>
        <a:p>
          <a:pPr algn="ctr"/>
          <a:endParaRPr lang="en-GB" sz="1100"/>
        </a:p>
      </dgm:t>
    </dgm:pt>
    <dgm:pt modelId="{EA93FC97-4E8D-4987-86AB-781CBAD9A802}">
      <dgm:prSet phldrT="[Text]" custT="1"/>
      <dgm:spPr/>
      <dgm:t>
        <a:bodyPr/>
        <a:lstStyle/>
        <a:p>
          <a:pPr algn="ctr">
            <a:buNone/>
          </a:pPr>
          <a:r>
            <a:rPr lang="en-GB" sz="1800"/>
            <a:t>Cultural Environment</a:t>
          </a:r>
        </a:p>
      </dgm:t>
    </dgm:pt>
    <dgm:pt modelId="{2C45304D-0327-4E1D-8E30-0BCD6A7E411A}" type="parTrans" cxnId="{685A2E43-6A4B-483E-8F73-F10926A57845}">
      <dgm:prSet/>
      <dgm:spPr/>
      <dgm:t>
        <a:bodyPr/>
        <a:lstStyle/>
        <a:p>
          <a:pPr algn="ctr"/>
          <a:endParaRPr lang="en-GB" sz="1100"/>
        </a:p>
      </dgm:t>
    </dgm:pt>
    <dgm:pt modelId="{5569DD45-AB51-4589-A261-D31146AF2149}" type="sibTrans" cxnId="{685A2E43-6A4B-483E-8F73-F10926A57845}">
      <dgm:prSet/>
      <dgm:spPr/>
      <dgm:t>
        <a:bodyPr/>
        <a:lstStyle/>
        <a:p>
          <a:pPr algn="ctr"/>
          <a:endParaRPr lang="en-GB" sz="1100"/>
        </a:p>
      </dgm:t>
    </dgm:pt>
    <dgm:pt modelId="{D4532228-9EB4-4799-B10A-9D7919F4CBF0}" type="pres">
      <dgm:prSet presAssocID="{3D781110-925E-4735-8E2C-0D4A562952E7}" presName="diagram" presStyleCnt="0">
        <dgm:presLayoutVars>
          <dgm:dir/>
          <dgm:resizeHandles val="exact"/>
        </dgm:presLayoutVars>
      </dgm:prSet>
      <dgm:spPr/>
    </dgm:pt>
    <dgm:pt modelId="{0A4B9DC1-FAA5-43D3-82F5-E28A419965A5}" type="pres">
      <dgm:prSet presAssocID="{C01163F2-8B39-440C-AB83-D0DEB93D8C04}" presName="node" presStyleLbl="node1" presStyleIdx="0" presStyleCnt="4">
        <dgm:presLayoutVars>
          <dgm:bulletEnabled val="1"/>
        </dgm:presLayoutVars>
      </dgm:prSet>
      <dgm:spPr/>
    </dgm:pt>
    <dgm:pt modelId="{CC39ACF9-BFB7-483A-B58C-B4FEF873D74D}" type="pres">
      <dgm:prSet presAssocID="{FB67E940-B24D-4B67-88D5-397EAEA10410}" presName="sibTrans" presStyleCnt="0"/>
      <dgm:spPr/>
    </dgm:pt>
    <dgm:pt modelId="{642B226B-BE14-4BE8-B869-A6D6E21F0477}" type="pres">
      <dgm:prSet presAssocID="{32A5E966-16C1-43C3-AA29-A59D9046E974}" presName="node" presStyleLbl="node1" presStyleIdx="1" presStyleCnt="4">
        <dgm:presLayoutVars>
          <dgm:bulletEnabled val="1"/>
        </dgm:presLayoutVars>
      </dgm:prSet>
      <dgm:spPr/>
    </dgm:pt>
    <dgm:pt modelId="{0AEA745A-F339-49C4-9A45-637CB65992A1}" type="pres">
      <dgm:prSet presAssocID="{245D6A89-B5C0-47F2-A9E3-627B88419648}" presName="sibTrans" presStyleCnt="0"/>
      <dgm:spPr/>
    </dgm:pt>
    <dgm:pt modelId="{51D1295E-7E2C-49E4-AAB0-BC06D5DC651E}" type="pres">
      <dgm:prSet presAssocID="{567CD6CA-A544-490B-A04A-A577B7E2BA6D}" presName="node" presStyleLbl="node1" presStyleIdx="2" presStyleCnt="4">
        <dgm:presLayoutVars>
          <dgm:bulletEnabled val="1"/>
        </dgm:presLayoutVars>
      </dgm:prSet>
      <dgm:spPr/>
    </dgm:pt>
    <dgm:pt modelId="{3BD26214-978C-4373-B508-3B533380495A}" type="pres">
      <dgm:prSet presAssocID="{C22B3DB1-41B9-4F54-8D10-6A3A57010E54}" presName="sibTrans" presStyleCnt="0"/>
      <dgm:spPr/>
    </dgm:pt>
    <dgm:pt modelId="{08D3E873-A0C7-4B6D-A10A-FD0C7E7441E4}" type="pres">
      <dgm:prSet presAssocID="{EA93FC97-4E8D-4987-86AB-781CBAD9A802}" presName="node" presStyleLbl="node1" presStyleIdx="3" presStyleCnt="4">
        <dgm:presLayoutVars>
          <dgm:bulletEnabled val="1"/>
        </dgm:presLayoutVars>
      </dgm:prSet>
      <dgm:spPr/>
    </dgm:pt>
  </dgm:ptLst>
  <dgm:cxnLst>
    <dgm:cxn modelId="{23632212-9E8F-4E1C-855F-C59E828D7A3A}" srcId="{3D781110-925E-4735-8E2C-0D4A562952E7}" destId="{32A5E966-16C1-43C3-AA29-A59D9046E974}" srcOrd="1" destOrd="0" parTransId="{2B446576-12E2-4D4C-8007-BE11787F2F3B}" sibTransId="{245D6A89-B5C0-47F2-A9E3-627B88419648}"/>
    <dgm:cxn modelId="{685A2E43-6A4B-483E-8F73-F10926A57845}" srcId="{3D781110-925E-4735-8E2C-0D4A562952E7}" destId="{EA93FC97-4E8D-4987-86AB-781CBAD9A802}" srcOrd="3" destOrd="0" parTransId="{2C45304D-0327-4E1D-8E30-0BCD6A7E411A}" sibTransId="{5569DD45-AB51-4589-A261-D31146AF2149}"/>
    <dgm:cxn modelId="{BA492466-73E7-41B7-823A-A55D549CE4FA}" type="presOf" srcId="{567CD6CA-A544-490B-A04A-A577B7E2BA6D}" destId="{51D1295E-7E2C-49E4-AAB0-BC06D5DC651E}" srcOrd="0" destOrd="0" presId="urn:microsoft.com/office/officeart/2005/8/layout/default"/>
    <dgm:cxn modelId="{F43FB759-6F73-4B94-A4FB-C2D207AA0491}" type="presOf" srcId="{C01163F2-8B39-440C-AB83-D0DEB93D8C04}" destId="{0A4B9DC1-FAA5-43D3-82F5-E28A419965A5}" srcOrd="0" destOrd="0" presId="urn:microsoft.com/office/officeart/2005/8/layout/default"/>
    <dgm:cxn modelId="{4662DE5A-EB47-49FC-9A3B-ABFD84049C2A}" type="presOf" srcId="{EA93FC97-4E8D-4987-86AB-781CBAD9A802}" destId="{08D3E873-A0C7-4B6D-A10A-FD0C7E7441E4}" srcOrd="0" destOrd="0" presId="urn:microsoft.com/office/officeart/2005/8/layout/default"/>
    <dgm:cxn modelId="{BCD52E83-5A11-41DF-934E-079907B2613A}" type="presOf" srcId="{32A5E966-16C1-43C3-AA29-A59D9046E974}" destId="{642B226B-BE14-4BE8-B869-A6D6E21F0477}" srcOrd="0" destOrd="0" presId="urn:microsoft.com/office/officeart/2005/8/layout/default"/>
    <dgm:cxn modelId="{837D858C-DD70-4597-8E86-46626F2C00FA}" srcId="{3D781110-925E-4735-8E2C-0D4A562952E7}" destId="{567CD6CA-A544-490B-A04A-A577B7E2BA6D}" srcOrd="2" destOrd="0" parTransId="{6A60CF9B-1249-4636-A52D-9EEF9C31F63A}" sibTransId="{C22B3DB1-41B9-4F54-8D10-6A3A57010E54}"/>
    <dgm:cxn modelId="{C221B1D4-0404-4843-BB1B-AC00F0EF5CCD}" type="presOf" srcId="{3D781110-925E-4735-8E2C-0D4A562952E7}" destId="{D4532228-9EB4-4799-B10A-9D7919F4CBF0}" srcOrd="0" destOrd="0" presId="urn:microsoft.com/office/officeart/2005/8/layout/default"/>
    <dgm:cxn modelId="{3491ECDE-F7D3-4C36-A79F-C1EA913B4FED}" srcId="{3D781110-925E-4735-8E2C-0D4A562952E7}" destId="{C01163F2-8B39-440C-AB83-D0DEB93D8C04}" srcOrd="0" destOrd="0" parTransId="{68B1ABC1-6132-4000-B06B-E3B7DF8A1425}" sibTransId="{FB67E940-B24D-4B67-88D5-397EAEA10410}"/>
    <dgm:cxn modelId="{B3AC7F51-BE4C-43FE-839A-ED45E3E56160}" type="presParOf" srcId="{D4532228-9EB4-4799-B10A-9D7919F4CBF0}" destId="{0A4B9DC1-FAA5-43D3-82F5-E28A419965A5}" srcOrd="0" destOrd="0" presId="urn:microsoft.com/office/officeart/2005/8/layout/default"/>
    <dgm:cxn modelId="{8DFD50EA-27F8-4DA1-A157-2DA9D1F8EE14}" type="presParOf" srcId="{D4532228-9EB4-4799-B10A-9D7919F4CBF0}" destId="{CC39ACF9-BFB7-483A-B58C-B4FEF873D74D}" srcOrd="1" destOrd="0" presId="urn:microsoft.com/office/officeart/2005/8/layout/default"/>
    <dgm:cxn modelId="{573E9953-22FA-4125-A0CE-7D2DE48D9FB0}" type="presParOf" srcId="{D4532228-9EB4-4799-B10A-9D7919F4CBF0}" destId="{642B226B-BE14-4BE8-B869-A6D6E21F0477}" srcOrd="2" destOrd="0" presId="urn:microsoft.com/office/officeart/2005/8/layout/default"/>
    <dgm:cxn modelId="{3BF3751E-6FB8-467E-94FE-F83F532B97F7}" type="presParOf" srcId="{D4532228-9EB4-4799-B10A-9D7919F4CBF0}" destId="{0AEA745A-F339-49C4-9A45-637CB65992A1}" srcOrd="3" destOrd="0" presId="urn:microsoft.com/office/officeart/2005/8/layout/default"/>
    <dgm:cxn modelId="{EDF66034-C6FB-4EEC-865B-559FF9D5AA68}" type="presParOf" srcId="{D4532228-9EB4-4799-B10A-9D7919F4CBF0}" destId="{51D1295E-7E2C-49E4-AAB0-BC06D5DC651E}" srcOrd="4" destOrd="0" presId="urn:microsoft.com/office/officeart/2005/8/layout/default"/>
    <dgm:cxn modelId="{0F08517A-7984-4644-8996-BD6BD19F6BCB}" type="presParOf" srcId="{D4532228-9EB4-4799-B10A-9D7919F4CBF0}" destId="{3BD26214-978C-4373-B508-3B533380495A}" srcOrd="5" destOrd="0" presId="urn:microsoft.com/office/officeart/2005/8/layout/default"/>
    <dgm:cxn modelId="{A0E39207-5D6E-43ED-8327-68C5B891022C}" type="presParOf" srcId="{D4532228-9EB4-4799-B10A-9D7919F4CBF0}" destId="{08D3E873-A0C7-4B6D-A10A-FD0C7E7441E4}" srcOrd="6" destOrd="0" presId="urn:microsoft.com/office/officeart/2005/8/layout/defaul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4B9DC1-FAA5-43D3-82F5-E28A419965A5}">
      <dsp:nvSpPr>
        <dsp:cNvPr id="0" name=""/>
        <dsp:cNvSpPr/>
      </dsp:nvSpPr>
      <dsp:spPr>
        <a:xfrm>
          <a:off x="252826" y="1096"/>
          <a:ext cx="1762184" cy="105731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Political Environment</a:t>
          </a:r>
        </a:p>
      </dsp:txBody>
      <dsp:txXfrm>
        <a:off x="252826" y="1096"/>
        <a:ext cx="1762184" cy="1057310"/>
      </dsp:txXfrm>
    </dsp:sp>
    <dsp:sp modelId="{642B226B-BE14-4BE8-B869-A6D6E21F0477}">
      <dsp:nvSpPr>
        <dsp:cNvPr id="0" name=""/>
        <dsp:cNvSpPr/>
      </dsp:nvSpPr>
      <dsp:spPr>
        <a:xfrm>
          <a:off x="2191229" y="1096"/>
          <a:ext cx="1762184" cy="105731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Economic Environment</a:t>
          </a:r>
        </a:p>
      </dsp:txBody>
      <dsp:txXfrm>
        <a:off x="2191229" y="1096"/>
        <a:ext cx="1762184" cy="1057310"/>
      </dsp:txXfrm>
    </dsp:sp>
    <dsp:sp modelId="{51D1295E-7E2C-49E4-AAB0-BC06D5DC651E}">
      <dsp:nvSpPr>
        <dsp:cNvPr id="0" name=""/>
        <dsp:cNvSpPr/>
      </dsp:nvSpPr>
      <dsp:spPr>
        <a:xfrm>
          <a:off x="252826" y="1234625"/>
          <a:ext cx="1762184" cy="105731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Legal Environment</a:t>
          </a:r>
          <a:r>
            <a:rPr lang="en-GB" sz="1800" kern="1200"/>
            <a:t> </a:t>
          </a:r>
        </a:p>
      </dsp:txBody>
      <dsp:txXfrm>
        <a:off x="252826" y="1234625"/>
        <a:ext cx="1762184" cy="1057310"/>
      </dsp:txXfrm>
    </dsp:sp>
    <dsp:sp modelId="{08D3E873-A0C7-4B6D-A10A-FD0C7E7441E4}">
      <dsp:nvSpPr>
        <dsp:cNvPr id="0" name=""/>
        <dsp:cNvSpPr/>
      </dsp:nvSpPr>
      <dsp:spPr>
        <a:xfrm>
          <a:off x="2191229" y="1234625"/>
          <a:ext cx="1762184" cy="105731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Cultural Environment</a:t>
          </a:r>
        </a:p>
      </dsp:txBody>
      <dsp:txXfrm>
        <a:off x="2191229" y="1234625"/>
        <a:ext cx="1762184" cy="105731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4DEFC-605A-4A98-9586-CD7FEBA6C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28</Pages>
  <Words>7322</Words>
  <Characters>41738</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102</cp:revision>
  <dcterms:created xsi:type="dcterms:W3CDTF">2026-07-10T08:59:00Z</dcterms:created>
  <dcterms:modified xsi:type="dcterms:W3CDTF">2026-08-06T20:38:00Z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5627f9df-2fe5-4714-9d7f-5fbab44b47b0</vt:lpwstr>
  </property>
</Properties>
</file>