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1D44B26" w14:textId="77777777" w:rsidR="00D95545" w:rsidRDefault="00000000">
      <w:pPr>
        <w:pStyle w:val="Title"/>
      </w:pPr>
      <w:r>
        <w:t xml:space="preserve">Module Title: Changemakers: Building your Personal Brand for Sustainable Employment   </w:t>
      </w:r>
    </w:p>
    <w:p w14:paraId="7853DCA0" w14:textId="77777777" w:rsidR="00D95545" w:rsidRDefault="00000000">
      <w:pPr>
        <w:pStyle w:val="Title"/>
      </w:pPr>
      <w:r>
        <w:t>Module Code: BMHP5015</w:t>
      </w:r>
    </w:p>
    <w:p w14:paraId="4443CEA6" w14:textId="77777777" w:rsidR="00D95545" w:rsidRDefault="00000000">
      <w:pPr>
        <w:pStyle w:val="Title"/>
      </w:pPr>
      <w:bookmarkStart w:id="0" w:name="_heading=h.lubr0y4gxcwd" w:colFirst="0" w:colLast="0"/>
      <w:bookmarkEnd w:id="0"/>
      <w:r>
        <w:t xml:space="preserve">Student Name: Catalin Anca </w:t>
      </w:r>
    </w:p>
    <w:p w14:paraId="2BB2FE5F" w14:textId="77777777" w:rsidR="00824865" w:rsidRDefault="00000000">
      <w:pPr>
        <w:pStyle w:val="Title"/>
      </w:pPr>
      <w:bookmarkStart w:id="1" w:name="_heading=h.1quevrikqwvi" w:colFirst="0" w:colLast="0"/>
      <w:bookmarkEnd w:id="1"/>
      <w:r>
        <w:t>Student ID:</w:t>
      </w:r>
      <w:r w:rsidR="00824865">
        <w:t>2020248172</w:t>
      </w:r>
    </w:p>
    <w:p w14:paraId="785B9F20" w14:textId="0567DD83" w:rsidR="00D95545" w:rsidRDefault="00824865">
      <w:pPr>
        <w:pStyle w:val="Title"/>
      </w:pPr>
      <w:r>
        <w:t>Lecture Name: Brian Mashumba</w:t>
      </w:r>
      <w:r w:rsidR="00000000">
        <w:br w:type="page"/>
      </w:r>
    </w:p>
    <w:p w14:paraId="6DF4933F" w14:textId="77777777" w:rsidR="00D95545" w:rsidRDefault="00000000">
      <w:pPr>
        <w:jc w:val="center"/>
        <w:rPr>
          <w:b/>
          <w:bCs/>
        </w:rPr>
      </w:pPr>
      <w:r>
        <w:rPr>
          <w:b/>
          <w:bCs/>
        </w:rPr>
        <w:lastRenderedPageBreak/>
        <w:t>Table of Contents</w:t>
      </w:r>
    </w:p>
    <w:sdt>
      <w:sdtPr>
        <w:id w:val="1712575146"/>
        <w:docPartObj>
          <w:docPartGallery w:val="Table of Contents"/>
          <w:docPartUnique/>
        </w:docPartObj>
      </w:sdtPr>
      <w:sdtContent>
        <w:p w14:paraId="5AC1C535" w14:textId="77777777" w:rsidR="00D95545" w:rsidRDefault="00000000">
          <w:pPr>
            <w:widowControl w:val="0"/>
            <w:tabs>
              <w:tab w:val="right" w:pos="12000"/>
            </w:tabs>
            <w:spacing w:before="60" w:after="0" w:line="480" w:lineRule="auto"/>
            <w:jc w:val="left"/>
            <w:rPr>
              <w:color w:val="000000"/>
            </w:rPr>
          </w:pPr>
          <w:r>
            <w:fldChar w:fldCharType="begin"/>
          </w:r>
          <w:r>
            <w:instrText xml:space="preserve"> TOC \h \u \z \t "Heading 1,1,Heading 2,2,Heading 3,3,Heading 4,4,Heading 5,5,Heading 6,6,"</w:instrText>
          </w:r>
          <w:r>
            <w:fldChar w:fldCharType="separate"/>
          </w:r>
          <w:hyperlink w:anchor="_heading=h.wuxznu7qdno7">
            <w:r w:rsidR="00D95545">
              <w:rPr>
                <w:color w:val="000000"/>
              </w:rPr>
              <w:t>1. Introduction</w:t>
            </w:r>
            <w:r w:rsidR="00D95545">
              <w:rPr>
                <w:color w:val="000000"/>
              </w:rPr>
              <w:tab/>
              <w:t>3</w:t>
            </w:r>
          </w:hyperlink>
        </w:p>
        <w:p w14:paraId="56B75CB1" w14:textId="77777777" w:rsidR="00D95545" w:rsidRDefault="00D95545">
          <w:pPr>
            <w:widowControl w:val="0"/>
            <w:tabs>
              <w:tab w:val="right" w:pos="12000"/>
            </w:tabs>
            <w:spacing w:before="60" w:after="0" w:line="480" w:lineRule="auto"/>
            <w:jc w:val="left"/>
            <w:rPr>
              <w:color w:val="000000"/>
            </w:rPr>
          </w:pPr>
          <w:hyperlink w:anchor="_heading=h.3y22s065qt3t">
            <w:r>
              <w:rPr>
                <w:color w:val="000000"/>
              </w:rPr>
              <w:t>2. Job Role Overview</w:t>
            </w:r>
            <w:r>
              <w:rPr>
                <w:color w:val="000000"/>
              </w:rPr>
              <w:tab/>
              <w:t>4</w:t>
            </w:r>
          </w:hyperlink>
        </w:p>
        <w:p w14:paraId="536BD55B" w14:textId="77777777" w:rsidR="00D95545" w:rsidRDefault="00D95545">
          <w:pPr>
            <w:widowControl w:val="0"/>
            <w:tabs>
              <w:tab w:val="right" w:pos="12000"/>
            </w:tabs>
            <w:spacing w:before="60" w:after="0" w:line="480" w:lineRule="auto"/>
            <w:jc w:val="left"/>
            <w:rPr>
              <w:color w:val="000000"/>
            </w:rPr>
          </w:pPr>
          <w:hyperlink w:anchor="_heading=h.ycke6dp29mql">
            <w:r>
              <w:rPr>
                <w:color w:val="000000"/>
              </w:rPr>
              <w:t>3. Analysis of Employability Skills Required</w:t>
            </w:r>
            <w:r>
              <w:rPr>
                <w:color w:val="000000"/>
              </w:rPr>
              <w:tab/>
              <w:t>4</w:t>
            </w:r>
          </w:hyperlink>
        </w:p>
        <w:p w14:paraId="6AE4E2D7" w14:textId="77777777" w:rsidR="00D95545" w:rsidRDefault="00D95545">
          <w:pPr>
            <w:widowControl w:val="0"/>
            <w:tabs>
              <w:tab w:val="right" w:pos="12000"/>
            </w:tabs>
            <w:spacing w:before="60" w:after="0" w:line="480" w:lineRule="auto"/>
            <w:jc w:val="left"/>
            <w:rPr>
              <w:color w:val="000000"/>
            </w:rPr>
          </w:pPr>
          <w:hyperlink w:anchor="_heading=h.wzksx342h4nt">
            <w:r>
              <w:rPr>
                <w:color w:val="000000"/>
              </w:rPr>
              <w:t>4. Evaluation of Your Own Skills</w:t>
            </w:r>
            <w:r>
              <w:rPr>
                <w:color w:val="000000"/>
              </w:rPr>
              <w:tab/>
              <w:t>6</w:t>
            </w:r>
          </w:hyperlink>
        </w:p>
        <w:p w14:paraId="69DF49B0" w14:textId="77777777" w:rsidR="00D95545" w:rsidRDefault="00D95545">
          <w:pPr>
            <w:widowControl w:val="0"/>
            <w:tabs>
              <w:tab w:val="right" w:pos="12000"/>
            </w:tabs>
            <w:spacing w:before="60" w:after="0" w:line="480" w:lineRule="auto"/>
            <w:jc w:val="left"/>
            <w:rPr>
              <w:color w:val="000000"/>
            </w:rPr>
          </w:pPr>
          <w:hyperlink w:anchor="_heading=h.skjzu7zh54dt">
            <w:r>
              <w:rPr>
                <w:color w:val="000000"/>
              </w:rPr>
              <w:t>5. Building a Personal Brand and Professional Identity</w:t>
            </w:r>
            <w:r>
              <w:rPr>
                <w:color w:val="000000"/>
              </w:rPr>
              <w:tab/>
              <w:t>7</w:t>
            </w:r>
          </w:hyperlink>
        </w:p>
        <w:p w14:paraId="361AE13F" w14:textId="77777777" w:rsidR="00D95545" w:rsidRDefault="00D95545">
          <w:pPr>
            <w:widowControl w:val="0"/>
            <w:tabs>
              <w:tab w:val="right" w:pos="12000"/>
            </w:tabs>
            <w:spacing w:before="60" w:after="0" w:line="480" w:lineRule="auto"/>
            <w:jc w:val="left"/>
            <w:rPr>
              <w:color w:val="000000"/>
            </w:rPr>
          </w:pPr>
          <w:hyperlink w:anchor="_heading=h.poj3rob1qwy1">
            <w:r>
              <w:rPr>
                <w:color w:val="000000"/>
              </w:rPr>
              <w:t>6. Action Plan and Timeline</w:t>
            </w:r>
            <w:r>
              <w:rPr>
                <w:color w:val="000000"/>
              </w:rPr>
              <w:tab/>
              <w:t>8</w:t>
            </w:r>
          </w:hyperlink>
        </w:p>
        <w:p w14:paraId="403FEE7A" w14:textId="77777777" w:rsidR="00D95545" w:rsidRDefault="00D95545">
          <w:pPr>
            <w:widowControl w:val="0"/>
            <w:tabs>
              <w:tab w:val="right" w:pos="12000"/>
            </w:tabs>
            <w:spacing w:before="60" w:after="0" w:line="480" w:lineRule="auto"/>
            <w:jc w:val="left"/>
            <w:rPr>
              <w:color w:val="000000"/>
            </w:rPr>
          </w:pPr>
          <w:hyperlink w:anchor="_heading=h.3pu2feln8wd3">
            <w:r>
              <w:rPr>
                <w:color w:val="000000"/>
              </w:rPr>
              <w:t>7. Conclusion</w:t>
            </w:r>
            <w:r>
              <w:rPr>
                <w:color w:val="000000"/>
              </w:rPr>
              <w:tab/>
              <w:t>10</w:t>
            </w:r>
          </w:hyperlink>
        </w:p>
        <w:p w14:paraId="6FAC87D3" w14:textId="77777777" w:rsidR="00D95545" w:rsidRDefault="00D95545">
          <w:pPr>
            <w:widowControl w:val="0"/>
            <w:tabs>
              <w:tab w:val="right" w:pos="12000"/>
            </w:tabs>
            <w:spacing w:before="60" w:after="0" w:line="480" w:lineRule="auto"/>
            <w:jc w:val="left"/>
            <w:rPr>
              <w:color w:val="000000"/>
            </w:rPr>
          </w:pPr>
          <w:hyperlink w:anchor="_heading=h.h6fwpabdt25d">
            <w:r>
              <w:rPr>
                <w:color w:val="000000"/>
              </w:rPr>
              <w:t>8. Reference</w:t>
            </w:r>
            <w:r>
              <w:rPr>
                <w:color w:val="000000"/>
              </w:rPr>
              <w:tab/>
              <w:t>11</w:t>
            </w:r>
          </w:hyperlink>
        </w:p>
        <w:p w14:paraId="48E38AC2" w14:textId="77777777" w:rsidR="00D95545" w:rsidRDefault="00D95545">
          <w:pPr>
            <w:widowControl w:val="0"/>
            <w:tabs>
              <w:tab w:val="right" w:pos="12000"/>
            </w:tabs>
            <w:spacing w:before="60" w:after="0" w:line="480" w:lineRule="auto"/>
            <w:jc w:val="left"/>
            <w:rPr>
              <w:color w:val="000000"/>
            </w:rPr>
          </w:pPr>
          <w:hyperlink w:anchor="_heading=h.geofhsh0xcdl">
            <w:r>
              <w:rPr>
                <w:color w:val="000000"/>
              </w:rPr>
              <w:t>9. Appendix</w:t>
            </w:r>
            <w:r>
              <w:rPr>
                <w:color w:val="000000"/>
              </w:rPr>
              <w:tab/>
              <w:t>14</w:t>
            </w:r>
          </w:hyperlink>
          <w:r w:rsidR="00000000">
            <w:fldChar w:fldCharType="end"/>
          </w:r>
        </w:p>
      </w:sdtContent>
    </w:sdt>
    <w:p w14:paraId="5C4F1DE6" w14:textId="77777777" w:rsidR="00D95545" w:rsidRDefault="00000000">
      <w:pPr>
        <w:pStyle w:val="Heading1"/>
        <w:keepNext w:val="0"/>
        <w:keepLines w:val="0"/>
        <w:spacing w:line="480" w:lineRule="auto"/>
      </w:pPr>
      <w:bookmarkStart w:id="2" w:name="_heading=h.rw30lf6quxcu" w:colFirst="0" w:colLast="0"/>
      <w:bookmarkEnd w:id="2"/>
      <w:r>
        <w:br w:type="page"/>
      </w:r>
    </w:p>
    <w:p w14:paraId="623AF032" w14:textId="77777777" w:rsidR="00D95545" w:rsidRDefault="00000000">
      <w:pPr>
        <w:pStyle w:val="Heading1"/>
        <w:keepNext w:val="0"/>
        <w:keepLines w:val="0"/>
      </w:pPr>
      <w:bookmarkStart w:id="3" w:name="_heading=h.wuxznu7qdno7" w:colFirst="0" w:colLast="0"/>
      <w:bookmarkEnd w:id="3"/>
      <w:r>
        <w:lastRenderedPageBreak/>
        <w:t>1. Introduction</w:t>
      </w:r>
    </w:p>
    <w:p w14:paraId="0A1DA0BC" w14:textId="77777777" w:rsidR="00D95545" w:rsidRDefault="00000000">
      <w:r>
        <w:t>This report discusses the skills of employability, personal branding, and professional identity needed to be a Community Mental Health Support Worker in the UK health and social care industry. Community roles are now strategically significant as demand for community-based mental health support has grown exponentially, with both the COVID-19 pandemic and services adjusting to this demand and changing delivery models (Stepanova</w:t>
      </w:r>
      <w:r>
        <w:rPr>
          <w:i/>
          <w:iCs/>
        </w:rPr>
        <w:t xml:space="preserve"> et al., </w:t>
      </w:r>
      <w:r>
        <w:t xml:space="preserve">2024). To situate the competencies and </w:t>
      </w:r>
      <w:proofErr w:type="spellStart"/>
      <w:r>
        <w:t>behaviours</w:t>
      </w:r>
      <w:proofErr w:type="spellEnd"/>
      <w:r>
        <w:t xml:space="preserve"> that employers are interested in hiring health professionals, the paper will discuss these requirements using current literature related to employability in health professional education. It will also address the importance of sustainable employment and career development in clinical and support professions, with a focus on deliberate personal branding and professional visibility (Zhang </w:t>
      </w:r>
      <w:r>
        <w:rPr>
          <w:i/>
          <w:iCs/>
        </w:rPr>
        <w:t>et al.,</w:t>
      </w:r>
      <w:r>
        <w:t xml:space="preserve"> 2021). In selecting the Community Mental Health Support Worker position in the light of a rising sector and my interest in person-focused community practice, the report compares my existing skills with the job description and provides a SMART skills development action plan and schedule.</w:t>
      </w:r>
    </w:p>
    <w:p w14:paraId="2DABF55C" w14:textId="77777777" w:rsidR="00D95545" w:rsidRDefault="00000000">
      <w:pPr>
        <w:pStyle w:val="Heading1"/>
        <w:keepNext w:val="0"/>
        <w:keepLines w:val="0"/>
      </w:pPr>
      <w:bookmarkStart w:id="4" w:name="_heading=h.uxvku9sdmskx" w:colFirst="0" w:colLast="0"/>
      <w:bookmarkEnd w:id="4"/>
      <w:r>
        <w:br w:type="page"/>
      </w:r>
    </w:p>
    <w:p w14:paraId="38F09294" w14:textId="77777777" w:rsidR="00D95545" w:rsidRDefault="00000000">
      <w:pPr>
        <w:pStyle w:val="Heading1"/>
        <w:keepNext w:val="0"/>
        <w:keepLines w:val="0"/>
      </w:pPr>
      <w:bookmarkStart w:id="5" w:name="_heading=h.3y22s065qt3t" w:colFirst="0" w:colLast="0"/>
      <w:bookmarkEnd w:id="5"/>
      <w:r>
        <w:lastRenderedPageBreak/>
        <w:t>2. Job Role Overview</w:t>
      </w:r>
    </w:p>
    <w:p w14:paraId="00340E89" w14:textId="77777777" w:rsidR="00D95545" w:rsidRDefault="00000000">
      <w:r>
        <w:t>The Community Mental Health Support Worker job description is based on an existing NHS job opportunity and the general literature. The advertisement is considered evidence-based and it details a post in a multi-disciplinary community mental health team, where the current job holder provides person-</w:t>
      </w:r>
      <w:proofErr w:type="spellStart"/>
      <w:r>
        <w:t>centred</w:t>
      </w:r>
      <w:proofErr w:type="spellEnd"/>
      <w:r>
        <w:t xml:space="preserve"> care, facilitates recovery and engages in care planning supervised by a professional. The common duties involve helping the service users with activities of daily living, medication compliance, monitoring risk, assisting the service users to access community resources, proper record-keeping, and participating in multi-agency meetings. Recent research has highlighted the focus of these activities as </w:t>
      </w:r>
      <w:proofErr w:type="spellStart"/>
      <w:r>
        <w:t>centred</w:t>
      </w:r>
      <w:proofErr w:type="spellEnd"/>
      <w:r>
        <w:t xml:space="preserve"> on creating a state of independence and social inclusion in lieu of pure clinical intervention (Njuguna, </w:t>
      </w:r>
      <w:proofErr w:type="spellStart"/>
      <w:r>
        <w:t>Ngune</w:t>
      </w:r>
      <w:proofErr w:type="spellEnd"/>
      <w:r>
        <w:t xml:space="preserve"> and </w:t>
      </w:r>
      <w:proofErr w:type="spellStart"/>
      <w:r>
        <w:t>Middlewick</w:t>
      </w:r>
      <w:proofErr w:type="spellEnd"/>
      <w:r>
        <w:t xml:space="preserve">, 2025). The typical workplace setting is community-based (home visits, clinic-based, and third-sector), flexible working arrangements, close collaboration with team members, and effective safeguarding measures. Desired qualifications include NVQ/Level 3 healthcare assistance qualification or relevant experience (experience or proposed CPD), and proof of relevant volunteering work or CPD experience (Khosravi, Azar and Izadi, 2024). Professional expectations focus on caring about the person, engaging in decision-making and caring about autonomy concepts, which are connected with better engagement and outcomes in the mental health services. This role is appealing to me, as it can positively contribute to my personal value of the community recovery model and long-term objectives of achieving specialist community practice (Kenwright </w:t>
      </w:r>
      <w:r>
        <w:rPr>
          <w:i/>
          <w:iCs/>
        </w:rPr>
        <w:t>et al.,</w:t>
      </w:r>
      <w:r>
        <w:t xml:space="preserve"> 2024). Moreover, the position will contribute to NHS priorities to increase community provision and </w:t>
      </w:r>
      <w:proofErr w:type="spellStart"/>
      <w:r>
        <w:t>minimise</w:t>
      </w:r>
      <w:proofErr w:type="spellEnd"/>
      <w:r>
        <w:t xml:space="preserve"> unnecessary hospital admissions.</w:t>
      </w:r>
    </w:p>
    <w:p w14:paraId="681E5E48" w14:textId="77777777" w:rsidR="00D95545" w:rsidRDefault="00000000">
      <w:pPr>
        <w:pStyle w:val="Heading1"/>
        <w:keepNext w:val="0"/>
        <w:keepLines w:val="0"/>
      </w:pPr>
      <w:bookmarkStart w:id="6" w:name="_heading=h.ycke6dp29mql" w:colFirst="0" w:colLast="0"/>
      <w:bookmarkEnd w:id="6"/>
      <w:r>
        <w:t>3. Analysis of Employability Skills Required</w:t>
      </w:r>
    </w:p>
    <w:p w14:paraId="7013D90E" w14:textId="77777777" w:rsidR="00D95545" w:rsidRDefault="00000000">
      <w:r>
        <w:t xml:space="preserve">The core competencies of a Community Mental Health Support Worker provide both technical competencies and transferable </w:t>
      </w:r>
      <w:proofErr w:type="spellStart"/>
      <w:r>
        <w:t>behaviours</w:t>
      </w:r>
      <w:proofErr w:type="spellEnd"/>
      <w:r>
        <w:t xml:space="preserve"> that would allow safe, effective, person-</w:t>
      </w:r>
      <w:proofErr w:type="spellStart"/>
      <w:r>
        <w:t>centred</w:t>
      </w:r>
      <w:proofErr w:type="spellEnd"/>
      <w:r>
        <w:t xml:space="preserve"> care. Recent health-education reviews discuss the use of interpersonal communication, teamwork, empathy, and adaptability as basic transversal skills, and problem-solving, record-keeping, and basic clinical skills with the community practice (</w:t>
      </w:r>
      <w:proofErr w:type="spellStart"/>
      <w:r>
        <w:t>eg</w:t>
      </w:r>
      <w:proofErr w:type="spellEnd"/>
      <w:r>
        <w:t>, risk monitoring, medication support) as role-specific (</w:t>
      </w:r>
      <w:proofErr w:type="spellStart"/>
      <w:r>
        <w:t>Leadbeatter</w:t>
      </w:r>
      <w:proofErr w:type="spellEnd"/>
      <w:r>
        <w:rPr>
          <w:i/>
          <w:iCs/>
        </w:rPr>
        <w:t xml:space="preserve"> et al.,</w:t>
      </w:r>
      <w:r>
        <w:t xml:space="preserve"> 2023). </w:t>
      </w:r>
    </w:p>
    <w:p w14:paraId="447AE1B3" w14:textId="77777777" w:rsidR="00D95545" w:rsidRDefault="00000000">
      <w:r>
        <w:lastRenderedPageBreak/>
        <w:t xml:space="preserve">The focus is on communication and empathy: effective relationships with patients in terms of therapeutic ties, interaction with care plans, and compliance with interventions, all of which are associated with improved patient outcomes in community-based mental health. Inter-professional collaboration and teamwork </w:t>
      </w:r>
      <w:proofErr w:type="spellStart"/>
      <w:r>
        <w:t>minimise</w:t>
      </w:r>
      <w:proofErr w:type="spellEnd"/>
      <w:r>
        <w:t xml:space="preserve"> care fragmentation and facilitate a holistic and coordinated response to complex psychosocial needs (Baan </w:t>
      </w:r>
      <w:r>
        <w:rPr>
          <w:i/>
          <w:iCs/>
        </w:rPr>
        <w:t>et al.,</w:t>
      </w:r>
      <w:r>
        <w:t xml:space="preserve"> 2022). Empathy and resilience are equally crucial: community workers must deal with unpredictable conditions and changing caseloads. Resilience and experience-based learning, together with flexible practice, are linked to retention of staff and maintenance of service quality. </w:t>
      </w:r>
    </w:p>
    <w:p w14:paraId="3931745B" w14:textId="77777777" w:rsidR="00D95545" w:rsidRDefault="00000000">
      <w:r>
        <w:t xml:space="preserve">Professional frameworks are useful in bringing these skills to practice. We have values that act as </w:t>
      </w:r>
      <w:proofErr w:type="spellStart"/>
      <w:r>
        <w:t>behaviour</w:t>
      </w:r>
      <w:proofErr w:type="spellEnd"/>
      <w:r>
        <w:t xml:space="preserve"> anchors, including the NHS's “6Cs (care, compassion, competence, communication, courage, commitment), core skills frameworks that help in defining the everyday choices, safeguards, and ethical </w:t>
      </w:r>
      <w:proofErr w:type="spellStart"/>
      <w:r>
        <w:t>behaviours</w:t>
      </w:r>
      <w:proofErr w:type="spellEnd"/>
      <w:r>
        <w:t xml:space="preserve"> in the communities (</w:t>
      </w:r>
      <w:proofErr w:type="spellStart"/>
      <w:r>
        <w:t>Alkhaqani</w:t>
      </w:r>
      <w:proofErr w:type="spellEnd"/>
      <w:r>
        <w:t>, 2022). The embedded values facilitate person-</w:t>
      </w:r>
      <w:proofErr w:type="spellStart"/>
      <w:r>
        <w:t>centred</w:t>
      </w:r>
      <w:proofErr w:type="spellEnd"/>
      <w:r>
        <w:t xml:space="preserve"> practice and </w:t>
      </w:r>
      <w:proofErr w:type="spellStart"/>
      <w:r>
        <w:t>minimise</w:t>
      </w:r>
      <w:proofErr w:type="spellEnd"/>
      <w:r>
        <w:t xml:space="preserve"> risks around inconsistent practice. </w:t>
      </w:r>
    </w:p>
    <w:p w14:paraId="3949A937" w14:textId="77777777" w:rsidR="00D95545" w:rsidRDefault="00000000">
      <w:r>
        <w:t xml:space="preserve">In terms of employability theory, models such as </w:t>
      </w:r>
      <w:proofErr w:type="spellStart"/>
      <w:r>
        <w:t>CareerEDGE</w:t>
      </w:r>
      <w:proofErr w:type="spellEnd"/>
      <w:r>
        <w:t xml:space="preserve"> (and recent systematic work revisiting employability models) highlight that technical knowledge is not enough: reflection, work experience (e.g., volunteering/shadowing), emotional intelligence and proactive career development are required to transform this capability into sustainable employment (Reid, Richards and Willox, 2021). This informs the importance of experiential learning and CPD in the workforce preparation for community mental health work. </w:t>
      </w:r>
    </w:p>
    <w:p w14:paraId="59ED7ADF" w14:textId="77777777" w:rsidR="00D95545" w:rsidRDefault="00000000">
      <w:r>
        <w:t xml:space="preserve">More importantly, these skills do not work alone. Technical competence: The service users are safeguarded by high-quality record keeping and confidentiality, and clinical decision-making is enhanced by robust communication and collaborative efforts (Baan </w:t>
      </w:r>
      <w:r>
        <w:rPr>
          <w:i/>
          <w:iCs/>
        </w:rPr>
        <w:t xml:space="preserve">et al., </w:t>
      </w:r>
      <w:r>
        <w:t xml:space="preserve">2022). Employers thus value a mixed competence profile, one that has proven individual </w:t>
      </w:r>
      <w:proofErr w:type="spellStart"/>
      <w:r>
        <w:t>behaviours</w:t>
      </w:r>
      <w:proofErr w:type="spellEnd"/>
      <w:r>
        <w:t xml:space="preserve"> to quantifiable results like fewer crisis admissions, better continuity of care, and increased levels of user satisfaction. </w:t>
      </w:r>
    </w:p>
    <w:p w14:paraId="068F9954" w14:textId="77777777" w:rsidR="00D95545" w:rsidRDefault="00000000">
      <w:r>
        <w:t xml:space="preserve">Overall, the industry demands an equitable combination of interpersonal, reflective and procedural skills based on professional values; one must cultivate all three to provide safe and effective community mental health services and demonstrate </w:t>
      </w:r>
      <w:proofErr w:type="spellStart"/>
      <w:r>
        <w:t>favourable</w:t>
      </w:r>
      <w:proofErr w:type="spellEnd"/>
      <w:r>
        <w:t xml:space="preserve"> service-level results.</w:t>
      </w:r>
    </w:p>
    <w:p w14:paraId="4DF9D699" w14:textId="77777777" w:rsidR="00D95545" w:rsidRDefault="00000000">
      <w:pPr>
        <w:pStyle w:val="Heading1"/>
        <w:keepNext w:val="0"/>
        <w:keepLines w:val="0"/>
      </w:pPr>
      <w:bookmarkStart w:id="7" w:name="_heading=h.wzksx342h4nt" w:colFirst="0" w:colLast="0"/>
      <w:bookmarkEnd w:id="7"/>
      <w:r>
        <w:t>4. Evaluation of Your Own Skills</w:t>
      </w:r>
    </w:p>
    <w:p w14:paraId="04AA966F" w14:textId="77777777" w:rsidR="00D95545" w:rsidRDefault="00000000">
      <w:r>
        <w:lastRenderedPageBreak/>
        <w:t xml:space="preserve">For me, putting a simple SWOT in place helps </w:t>
      </w:r>
      <w:proofErr w:type="spellStart"/>
      <w:r>
        <w:t>organise</w:t>
      </w:r>
      <w:proofErr w:type="spellEnd"/>
      <w:r>
        <w:t xml:space="preserve"> a clear level of assessment of how my current competency relates to the Community Mental Health Support Worker position. </w:t>
      </w:r>
    </w:p>
    <w:p w14:paraId="1F59D48D" w14:textId="77777777" w:rsidR="00D95545" w:rsidRDefault="00000000">
      <w:r>
        <w:rPr>
          <w:b/>
          <w:bCs/>
          <w:i/>
          <w:iCs/>
        </w:rPr>
        <w:t>Strengths:</w:t>
      </w:r>
      <w:r>
        <w:t xml:space="preserve"> I possess strong interpersonal communication skills and empathetic listening skills, which were effective in collaborative group work assignments and voluntary peer support. These are commonly associated with better service-user engagement and therapeutic alliance in community mental health practice (Charles</w:t>
      </w:r>
      <w:r>
        <w:rPr>
          <w:i/>
          <w:iCs/>
        </w:rPr>
        <w:t xml:space="preserve"> et al., </w:t>
      </w:r>
      <w:r>
        <w:t>2021). I also demonstrate a strong ability to work in a team and a willingness to take clinical direction in order to achieve safe and coordinated team-based care. Recent literature has sparked an emphasis on the importance of interpersonal and teamwork effectiveness in transforming technical knowledge into effective practice.</w:t>
      </w:r>
    </w:p>
    <w:p w14:paraId="543BEFDA" w14:textId="77777777" w:rsidR="00D95545" w:rsidRDefault="00000000">
      <w:r>
        <w:rPr>
          <w:b/>
          <w:bCs/>
          <w:i/>
          <w:iCs/>
        </w:rPr>
        <w:t>Weaknesses:</w:t>
      </w:r>
      <w:r>
        <w:t xml:space="preserve"> No experience in crisis intervention and advanced risk assessment skills, need to improve record keeping (electronic case notes) and clinical documentation to meet NHS standards. Absence of proper documentation and risk monitoring is an important gap because they have a direct impact on patient safety and continuity of care (</w:t>
      </w:r>
      <w:proofErr w:type="spellStart"/>
      <w:r>
        <w:t>Sovold</w:t>
      </w:r>
      <w:proofErr w:type="spellEnd"/>
      <w:r>
        <w:t xml:space="preserve"> </w:t>
      </w:r>
      <w:r>
        <w:rPr>
          <w:i/>
          <w:iCs/>
        </w:rPr>
        <w:t xml:space="preserve">et al., </w:t>
      </w:r>
      <w:r>
        <w:t>2021). Additionally, I have limited awareness of legislation specific to mental health and safeguarding, beyond very basic modules, and therefore feel limited in my capacity to act autonomously in complex circumstances.</w:t>
      </w:r>
    </w:p>
    <w:p w14:paraId="1A6D54BD" w14:textId="77777777" w:rsidR="00D95545" w:rsidRDefault="00000000">
      <w:r>
        <w:rPr>
          <w:b/>
          <w:bCs/>
          <w:i/>
          <w:iCs/>
        </w:rPr>
        <w:t xml:space="preserve">Opportunities: </w:t>
      </w:r>
      <w:r>
        <w:t xml:space="preserve">Gaps can be targeted, and there is a range of opportunities for CPD, short-course accredited training (e.g., Mental Health First Aid, risk assessment workshops), supervised placement and peer-support training are known to increase self-efficacy and practical competence for roles in the community (Charles </w:t>
      </w:r>
      <w:r>
        <w:rPr>
          <w:i/>
          <w:iCs/>
        </w:rPr>
        <w:t xml:space="preserve">et al., </w:t>
      </w:r>
      <w:r>
        <w:t>2021). Volunteering for local mental health charities or shadowing in local community teams within the NHS would also offer experiential learning, which employers look for.</w:t>
      </w:r>
    </w:p>
    <w:p w14:paraId="6F58A8A1" w14:textId="77777777" w:rsidR="00D95545" w:rsidRDefault="00000000">
      <w:r>
        <w:rPr>
          <w:b/>
          <w:bCs/>
          <w:i/>
          <w:iCs/>
        </w:rPr>
        <w:t>Threats:</w:t>
      </w:r>
      <w:r>
        <w:t xml:space="preserve"> External threats include high caseload pressures and workforce burnout, limited choice for supported learning on the job, stress within the workforce being linked with decreased capacity for mentoring and slower abilities transfer (</w:t>
      </w:r>
      <w:proofErr w:type="spellStart"/>
      <w:r>
        <w:t>Sovold</w:t>
      </w:r>
      <w:proofErr w:type="spellEnd"/>
      <w:r>
        <w:t xml:space="preserve"> </w:t>
      </w:r>
      <w:r>
        <w:rPr>
          <w:i/>
          <w:iCs/>
        </w:rPr>
        <w:t xml:space="preserve">et al., </w:t>
      </w:r>
      <w:r>
        <w:t xml:space="preserve">2021). Furthermore, with the challenge of competitive </w:t>
      </w:r>
      <w:proofErr w:type="spellStart"/>
      <w:r>
        <w:t>labour</w:t>
      </w:r>
      <w:proofErr w:type="spellEnd"/>
      <w:r>
        <w:t xml:space="preserve"> markets, those working without specific qualifications may find it more difficult to progress into other areas at the same pace as those with relevant skills, credentials and current CPD.</w:t>
      </w:r>
    </w:p>
    <w:p w14:paraId="374A1DC0" w14:textId="77777777" w:rsidR="00D95545" w:rsidRDefault="00000000">
      <w:r>
        <w:lastRenderedPageBreak/>
        <w:t>In short, there is good alignment between the role's person-</w:t>
      </w:r>
      <w:proofErr w:type="spellStart"/>
      <w:r>
        <w:t>centred</w:t>
      </w:r>
      <w:proofErr w:type="spellEnd"/>
      <w:r>
        <w:t xml:space="preserve"> nature and my interpersonal strengths, but limited practical and procedural skills (crisis skills, documentation, legal knowledge) that are serious and fixable problems. It follows that the action plan will focus on types of experiential placements and accredited training and a systematic skills-audit cycle to transform the strengths into provable competences, overcoming identified threats (O’Brien </w:t>
      </w:r>
      <w:r>
        <w:rPr>
          <w:i/>
          <w:iCs/>
        </w:rPr>
        <w:t xml:space="preserve">et al., </w:t>
      </w:r>
      <w:r>
        <w:t>2023).</w:t>
      </w:r>
    </w:p>
    <w:p w14:paraId="316432EE" w14:textId="77777777" w:rsidR="00D95545" w:rsidRDefault="00000000">
      <w:pPr>
        <w:pStyle w:val="Heading1"/>
        <w:keepNext w:val="0"/>
        <w:keepLines w:val="0"/>
      </w:pPr>
      <w:bookmarkStart w:id="8" w:name="_heading=h.skjzu7zh54dt" w:colFirst="0" w:colLast="0"/>
      <w:bookmarkEnd w:id="8"/>
      <w:r>
        <w:t>5. Building a Personal Brand and Professional Identity</w:t>
      </w:r>
    </w:p>
    <w:p w14:paraId="6C02A8AE" w14:textId="77777777" w:rsidR="00D95545" w:rsidRDefault="00000000">
      <w:r>
        <w:t xml:space="preserve">Personal branding in health and social care is the deliberate development and expression of one's professional identity, values and evidence of competence, such that peers, employers and service users perceive a consistent professional identity, and one that they can trust. Recent reviews in framing personal branding as a strategic and evidence-based practice to translate skills and experience into manifest reputation and career capital (Osei and Anim-Wright, 2024). Professional identity is the </w:t>
      </w:r>
      <w:proofErr w:type="spellStart"/>
      <w:r>
        <w:t>internalised</w:t>
      </w:r>
      <w:proofErr w:type="spellEnd"/>
      <w:r>
        <w:t xml:space="preserve"> sense of 'what it means to be' a health practitioner (developed through education, workplace </w:t>
      </w:r>
      <w:proofErr w:type="spellStart"/>
      <w:r>
        <w:t>socialisation</w:t>
      </w:r>
      <w:proofErr w:type="spellEnd"/>
      <w:r>
        <w:t xml:space="preserve">, values and reflexive practice) which becomes the foundation of ethical </w:t>
      </w:r>
      <w:proofErr w:type="spellStart"/>
      <w:r>
        <w:t>behaviour</w:t>
      </w:r>
      <w:proofErr w:type="spellEnd"/>
      <w:r>
        <w:t xml:space="preserve"> and decision making appropriate to the role of the health practitioner.</w:t>
      </w:r>
    </w:p>
    <w:p w14:paraId="3D0DFB58" w14:textId="77777777" w:rsidR="00D95545" w:rsidRDefault="00000000">
      <w:r>
        <w:t>In health, a reputable personal brand should be based upon ethical principles (integrity, respect, confidentiality), reliability (professionalism, punctuality, accuracy of report) and verifiable dedication to lifelong learning (CPD) (Cornett, Palermo and Ash, 2022). There is evidence that CPD and visible, work-based learning increase employability, and the message to employers that a candidate is able to apply the learning to safer practice.</w:t>
      </w:r>
    </w:p>
    <w:p w14:paraId="5C703A9B" w14:textId="77777777" w:rsidR="00D95545" w:rsidRDefault="00000000">
      <w:r>
        <w:t xml:space="preserve">My professional brand strategy did include a LinkedIn profile with reflective posts of CPD and practice learning, a digital portfolio of certificates of learning, supervision notes, </w:t>
      </w:r>
      <w:proofErr w:type="spellStart"/>
      <w:r>
        <w:t>anonymised</w:t>
      </w:r>
      <w:proofErr w:type="spellEnd"/>
      <w:r>
        <w:t xml:space="preserve"> case-learning, an active professional body membership, and a community mental health volunteer to create verifiable experience (Shiri </w:t>
      </w:r>
      <w:r>
        <w:rPr>
          <w:i/>
          <w:iCs/>
        </w:rPr>
        <w:t>et al.,</w:t>
      </w:r>
      <w:r>
        <w:t xml:space="preserve"> 2023). The strategic online exposure in combination with verifiable workplace education is a powerful way to build credibility with NHS recruiters and managers.</w:t>
      </w:r>
    </w:p>
    <w:p w14:paraId="58852BC4" w14:textId="77777777" w:rsidR="00D95545" w:rsidRDefault="00000000">
      <w:r>
        <w:t xml:space="preserve">My Unique Selling Point (USP) is my strong empathetic communication and cross-cultural sensitivity, demonstrated in cooperative academic projects and volunteering efforts in the community. When combined with specific CPD relating to risk assessment and better record </w:t>
      </w:r>
      <w:r>
        <w:lastRenderedPageBreak/>
        <w:t>keeping, this USP is converted into a tangible, measurable resource (better engagement, less escalation) that employers look for in community mental health teams. Recent work on professional identity and branding highlights how consistent evidence-based personal brand professional identity improves employability and supports internal opportunities for career development within health services (Zhang</w:t>
      </w:r>
      <w:r>
        <w:rPr>
          <w:i/>
          <w:iCs/>
        </w:rPr>
        <w:t xml:space="preserve"> et al.,</w:t>
      </w:r>
      <w:r>
        <w:t xml:space="preserve"> 2021).</w:t>
      </w:r>
    </w:p>
    <w:p w14:paraId="07ECE7C8" w14:textId="77777777" w:rsidR="00D95545" w:rsidRDefault="00000000">
      <w:pPr>
        <w:pStyle w:val="Heading1"/>
        <w:keepNext w:val="0"/>
        <w:keepLines w:val="0"/>
      </w:pPr>
      <w:bookmarkStart w:id="9" w:name="_heading=h.poj3rob1qwy1" w:colFirst="0" w:colLast="0"/>
      <w:bookmarkEnd w:id="9"/>
      <w:r>
        <w:t>6. Action Plan and Timeline</w:t>
      </w:r>
    </w:p>
    <w:p w14:paraId="26849483" w14:textId="77777777" w:rsidR="00D95545" w:rsidRDefault="00000000">
      <w:r>
        <w:t xml:space="preserve">Goal: Achieve employment as a Community Mental Health Support Worker within the next five years while bridging gaps in crisis intervention, statutory knowledge and documentation through </w:t>
      </w:r>
      <w:proofErr w:type="spellStart"/>
      <w:r>
        <w:t>utilising</w:t>
      </w:r>
      <w:proofErr w:type="spellEnd"/>
      <w:r>
        <w:t xml:space="preserve"> my interpersonal strengths</w:t>
      </w:r>
    </w:p>
    <w:p w14:paraId="4742298D" w14:textId="77777777" w:rsidR="00D95545" w:rsidRDefault="00000000">
      <w:r>
        <w:t xml:space="preserve">Short-term SMART objectives 1-2 years (specific): complete my degree and Mental Health First Aid (MHFA) certification. (measurable): log completion evidence and reflective summaries of completed activities in a digital portfolio. (achievable): volunteer in a minimum of 2 local volunteering placements in community mental health activities per year. (relevant): complete all 6 SMART SM objectives for the community mental health setting (time-bound): complete within 24 months. MHFA and structured short courses have demonstrated positive impact in terms of basic knowledge acquisition, confidence building and anti-stigma, a quality early career credential (Dzemaili </w:t>
      </w:r>
      <w:r>
        <w:rPr>
          <w:i/>
          <w:iCs/>
        </w:rPr>
        <w:t>et al.,</w:t>
      </w:r>
      <w:r>
        <w:t xml:space="preserve"> 2023).</w:t>
      </w:r>
    </w:p>
    <w:p w14:paraId="5040D665" w14:textId="77777777" w:rsidR="00D95545" w:rsidRDefault="00000000">
      <w:r>
        <w:t xml:space="preserve">Medium-term (3-4 years SMART goals): paid entry-level support position/ apprenticeship in a multi-disciplinary team (specific). Accredited shorter CPD modules, risk assessment/mental health legislation/accurate electronic record/outcomes recording/supervisor (measurable). Mentor relationship with supervising clinician by 6 months of start (achievable &amp; relevant); 3-4 years (time-bound). Capability is translated into employability through the provision of targeted CPD and workplace learning, which also leads to positive patient-facing outcomes (Shiri </w:t>
      </w:r>
      <w:r>
        <w:rPr>
          <w:i/>
          <w:iCs/>
        </w:rPr>
        <w:t xml:space="preserve">et al., </w:t>
      </w:r>
      <w:r>
        <w:t>2023).</w:t>
      </w:r>
    </w:p>
    <w:p w14:paraId="626DC82A" w14:textId="77777777" w:rsidR="00D95545" w:rsidRDefault="00000000">
      <w:r>
        <w:t>Long-term SMART objectives (5 years): functional post of Community Mental Health Support Worker or move to a senior support/care-coordination role. (Specific); at least 30 hours CPD per year to keep learning up to date with digital portfolio / LinkedIn professional profile (Measurable &amp; Time-bound). CPD and time for evidence-based professional development are current and, in turn, strengthening support retention and progression in their career.</w:t>
      </w:r>
    </w:p>
    <w:p w14:paraId="28A4ED8B" w14:textId="77777777" w:rsidR="00D95545" w:rsidRDefault="00000000">
      <w:r>
        <w:lastRenderedPageBreak/>
        <w:t>Specific enablement and assistance to MHFA Motorists covers including: MHFA accredited providers, NHS apprenticeship schemes, University CPD sites, professional bodies (e.g. RCN/Skills for Care guidance), line manager support and peer networks; I will meet quarterly to conduct skills-audits and supervisor walkthroughs to ensure that progress is being made.</w:t>
      </w:r>
    </w:p>
    <w:p w14:paraId="5A39B1C1" w14:textId="77777777" w:rsidR="00D95545" w:rsidRDefault="00000000">
      <w:r>
        <w:t xml:space="preserve">Reflection: the use of experiential learning, formal CPD and reflective practice built to support sustainable employability to translate interpersonal strengths into transferable competencies </w:t>
      </w:r>
      <w:proofErr w:type="spellStart"/>
      <w:r>
        <w:t>recognised</w:t>
      </w:r>
      <w:proofErr w:type="spellEnd"/>
      <w:r>
        <w:t xml:space="preserve"> by employers and opportunities to develop life-long learning in community mental health (</w:t>
      </w:r>
      <w:proofErr w:type="spellStart"/>
      <w:r>
        <w:t>Rienties</w:t>
      </w:r>
      <w:proofErr w:type="spellEnd"/>
      <w:r>
        <w:rPr>
          <w:i/>
          <w:iCs/>
        </w:rPr>
        <w:t xml:space="preserve"> et al.,</w:t>
      </w:r>
      <w:r>
        <w:t xml:space="preserve"> 2023).</w:t>
      </w:r>
    </w:p>
    <w:p w14:paraId="72652528" w14:textId="77777777" w:rsidR="00D95545" w:rsidRDefault="00000000">
      <w:pPr>
        <w:pStyle w:val="Heading1"/>
        <w:keepNext w:val="0"/>
        <w:keepLines w:val="0"/>
      </w:pPr>
      <w:bookmarkStart w:id="10" w:name="_heading=h.pd5klfvfude3" w:colFirst="0" w:colLast="0"/>
      <w:bookmarkEnd w:id="10"/>
      <w:r>
        <w:br w:type="page"/>
      </w:r>
    </w:p>
    <w:p w14:paraId="2D4F6CE3" w14:textId="77777777" w:rsidR="00D95545" w:rsidRDefault="00000000">
      <w:pPr>
        <w:pStyle w:val="Heading1"/>
        <w:keepNext w:val="0"/>
        <w:keepLines w:val="0"/>
      </w:pPr>
      <w:bookmarkStart w:id="11" w:name="_heading=h.3pu2feln8wd3" w:colFirst="0" w:colLast="0"/>
      <w:bookmarkEnd w:id="11"/>
      <w:r>
        <w:lastRenderedPageBreak/>
        <w:t>7. Conclusion</w:t>
      </w:r>
    </w:p>
    <w:p w14:paraId="5B1115F5" w14:textId="77777777" w:rsidR="00D95545" w:rsidRDefault="00000000">
      <w:r>
        <w:t>In this report, the successful development of interpersonal, reflective and technical competencies of a Community Mental Health Support Worker has been discussed, highlighting the importance of a balanced approach supported by NHS 6Cs and employability frameworks. Through reflecting self-</w:t>
      </w:r>
      <w:proofErr w:type="spellStart"/>
      <w:r>
        <w:t>awarely</w:t>
      </w:r>
      <w:proofErr w:type="spellEnd"/>
      <w:r>
        <w:t xml:space="preserve"> on personal strengths and weaknesses, and through critical analysis of specific job-to-job requirements, individual development, as a result of discreet reflection and continuous learning (education), can be determined. Building a clear personal brand and professional identity, based on an ethical practice, leads to increased visibility and credibility for employers. Finally, the SMART-based action plan outlines how the principles of employability analysis, personal branding, and sustained CPD are supporting career development, resilience and sustainability in the UK health and social care sector over the longer term.</w:t>
      </w:r>
    </w:p>
    <w:p w14:paraId="39843B82" w14:textId="77777777" w:rsidR="00D95545" w:rsidRDefault="00000000">
      <w:pPr>
        <w:pStyle w:val="Heading1"/>
      </w:pPr>
      <w:bookmarkStart w:id="12" w:name="_heading=h.nz8pkxtyeaqi" w:colFirst="0" w:colLast="0"/>
      <w:bookmarkEnd w:id="12"/>
      <w:r>
        <w:br w:type="page"/>
      </w:r>
    </w:p>
    <w:p w14:paraId="20EBCC76" w14:textId="77777777" w:rsidR="00D95545" w:rsidRDefault="00000000">
      <w:pPr>
        <w:pStyle w:val="Heading1"/>
      </w:pPr>
      <w:bookmarkStart w:id="13" w:name="_heading=h.h6fwpabdt25d" w:colFirst="0" w:colLast="0"/>
      <w:bookmarkEnd w:id="13"/>
      <w:r>
        <w:lastRenderedPageBreak/>
        <w:t>8. Reference</w:t>
      </w:r>
    </w:p>
    <w:p w14:paraId="110F835E" w14:textId="77777777" w:rsidR="00D95545" w:rsidRDefault="00000000">
      <w:pPr>
        <w:spacing w:before="0"/>
      </w:pPr>
      <w:r>
        <w:t xml:space="preserve">Alkhaqani, A. (2022). Compassion in Nursing Practice. </w:t>
      </w:r>
      <w:r>
        <w:rPr>
          <w:i/>
          <w:iCs/>
        </w:rPr>
        <w:t>Al-Sadder Medical Hospital</w:t>
      </w:r>
      <w:r>
        <w:t xml:space="preserve">, [online] 3(1). </w:t>
      </w:r>
      <w:proofErr w:type="spellStart"/>
      <w:proofErr w:type="gramStart"/>
      <w:r>
        <w:t>doi:https</w:t>
      </w:r>
      <w:proofErr w:type="spellEnd"/>
      <w:r>
        <w:t>://doi.org/10.55920/IJCIMR.2022.03.001102</w:t>
      </w:r>
      <w:proofErr w:type="gramEnd"/>
      <w:r>
        <w:t>.</w:t>
      </w:r>
    </w:p>
    <w:p w14:paraId="1B2F5EFA" w14:textId="77777777" w:rsidR="00D95545" w:rsidRDefault="00000000">
      <w:pPr>
        <w:spacing w:before="0"/>
      </w:pPr>
      <w:r>
        <w:t xml:space="preserve">Baan, N., Raemdonck, I., </w:t>
      </w:r>
      <w:proofErr w:type="spellStart"/>
      <w:r>
        <w:t>Bastiaens</w:t>
      </w:r>
      <w:proofErr w:type="spellEnd"/>
      <w:r>
        <w:t xml:space="preserve">, E. and </w:t>
      </w:r>
      <w:proofErr w:type="spellStart"/>
      <w:r>
        <w:t>Beausaert</w:t>
      </w:r>
      <w:proofErr w:type="spellEnd"/>
      <w:r>
        <w:t xml:space="preserve">, S. (2022). Employability competences of workers in health care and finance. The role of self‐directed learning orientation and job characteristics. </w:t>
      </w:r>
      <w:r>
        <w:rPr>
          <w:i/>
          <w:iCs/>
        </w:rPr>
        <w:t>International Journal of Training and Development</w:t>
      </w:r>
      <w:r>
        <w:t xml:space="preserve">. </w:t>
      </w:r>
      <w:proofErr w:type="spellStart"/>
      <w:proofErr w:type="gramStart"/>
      <w:r>
        <w:t>doi:https</w:t>
      </w:r>
      <w:proofErr w:type="spellEnd"/>
      <w:r>
        <w:t>://doi.org/10.1111/ijtd.12264</w:t>
      </w:r>
      <w:proofErr w:type="gramEnd"/>
      <w:r>
        <w:t>.</w:t>
      </w:r>
    </w:p>
    <w:p w14:paraId="035B6EA5" w14:textId="77777777" w:rsidR="00D95545" w:rsidRDefault="00000000">
      <w:pPr>
        <w:spacing w:before="0"/>
      </w:pPr>
      <w:r>
        <w:t xml:space="preserve">Charles, A., Nixdorf, R., Ibrahim, N., Meir, L.G., </w:t>
      </w:r>
      <w:proofErr w:type="spellStart"/>
      <w:r>
        <w:t>Mpango</w:t>
      </w:r>
      <w:proofErr w:type="spellEnd"/>
      <w:r>
        <w:t xml:space="preserve">, R.S., </w:t>
      </w:r>
      <w:proofErr w:type="spellStart"/>
      <w:r>
        <w:t>Ngakongwa</w:t>
      </w:r>
      <w:proofErr w:type="spellEnd"/>
      <w:r>
        <w:t xml:space="preserve">, F., Nudds, H., Pathare, S., Ryan, G., Repper, J., </w:t>
      </w:r>
      <w:proofErr w:type="spellStart"/>
      <w:r>
        <w:t>Wharrad</w:t>
      </w:r>
      <w:proofErr w:type="spellEnd"/>
      <w:r>
        <w:t xml:space="preserve">, H., Wolf, P., Slade, M. and Mahlke, C. (2021). Initial Training for Mental Health Peer Support Workers: Systematized Review and International Delphi Consultation. </w:t>
      </w:r>
      <w:r>
        <w:rPr>
          <w:i/>
          <w:iCs/>
        </w:rPr>
        <w:t>JMIR Mental Health</w:t>
      </w:r>
      <w:r>
        <w:t xml:space="preserve">, 8(5), p.e25528. </w:t>
      </w:r>
      <w:proofErr w:type="spellStart"/>
      <w:proofErr w:type="gramStart"/>
      <w:r>
        <w:t>doi:https</w:t>
      </w:r>
      <w:proofErr w:type="spellEnd"/>
      <w:r>
        <w:t>://doi.org/10.2196/25528</w:t>
      </w:r>
      <w:proofErr w:type="gramEnd"/>
      <w:r>
        <w:t>.</w:t>
      </w:r>
    </w:p>
    <w:p w14:paraId="65B070E7" w14:textId="77777777" w:rsidR="00D95545" w:rsidRDefault="00000000">
      <w:pPr>
        <w:spacing w:before="0"/>
      </w:pPr>
      <w:r>
        <w:t xml:space="preserve">Cornett, M., Palermo, C. and Ash, S. (2022). Professional identity research in the health professions—a scoping review. </w:t>
      </w:r>
      <w:r>
        <w:rPr>
          <w:i/>
          <w:iCs/>
        </w:rPr>
        <w:t>Advances in Health Sciences Education</w:t>
      </w:r>
      <w:r>
        <w:t xml:space="preserve">, [online] 28(2). </w:t>
      </w:r>
      <w:proofErr w:type="spellStart"/>
      <w:proofErr w:type="gramStart"/>
      <w:r>
        <w:t>doi:https</w:t>
      </w:r>
      <w:proofErr w:type="spellEnd"/>
      <w:r>
        <w:t>://doi.org/10.1007/s10459-022-10171-1</w:t>
      </w:r>
      <w:proofErr w:type="gramEnd"/>
      <w:r>
        <w:t>.</w:t>
      </w:r>
    </w:p>
    <w:p w14:paraId="3CE83A44" w14:textId="77777777" w:rsidR="00D95545" w:rsidRDefault="00000000">
      <w:pPr>
        <w:spacing w:before="0"/>
      </w:pPr>
      <w:r>
        <w:t xml:space="preserve">Dzemaili, S., Pasquier, J., </w:t>
      </w:r>
      <w:proofErr w:type="spellStart"/>
      <w:r>
        <w:t>Oulevey</w:t>
      </w:r>
      <w:proofErr w:type="spellEnd"/>
      <w:r>
        <w:t xml:space="preserve"> Bachmann, A. and Mohler-Kuo, M. (2023). The Effectiveness of Mental Health First Aid Training among Undergraduate Students in Switzerland: A Randomized Control Trial. </w:t>
      </w:r>
      <w:r>
        <w:rPr>
          <w:i/>
          <w:iCs/>
        </w:rPr>
        <w:t>International Journal of Environmental Research and Public Health</w:t>
      </w:r>
      <w:r>
        <w:t xml:space="preserve">, [online] 20(2), p.1303. </w:t>
      </w:r>
      <w:proofErr w:type="spellStart"/>
      <w:proofErr w:type="gramStart"/>
      <w:r>
        <w:t>doi:https</w:t>
      </w:r>
      <w:proofErr w:type="spellEnd"/>
      <w:r>
        <w:t>://doi.org/10.3390/ijerph20021303</w:t>
      </w:r>
      <w:proofErr w:type="gramEnd"/>
      <w:r>
        <w:t>.</w:t>
      </w:r>
    </w:p>
    <w:p w14:paraId="34100F35" w14:textId="77777777" w:rsidR="00D95545" w:rsidRDefault="00000000">
      <w:pPr>
        <w:spacing w:before="0"/>
      </w:pPr>
      <w:r>
        <w:t xml:space="preserve">Kenwright, M., Fairclough, P., McDonald, J. and Pickford, L. (2024). Effectiveness of Community Mental Health Nurses in an integrated primary care service: An observational cohort study. </w:t>
      </w:r>
      <w:r>
        <w:rPr>
          <w:i/>
          <w:iCs/>
        </w:rPr>
        <w:t>International Journal of Nursing Studies Advances</w:t>
      </w:r>
      <w:r>
        <w:t xml:space="preserve">, [online] 6, pp.100182–100182. </w:t>
      </w:r>
      <w:proofErr w:type="spellStart"/>
      <w:proofErr w:type="gramStart"/>
      <w:r>
        <w:t>doi:https</w:t>
      </w:r>
      <w:proofErr w:type="spellEnd"/>
      <w:r>
        <w:t>://doi.org/10.1016/j.ijnsa.2024.100182</w:t>
      </w:r>
      <w:proofErr w:type="gramEnd"/>
      <w:r>
        <w:t>.</w:t>
      </w:r>
    </w:p>
    <w:p w14:paraId="67242930" w14:textId="77777777" w:rsidR="00D95545" w:rsidRDefault="00000000">
      <w:pPr>
        <w:spacing w:before="0"/>
      </w:pPr>
      <w:r>
        <w:t>Khosravi, M., Azar, G. and Izadi, R. (2024). Principles and elements of patient-</w:t>
      </w:r>
      <w:proofErr w:type="spellStart"/>
      <w:r>
        <w:t>centredness</w:t>
      </w:r>
      <w:proofErr w:type="spellEnd"/>
      <w:r>
        <w:t xml:space="preserve"> in mental health services: a thematic analysis of a systematic review of reviews. </w:t>
      </w:r>
      <w:r>
        <w:rPr>
          <w:i/>
          <w:iCs/>
        </w:rPr>
        <w:t>BMJ Open Quality</w:t>
      </w:r>
      <w:r>
        <w:t xml:space="preserve">, [online] 13(3), pp.1–11. </w:t>
      </w:r>
      <w:proofErr w:type="spellStart"/>
      <w:proofErr w:type="gramStart"/>
      <w:r>
        <w:t>doi:https</w:t>
      </w:r>
      <w:proofErr w:type="spellEnd"/>
      <w:r>
        <w:t>://doi.org/10.1136/bmjoq-2023-002719</w:t>
      </w:r>
      <w:proofErr w:type="gramEnd"/>
      <w:r>
        <w:t>.</w:t>
      </w:r>
    </w:p>
    <w:p w14:paraId="714CF478" w14:textId="77777777" w:rsidR="00D95545" w:rsidRDefault="00000000">
      <w:pPr>
        <w:spacing w:before="0"/>
      </w:pPr>
      <w:proofErr w:type="spellStart"/>
      <w:r>
        <w:lastRenderedPageBreak/>
        <w:t>Leadbeatter</w:t>
      </w:r>
      <w:proofErr w:type="spellEnd"/>
      <w:r>
        <w:t xml:space="preserve">, D., Nanayakkara, S., Zhou, X. and Gao, J. (2023). Employability in health professional education: a scoping review. </w:t>
      </w:r>
      <w:r>
        <w:rPr>
          <w:i/>
          <w:iCs/>
        </w:rPr>
        <w:t>BMC Medical Education</w:t>
      </w:r>
      <w:r>
        <w:t xml:space="preserve">, 23(1). </w:t>
      </w:r>
      <w:proofErr w:type="spellStart"/>
      <w:proofErr w:type="gramStart"/>
      <w:r>
        <w:t>doi:https</w:t>
      </w:r>
      <w:proofErr w:type="spellEnd"/>
      <w:r>
        <w:t>://doi.org/10.1186/s12909-022-03913-7</w:t>
      </w:r>
      <w:proofErr w:type="gramEnd"/>
      <w:r>
        <w:t>.</w:t>
      </w:r>
    </w:p>
    <w:p w14:paraId="304B9E39" w14:textId="77777777" w:rsidR="00D95545" w:rsidRDefault="00000000">
      <w:pPr>
        <w:spacing w:before="0"/>
      </w:pPr>
      <w:r>
        <w:t xml:space="preserve">Njuguna, M., Ngune, I. and </w:t>
      </w:r>
      <w:proofErr w:type="spellStart"/>
      <w:r>
        <w:t>Middlewick</w:t>
      </w:r>
      <w:proofErr w:type="spellEnd"/>
      <w:r>
        <w:t xml:space="preserve">, Y. (2025). Mental Health Support Workers Perspectives on Barriers to and Facilitators of the Effective Delivery of their Roles: A Systematic Review and Meta-aggregation. </w:t>
      </w:r>
      <w:r>
        <w:rPr>
          <w:i/>
          <w:iCs/>
        </w:rPr>
        <w:t>Community Mental Health Journal</w:t>
      </w:r>
      <w:r>
        <w:t xml:space="preserve">. </w:t>
      </w:r>
      <w:proofErr w:type="spellStart"/>
      <w:proofErr w:type="gramStart"/>
      <w:r>
        <w:t>doi:https</w:t>
      </w:r>
      <w:proofErr w:type="spellEnd"/>
      <w:r>
        <w:t>://doi.org/10.1007/s10597-025-01490-9</w:t>
      </w:r>
      <w:proofErr w:type="gramEnd"/>
      <w:r>
        <w:t>.</w:t>
      </w:r>
    </w:p>
    <w:p w14:paraId="6001C9A5" w14:textId="77777777" w:rsidR="00D95545" w:rsidRDefault="00000000">
      <w:pPr>
        <w:spacing w:before="0"/>
      </w:pPr>
      <w:r>
        <w:t xml:space="preserve">O’Brien, N., Li, E., </w:t>
      </w:r>
      <w:proofErr w:type="spellStart"/>
      <w:r>
        <w:t>Chaibva</w:t>
      </w:r>
      <w:proofErr w:type="spellEnd"/>
      <w:r>
        <w:t xml:space="preserve">, C.N., Bravo, R.G., Kovacevic, L., Ayisi-Boateng, N.K., Lounsbury, O., </w:t>
      </w:r>
      <w:proofErr w:type="spellStart"/>
      <w:r>
        <w:t>Nwabufo</w:t>
      </w:r>
      <w:proofErr w:type="spellEnd"/>
      <w:r>
        <w:t xml:space="preserve">, N.F.F., </w:t>
      </w:r>
      <w:proofErr w:type="spellStart"/>
      <w:r>
        <w:t>Senkyire</w:t>
      </w:r>
      <w:proofErr w:type="spellEnd"/>
      <w:r>
        <w:t xml:space="preserve">, E.K., Serafini, A., Abay, E.S., Vijver, S. van de, Wanjala, M., Wangari, M.-C., Moosa, S. and Neves, A.L. (2023). Strengths, Weaknesses, Opportunities, and Threats Analysis of the Use of Digital Health Technologies in Primary Health Care in the Sub-Saharan African Region: Qualitative Study. </w:t>
      </w:r>
      <w:r>
        <w:rPr>
          <w:i/>
          <w:iCs/>
        </w:rPr>
        <w:t>Journal of Medical Internet Research</w:t>
      </w:r>
      <w:r>
        <w:t xml:space="preserve">, [online] 25(1), p.e45224. </w:t>
      </w:r>
      <w:proofErr w:type="spellStart"/>
      <w:proofErr w:type="gramStart"/>
      <w:r>
        <w:t>doi:https</w:t>
      </w:r>
      <w:proofErr w:type="spellEnd"/>
      <w:r>
        <w:t>://doi.org/10.2196/45224</w:t>
      </w:r>
      <w:proofErr w:type="gramEnd"/>
      <w:r>
        <w:t>.</w:t>
      </w:r>
    </w:p>
    <w:p w14:paraId="3FA1B015" w14:textId="77777777" w:rsidR="00D95545" w:rsidRDefault="00000000">
      <w:pPr>
        <w:spacing w:before="0"/>
      </w:pPr>
      <w:r>
        <w:t xml:space="preserve">Osei, A.B. and Anim-Wright, K. (2024). Personal Branding: A Systematic Literature Review. </w:t>
      </w:r>
      <w:r>
        <w:rPr>
          <w:i/>
          <w:iCs/>
        </w:rPr>
        <w:t>International Journal of Marketing Studies</w:t>
      </w:r>
      <w:r>
        <w:t xml:space="preserve">, [online] 16(1), p.30. </w:t>
      </w:r>
      <w:proofErr w:type="spellStart"/>
      <w:proofErr w:type="gramStart"/>
      <w:r>
        <w:t>doi:https</w:t>
      </w:r>
      <w:proofErr w:type="spellEnd"/>
      <w:r>
        <w:t>://doi.org/10.5539/ijms.v16n1p30</w:t>
      </w:r>
      <w:proofErr w:type="gramEnd"/>
      <w:r>
        <w:t>.</w:t>
      </w:r>
    </w:p>
    <w:p w14:paraId="38ECFA1C" w14:textId="77777777" w:rsidR="00D95545" w:rsidRDefault="00000000">
      <w:pPr>
        <w:spacing w:before="0"/>
      </w:pPr>
      <w:r>
        <w:t xml:space="preserve">Reid, A., Richards, A. and Willox, D. (2021). Connecting experiences to employability through a meaning-making approach to learning. </w:t>
      </w:r>
      <w:r>
        <w:rPr>
          <w:i/>
          <w:iCs/>
        </w:rPr>
        <w:t>Journal of Teaching and Learning for Graduate Employability</w:t>
      </w:r>
      <w:r>
        <w:t xml:space="preserve">, 12(2), pp.99–113. </w:t>
      </w:r>
      <w:proofErr w:type="spellStart"/>
      <w:proofErr w:type="gramStart"/>
      <w:r>
        <w:t>doi:https</w:t>
      </w:r>
      <w:proofErr w:type="spellEnd"/>
      <w:r>
        <w:t>://doi.org/10.21153/jtlge2021vol12no2art1013</w:t>
      </w:r>
      <w:proofErr w:type="gramEnd"/>
      <w:r>
        <w:t>.</w:t>
      </w:r>
    </w:p>
    <w:p w14:paraId="7643CDE6" w14:textId="77777777" w:rsidR="00D95545" w:rsidRDefault="00000000">
      <w:pPr>
        <w:spacing w:before="0"/>
      </w:pPr>
      <w:proofErr w:type="spellStart"/>
      <w:r>
        <w:t>Rienties</w:t>
      </w:r>
      <w:proofErr w:type="spellEnd"/>
      <w:r>
        <w:t xml:space="preserve">, B., Divjak, B., </w:t>
      </w:r>
      <w:proofErr w:type="spellStart"/>
      <w:r>
        <w:t>Iniesto</w:t>
      </w:r>
      <w:proofErr w:type="spellEnd"/>
      <w:r>
        <w:t xml:space="preserve">, F., Aničić, K.P. and </w:t>
      </w:r>
      <w:proofErr w:type="spellStart"/>
      <w:r>
        <w:t>Žižak</w:t>
      </w:r>
      <w:proofErr w:type="spellEnd"/>
      <w:r>
        <w:t xml:space="preserve">, M. (2023). Online work-based learning: A systematic literature review. </w:t>
      </w:r>
      <w:r>
        <w:rPr>
          <w:i/>
          <w:iCs/>
        </w:rPr>
        <w:t>International Review of Education</w:t>
      </w:r>
      <w:r>
        <w:t xml:space="preserve">, 69(4), pp.551–570. </w:t>
      </w:r>
      <w:proofErr w:type="spellStart"/>
      <w:proofErr w:type="gramStart"/>
      <w:r>
        <w:t>doi:https</w:t>
      </w:r>
      <w:proofErr w:type="spellEnd"/>
      <w:r>
        <w:t>://doi.org/10.1007/s11159-023-10008-y</w:t>
      </w:r>
      <w:proofErr w:type="gramEnd"/>
      <w:r>
        <w:t>.</w:t>
      </w:r>
    </w:p>
    <w:p w14:paraId="223EE692" w14:textId="77777777" w:rsidR="00D95545" w:rsidRDefault="00000000">
      <w:pPr>
        <w:spacing w:before="0"/>
      </w:pPr>
      <w:r>
        <w:t xml:space="preserve">Shiri, R., El-Metwally, A., Sallinen, M., Pöyry, M., Härmä, M. and </w:t>
      </w:r>
      <w:proofErr w:type="spellStart"/>
      <w:r>
        <w:t>Toppinen</w:t>
      </w:r>
      <w:proofErr w:type="spellEnd"/>
      <w:r>
        <w:t xml:space="preserve">-Tanner, S. (2023). The role of continuing professional training or development in maintaining current employment: A systematic review. </w:t>
      </w:r>
      <w:r>
        <w:rPr>
          <w:i/>
          <w:iCs/>
        </w:rPr>
        <w:t>Healthcare</w:t>
      </w:r>
      <w:r>
        <w:t xml:space="preserve">, [online] 11(21), pp.1–17. </w:t>
      </w:r>
      <w:proofErr w:type="spellStart"/>
      <w:proofErr w:type="gramStart"/>
      <w:r>
        <w:t>doi:https</w:t>
      </w:r>
      <w:proofErr w:type="spellEnd"/>
      <w:r>
        <w:t>://doi.org/10.3390/healthcare11212900</w:t>
      </w:r>
      <w:proofErr w:type="gramEnd"/>
      <w:r>
        <w:t>.</w:t>
      </w:r>
    </w:p>
    <w:p w14:paraId="622025CF" w14:textId="77777777" w:rsidR="00D95545" w:rsidRDefault="00000000">
      <w:pPr>
        <w:spacing w:before="0"/>
      </w:pPr>
      <w:proofErr w:type="spellStart"/>
      <w:r>
        <w:lastRenderedPageBreak/>
        <w:t>Sovold</w:t>
      </w:r>
      <w:proofErr w:type="spellEnd"/>
      <w:r>
        <w:t xml:space="preserve">, L.E., Naslund, J.A., </w:t>
      </w:r>
      <w:proofErr w:type="spellStart"/>
      <w:r>
        <w:t>Kousoulis</w:t>
      </w:r>
      <w:proofErr w:type="spellEnd"/>
      <w:r>
        <w:t xml:space="preserve">, A.A., Saxena, S., </w:t>
      </w:r>
      <w:proofErr w:type="spellStart"/>
      <w:r>
        <w:t>Qoronfleh</w:t>
      </w:r>
      <w:proofErr w:type="spellEnd"/>
      <w:r>
        <w:t xml:space="preserve">, M.W., Grobler, C. and </w:t>
      </w:r>
      <w:proofErr w:type="spellStart"/>
      <w:r>
        <w:t>Münter</w:t>
      </w:r>
      <w:proofErr w:type="spellEnd"/>
      <w:r>
        <w:t xml:space="preserve">, L. (2021). Prioritizing the Mental Health and well-being of </w:t>
      </w:r>
      <w:proofErr w:type="gramStart"/>
      <w:r>
        <w:t>Healthcare</w:t>
      </w:r>
      <w:proofErr w:type="gramEnd"/>
      <w:r>
        <w:t xml:space="preserve"> workers: an Urgent Global Public Health Priority. </w:t>
      </w:r>
      <w:r>
        <w:rPr>
          <w:i/>
          <w:iCs/>
        </w:rPr>
        <w:t>Frontiers in Public Health</w:t>
      </w:r>
      <w:r>
        <w:t xml:space="preserve">, 9(1), pp.1–12. </w:t>
      </w:r>
      <w:proofErr w:type="spellStart"/>
      <w:proofErr w:type="gramStart"/>
      <w:r>
        <w:t>doi:https</w:t>
      </w:r>
      <w:proofErr w:type="spellEnd"/>
      <w:r>
        <w:t>://doi.org/10.3389/fpubh.2021.679397</w:t>
      </w:r>
      <w:proofErr w:type="gramEnd"/>
      <w:r>
        <w:t>.</w:t>
      </w:r>
    </w:p>
    <w:p w14:paraId="06576DF0" w14:textId="77777777" w:rsidR="00D95545" w:rsidRDefault="00000000">
      <w:pPr>
        <w:spacing w:before="0"/>
      </w:pPr>
      <w:r>
        <w:t xml:space="preserve">Stepanova, E., Thompson, A., Yu, G. and Fu, Y. (2024). Changes in mental health services in response to the COVID-19 pandemic in high-income countries: a rapid review. </w:t>
      </w:r>
      <w:r>
        <w:rPr>
          <w:i/>
          <w:iCs/>
        </w:rPr>
        <w:t>BMC Psychiatry</w:t>
      </w:r>
      <w:r>
        <w:t xml:space="preserve">, 24(1). </w:t>
      </w:r>
      <w:proofErr w:type="spellStart"/>
      <w:proofErr w:type="gramStart"/>
      <w:r>
        <w:t>doi:https</w:t>
      </w:r>
      <w:proofErr w:type="spellEnd"/>
      <w:r>
        <w:t>://doi.org/10.1186/s12888-024-05497-6</w:t>
      </w:r>
      <w:proofErr w:type="gramEnd"/>
      <w:r>
        <w:t>.</w:t>
      </w:r>
    </w:p>
    <w:p w14:paraId="63214DB4" w14:textId="77777777" w:rsidR="00D95545" w:rsidRDefault="00000000">
      <w:pPr>
        <w:spacing w:before="0"/>
      </w:pPr>
      <w:r>
        <w:t xml:space="preserve">Zhang, T., Yan, X., Wang, W.Y.C. and Chen, Q. (2021). Unveiling physicians’ personal branding strategies in online healthcare service platforms. </w:t>
      </w:r>
      <w:r>
        <w:rPr>
          <w:i/>
          <w:iCs/>
        </w:rPr>
        <w:t>Technological Forecasting and Social Change</w:t>
      </w:r>
      <w:r>
        <w:t xml:space="preserve">, [online] 171, p.120964. </w:t>
      </w:r>
      <w:proofErr w:type="spellStart"/>
      <w:proofErr w:type="gramStart"/>
      <w:r>
        <w:t>doi:https</w:t>
      </w:r>
      <w:proofErr w:type="spellEnd"/>
      <w:r>
        <w:t>://doi.org/10.1016/j.techfore.2021.120964</w:t>
      </w:r>
      <w:proofErr w:type="gramEnd"/>
      <w:r>
        <w:t>.</w:t>
      </w:r>
      <w:r>
        <w:br w:type="page"/>
      </w:r>
    </w:p>
    <w:p w14:paraId="0FAED11A" w14:textId="77777777" w:rsidR="00D95545" w:rsidRDefault="00000000">
      <w:pPr>
        <w:pStyle w:val="Heading1"/>
        <w:spacing w:before="0"/>
      </w:pPr>
      <w:bookmarkStart w:id="14" w:name="_heading=h.geofhsh0xcdl" w:colFirst="0" w:colLast="0"/>
      <w:bookmarkEnd w:id="14"/>
      <w:r>
        <w:lastRenderedPageBreak/>
        <w:t>9. Appendix</w:t>
      </w:r>
    </w:p>
    <w:p w14:paraId="40989CB3" w14:textId="77777777" w:rsidR="00D95545" w:rsidRDefault="00000000">
      <w:pPr>
        <w:spacing w:before="0"/>
      </w:pPr>
      <w:r>
        <w:rPr>
          <w:noProof/>
        </w:rPr>
        <w:lastRenderedPageBreak/>
        <w:drawing>
          <wp:inline distT="114300" distB="114300" distL="114300" distR="114300" wp14:anchorId="39C05918" wp14:editId="2326ADEF">
            <wp:extent cx="5924550" cy="7862888"/>
            <wp:effectExtent l="0" t="0" r="0" b="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924550" cy="7862888"/>
                    </a:xfrm>
                    <a:prstGeom prst="rect">
                      <a:avLst/>
                    </a:prstGeom>
                    <a:ln/>
                  </pic:spPr>
                </pic:pic>
              </a:graphicData>
            </a:graphic>
          </wp:inline>
        </w:drawing>
      </w:r>
      <w:r>
        <w:rPr>
          <w:noProof/>
        </w:rPr>
        <w:lastRenderedPageBreak/>
        <w:drawing>
          <wp:inline distT="114300" distB="114300" distL="114300" distR="114300" wp14:anchorId="1DEB76DA" wp14:editId="6D3B588B">
            <wp:extent cx="5919788" cy="8420100"/>
            <wp:effectExtent l="0" t="0" r="0" b="0"/>
            <wp:docPr id="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5919788" cy="8420100"/>
                    </a:xfrm>
                    <a:prstGeom prst="rect">
                      <a:avLst/>
                    </a:prstGeom>
                    <a:ln/>
                  </pic:spPr>
                </pic:pic>
              </a:graphicData>
            </a:graphic>
          </wp:inline>
        </w:drawing>
      </w:r>
      <w:r>
        <w:rPr>
          <w:noProof/>
        </w:rPr>
        <w:lastRenderedPageBreak/>
        <w:drawing>
          <wp:inline distT="114300" distB="114300" distL="114300" distR="114300" wp14:anchorId="18C0B40D" wp14:editId="33C80B66">
            <wp:extent cx="5919788" cy="7648575"/>
            <wp:effectExtent l="0" t="0" r="0" b="0"/>
            <wp:docPr id="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5919788" cy="7648575"/>
                    </a:xfrm>
                    <a:prstGeom prst="rect">
                      <a:avLst/>
                    </a:prstGeom>
                    <a:ln/>
                  </pic:spPr>
                </pic:pic>
              </a:graphicData>
            </a:graphic>
          </wp:inline>
        </w:drawing>
      </w:r>
    </w:p>
    <w:sectPr w:rsidR="00D95545">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9B7B9" w14:textId="77777777" w:rsidR="00F64F65" w:rsidRDefault="00F64F65">
      <w:pPr>
        <w:spacing w:before="0" w:after="0" w:line="240" w:lineRule="auto"/>
      </w:pPr>
      <w:r>
        <w:separator/>
      </w:r>
    </w:p>
  </w:endnote>
  <w:endnote w:type="continuationSeparator" w:id="0">
    <w:p w14:paraId="4548D027" w14:textId="77777777" w:rsidR="00F64F65" w:rsidRDefault="00F64F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135433F-ACA7-4570-89F3-D022CCB3A859}"/>
  </w:font>
  <w:font w:name="Cambria">
    <w:panose1 w:val="02040503050406030204"/>
    <w:charset w:val="00"/>
    <w:family w:val="roman"/>
    <w:pitch w:val="variable"/>
    <w:sig w:usb0="E00006FF" w:usb1="420024FF" w:usb2="02000000" w:usb3="00000000" w:csb0="0000019F" w:csb1="00000000"/>
    <w:embedRegular r:id="rId2" w:fontKey="{50138F9D-5608-4F8E-9B8B-C5F7DE13DF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D2196" w14:textId="77777777" w:rsidR="00D95545" w:rsidRDefault="00000000">
    <w:pPr>
      <w:jc w:val="right"/>
    </w:pPr>
    <w:r>
      <w:fldChar w:fldCharType="begin"/>
    </w:r>
    <w:r>
      <w:instrText>PAGE</w:instrText>
    </w:r>
    <w:r>
      <w:fldChar w:fldCharType="separate"/>
    </w:r>
    <w:r w:rsidR="00005D4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08012" w14:textId="77777777" w:rsidR="00F64F65" w:rsidRDefault="00F64F65">
      <w:pPr>
        <w:spacing w:before="0" w:after="0" w:line="240" w:lineRule="auto"/>
      </w:pPr>
      <w:r>
        <w:separator/>
      </w:r>
    </w:p>
  </w:footnote>
  <w:footnote w:type="continuationSeparator" w:id="0">
    <w:p w14:paraId="5DDD918D" w14:textId="77777777" w:rsidR="00F64F65" w:rsidRDefault="00F64F6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545"/>
    <w:rsid w:val="00005D4C"/>
    <w:rsid w:val="000154BD"/>
    <w:rsid w:val="003F021A"/>
    <w:rsid w:val="00824865"/>
    <w:rsid w:val="00B760C3"/>
    <w:rsid w:val="00CD5285"/>
    <w:rsid w:val="00D95545"/>
    <w:rsid w:val="00F64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8AA44D"/>
  <w15:docId w15:val="{50062A85-556D-452E-BA1D-A60C34547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40"/>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VCE9dMPATamKvnFq6b4/bb1fmA==">CgMxLjAyDmgubHVicjB5NGd4Y3dkMg5oLjFxdWV2cmlrcXd2aTIOaC5ydzMwbGY2cXV4Y3UyDmgud3V4em51N3Fkbm83Mg5oLnV4dmt1OXNkbXNreDIOaC4zeTIyczA2NXF0M3QyDmgueWNrZTZkcDI5bXFsMg5oLnd6a3N4MzQyaDRudDIOaC5za2p6dTd6aDU0ZHQyDmgucG9qM3JvYjFxd3kxMg5oLnBkNWtsZnZmdWRlMzIOaC4zcHUyZmVsbjh3ZDMyDmgubno4cGt4dHllYXFpMg5oLmg2ZndwYWJkdDI1ZDIOaC5nZW9maHNoMHhjZGw4AHIhMWZaMTVJWTRYcUxxNkZZYjB4LWNXZXVYRU12YnlpeTF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3103</Words>
  <Characters>17689</Characters>
  <Application>Microsoft Office Word</Application>
  <DocSecurity>0</DocSecurity>
  <Lines>147</Lines>
  <Paragraphs>41</Paragraphs>
  <ScaleCrop>false</ScaleCrop>
  <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Anca</dc:creator>
  <cp:lastModifiedBy>Catalin Anca</cp:lastModifiedBy>
  <cp:revision>2</cp:revision>
  <dcterms:created xsi:type="dcterms:W3CDTF">2025-12-11T14:09:00Z</dcterms:created>
  <dcterms:modified xsi:type="dcterms:W3CDTF">2025-12-11T14:09:00Z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87712abd-4db5-4d31-b001-07cd37c7cf52</vt:lpwstr>
  </property>
</Properties>
</file>