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7CFF7" w14:textId="77777777" w:rsidR="00033ECE" w:rsidRDefault="00033ECE" w:rsidP="00033ECE">
      <w:pPr>
        <w:rPr>
          <w:rFonts w:ascii="Arial" w:hAnsi="Arial" w:cs="Arial"/>
          <w:sz w:val="24"/>
          <w:szCs w:val="24"/>
        </w:rPr>
      </w:pPr>
    </w:p>
    <w:p w14:paraId="3F9211C5" w14:textId="77777777" w:rsidR="00033ECE" w:rsidRDefault="00033ECE" w:rsidP="00033ECE">
      <w:pPr>
        <w:rPr>
          <w:rFonts w:ascii="Arial" w:hAnsi="Arial" w:cs="Arial"/>
          <w:sz w:val="24"/>
          <w:szCs w:val="24"/>
        </w:rPr>
      </w:pPr>
      <w:r>
        <w:rPr>
          <w:rFonts w:ascii="Arial" w:hAnsi="Arial" w:cs="Arial"/>
          <w:sz w:val="24"/>
          <w:szCs w:val="24"/>
        </w:rPr>
        <w:t>The English legal system is one of the oldest and complex legal system in the world. It has shaped to its current state throughout numerous c</w:t>
      </w:r>
      <w:r w:rsidRPr="008418ED">
        <w:rPr>
          <w:rFonts w:ascii="Arial" w:hAnsi="Arial" w:cs="Arial"/>
          <w:sz w:val="24"/>
          <w:szCs w:val="24"/>
        </w:rPr>
        <w:t>hanges</w:t>
      </w:r>
      <w:r>
        <w:rPr>
          <w:rFonts w:ascii="Arial" w:hAnsi="Arial" w:cs="Arial"/>
          <w:sz w:val="24"/>
          <w:szCs w:val="24"/>
        </w:rPr>
        <w:t xml:space="preserve"> according to cultural, social, economic, and situational needs. One of such law amended example is The </w:t>
      </w:r>
      <w:r w:rsidRPr="004561A2">
        <w:rPr>
          <w:rFonts w:ascii="Arial" w:hAnsi="Arial" w:cs="Arial"/>
          <w:sz w:val="24"/>
          <w:szCs w:val="24"/>
        </w:rPr>
        <w:t>Section 2 of The Homicide Act 1957</w:t>
      </w:r>
      <w:r>
        <w:rPr>
          <w:rFonts w:ascii="Arial" w:hAnsi="Arial" w:cs="Arial"/>
          <w:sz w:val="24"/>
          <w:szCs w:val="24"/>
        </w:rPr>
        <w:t xml:space="preserve"> which has been replaced by T</w:t>
      </w:r>
      <w:r w:rsidRPr="008418ED">
        <w:rPr>
          <w:rFonts w:ascii="Arial" w:hAnsi="Arial" w:cs="Arial"/>
          <w:sz w:val="24"/>
          <w:szCs w:val="24"/>
        </w:rPr>
        <w:t>he Coroners and Justice Act of</w:t>
      </w:r>
      <w:r>
        <w:rPr>
          <w:rFonts w:ascii="Arial" w:hAnsi="Arial" w:cs="Arial"/>
          <w:sz w:val="24"/>
          <w:szCs w:val="24"/>
        </w:rPr>
        <w:t xml:space="preserve"> </w:t>
      </w:r>
      <w:r w:rsidRPr="008418ED">
        <w:rPr>
          <w:rFonts w:ascii="Arial" w:hAnsi="Arial" w:cs="Arial"/>
          <w:sz w:val="24"/>
          <w:szCs w:val="24"/>
        </w:rPr>
        <w:t>2009</w:t>
      </w:r>
      <w:r>
        <w:rPr>
          <w:rFonts w:ascii="Arial" w:hAnsi="Arial" w:cs="Arial"/>
          <w:sz w:val="24"/>
          <w:szCs w:val="24"/>
        </w:rPr>
        <w:t xml:space="preserve">. </w:t>
      </w:r>
      <w:r w:rsidRPr="008418ED">
        <w:rPr>
          <w:rFonts w:ascii="Arial" w:hAnsi="Arial" w:cs="Arial"/>
          <w:sz w:val="24"/>
          <w:szCs w:val="24"/>
        </w:rPr>
        <w:t>This paper will analyse the Coroners and Justice Act of 2009 and its effects on the diminished responsibility argument, including its pros</w:t>
      </w:r>
      <w:r>
        <w:rPr>
          <w:rFonts w:ascii="Arial" w:hAnsi="Arial" w:cs="Arial"/>
          <w:sz w:val="24"/>
          <w:szCs w:val="24"/>
        </w:rPr>
        <w:t xml:space="preserve"> &amp; </w:t>
      </w:r>
      <w:r w:rsidRPr="008418ED">
        <w:rPr>
          <w:rFonts w:ascii="Arial" w:hAnsi="Arial" w:cs="Arial"/>
          <w:sz w:val="24"/>
          <w:szCs w:val="24"/>
        </w:rPr>
        <w:t>cons, and broader significance for the criminal justice system.</w:t>
      </w:r>
    </w:p>
    <w:p w14:paraId="61C097A5" w14:textId="77777777" w:rsidR="00033ECE" w:rsidRPr="008418ED" w:rsidRDefault="00033ECE" w:rsidP="00033ECE">
      <w:pPr>
        <w:rPr>
          <w:rFonts w:ascii="Arial" w:hAnsi="Arial" w:cs="Arial"/>
          <w:sz w:val="24"/>
          <w:szCs w:val="24"/>
        </w:rPr>
      </w:pPr>
    </w:p>
    <w:p w14:paraId="3486700E" w14:textId="77777777" w:rsidR="00033ECE" w:rsidRPr="008418ED" w:rsidRDefault="00033ECE" w:rsidP="00033ECE">
      <w:pPr>
        <w:rPr>
          <w:rFonts w:ascii="Arial" w:hAnsi="Arial" w:cs="Arial"/>
          <w:sz w:val="24"/>
          <w:szCs w:val="24"/>
        </w:rPr>
      </w:pPr>
    </w:p>
    <w:p w14:paraId="24859E22" w14:textId="77777777" w:rsidR="00033ECE" w:rsidRDefault="00033ECE" w:rsidP="00033ECE">
      <w:pPr>
        <w:rPr>
          <w:rFonts w:ascii="Arial" w:hAnsi="Arial" w:cs="Arial"/>
          <w:sz w:val="24"/>
          <w:szCs w:val="24"/>
        </w:rPr>
      </w:pPr>
      <w:r w:rsidRPr="004561A2">
        <w:rPr>
          <w:rFonts w:ascii="Arial" w:hAnsi="Arial" w:cs="Arial"/>
          <w:sz w:val="24"/>
          <w:szCs w:val="24"/>
        </w:rPr>
        <w:t>In cases of murder</w:t>
      </w:r>
      <w:r>
        <w:rPr>
          <w:rFonts w:ascii="Arial" w:hAnsi="Arial" w:cs="Arial"/>
          <w:sz w:val="24"/>
          <w:szCs w:val="24"/>
        </w:rPr>
        <w:t>,</w:t>
      </w:r>
      <w:r w:rsidRPr="004561A2">
        <w:rPr>
          <w:rFonts w:ascii="Arial" w:hAnsi="Arial" w:cs="Arial"/>
          <w:sz w:val="24"/>
          <w:szCs w:val="24"/>
        </w:rPr>
        <w:t xml:space="preserve"> the defence h</w:t>
      </w:r>
      <w:r>
        <w:rPr>
          <w:rFonts w:ascii="Arial" w:hAnsi="Arial" w:cs="Arial"/>
          <w:sz w:val="24"/>
          <w:szCs w:val="24"/>
        </w:rPr>
        <w:t>ad the</w:t>
      </w:r>
      <w:r w:rsidRPr="004561A2">
        <w:rPr>
          <w:rFonts w:ascii="Arial" w:hAnsi="Arial" w:cs="Arial"/>
          <w:sz w:val="24"/>
          <w:szCs w:val="24"/>
        </w:rPr>
        <w:t xml:space="preserve"> chance of diminished responsibility Under Section 2 of The Homicide Act 1957</w:t>
      </w:r>
      <w:r>
        <w:rPr>
          <w:rFonts w:ascii="Arial" w:hAnsi="Arial" w:cs="Arial"/>
          <w:sz w:val="24"/>
          <w:szCs w:val="24"/>
        </w:rPr>
        <w:t xml:space="preserve">. Under this act the defendant must satisfy three mandatory requirements to be successful with their case, which are abnormality of mental functioning, substantial impairment and </w:t>
      </w:r>
      <w:proofErr w:type="gramStart"/>
      <w:r>
        <w:rPr>
          <w:rFonts w:ascii="Arial" w:hAnsi="Arial" w:cs="Arial"/>
          <w:sz w:val="24"/>
          <w:szCs w:val="24"/>
        </w:rPr>
        <w:t>causation .</w:t>
      </w:r>
      <w:r w:rsidRPr="004561A2">
        <w:rPr>
          <w:rFonts w:ascii="Arial" w:hAnsi="Arial" w:cs="Arial"/>
          <w:sz w:val="24"/>
          <w:szCs w:val="24"/>
        </w:rPr>
        <w:t>According</w:t>
      </w:r>
      <w:proofErr w:type="gramEnd"/>
      <w:r w:rsidRPr="004561A2">
        <w:rPr>
          <w:rFonts w:ascii="Arial" w:hAnsi="Arial" w:cs="Arial"/>
          <w:sz w:val="24"/>
          <w:szCs w:val="24"/>
        </w:rPr>
        <w:t xml:space="preserve"> to Professor Michael J. Allen, "Abnormality of mental functioning refers to any recognised medical condition which affects the mind or brain" (Allen, 2015, p. 2). This can include mental illness, personality disorders, or other conditions that affect the way the defendant thinks or behaves. </w:t>
      </w:r>
      <w:proofErr w:type="gramStart"/>
      <w:r w:rsidRPr="004561A2">
        <w:rPr>
          <w:rFonts w:ascii="Arial" w:hAnsi="Arial" w:cs="Arial"/>
          <w:sz w:val="24"/>
          <w:szCs w:val="24"/>
        </w:rPr>
        <w:t>In order</w:t>
      </w:r>
      <w:r>
        <w:rPr>
          <w:rFonts w:ascii="Arial" w:hAnsi="Arial" w:cs="Arial"/>
          <w:sz w:val="24"/>
          <w:szCs w:val="24"/>
        </w:rPr>
        <w:t xml:space="preserve"> </w:t>
      </w:r>
      <w:r w:rsidRPr="004561A2">
        <w:rPr>
          <w:rFonts w:ascii="Arial" w:hAnsi="Arial" w:cs="Arial"/>
          <w:sz w:val="24"/>
          <w:szCs w:val="24"/>
        </w:rPr>
        <w:t>to</w:t>
      </w:r>
      <w:proofErr w:type="gramEnd"/>
      <w:r w:rsidRPr="004561A2">
        <w:rPr>
          <w:rFonts w:ascii="Arial" w:hAnsi="Arial" w:cs="Arial"/>
          <w:sz w:val="24"/>
          <w:szCs w:val="24"/>
        </w:rPr>
        <w:t xml:space="preserve"> meet the </w:t>
      </w:r>
      <w:r>
        <w:rPr>
          <w:rFonts w:ascii="Arial" w:hAnsi="Arial" w:cs="Arial"/>
          <w:sz w:val="24"/>
          <w:szCs w:val="24"/>
        </w:rPr>
        <w:t xml:space="preserve">criteria </w:t>
      </w:r>
      <w:r w:rsidRPr="004561A2">
        <w:rPr>
          <w:rFonts w:ascii="Arial" w:hAnsi="Arial" w:cs="Arial"/>
          <w:sz w:val="24"/>
          <w:szCs w:val="24"/>
        </w:rPr>
        <w:t xml:space="preserve">for substantial impairment, the defendant's mental </w:t>
      </w:r>
      <w:r>
        <w:rPr>
          <w:rFonts w:ascii="Arial" w:hAnsi="Arial" w:cs="Arial"/>
          <w:sz w:val="24"/>
          <w:szCs w:val="24"/>
        </w:rPr>
        <w:t>condition</w:t>
      </w:r>
      <w:r w:rsidRPr="004561A2">
        <w:rPr>
          <w:rFonts w:ascii="Arial" w:hAnsi="Arial" w:cs="Arial"/>
          <w:sz w:val="24"/>
          <w:szCs w:val="24"/>
        </w:rPr>
        <w:t xml:space="preserve"> must have seriously impacted his or her capacity for awareness of wrongdoing, </w:t>
      </w:r>
      <w:r>
        <w:rPr>
          <w:rFonts w:ascii="Arial" w:hAnsi="Arial" w:cs="Arial"/>
          <w:sz w:val="24"/>
          <w:szCs w:val="24"/>
        </w:rPr>
        <w:t>good reason</w:t>
      </w:r>
      <w:r w:rsidRPr="004561A2">
        <w:rPr>
          <w:rFonts w:ascii="Arial" w:hAnsi="Arial" w:cs="Arial"/>
          <w:sz w:val="24"/>
          <w:szCs w:val="24"/>
        </w:rPr>
        <w:t xml:space="preserve"> and self-control. This is "a subjective evaluation of the defendant's mental capacity at the time of the offence," as Professor David Ormerod and Karl Laird put it (Ormerod &amp; Laird, 2006, p. 789).</w:t>
      </w:r>
      <w:r>
        <w:rPr>
          <w:rFonts w:ascii="Arial" w:hAnsi="Arial" w:cs="Arial"/>
          <w:sz w:val="24"/>
          <w:szCs w:val="24"/>
        </w:rPr>
        <w:t xml:space="preserve"> And lastly</w:t>
      </w:r>
      <w:r w:rsidRPr="00516525">
        <w:rPr>
          <w:rFonts w:ascii="Arial" w:hAnsi="Arial" w:cs="Arial"/>
          <w:sz w:val="24"/>
          <w:szCs w:val="24"/>
        </w:rPr>
        <w:t xml:space="preserve"> the requirement of causation means that the defendant's abnormal mental </w:t>
      </w:r>
      <w:r>
        <w:rPr>
          <w:rFonts w:ascii="Arial" w:hAnsi="Arial" w:cs="Arial"/>
          <w:sz w:val="24"/>
          <w:szCs w:val="24"/>
        </w:rPr>
        <w:t xml:space="preserve">condition </w:t>
      </w:r>
      <w:r w:rsidRPr="00516525">
        <w:rPr>
          <w:rFonts w:ascii="Arial" w:hAnsi="Arial" w:cs="Arial"/>
          <w:sz w:val="24"/>
          <w:szCs w:val="24"/>
        </w:rPr>
        <w:t>must have been a major factor in leading to the killing.</w:t>
      </w:r>
      <w:r>
        <w:rPr>
          <w:rFonts w:ascii="Arial" w:hAnsi="Arial" w:cs="Arial"/>
          <w:sz w:val="24"/>
          <w:szCs w:val="24"/>
        </w:rPr>
        <w:t xml:space="preserve"> </w:t>
      </w:r>
      <w:r w:rsidRPr="00516525">
        <w:rPr>
          <w:rFonts w:ascii="Arial" w:hAnsi="Arial" w:cs="Arial"/>
          <w:sz w:val="24"/>
          <w:szCs w:val="24"/>
        </w:rPr>
        <w:t>Professor Cathryn Walker</w:t>
      </w:r>
      <w:r>
        <w:rPr>
          <w:rFonts w:ascii="Arial" w:hAnsi="Arial" w:cs="Arial"/>
          <w:sz w:val="24"/>
          <w:szCs w:val="24"/>
        </w:rPr>
        <w:t xml:space="preserve"> said about it</w:t>
      </w:r>
      <w:r w:rsidRPr="00516525">
        <w:rPr>
          <w:rFonts w:ascii="Arial" w:hAnsi="Arial" w:cs="Arial"/>
          <w:sz w:val="24"/>
          <w:szCs w:val="24"/>
        </w:rPr>
        <w:t xml:space="preserve">: </w:t>
      </w:r>
      <w:r w:rsidRPr="006B2899">
        <w:rPr>
          <w:rFonts w:ascii="Arial" w:hAnsi="Arial" w:cs="Arial"/>
          <w:sz w:val="24"/>
          <w:szCs w:val="24"/>
        </w:rPr>
        <w:t>Walker (2001) states that "The causative connection between the abnormality and the killing must be such that it had a significant impact on the defendant's mental state at the time of the killing" (p. 137).</w:t>
      </w:r>
    </w:p>
    <w:p w14:paraId="3510380C" w14:textId="77777777" w:rsidR="00033ECE" w:rsidRDefault="00033ECE" w:rsidP="00033ECE">
      <w:pPr>
        <w:rPr>
          <w:rFonts w:ascii="Arial" w:hAnsi="Arial" w:cs="Arial"/>
          <w:sz w:val="24"/>
          <w:szCs w:val="24"/>
        </w:rPr>
      </w:pPr>
    </w:p>
    <w:p w14:paraId="4A42F8F4" w14:textId="77777777" w:rsidR="00033ECE" w:rsidRDefault="00033ECE" w:rsidP="00033ECE">
      <w:pPr>
        <w:rPr>
          <w:rFonts w:ascii="Arial" w:hAnsi="Arial" w:cs="Arial"/>
          <w:sz w:val="24"/>
          <w:szCs w:val="24"/>
        </w:rPr>
      </w:pPr>
      <w:r w:rsidRPr="006F199F">
        <w:rPr>
          <w:rFonts w:ascii="Arial" w:hAnsi="Arial" w:cs="Arial"/>
          <w:sz w:val="24"/>
          <w:szCs w:val="24"/>
        </w:rPr>
        <w:t xml:space="preserve">Overall, </w:t>
      </w:r>
      <w:r>
        <w:rPr>
          <w:rFonts w:ascii="Arial" w:hAnsi="Arial" w:cs="Arial"/>
          <w:sz w:val="24"/>
          <w:szCs w:val="24"/>
        </w:rPr>
        <w:t xml:space="preserve">overtime due to different limitations and advanced in medical technology &amp; terminology </w:t>
      </w:r>
      <w:r w:rsidRPr="006F199F">
        <w:rPr>
          <w:rFonts w:ascii="Arial" w:hAnsi="Arial" w:cs="Arial"/>
          <w:sz w:val="24"/>
          <w:szCs w:val="24"/>
        </w:rPr>
        <w:t>the Homicide Act 1957 need</w:t>
      </w:r>
      <w:r>
        <w:rPr>
          <w:rFonts w:ascii="Arial" w:hAnsi="Arial" w:cs="Arial"/>
          <w:sz w:val="24"/>
          <w:szCs w:val="24"/>
        </w:rPr>
        <w:t>ed</w:t>
      </w:r>
      <w:r w:rsidRPr="006F199F">
        <w:rPr>
          <w:rFonts w:ascii="Arial" w:hAnsi="Arial" w:cs="Arial"/>
          <w:sz w:val="24"/>
          <w:szCs w:val="24"/>
        </w:rPr>
        <w:t xml:space="preserve"> to be reformed, including to </w:t>
      </w:r>
      <w:r>
        <w:rPr>
          <w:rFonts w:ascii="Arial" w:hAnsi="Arial" w:cs="Arial"/>
          <w:sz w:val="24"/>
          <w:szCs w:val="24"/>
        </w:rPr>
        <w:t>bring more clarity of legal terms</w:t>
      </w:r>
      <w:r w:rsidRPr="006F199F">
        <w:rPr>
          <w:rFonts w:ascii="Arial" w:hAnsi="Arial" w:cs="Arial"/>
          <w:sz w:val="24"/>
          <w:szCs w:val="24"/>
        </w:rPr>
        <w:t xml:space="preserve">, </w:t>
      </w:r>
      <w:r>
        <w:rPr>
          <w:rFonts w:ascii="Arial" w:hAnsi="Arial" w:cs="Arial"/>
          <w:sz w:val="24"/>
          <w:szCs w:val="24"/>
        </w:rPr>
        <w:t>tackle the obvious flaws in the system</w:t>
      </w:r>
      <w:r w:rsidRPr="006F199F">
        <w:rPr>
          <w:rFonts w:ascii="Arial" w:hAnsi="Arial" w:cs="Arial"/>
          <w:sz w:val="24"/>
          <w:szCs w:val="24"/>
        </w:rPr>
        <w:t>, and ensure that the law</w:t>
      </w:r>
      <w:r>
        <w:rPr>
          <w:rFonts w:ascii="Arial" w:hAnsi="Arial" w:cs="Arial"/>
          <w:sz w:val="24"/>
          <w:szCs w:val="24"/>
        </w:rPr>
        <w:t xml:space="preserve"> take into consideration of complex human behaviour</w:t>
      </w:r>
      <w:r w:rsidRPr="006F199F">
        <w:rPr>
          <w:rFonts w:ascii="Arial" w:hAnsi="Arial" w:cs="Arial"/>
          <w:sz w:val="24"/>
          <w:szCs w:val="24"/>
        </w:rPr>
        <w:t>.</w:t>
      </w:r>
      <w:r>
        <w:rPr>
          <w:rFonts w:ascii="Arial" w:hAnsi="Arial" w:cs="Arial"/>
          <w:sz w:val="24"/>
          <w:szCs w:val="24"/>
        </w:rPr>
        <w:t xml:space="preserve"> The act was amended by </w:t>
      </w:r>
      <w:r w:rsidRPr="008418ED">
        <w:rPr>
          <w:rFonts w:ascii="Arial" w:hAnsi="Arial" w:cs="Arial"/>
          <w:sz w:val="24"/>
          <w:szCs w:val="24"/>
        </w:rPr>
        <w:t>Coroners and Justice Act of 2009</w:t>
      </w:r>
      <w:r>
        <w:rPr>
          <w:rFonts w:ascii="Arial" w:hAnsi="Arial" w:cs="Arial"/>
          <w:sz w:val="24"/>
          <w:szCs w:val="24"/>
        </w:rPr>
        <w:t xml:space="preserve"> to address those obvious problems and issues. </w:t>
      </w:r>
    </w:p>
    <w:p w14:paraId="06558541" w14:textId="77777777" w:rsidR="00033ECE" w:rsidRDefault="00033ECE" w:rsidP="00033ECE">
      <w:pPr>
        <w:rPr>
          <w:rFonts w:ascii="Arial" w:hAnsi="Arial" w:cs="Arial"/>
          <w:sz w:val="24"/>
          <w:szCs w:val="24"/>
        </w:rPr>
      </w:pPr>
    </w:p>
    <w:p w14:paraId="19E5D593" w14:textId="77777777" w:rsidR="00033ECE" w:rsidRDefault="00033ECE" w:rsidP="00033ECE">
      <w:pPr>
        <w:rPr>
          <w:rFonts w:ascii="Arial" w:hAnsi="Arial" w:cs="Arial"/>
          <w:sz w:val="24"/>
          <w:szCs w:val="24"/>
        </w:rPr>
      </w:pPr>
    </w:p>
    <w:p w14:paraId="213F1C68" w14:textId="77777777" w:rsidR="00033ECE" w:rsidRDefault="00033ECE" w:rsidP="00033ECE">
      <w:pPr>
        <w:rPr>
          <w:rFonts w:ascii="Arial" w:hAnsi="Arial" w:cs="Arial"/>
          <w:sz w:val="24"/>
          <w:szCs w:val="24"/>
        </w:rPr>
      </w:pPr>
    </w:p>
    <w:p w14:paraId="0D317782" w14:textId="77777777" w:rsidR="00033ECE" w:rsidRDefault="00033ECE" w:rsidP="00033ECE">
      <w:pPr>
        <w:rPr>
          <w:rFonts w:ascii="Arial" w:hAnsi="Arial" w:cs="Arial"/>
          <w:sz w:val="24"/>
          <w:szCs w:val="24"/>
        </w:rPr>
      </w:pPr>
    </w:p>
    <w:p w14:paraId="3DC272C5" w14:textId="77777777" w:rsidR="00033ECE" w:rsidRDefault="00033ECE" w:rsidP="00033ECE">
      <w:pPr>
        <w:rPr>
          <w:rFonts w:ascii="Arial" w:hAnsi="Arial" w:cs="Arial"/>
          <w:sz w:val="24"/>
          <w:szCs w:val="24"/>
        </w:rPr>
      </w:pPr>
    </w:p>
    <w:p w14:paraId="67B9C069" w14:textId="77777777" w:rsidR="00033ECE" w:rsidRDefault="00033ECE" w:rsidP="00033ECE">
      <w:pPr>
        <w:rPr>
          <w:rFonts w:ascii="Arial" w:hAnsi="Arial" w:cs="Arial"/>
          <w:sz w:val="24"/>
          <w:szCs w:val="24"/>
        </w:rPr>
      </w:pPr>
    </w:p>
    <w:p w14:paraId="5C177BF9" w14:textId="77777777" w:rsidR="00033ECE" w:rsidRDefault="00033ECE" w:rsidP="00033ECE">
      <w:pPr>
        <w:rPr>
          <w:rFonts w:ascii="Arial" w:hAnsi="Arial" w:cs="Arial"/>
          <w:sz w:val="24"/>
          <w:szCs w:val="24"/>
        </w:rPr>
      </w:pPr>
      <w:r>
        <w:rPr>
          <w:rFonts w:ascii="Arial" w:hAnsi="Arial" w:cs="Arial"/>
          <w:sz w:val="24"/>
          <w:szCs w:val="24"/>
        </w:rPr>
        <w:lastRenderedPageBreak/>
        <w:t xml:space="preserve">The </w:t>
      </w:r>
      <w:r w:rsidRPr="008418ED">
        <w:rPr>
          <w:rFonts w:ascii="Arial" w:hAnsi="Arial" w:cs="Arial"/>
          <w:sz w:val="24"/>
          <w:szCs w:val="24"/>
        </w:rPr>
        <w:t>Coroners and Justice Act of 2009</w:t>
      </w:r>
      <w:r>
        <w:rPr>
          <w:rFonts w:ascii="Arial" w:hAnsi="Arial" w:cs="Arial"/>
          <w:sz w:val="24"/>
          <w:szCs w:val="24"/>
        </w:rPr>
        <w:t xml:space="preserve"> brought many changes to its counterpart, one of them is t</w:t>
      </w:r>
      <w:r w:rsidRPr="0095582B">
        <w:rPr>
          <w:rFonts w:ascii="Arial" w:hAnsi="Arial" w:cs="Arial"/>
          <w:sz w:val="24"/>
          <w:szCs w:val="24"/>
        </w:rPr>
        <w:t xml:space="preserve">he Act replaced the old definition of "abnormality of mind" with a new definition of "abnormality of mental functioning." This </w:t>
      </w:r>
      <w:r>
        <w:rPr>
          <w:rFonts w:ascii="Arial" w:hAnsi="Arial" w:cs="Arial"/>
          <w:sz w:val="24"/>
          <w:szCs w:val="24"/>
        </w:rPr>
        <w:t>definition change</w:t>
      </w:r>
      <w:r w:rsidRPr="0095582B">
        <w:rPr>
          <w:rFonts w:ascii="Arial" w:hAnsi="Arial" w:cs="Arial"/>
          <w:sz w:val="24"/>
          <w:szCs w:val="24"/>
        </w:rPr>
        <w:t xml:space="preserve"> was </w:t>
      </w:r>
      <w:r>
        <w:rPr>
          <w:rFonts w:ascii="Arial" w:hAnsi="Arial" w:cs="Arial"/>
          <w:sz w:val="24"/>
          <w:szCs w:val="24"/>
        </w:rPr>
        <w:t>welcomed</w:t>
      </w:r>
      <w:r w:rsidRPr="0095582B">
        <w:rPr>
          <w:rFonts w:ascii="Arial" w:hAnsi="Arial" w:cs="Arial"/>
          <w:sz w:val="24"/>
          <w:szCs w:val="24"/>
        </w:rPr>
        <w:t xml:space="preserve"> for being more</w:t>
      </w:r>
      <w:r>
        <w:rPr>
          <w:rFonts w:ascii="Arial" w:hAnsi="Arial" w:cs="Arial"/>
          <w:sz w:val="24"/>
          <w:szCs w:val="24"/>
        </w:rPr>
        <w:t xml:space="preserve"> up to date</w:t>
      </w:r>
      <w:r w:rsidRPr="0095582B">
        <w:rPr>
          <w:rFonts w:ascii="Arial" w:hAnsi="Arial" w:cs="Arial"/>
          <w:sz w:val="24"/>
          <w:szCs w:val="24"/>
        </w:rPr>
        <w:t xml:space="preserve"> and </w:t>
      </w:r>
      <w:r>
        <w:rPr>
          <w:rFonts w:ascii="Arial" w:hAnsi="Arial" w:cs="Arial"/>
          <w:sz w:val="24"/>
          <w:szCs w:val="24"/>
        </w:rPr>
        <w:t>fit the modern medical terminologies</w:t>
      </w:r>
      <w:r w:rsidRPr="0095582B">
        <w:rPr>
          <w:rFonts w:ascii="Arial" w:hAnsi="Arial" w:cs="Arial"/>
          <w:sz w:val="24"/>
          <w:szCs w:val="24"/>
        </w:rPr>
        <w:t>, as it includes a wider range of recognized medical conditions that can give rise to an abnormality of mental functioning (Lamb, 2012).</w:t>
      </w:r>
      <w:r>
        <w:rPr>
          <w:rFonts w:ascii="Arial" w:hAnsi="Arial" w:cs="Arial"/>
          <w:sz w:val="24"/>
          <w:szCs w:val="24"/>
        </w:rPr>
        <w:t xml:space="preserve"> </w:t>
      </w:r>
      <w:r w:rsidRPr="0095582B">
        <w:rPr>
          <w:rFonts w:ascii="Arial" w:hAnsi="Arial" w:cs="Arial"/>
          <w:sz w:val="24"/>
          <w:szCs w:val="24"/>
        </w:rPr>
        <w:t xml:space="preserve">A clearer test for diminished responsibility: The Act provided a clearer test for </w:t>
      </w:r>
      <w:r>
        <w:rPr>
          <w:rFonts w:ascii="Arial" w:hAnsi="Arial" w:cs="Arial"/>
          <w:sz w:val="24"/>
          <w:szCs w:val="24"/>
        </w:rPr>
        <w:t>deciding</w:t>
      </w:r>
      <w:r w:rsidRPr="0095582B">
        <w:rPr>
          <w:rFonts w:ascii="Arial" w:hAnsi="Arial" w:cs="Arial"/>
          <w:sz w:val="24"/>
          <w:szCs w:val="24"/>
        </w:rPr>
        <w:t xml:space="preserve"> whether a defendant can rely on the defence of diminished responsibility. This new test has been positively evaluated by academics, as it provides a clearer and more consistent framework for the application of the defence (Eastman, 2012).</w:t>
      </w:r>
      <w:r>
        <w:rPr>
          <w:rFonts w:ascii="Arial" w:hAnsi="Arial" w:cs="Arial"/>
          <w:sz w:val="24"/>
          <w:szCs w:val="24"/>
        </w:rPr>
        <w:t xml:space="preserve"> </w:t>
      </w:r>
      <w:r w:rsidRPr="00FC5C9E">
        <w:rPr>
          <w:rFonts w:ascii="Arial" w:hAnsi="Arial" w:cs="Arial"/>
          <w:sz w:val="24"/>
          <w:szCs w:val="24"/>
        </w:rPr>
        <w:t xml:space="preserve">The Act addressed the issue of voluntary intoxication by making it clear that it cannot be used as the basis for establishing diminished responsibility unless the intoxication is itself the result of a recognised medical condition. Scholars are pleased with the improvement in legal clarity and predictability that this change will bring (Law Commission, 2006).The Act modified the burden of proof in cases where the diminished responsibility defence is stated. Scholars have given this shift a positive assessment because of the benefits it brings to the criminal justice </w:t>
      </w:r>
      <w:proofErr w:type="gramStart"/>
      <w:r w:rsidRPr="00FC5C9E">
        <w:rPr>
          <w:rFonts w:ascii="Arial" w:hAnsi="Arial" w:cs="Arial"/>
          <w:sz w:val="24"/>
          <w:szCs w:val="24"/>
        </w:rPr>
        <w:t>system as a whole, particularly</w:t>
      </w:r>
      <w:proofErr w:type="gramEnd"/>
      <w:r w:rsidRPr="00FC5C9E">
        <w:rPr>
          <w:rFonts w:ascii="Arial" w:hAnsi="Arial" w:cs="Arial"/>
          <w:sz w:val="24"/>
          <w:szCs w:val="24"/>
        </w:rPr>
        <w:t xml:space="preserve"> the increased safeguards it offers to defendants with mental health issues and the more evenly distributed burden of proof that results (Lamb, 2012).</w:t>
      </w:r>
    </w:p>
    <w:p w14:paraId="0BFBD4A7" w14:textId="77777777" w:rsidR="00033ECE" w:rsidRDefault="00033ECE" w:rsidP="00033ECE">
      <w:pPr>
        <w:rPr>
          <w:rFonts w:ascii="Arial" w:hAnsi="Arial" w:cs="Arial"/>
          <w:sz w:val="24"/>
          <w:szCs w:val="24"/>
        </w:rPr>
      </w:pPr>
    </w:p>
    <w:p w14:paraId="5719D24C" w14:textId="77777777" w:rsidR="00033ECE" w:rsidRDefault="00033ECE" w:rsidP="00033ECE">
      <w:pPr>
        <w:rPr>
          <w:rFonts w:ascii="Arial" w:hAnsi="Arial" w:cs="Arial"/>
          <w:sz w:val="24"/>
          <w:szCs w:val="24"/>
        </w:rPr>
      </w:pPr>
      <w:r>
        <w:rPr>
          <w:rFonts w:ascii="Arial" w:hAnsi="Arial" w:cs="Arial"/>
          <w:sz w:val="24"/>
          <w:szCs w:val="24"/>
        </w:rPr>
        <w:t>S</w:t>
      </w:r>
      <w:r w:rsidRPr="00FC5C9E">
        <w:rPr>
          <w:rFonts w:ascii="Arial" w:hAnsi="Arial" w:cs="Arial"/>
          <w:sz w:val="24"/>
          <w:szCs w:val="24"/>
        </w:rPr>
        <w:t xml:space="preserve">ignificant </w:t>
      </w:r>
      <w:r>
        <w:rPr>
          <w:rFonts w:ascii="Arial" w:hAnsi="Arial" w:cs="Arial"/>
          <w:sz w:val="24"/>
          <w:szCs w:val="24"/>
        </w:rPr>
        <w:t>c</w:t>
      </w:r>
      <w:r w:rsidRPr="00FC5C9E">
        <w:rPr>
          <w:rFonts w:ascii="Arial" w:hAnsi="Arial" w:cs="Arial"/>
          <w:sz w:val="24"/>
          <w:szCs w:val="24"/>
        </w:rPr>
        <w:t xml:space="preserve">hanges were made to the diminished liability reasoning in murder cases were made by the Coroners and Justice Act (2009). This defence is essential for the criminal justice system to </w:t>
      </w:r>
      <w:proofErr w:type="gramStart"/>
      <w:r w:rsidRPr="00FC5C9E">
        <w:rPr>
          <w:rFonts w:ascii="Arial" w:hAnsi="Arial" w:cs="Arial"/>
          <w:sz w:val="24"/>
          <w:szCs w:val="24"/>
        </w:rPr>
        <w:t>fairly and adequately treat suspects</w:t>
      </w:r>
      <w:proofErr w:type="gramEnd"/>
      <w:r w:rsidRPr="00FC5C9E">
        <w:rPr>
          <w:rFonts w:ascii="Arial" w:hAnsi="Arial" w:cs="Arial"/>
          <w:sz w:val="24"/>
          <w:szCs w:val="24"/>
        </w:rPr>
        <w:t xml:space="preserve"> with mental health issues. The modifications introduced by the Coroners and Justice Act (2009) aimed to provide a simpler and more consistent test for the defence of diminished responsibility, in addition to addressing issues like voluntary intoxication and bringing the law up to speed to reflect modern medical knowledge.</w:t>
      </w:r>
    </w:p>
    <w:p w14:paraId="14A5A054" w14:textId="77777777" w:rsidR="00033ECE" w:rsidRDefault="00033ECE" w:rsidP="00033ECE">
      <w:pPr>
        <w:rPr>
          <w:rFonts w:ascii="Arial" w:hAnsi="Arial" w:cs="Arial"/>
          <w:sz w:val="24"/>
          <w:szCs w:val="24"/>
        </w:rPr>
      </w:pPr>
    </w:p>
    <w:p w14:paraId="31046D84" w14:textId="77777777" w:rsidR="00033ECE" w:rsidRDefault="00033ECE" w:rsidP="00033ECE">
      <w:pPr>
        <w:rPr>
          <w:rFonts w:ascii="Arial" w:hAnsi="Arial" w:cs="Arial"/>
          <w:sz w:val="24"/>
          <w:szCs w:val="24"/>
        </w:rPr>
      </w:pPr>
    </w:p>
    <w:p w14:paraId="11EA20DF" w14:textId="77777777" w:rsidR="00033ECE" w:rsidRDefault="00033ECE" w:rsidP="00033ECE">
      <w:pPr>
        <w:rPr>
          <w:rFonts w:ascii="Arial" w:hAnsi="Arial" w:cs="Arial"/>
          <w:sz w:val="24"/>
          <w:szCs w:val="24"/>
        </w:rPr>
      </w:pPr>
      <w:r w:rsidRPr="00FC5C9E">
        <w:rPr>
          <w:rFonts w:ascii="Arial" w:hAnsi="Arial" w:cs="Arial"/>
          <w:sz w:val="24"/>
          <w:szCs w:val="24"/>
        </w:rPr>
        <w:t xml:space="preserve">The Coroners and Justice Act (2009) has </w:t>
      </w:r>
      <w:proofErr w:type="gramStart"/>
      <w:r w:rsidRPr="00FC5C9E">
        <w:rPr>
          <w:rFonts w:ascii="Arial" w:hAnsi="Arial" w:cs="Arial"/>
          <w:sz w:val="24"/>
          <w:szCs w:val="24"/>
        </w:rPr>
        <w:t>a number of</w:t>
      </w:r>
      <w:proofErr w:type="gramEnd"/>
      <w:r w:rsidRPr="00FC5C9E">
        <w:rPr>
          <w:rFonts w:ascii="Arial" w:hAnsi="Arial" w:cs="Arial"/>
          <w:sz w:val="24"/>
          <w:szCs w:val="24"/>
        </w:rPr>
        <w:t xml:space="preserve"> positive aspects, but there are also some rules that have been questioned. The Act has been highly criticized for including clauses that risk the assumption of innocence. In court, the prosecutor can bring up the defendant's poor reputation thanks to the Act. Some have voiced concern that this clause will enable the prosecution to prejudice the jurors against the defendant by drawing unfair conclusions about the defendant's character (Ashworth, 2010).</w:t>
      </w:r>
      <w:r>
        <w:rPr>
          <w:rFonts w:ascii="Arial" w:hAnsi="Arial" w:cs="Arial"/>
          <w:sz w:val="24"/>
          <w:szCs w:val="24"/>
        </w:rPr>
        <w:t xml:space="preserve"> </w:t>
      </w:r>
      <w:r w:rsidRPr="00FC5C9E">
        <w:rPr>
          <w:rFonts w:ascii="Arial" w:hAnsi="Arial" w:cs="Arial"/>
          <w:sz w:val="24"/>
          <w:szCs w:val="24"/>
        </w:rPr>
        <w:t xml:space="preserve">In addition, the Act </w:t>
      </w:r>
      <w:r>
        <w:rPr>
          <w:rFonts w:ascii="Arial" w:hAnsi="Arial" w:cs="Arial"/>
          <w:sz w:val="24"/>
          <w:szCs w:val="24"/>
        </w:rPr>
        <w:t>introduced clause</w:t>
      </w:r>
      <w:r w:rsidRPr="00FC5C9E">
        <w:rPr>
          <w:rFonts w:ascii="Arial" w:hAnsi="Arial" w:cs="Arial"/>
          <w:sz w:val="24"/>
          <w:szCs w:val="24"/>
        </w:rPr>
        <w:t xml:space="preserve"> that </w:t>
      </w:r>
      <w:r>
        <w:rPr>
          <w:rFonts w:ascii="Arial" w:hAnsi="Arial" w:cs="Arial"/>
          <w:sz w:val="24"/>
          <w:szCs w:val="24"/>
        </w:rPr>
        <w:t xml:space="preserve">allow </w:t>
      </w:r>
      <w:r w:rsidRPr="00FC5C9E">
        <w:rPr>
          <w:rFonts w:ascii="Arial" w:hAnsi="Arial" w:cs="Arial"/>
          <w:sz w:val="24"/>
          <w:szCs w:val="24"/>
        </w:rPr>
        <w:t>judges to conduct closed proceedings when necessary, such as when confidential information is at</w:t>
      </w:r>
      <w:r>
        <w:rPr>
          <w:rFonts w:ascii="Arial" w:hAnsi="Arial" w:cs="Arial"/>
          <w:sz w:val="24"/>
          <w:szCs w:val="24"/>
        </w:rPr>
        <w:t xml:space="preserve"> risk</w:t>
      </w:r>
      <w:r w:rsidRPr="00FC5C9E">
        <w:rPr>
          <w:rFonts w:ascii="Arial" w:hAnsi="Arial" w:cs="Arial"/>
          <w:sz w:val="24"/>
          <w:szCs w:val="24"/>
        </w:rPr>
        <w:t xml:space="preserve">. The concept of open justice is a </w:t>
      </w:r>
      <w:r>
        <w:rPr>
          <w:rFonts w:ascii="Arial" w:hAnsi="Arial" w:cs="Arial"/>
          <w:sz w:val="24"/>
          <w:szCs w:val="24"/>
        </w:rPr>
        <w:t xml:space="preserve">foundation </w:t>
      </w:r>
      <w:r w:rsidRPr="00FC5C9E">
        <w:rPr>
          <w:rFonts w:ascii="Arial" w:hAnsi="Arial" w:cs="Arial"/>
          <w:sz w:val="24"/>
          <w:szCs w:val="24"/>
        </w:rPr>
        <w:t>of the legal system, and this clause has been attacked for threatening to undermine it (House of Lords, 2009).</w:t>
      </w:r>
    </w:p>
    <w:p w14:paraId="5DFBBC2A" w14:textId="77777777" w:rsidR="00033ECE" w:rsidRDefault="00033ECE" w:rsidP="00033ECE">
      <w:pPr>
        <w:rPr>
          <w:rFonts w:ascii="Arial" w:hAnsi="Arial" w:cs="Arial"/>
          <w:sz w:val="24"/>
          <w:szCs w:val="24"/>
        </w:rPr>
      </w:pPr>
    </w:p>
    <w:p w14:paraId="1D6E7718" w14:textId="77777777" w:rsidR="00033ECE" w:rsidRDefault="00033ECE" w:rsidP="00033ECE">
      <w:pPr>
        <w:rPr>
          <w:rFonts w:ascii="Arial" w:hAnsi="Arial" w:cs="Arial"/>
          <w:sz w:val="24"/>
          <w:szCs w:val="24"/>
        </w:rPr>
      </w:pPr>
    </w:p>
    <w:p w14:paraId="31DB9369" w14:textId="77777777" w:rsidR="00033ECE" w:rsidRPr="009E5642" w:rsidRDefault="00033ECE" w:rsidP="00033ECE">
      <w:pPr>
        <w:rPr>
          <w:rFonts w:ascii="Arial" w:hAnsi="Arial" w:cs="Arial"/>
          <w:sz w:val="24"/>
          <w:szCs w:val="24"/>
        </w:rPr>
      </w:pPr>
      <w:r w:rsidRPr="009E5642">
        <w:rPr>
          <w:rFonts w:ascii="Arial" w:hAnsi="Arial" w:cs="Arial"/>
          <w:sz w:val="24"/>
          <w:szCs w:val="24"/>
        </w:rPr>
        <w:lastRenderedPageBreak/>
        <w:t>There have been many suggestions for additional reforms since the Coroners and Justice Act (2009) was enacted. The following are a few illustrations:</w:t>
      </w:r>
    </w:p>
    <w:p w14:paraId="4FB2E5C1" w14:textId="77777777" w:rsidR="00033ECE" w:rsidRDefault="00033ECE" w:rsidP="00033ECE">
      <w:pPr>
        <w:rPr>
          <w:rFonts w:ascii="Arial" w:hAnsi="Arial" w:cs="Arial"/>
          <w:sz w:val="24"/>
          <w:szCs w:val="24"/>
        </w:rPr>
      </w:pPr>
      <w:proofErr w:type="gramStart"/>
      <w:r w:rsidRPr="009E5642">
        <w:rPr>
          <w:rFonts w:ascii="Arial" w:hAnsi="Arial" w:cs="Arial"/>
          <w:sz w:val="24"/>
          <w:szCs w:val="24"/>
        </w:rPr>
        <w:t>In spite of</w:t>
      </w:r>
      <w:proofErr w:type="gramEnd"/>
      <w:r w:rsidRPr="009E5642">
        <w:rPr>
          <w:rFonts w:ascii="Arial" w:hAnsi="Arial" w:cs="Arial"/>
          <w:sz w:val="24"/>
          <w:szCs w:val="24"/>
        </w:rPr>
        <w:t xml:space="preserve"> the Act's positive effects, there have been demands for additional changes to the Judge system.   The absence of impartial inquiries into deaths in custody and the narrow focus of inquests have drawn special criticism.  Hate crimes: Some activists have demanded additional changes to hate crime laws </w:t>
      </w:r>
      <w:proofErr w:type="gramStart"/>
      <w:r w:rsidRPr="009E5642">
        <w:rPr>
          <w:rFonts w:ascii="Arial" w:hAnsi="Arial" w:cs="Arial"/>
          <w:sz w:val="24"/>
          <w:szCs w:val="24"/>
        </w:rPr>
        <w:t>in order to</w:t>
      </w:r>
      <w:proofErr w:type="gramEnd"/>
      <w:r w:rsidRPr="009E5642">
        <w:rPr>
          <w:rFonts w:ascii="Arial" w:hAnsi="Arial" w:cs="Arial"/>
          <w:sz w:val="24"/>
          <w:szCs w:val="24"/>
        </w:rPr>
        <w:t xml:space="preserve"> better protect vulnerable populations, including those who are disabled or women. Third, bribery: there has been a push for stricter implementation of the act's new bribery crimes, including harsher fines for businesses that don't take adequate measures to prevent bribes.  Fourth, the retention of DNA and fingerprint evidence has been brought into question by various groups who believe that the data of innocent people should not be kept by the authorities for extended periods of time. Cybercrime: Some have proposed revising the law to handle emerging threats like computer hacking and data stealing.</w:t>
      </w:r>
    </w:p>
    <w:p w14:paraId="1D250950" w14:textId="77777777" w:rsidR="00033ECE" w:rsidRPr="0095582B" w:rsidRDefault="00033ECE" w:rsidP="00033ECE">
      <w:pPr>
        <w:rPr>
          <w:rFonts w:ascii="Arial" w:hAnsi="Arial" w:cs="Arial"/>
          <w:sz w:val="24"/>
          <w:szCs w:val="24"/>
        </w:rPr>
      </w:pPr>
    </w:p>
    <w:p w14:paraId="30E300A1" w14:textId="77777777" w:rsidR="00033ECE" w:rsidRDefault="00033ECE" w:rsidP="00033ECE">
      <w:pPr>
        <w:rPr>
          <w:rFonts w:ascii="Arial" w:hAnsi="Arial" w:cs="Arial"/>
          <w:sz w:val="24"/>
          <w:szCs w:val="24"/>
        </w:rPr>
      </w:pPr>
      <w:r w:rsidRPr="0095582B">
        <w:rPr>
          <w:rFonts w:ascii="Arial" w:hAnsi="Arial" w:cs="Arial"/>
          <w:sz w:val="24"/>
          <w:szCs w:val="24"/>
        </w:rPr>
        <w:t>Overall, the changes introduced by the Coroners and Justice Act (2009) have been evaluated positively by scholars,</w:t>
      </w:r>
      <w:r>
        <w:rPr>
          <w:rFonts w:ascii="Arial" w:hAnsi="Arial" w:cs="Arial"/>
          <w:sz w:val="24"/>
          <w:szCs w:val="24"/>
        </w:rPr>
        <w:t xml:space="preserve"> society and law </w:t>
      </w:r>
      <w:proofErr w:type="gramStart"/>
      <w:r>
        <w:rPr>
          <w:rFonts w:ascii="Arial" w:hAnsi="Arial" w:cs="Arial"/>
          <w:sz w:val="24"/>
          <w:szCs w:val="24"/>
        </w:rPr>
        <w:t xml:space="preserve">practitioner </w:t>
      </w:r>
      <w:r w:rsidRPr="0095582B">
        <w:rPr>
          <w:rFonts w:ascii="Arial" w:hAnsi="Arial" w:cs="Arial"/>
          <w:sz w:val="24"/>
          <w:szCs w:val="24"/>
        </w:rPr>
        <w:t xml:space="preserve"> as</w:t>
      </w:r>
      <w:proofErr w:type="gramEnd"/>
      <w:r w:rsidRPr="0095582B">
        <w:rPr>
          <w:rFonts w:ascii="Arial" w:hAnsi="Arial" w:cs="Arial"/>
          <w:sz w:val="24"/>
          <w:szCs w:val="24"/>
        </w:rPr>
        <w:t xml:space="preserve"> they provide greater clarity, consistency, and fairness in the application of the defence of diminished responsibility.</w:t>
      </w:r>
    </w:p>
    <w:p w14:paraId="0F9BEDAB" w14:textId="77777777" w:rsidR="00033ECE" w:rsidRDefault="00033ECE" w:rsidP="00033ECE">
      <w:pPr>
        <w:rPr>
          <w:rFonts w:ascii="Arial" w:hAnsi="Arial" w:cs="Arial"/>
          <w:sz w:val="24"/>
          <w:szCs w:val="24"/>
        </w:rPr>
      </w:pPr>
    </w:p>
    <w:p w14:paraId="6BF9700B" w14:textId="77777777" w:rsidR="00033ECE" w:rsidRDefault="00033ECE" w:rsidP="00033ECE">
      <w:pPr>
        <w:rPr>
          <w:rFonts w:ascii="Arial" w:hAnsi="Arial" w:cs="Arial"/>
          <w:sz w:val="24"/>
          <w:szCs w:val="24"/>
        </w:rPr>
      </w:pPr>
      <w:r w:rsidRPr="008418ED">
        <w:rPr>
          <w:rFonts w:ascii="Arial" w:hAnsi="Arial" w:cs="Arial"/>
          <w:sz w:val="24"/>
          <w:szCs w:val="24"/>
        </w:rPr>
        <w:t xml:space="preserve">In </w:t>
      </w:r>
      <w:r>
        <w:rPr>
          <w:rFonts w:ascii="Arial" w:hAnsi="Arial" w:cs="Arial"/>
          <w:sz w:val="24"/>
          <w:szCs w:val="24"/>
        </w:rPr>
        <w:t>summary</w:t>
      </w:r>
      <w:r w:rsidRPr="008418ED">
        <w:rPr>
          <w:rFonts w:ascii="Arial" w:hAnsi="Arial" w:cs="Arial"/>
          <w:sz w:val="24"/>
          <w:szCs w:val="24"/>
        </w:rPr>
        <w:t xml:space="preserve">, the justice system in England and Wales has been </w:t>
      </w:r>
      <w:r>
        <w:rPr>
          <w:rFonts w:ascii="Arial" w:hAnsi="Arial" w:cs="Arial"/>
          <w:sz w:val="24"/>
          <w:szCs w:val="24"/>
        </w:rPr>
        <w:t>significantly</w:t>
      </w:r>
      <w:r w:rsidRPr="008418ED">
        <w:rPr>
          <w:rFonts w:ascii="Arial" w:hAnsi="Arial" w:cs="Arial"/>
          <w:sz w:val="24"/>
          <w:szCs w:val="24"/>
        </w:rPr>
        <w:t xml:space="preserve"> improved thanks to the Coroners and Justice Act (2009). Some sections of the Act, however, have been criticised for threatening to undermine basic tenets of the legal system. It is suggested that the government conduct a review of the Act's provisions to address the criticisms and preserve the principles of the justice system </w:t>
      </w:r>
      <w:proofErr w:type="gramStart"/>
      <w:r w:rsidRPr="008418ED">
        <w:rPr>
          <w:rFonts w:ascii="Arial" w:hAnsi="Arial" w:cs="Arial"/>
          <w:sz w:val="24"/>
          <w:szCs w:val="24"/>
        </w:rPr>
        <w:t>in order to</w:t>
      </w:r>
      <w:proofErr w:type="gramEnd"/>
      <w:r w:rsidRPr="008418ED">
        <w:rPr>
          <w:rFonts w:ascii="Arial" w:hAnsi="Arial" w:cs="Arial"/>
          <w:sz w:val="24"/>
          <w:szCs w:val="24"/>
        </w:rPr>
        <w:t xml:space="preserve"> guarantee the Act's continued effectiveness.</w:t>
      </w:r>
    </w:p>
    <w:p w14:paraId="5B4C354E" w14:textId="77777777" w:rsidR="00033ECE" w:rsidRDefault="00033ECE" w:rsidP="00033ECE">
      <w:pPr>
        <w:rPr>
          <w:rFonts w:ascii="Arial" w:hAnsi="Arial" w:cs="Arial"/>
          <w:sz w:val="24"/>
          <w:szCs w:val="24"/>
        </w:rPr>
      </w:pPr>
    </w:p>
    <w:p w14:paraId="15A5CCFA" w14:textId="77777777" w:rsidR="00033ECE" w:rsidRDefault="00033ECE" w:rsidP="00033ECE">
      <w:pPr>
        <w:rPr>
          <w:rFonts w:ascii="Arial" w:hAnsi="Arial" w:cs="Arial"/>
          <w:sz w:val="24"/>
          <w:szCs w:val="24"/>
        </w:rPr>
      </w:pPr>
    </w:p>
    <w:p w14:paraId="14B54BEB" w14:textId="77777777" w:rsidR="00033ECE" w:rsidRDefault="00033ECE" w:rsidP="00033ECE">
      <w:pPr>
        <w:rPr>
          <w:rFonts w:ascii="Arial" w:hAnsi="Arial" w:cs="Arial"/>
          <w:sz w:val="24"/>
          <w:szCs w:val="24"/>
        </w:rPr>
      </w:pPr>
    </w:p>
    <w:p w14:paraId="0A2E3996" w14:textId="77777777" w:rsidR="00033ECE" w:rsidRDefault="00033ECE" w:rsidP="00033ECE">
      <w:pPr>
        <w:rPr>
          <w:rFonts w:ascii="Arial" w:hAnsi="Arial" w:cs="Arial"/>
          <w:sz w:val="24"/>
          <w:szCs w:val="24"/>
        </w:rPr>
      </w:pPr>
    </w:p>
    <w:p w14:paraId="2A63E059" w14:textId="77777777" w:rsidR="00033ECE" w:rsidRDefault="00033ECE" w:rsidP="00033ECE">
      <w:pPr>
        <w:rPr>
          <w:rFonts w:ascii="Arial" w:hAnsi="Arial" w:cs="Arial"/>
          <w:sz w:val="24"/>
          <w:szCs w:val="24"/>
        </w:rPr>
      </w:pPr>
    </w:p>
    <w:p w14:paraId="54A27A4B" w14:textId="77777777" w:rsidR="00033ECE" w:rsidRDefault="00033ECE" w:rsidP="00033ECE">
      <w:pPr>
        <w:rPr>
          <w:rFonts w:ascii="Arial" w:hAnsi="Arial" w:cs="Arial"/>
          <w:sz w:val="24"/>
          <w:szCs w:val="24"/>
        </w:rPr>
      </w:pPr>
    </w:p>
    <w:p w14:paraId="783A5F6B" w14:textId="77777777" w:rsidR="00033ECE" w:rsidRDefault="00033ECE" w:rsidP="00033ECE">
      <w:pPr>
        <w:rPr>
          <w:rFonts w:ascii="Arial" w:hAnsi="Arial" w:cs="Arial"/>
          <w:sz w:val="24"/>
          <w:szCs w:val="24"/>
        </w:rPr>
      </w:pPr>
    </w:p>
    <w:p w14:paraId="726B7358" w14:textId="77777777" w:rsidR="00033ECE" w:rsidRDefault="00033ECE" w:rsidP="00033ECE">
      <w:pPr>
        <w:rPr>
          <w:rFonts w:ascii="Arial" w:hAnsi="Arial" w:cs="Arial"/>
          <w:sz w:val="24"/>
          <w:szCs w:val="24"/>
        </w:rPr>
      </w:pPr>
    </w:p>
    <w:p w14:paraId="1F34F154" w14:textId="77777777" w:rsidR="00033ECE" w:rsidRDefault="00033ECE" w:rsidP="00033ECE">
      <w:pPr>
        <w:rPr>
          <w:rFonts w:ascii="Arial" w:hAnsi="Arial" w:cs="Arial"/>
          <w:sz w:val="24"/>
          <w:szCs w:val="24"/>
        </w:rPr>
      </w:pPr>
    </w:p>
    <w:p w14:paraId="4D1AEED1" w14:textId="77777777" w:rsidR="00033ECE" w:rsidRDefault="00033ECE" w:rsidP="00033ECE">
      <w:pPr>
        <w:rPr>
          <w:rFonts w:ascii="Arial" w:hAnsi="Arial" w:cs="Arial"/>
          <w:sz w:val="24"/>
          <w:szCs w:val="24"/>
        </w:rPr>
      </w:pPr>
    </w:p>
    <w:p w14:paraId="1D48B6D2" w14:textId="77777777" w:rsidR="00033ECE" w:rsidRDefault="00033ECE" w:rsidP="00033ECE">
      <w:pPr>
        <w:rPr>
          <w:rFonts w:ascii="Arial" w:hAnsi="Arial" w:cs="Arial"/>
          <w:sz w:val="24"/>
          <w:szCs w:val="24"/>
        </w:rPr>
      </w:pPr>
    </w:p>
    <w:p w14:paraId="099A698A" w14:textId="77777777" w:rsidR="00033ECE" w:rsidRDefault="00033ECE" w:rsidP="00033ECE">
      <w:pPr>
        <w:rPr>
          <w:rFonts w:ascii="Arial" w:hAnsi="Arial" w:cs="Arial"/>
          <w:sz w:val="24"/>
          <w:szCs w:val="24"/>
        </w:rPr>
      </w:pPr>
    </w:p>
    <w:p w14:paraId="03CF7F0B" w14:textId="77777777" w:rsidR="00033ECE" w:rsidRPr="008418ED" w:rsidRDefault="00033ECE" w:rsidP="00033ECE">
      <w:pPr>
        <w:rPr>
          <w:rFonts w:ascii="Arial" w:hAnsi="Arial" w:cs="Arial"/>
          <w:sz w:val="24"/>
          <w:szCs w:val="24"/>
        </w:rPr>
      </w:pPr>
    </w:p>
    <w:p w14:paraId="4A498D68" w14:textId="77777777" w:rsidR="00033ECE" w:rsidRDefault="00033ECE" w:rsidP="00033ECE">
      <w:pPr>
        <w:rPr>
          <w:rFonts w:ascii="Arial" w:hAnsi="Arial" w:cs="Arial"/>
          <w:sz w:val="24"/>
          <w:szCs w:val="24"/>
        </w:rPr>
      </w:pPr>
    </w:p>
    <w:p w14:paraId="02C2A268" w14:textId="77777777" w:rsidR="00033ECE" w:rsidRDefault="00033ECE" w:rsidP="00033ECE">
      <w:pPr>
        <w:rPr>
          <w:rFonts w:ascii="Arial" w:hAnsi="Arial" w:cs="Arial"/>
          <w:sz w:val="24"/>
          <w:szCs w:val="24"/>
        </w:rPr>
      </w:pPr>
    </w:p>
    <w:p w14:paraId="7FDD182A" w14:textId="77777777" w:rsidR="00033ECE" w:rsidRDefault="00033ECE" w:rsidP="00033ECE">
      <w:pPr>
        <w:rPr>
          <w:rFonts w:ascii="Arial" w:hAnsi="Arial" w:cs="Arial"/>
          <w:sz w:val="24"/>
          <w:szCs w:val="24"/>
        </w:rPr>
      </w:pPr>
    </w:p>
    <w:p w14:paraId="5FF4FFCA" w14:textId="77777777" w:rsidR="00033ECE" w:rsidRPr="004861CF" w:rsidRDefault="00033ECE" w:rsidP="00033ECE">
      <w:pPr>
        <w:rPr>
          <w:rFonts w:ascii="Arial" w:hAnsi="Arial" w:cs="Arial"/>
          <w:b/>
          <w:bCs/>
          <w:sz w:val="24"/>
          <w:szCs w:val="24"/>
        </w:rPr>
      </w:pPr>
      <w:r w:rsidRPr="004861CF">
        <w:rPr>
          <w:rFonts w:ascii="Arial" w:hAnsi="Arial" w:cs="Arial"/>
          <w:b/>
          <w:bCs/>
          <w:sz w:val="24"/>
          <w:szCs w:val="24"/>
        </w:rPr>
        <w:t>References:</w:t>
      </w:r>
    </w:p>
    <w:p w14:paraId="5505D4F4" w14:textId="77777777" w:rsidR="00033ECE" w:rsidRPr="004561A2" w:rsidRDefault="00033ECE" w:rsidP="00033ECE">
      <w:pPr>
        <w:rPr>
          <w:rFonts w:ascii="Arial" w:hAnsi="Arial" w:cs="Arial"/>
          <w:sz w:val="24"/>
          <w:szCs w:val="24"/>
        </w:rPr>
      </w:pPr>
    </w:p>
    <w:p w14:paraId="5BC7760C" w14:textId="77777777" w:rsidR="00033ECE" w:rsidRDefault="00033ECE" w:rsidP="00033ECE">
      <w:pPr>
        <w:rPr>
          <w:rFonts w:ascii="Arial" w:hAnsi="Arial" w:cs="Arial"/>
          <w:sz w:val="24"/>
          <w:szCs w:val="24"/>
        </w:rPr>
      </w:pPr>
      <w:r w:rsidRPr="004561A2">
        <w:rPr>
          <w:rFonts w:ascii="Arial" w:hAnsi="Arial" w:cs="Arial"/>
          <w:sz w:val="24"/>
          <w:szCs w:val="24"/>
        </w:rPr>
        <w:t>Allen, M. J. (2015). The Homicide Act 1957: An Overview of Section 2. Criminal Law Review, (1), 1-15.</w:t>
      </w:r>
    </w:p>
    <w:p w14:paraId="0E08894C" w14:textId="77777777" w:rsidR="00033ECE" w:rsidRDefault="00033ECE" w:rsidP="00033ECE">
      <w:pPr>
        <w:rPr>
          <w:rFonts w:ascii="Arial" w:hAnsi="Arial" w:cs="Arial"/>
          <w:sz w:val="24"/>
          <w:szCs w:val="24"/>
        </w:rPr>
      </w:pPr>
      <w:r w:rsidRPr="009F1B39">
        <w:rPr>
          <w:rFonts w:ascii="Arial" w:hAnsi="Arial" w:cs="Arial"/>
          <w:sz w:val="24"/>
          <w:szCs w:val="24"/>
        </w:rPr>
        <w:t>Almond, M. (2011). The Coroners and Justice Act 2009: A New Era for the Coronial System in England and Wales? The Journal of Criminal Law, 75(4), 283-294.</w:t>
      </w:r>
    </w:p>
    <w:p w14:paraId="7887E167" w14:textId="77777777" w:rsidR="00033ECE" w:rsidRDefault="00033ECE" w:rsidP="00033ECE">
      <w:pPr>
        <w:rPr>
          <w:rFonts w:ascii="Arial" w:hAnsi="Arial" w:cs="Arial"/>
          <w:sz w:val="24"/>
          <w:szCs w:val="24"/>
        </w:rPr>
      </w:pPr>
      <w:r w:rsidRPr="009F1B39">
        <w:rPr>
          <w:rFonts w:ascii="Arial" w:hAnsi="Arial" w:cs="Arial"/>
          <w:sz w:val="24"/>
          <w:szCs w:val="24"/>
        </w:rPr>
        <w:t>Ashworth, A. (2010). Principles of criminal law. Oxford University Press.</w:t>
      </w:r>
    </w:p>
    <w:p w14:paraId="0FDF207C" w14:textId="77777777" w:rsidR="00033ECE" w:rsidRPr="00A65CB4" w:rsidRDefault="00033ECE" w:rsidP="00033ECE">
      <w:pPr>
        <w:rPr>
          <w:rFonts w:ascii="Arial" w:hAnsi="Arial" w:cs="Arial"/>
          <w:sz w:val="24"/>
          <w:szCs w:val="24"/>
        </w:rPr>
      </w:pPr>
      <w:r w:rsidRPr="00A65CB4">
        <w:rPr>
          <w:rFonts w:ascii="Arial" w:hAnsi="Arial" w:cs="Arial"/>
          <w:sz w:val="24"/>
          <w:szCs w:val="24"/>
        </w:rPr>
        <w:t>Eastman, N. (2012). Diminished responsibility and the Coroners and Justice Act 2009. Journal of Criminal Law, 76(5), 427-440.</w:t>
      </w:r>
    </w:p>
    <w:p w14:paraId="7DEDF675" w14:textId="77777777" w:rsidR="00033ECE" w:rsidRDefault="00033ECE" w:rsidP="00033ECE">
      <w:pPr>
        <w:rPr>
          <w:rFonts w:ascii="Arial" w:hAnsi="Arial" w:cs="Arial"/>
          <w:sz w:val="24"/>
          <w:szCs w:val="24"/>
        </w:rPr>
      </w:pPr>
      <w:r w:rsidRPr="00A65CB4">
        <w:rPr>
          <w:rFonts w:ascii="Arial" w:hAnsi="Arial" w:cs="Arial"/>
          <w:sz w:val="24"/>
          <w:szCs w:val="24"/>
        </w:rPr>
        <w:t xml:space="preserve">Law Commission. (2006). Murder, </w:t>
      </w:r>
      <w:proofErr w:type="gramStart"/>
      <w:r w:rsidRPr="00A65CB4">
        <w:rPr>
          <w:rFonts w:ascii="Arial" w:hAnsi="Arial" w:cs="Arial"/>
          <w:sz w:val="24"/>
          <w:szCs w:val="24"/>
        </w:rPr>
        <w:t>manslaughter</w:t>
      </w:r>
      <w:proofErr w:type="gramEnd"/>
      <w:r w:rsidRPr="00A65CB4">
        <w:rPr>
          <w:rFonts w:ascii="Arial" w:hAnsi="Arial" w:cs="Arial"/>
          <w:sz w:val="24"/>
          <w:szCs w:val="24"/>
        </w:rPr>
        <w:t xml:space="preserve"> and infanticide: proposals for reform of the law. Law Com No 304.</w:t>
      </w:r>
    </w:p>
    <w:p w14:paraId="2D14D64C" w14:textId="77777777" w:rsidR="00033ECE" w:rsidRDefault="00033ECE" w:rsidP="00033ECE">
      <w:pPr>
        <w:rPr>
          <w:rFonts w:ascii="Arial" w:hAnsi="Arial" w:cs="Arial"/>
          <w:sz w:val="24"/>
          <w:szCs w:val="24"/>
        </w:rPr>
      </w:pPr>
      <w:r w:rsidRPr="00A65CB4">
        <w:rPr>
          <w:rFonts w:ascii="Arial" w:hAnsi="Arial" w:cs="Arial"/>
          <w:sz w:val="24"/>
          <w:szCs w:val="24"/>
        </w:rPr>
        <w:t xml:space="preserve">Lamb, H. R. (2012). The defence of diminished responsibility under the Coroners and Justice Act 2009: Still fit for </w:t>
      </w:r>
      <w:proofErr w:type="gramStart"/>
      <w:r w:rsidRPr="00A65CB4">
        <w:rPr>
          <w:rFonts w:ascii="Arial" w:hAnsi="Arial" w:cs="Arial"/>
          <w:sz w:val="24"/>
          <w:szCs w:val="24"/>
        </w:rPr>
        <w:t>purpose?.</w:t>
      </w:r>
      <w:proofErr w:type="gramEnd"/>
      <w:r w:rsidRPr="00A65CB4">
        <w:rPr>
          <w:rFonts w:ascii="Arial" w:hAnsi="Arial" w:cs="Arial"/>
          <w:sz w:val="24"/>
          <w:szCs w:val="24"/>
        </w:rPr>
        <w:t xml:space="preserve"> Medicine, </w:t>
      </w:r>
      <w:proofErr w:type="gramStart"/>
      <w:r w:rsidRPr="00A65CB4">
        <w:rPr>
          <w:rFonts w:ascii="Arial" w:hAnsi="Arial" w:cs="Arial"/>
          <w:sz w:val="24"/>
          <w:szCs w:val="24"/>
        </w:rPr>
        <w:t>Science</w:t>
      </w:r>
      <w:proofErr w:type="gramEnd"/>
      <w:r w:rsidRPr="00A65CB4">
        <w:rPr>
          <w:rFonts w:ascii="Arial" w:hAnsi="Arial" w:cs="Arial"/>
          <w:sz w:val="24"/>
          <w:szCs w:val="24"/>
        </w:rPr>
        <w:t xml:space="preserve"> and the Law, 52(3), 142-146.</w:t>
      </w:r>
    </w:p>
    <w:p w14:paraId="136DFBC0" w14:textId="77777777" w:rsidR="00033ECE" w:rsidRDefault="00033ECE" w:rsidP="00033ECE">
      <w:pPr>
        <w:rPr>
          <w:rFonts w:ascii="Arial" w:hAnsi="Arial" w:cs="Arial"/>
          <w:sz w:val="24"/>
          <w:szCs w:val="24"/>
        </w:rPr>
      </w:pPr>
      <w:r w:rsidRPr="009F1B39">
        <w:rPr>
          <w:rFonts w:ascii="Arial" w:hAnsi="Arial" w:cs="Arial"/>
          <w:sz w:val="24"/>
          <w:szCs w:val="24"/>
        </w:rPr>
        <w:t>House of Lords. (2009). Coroners and Justice Bill: Report of the Joint Committee on Human Rights. Stationery Office.</w:t>
      </w:r>
    </w:p>
    <w:p w14:paraId="7D5FBBEE" w14:textId="77777777" w:rsidR="00033ECE" w:rsidRDefault="00033ECE" w:rsidP="00033ECE">
      <w:pPr>
        <w:rPr>
          <w:rFonts w:ascii="Arial" w:hAnsi="Arial" w:cs="Arial"/>
          <w:sz w:val="24"/>
          <w:szCs w:val="24"/>
        </w:rPr>
      </w:pPr>
      <w:r w:rsidRPr="004561A2">
        <w:rPr>
          <w:rFonts w:ascii="Arial" w:hAnsi="Arial" w:cs="Arial"/>
          <w:sz w:val="24"/>
          <w:szCs w:val="24"/>
        </w:rPr>
        <w:t>Ormerod, D., &amp; Laird, K. (2006). Recklessness in Homicide</w:t>
      </w:r>
    </w:p>
    <w:p w14:paraId="5CB988BA" w14:textId="77777777" w:rsidR="00033ECE" w:rsidRPr="00A65CB4" w:rsidRDefault="00033ECE" w:rsidP="00033ECE">
      <w:pPr>
        <w:rPr>
          <w:rFonts w:ascii="Arial" w:hAnsi="Arial" w:cs="Arial"/>
          <w:sz w:val="24"/>
          <w:szCs w:val="24"/>
        </w:rPr>
      </w:pPr>
    </w:p>
    <w:p w14:paraId="54BF3DBB" w14:textId="77777777" w:rsidR="00033ECE" w:rsidRPr="008418ED" w:rsidRDefault="00033ECE" w:rsidP="00033ECE">
      <w:pPr>
        <w:rPr>
          <w:rFonts w:ascii="Arial" w:hAnsi="Arial" w:cs="Arial"/>
          <w:sz w:val="24"/>
          <w:szCs w:val="24"/>
        </w:rPr>
      </w:pPr>
    </w:p>
    <w:p w14:paraId="0AF02925" w14:textId="77777777" w:rsidR="00980E80" w:rsidRDefault="00000000"/>
    <w:sectPr w:rsidR="00980E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D8D"/>
    <w:rsid w:val="00033ECE"/>
    <w:rsid w:val="003354A3"/>
    <w:rsid w:val="00376BC8"/>
    <w:rsid w:val="00FB1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47248"/>
  <w15:chartTrackingRefBased/>
  <w15:docId w15:val="{CC377864-4BD7-4F45-B6A7-2CE79BA37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E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1198</Words>
  <Characters>6835</Characters>
  <Application>Microsoft Office Word</Application>
  <DocSecurity>0</DocSecurity>
  <Lines>56</Lines>
  <Paragraphs>16</Paragraphs>
  <ScaleCrop>false</ScaleCrop>
  <Company/>
  <LinksUpToDate>false</LinksUpToDate>
  <CharactersWithSpaces>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Hafizul Hasan (2219262)</dc:creator>
  <cp:keywords/>
  <dc:description/>
  <cp:lastModifiedBy>Mohammad Hafizul Hasan (2219262)</cp:lastModifiedBy>
  <cp:revision>2</cp:revision>
  <dcterms:created xsi:type="dcterms:W3CDTF">2023-03-10T17:16:00Z</dcterms:created>
  <dcterms:modified xsi:type="dcterms:W3CDTF">2023-03-10T20:35:00Z</dcterms:modified>
</cp:coreProperties>
</file>