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69EC7" w14:textId="77777777" w:rsidR="00BA210C" w:rsidRDefault="00BA210C" w:rsidP="00BA210C">
      <w:pPr>
        <w:pStyle w:val="Heading1"/>
        <w:jc w:val="center"/>
        <w:rPr>
          <w:color w:val="auto"/>
          <w:u w:val="single"/>
        </w:rPr>
      </w:pPr>
      <w:r w:rsidRPr="00891B56">
        <w:rPr>
          <w:color w:val="auto"/>
          <w:u w:val="single"/>
        </w:rPr>
        <w:t>Discuss the issue of authenticity in relation to battlefield / military memorials</w:t>
      </w:r>
    </w:p>
    <w:p w14:paraId="1FC61941" w14:textId="77777777" w:rsidR="00BA210C" w:rsidRPr="005A178D" w:rsidRDefault="00BA210C" w:rsidP="00BA210C"/>
    <w:p w14:paraId="0DC387BE" w14:textId="77777777" w:rsidR="00BA210C" w:rsidRDefault="00BA210C" w:rsidP="00BA210C">
      <w:r w:rsidRPr="005968E6">
        <w:t xml:space="preserve">Military memorials have become a common feature of the landscape within many countries throughout the twentieth century, especially because of the First World War and the Second World War. These wars resulted in widespread loss of life on a scale not seen before, and many countries were left to think of ways to commemorate the loss of life. Therefore, many </w:t>
      </w:r>
      <w:r>
        <w:t xml:space="preserve">memorials </w:t>
      </w:r>
      <w:r w:rsidRPr="005968E6">
        <w:t>were built to act as a tribute to the dead, to provide a place to mourn the dead, and to provide a lasting reminder of the loss of life. However, over time, they have become an important part of the heritage within the countries involved.</w:t>
      </w:r>
    </w:p>
    <w:p w14:paraId="213B2F2F" w14:textId="77777777" w:rsidR="00BA210C" w:rsidRDefault="00BA210C" w:rsidP="00BA210C">
      <w:r>
        <w:t xml:space="preserve">Despite this, the argument that memorials give a view of the past that is authentic or genuine isn’t easy to make. Generally, authenticity is a widely discussed word in the study of heritage sites. As </w:t>
      </w:r>
      <w:r w:rsidRPr="0055165C">
        <w:t>Barbara</w:t>
      </w:r>
      <w:r>
        <w:t xml:space="preserve"> Wood suggests, authenticity isn’t just about something or somewhere being genuine or accurate from a historical point of view. It also depends on how a particular event or period is viewed or interpreted by a particular community of people</w:t>
      </w:r>
      <w:r>
        <w:fldChar w:fldCharType="begin"/>
      </w:r>
      <w:r>
        <w:instrText xml:space="preserve"> ADDIN ZOTERO_ITEM CSL_CITATION {"citationID":"OvIprv4h","properties":{"formattedCitation":"(Wood, 2020)","plainCitation":"(Wood, 2020)","noteIndex":0},"citationItems":[{"id":338,"uris":["http://zotero.org/users/local/yKBDKBHn/items/THYLCHHM"],"itemData":{"id":338,"type":"article-journal","abstract":"The term “authenticity” is invoked frequently in heritage and related fields including tourism studies and philosophy. Setting the debate within a wider context of academia and heritage practice, this article explores the concept and takes the specific situation of historic houses to question what the meaning of the term may be and to test whether it has value. It considers who defines authenticity and discusses how it may be recognized in different contexts. It summarizes forms which have previously been defined, but it also brings together the often entirely separate debate of academics and the experience of practitioners. Recognizing that the term is employed across material culture, buildings, and places, it also explores the authenticity of experience, considering if, or how, engagement with heritage as curators, researchers, or visitors is authentic. Ultimately, it questions whether such a nebulous concept can ever be fixed or permanent and proposes instead that it should be recognized as a changing idea, dependent on situation and context, valuable perhaps primarily to those who also seek to define it.","container-title":"Collections","DOI":"10.1177/1550190620904798","ISSN":"1550-1906","issue":"1","language":"EN","page":"8-33","publisher":"SAGE Publications Inc","source":"SAGE Journals","title":"A Review of the Concept of Authenticity in Heritage, with Particular Reference to Historic Houses","volume":"16","author":[{"family":"Wood","given":"Barbara"}],"issued":{"date-parts":[["2020",3,1]]}}}],"schema":"https://github.com/citation-style-language/schema/raw/master/csl-citation.json"} </w:instrText>
      </w:r>
      <w:r>
        <w:fldChar w:fldCharType="separate"/>
      </w:r>
      <w:r w:rsidRPr="0055165C">
        <w:rPr>
          <w:rFonts w:ascii="Calibri" w:hAnsi="Calibri" w:cs="Calibri"/>
        </w:rPr>
        <w:t>(Wood, 2020)</w:t>
      </w:r>
      <w:r>
        <w:fldChar w:fldCharType="end"/>
      </w:r>
      <w:r>
        <w:t>. Authenticity isn’t a fact; it’s a product of cultural values and social understanding.</w:t>
      </w:r>
    </w:p>
    <w:p w14:paraId="768DE986" w14:textId="77777777" w:rsidR="00BA210C" w:rsidRDefault="00BA210C" w:rsidP="00BA210C">
      <w:r>
        <w:t>Memorialisation is a product of this. As Sarah Tarlow suggests, memorialisation takes the personal loss of the dead and turns it into a shared memory that a particular community can relate to</w:t>
      </w:r>
      <w:r>
        <w:fldChar w:fldCharType="begin"/>
      </w:r>
      <w:r>
        <w:instrText xml:space="preserve"> ADDIN ZOTERO_ITEM CSL_CITATION {"citationID":"ePmC8uZr","properties":{"formattedCitation":"(Tarlow, 1997)","plainCitation":"(Tarlow, 1997)","noteIndex":0},"citationItems":[{"id":397,"uris":["http://zotero.org/users/local/yKBDKBHn/items/K4S95E7I"],"itemData":{"id":397,"type":"article-journal","abstract":"Archaeological approaches to death and commemoration which privilege the negotiation of power relationships can underestimate the importance of personal and emotional responses to bereavement and mortality. Remembrance of the dead of the First World War is often understood in terms of the promotion of nationalist ideologies, but emotional factors such as grief and shock were also involved in the shaping of commemorative responses. In this article, responses to the First World War at national, local, and individual levels are considered. I suggest that people select monuments, places and ways of remembering for their power to express intense and personal feelings.","container-title":"Cambridge Archaeological Journal","DOI":"10.1017/S0959774300001499","ISSN":"0959-7743, 1474-0540","issue":"1","journalAbbreviation":"CAJ","language":"en","license":"https://www.cambridge.org/core/terms","page":"105-121","source":"DOI.org (Crossref)","title":"An Archaeology of Remembering: Death, Bereavement and the First World War","title-short":"An Archaeology of Remembering","volume":"7","author":[{"family":"Tarlow","given":"Sarah"}],"issued":{"date-parts":[["1997",4]]}}}],"schema":"https://github.com/citation-style-language/schema/raw/master/csl-citation.json"} </w:instrText>
      </w:r>
      <w:r>
        <w:fldChar w:fldCharType="separate"/>
      </w:r>
      <w:r w:rsidRPr="00C20ACE">
        <w:rPr>
          <w:rFonts w:ascii="Calibri" w:hAnsi="Calibri" w:cs="Calibri"/>
        </w:rPr>
        <w:t>(Tarlow, 1997)</w:t>
      </w:r>
      <w:r>
        <w:fldChar w:fldCharType="end"/>
      </w:r>
      <w:r>
        <w:t>. Memorials, monuments, and commemorative landscapes plant the memory of war into people. These activities allow a particular community to pay homage to the dead while creating a narrative about their national identity</w:t>
      </w:r>
      <w:r>
        <w:fldChar w:fldCharType="begin"/>
      </w:r>
      <w:r>
        <w:instrText xml:space="preserve"> ADDIN ZOTERO_ITEM CSL_CITATION {"citationID":"vmQCeGtV","properties":{"formattedCitation":"(Tarlow, 1997)","plainCitation":"(Tarlow, 1997)","noteIndex":0},"citationItems":[{"id":397,"uris":["http://zotero.org/users/local/yKBDKBHn/items/K4S95E7I"],"itemData":{"id":397,"type":"article-journal","abstract":"Archaeological approaches to death and commemoration which privilege the negotiation of power relationships can underestimate the importance of personal and emotional responses to bereavement and mortality. Remembrance of the dead of the First World War is often understood in terms of the promotion of nationalist ideologies, but emotional factors such as grief and shock were also involved in the shaping of commemorative responses. In this article, responses to the First World War at national, local, and individual levels are considered. I suggest that people select monuments, places and ways of remembering for their power to express intense and personal feelings.","container-title":"Cambridge Archaeological Journal","DOI":"10.1017/S0959774300001499","ISSN":"0959-7743, 1474-0540","issue":"1","journalAbbreviation":"CAJ","language":"en","license":"https://www.cambridge.org/core/terms","page":"105-121","source":"DOI.org (Crossref)","title":"An Archaeology of Remembering: Death, Bereavement and the First World War","title-short":"An Archaeology of Remembering","volume":"7","author":[{"family":"Tarlow","given":"Sarah"}],"issued":{"date-parts":[["1997",4]]}}}],"schema":"https://github.com/citation-style-language/schema/raw/master/csl-citation.json"} </w:instrText>
      </w:r>
      <w:r>
        <w:fldChar w:fldCharType="separate"/>
      </w:r>
      <w:r w:rsidRPr="00961B06">
        <w:rPr>
          <w:rFonts w:ascii="Calibri" w:hAnsi="Calibri" w:cs="Calibri"/>
        </w:rPr>
        <w:t>(Tarlow, 1997)</w:t>
      </w:r>
      <w:r>
        <w:fldChar w:fldCharType="end"/>
      </w:r>
      <w:r>
        <w:t>.</w:t>
      </w:r>
    </w:p>
    <w:p w14:paraId="3D44B683" w14:textId="77777777" w:rsidR="00BA210C" w:rsidRDefault="00BA210C" w:rsidP="00BA210C">
      <w:r>
        <w:t>One of the biggest debates in heritage studies is the concept of authenticity. Heritage sites are portrayed as authentic windows into the past, but many researchers argue that this is not necessarily true. Rather, they argue that it is a concept of authenticity that is socially constructed, meaning it is influenced by cultural definitions of meaning and the ways in which people view heritage sites and objects. In essence, it is a concept of something being authentic simply because it is meaningful to a culture.</w:t>
      </w:r>
    </w:p>
    <w:p w14:paraId="101A8ABF" w14:textId="77777777" w:rsidR="00BA210C" w:rsidRDefault="00BA210C" w:rsidP="00BA210C">
      <w:r>
        <w:t>In a study on heritage sites, Barbara Wood argues that a heritage site’s authenticity is more closely related to how history is portrayed and understood than it is to whether it is original in any way</w:t>
      </w:r>
      <w:r>
        <w:fldChar w:fldCharType="begin"/>
      </w:r>
      <w:r>
        <w:instrText xml:space="preserve"> ADDIN ZOTERO_ITEM CSL_CITATION {"citationID":"6tQzIibQ","properties":{"formattedCitation":"(Wood, 2020)","plainCitation":"(Wood, 2020)","noteIndex":0},"citationItems":[{"id":338,"uris":["http://zotero.org/users/local/yKBDKBHn/items/THYLCHHM"],"itemData":{"id":338,"type":"article-journal","abstract":"The term “authenticity” is invoked frequently in heritage and related fields including tourism studies and philosophy. Setting the debate within a wider context of academia and heritage practice, this article explores the concept and takes the specific situation of historic houses to question what the meaning of the term may be and to test whether it has value. It considers who defines authenticity and discusses how it may be recognized in different contexts. It summarizes forms which have previously been defined, but it also brings together the often entirely separate debate of academics and the experience of practitioners. Recognizing that the term is employed across material culture, buildings, and places, it also explores the authenticity of experience, considering if, or how, engagement with heritage as curators, researchers, or visitors is authentic. Ultimately, it questions whether such a nebulous concept can ever be fixed or permanent and proposes instead that it should be recognized as a changing idea, dependent on situation and context, valuable perhaps primarily to those who also seek to define it.","container-title":"Collections","DOI":"10.1177/1550190620904798","ISSN":"1550-1906","issue":"1","language":"EN","page":"8-33","publisher":"SAGE Publications Inc","source":"SAGE Journals","title":"A Review of the Concept of Authenticity in Heritage, with Particular Reference to Historic Houses","volume":"16","author":[{"family":"Wood","given":"Barbara"}],"issued":{"date-parts":[["2020",3,1]]}}}],"schema":"https://github.com/citation-style-language/schema/raw/master/csl-citation.json"} </w:instrText>
      </w:r>
      <w:r>
        <w:fldChar w:fldCharType="separate"/>
      </w:r>
      <w:r w:rsidRPr="007B077A">
        <w:rPr>
          <w:rFonts w:ascii="Calibri" w:hAnsi="Calibri" w:cs="Calibri"/>
        </w:rPr>
        <w:t>(Wood, 2020)</w:t>
      </w:r>
      <w:r>
        <w:fldChar w:fldCharType="end"/>
      </w:r>
      <w:r>
        <w:t>. Deepak Chhabra argues similarly, stating that a heritage site’s authenticity is also related to what people expect to see and experience when they are visiting a heritage site</w:t>
      </w:r>
      <w:r>
        <w:fldChar w:fldCharType="begin"/>
      </w:r>
      <w:r>
        <w:instrText xml:space="preserve"> ADDIN ZOTERO_ITEM CSL_CITATION {"citationID":"EHi1IzpK","properties":{"formattedCitation":"(Chhabra, 2001)","plainCitation":"(Chhabra, 2001)","noteIndex":0},"citationItems":[{"id":342,"uris":["http://zotero.org/users/local/yKBDKBHn/items/Q7Y87SX5"],"itemData":{"id":342,"type":"thesis","abstract":"Short-term events such as festivals are important components of heritage tourism. Heritage tourism provides economic benefits and cultural sustainability to local communities. This dissertation analyzes perceived levels of authenticity and spending by visitors to heritage festivals. The economic impact of visitor expenditures upon the host regions in North Carolina (USA) is also analyzed. Existing and potential visitor target markets are identified. The festivals studied are Scottish Highland Games, and analyses are based on survey data collected from Grandfather Mountain Highland Games and Flora Macdonald Highland Games held in North Carolina. Perceived authenticity is measured as the average authenticity rating of events offered at the Games and statistically related to visitor characteristics. Second, visitor expenditures are compared across age and income groups and regressed on other visitor characteristics, including the visitors' experience at the event. Finally, economic impact of total visitor expenditures is estimated with an input-output model that calculates income, output and value added impacts. The results provide useful insights for Highland Games and local government officials with respect to future promotion. Highland Games in the United States are staged authenticity, but this does not make them inauthentic. There are important differences in perceptions of authenticity among visitors with regard to gender and historical background. Tourist expenditures are positively related to annual household income and distance traveled. When potentially endogenous attributes acquired at the Games (such as enjoyment) are added to the model, they increase the statistical significance of the model. Finally, the Highland Games visitor expenditures have the biggest economic impact on the lodging industry. This is followed by impacts on eating and drinking, admission and registration, gasoline and retail industries. Since the multipliers are small, the games have a rather small percentage impact on their host regions. However, they generate both large direct expenditures as well as indirect and induced effects. The results of this study show that the Highland Games boost heritage tourism in North Carolina by providing events perceived as authentic and economic benefits to the local community.","genre":"Ph.D.","ISBN":"978-0-493-42556-6","language":"English","license":"Database copyright ProQuest LLC; ProQuest does not claim copyright in the individual underlying works.","number-of-pages":"187","publisher":"North Carolina State University","publisher-place":"United States -- North Carolina","source":"ProQuest","title":"Heritage tourism: An analysis of perceived authenticity and economic impact of the Scottish Highland Games in North Carolina","title-short":"Heritage tourism","URL":"https://www.proquest.com/docview/304710698/abstract/9B13E108FC8643E5PQ/1","author":[{"family":"Chhabra","given":"Deepak"}],"accessed":{"date-parts":[["2026",1,14]]},"issued":{"date-parts":[["2001"]]}}}],"schema":"https://github.com/citation-style-language/schema/raw/master/csl-citation.json"} </w:instrText>
      </w:r>
      <w:r>
        <w:fldChar w:fldCharType="separate"/>
      </w:r>
      <w:r w:rsidRPr="00A31C56">
        <w:rPr>
          <w:rFonts w:ascii="Calibri" w:hAnsi="Calibri" w:cs="Calibri"/>
        </w:rPr>
        <w:t>(Chhabra, 2001)</w:t>
      </w:r>
      <w:r>
        <w:fldChar w:fldCharType="end"/>
      </w:r>
      <w:r>
        <w:t>.</w:t>
      </w:r>
    </w:p>
    <w:p w14:paraId="65497BFB" w14:textId="77777777" w:rsidR="00BA210C" w:rsidRDefault="00BA210C" w:rsidP="00BA210C">
      <w:r>
        <w:t>In terms of military memorials, this concept of heritage sites being authentic because they are meaningful to a culture is highly relevant because it challenges the assumption that a memorial is simply a factual representation of a war or a conflict. Rather, it argues that it is a representation of a war and conflict that is carefully designed and intended to be meaningful to a culture.</w:t>
      </w:r>
    </w:p>
    <w:p w14:paraId="4F2627AC" w14:textId="77777777" w:rsidR="00BA210C" w:rsidRDefault="00BA210C" w:rsidP="00BA210C">
      <w:r>
        <w:t>In terms of analysing a battlefield memorial, this concept of heritage sites being socially constructed and thus authentic because they are meaningful to a culture is highly relevant because it challenges the assumption that a memorial is simply a historical artifact and instead argues that it is a cultural artifact that reveals a culture’s definition of meaning in relation to a war.</w:t>
      </w:r>
    </w:p>
    <w:p w14:paraId="05CCC303" w14:textId="77777777" w:rsidR="00BA210C" w:rsidRDefault="00BA210C" w:rsidP="00BA210C">
      <w:r>
        <w:lastRenderedPageBreak/>
        <w:t>Another major way of looking at war memorials is in relation to the massive scale of deaths caused by modern warfare. With the sheer scale of deaths in WWI, it was not possible for people to follow the normal grieving process. With so many people buried in a different location, perhaps not even identified, a new challenge emerged in grieving in a normal manner.</w:t>
      </w:r>
    </w:p>
    <w:p w14:paraId="1B61EF2F" w14:textId="77777777" w:rsidR="00BA210C" w:rsidRDefault="00BA210C" w:rsidP="00BA210C">
      <w:r>
        <w:t>According to Sarah Tarlow, this changed the way people dealt with death and grieving in a memorialist way. With people not being able to attend their loved ones’ graves, a new way of memorialisation emerged in the form of war memorials in different cities and towns</w:t>
      </w:r>
      <w:r>
        <w:fldChar w:fldCharType="begin"/>
      </w:r>
      <w:r>
        <w:instrText xml:space="preserve"> ADDIN ZOTERO_ITEM CSL_CITATION {"citationID":"4wtibpiG","properties":{"formattedCitation":"(Tarlow, 1997)","plainCitation":"(Tarlow, 1997)","noteIndex":0},"citationItems":[{"id":397,"uris":["http://zotero.org/users/local/yKBDKBHn/items/K4S95E7I"],"itemData":{"id":397,"type":"article-journal","abstract":"Archaeological approaches to death and commemoration which privilege the negotiation of power relationships can underestimate the importance of personal and emotional responses to bereavement and mortality. Remembrance of the dead of the First World War is often understood in terms of the promotion of nationalist ideologies, but emotional factors such as grief and shock were also involved in the shaping of commemorative responses. In this article, responses to the First World War at national, local, and individual levels are considered. I suggest that people select monuments, places and ways of remembering for their power to express intense and personal feelings.","container-title":"Cambridge Archaeological Journal","DOI":"10.1017/S0959774300001499","ISSN":"0959-7743, 1474-0540","issue":"1","journalAbbreviation":"CAJ","language":"en","license":"https://www.cambridge.org/core/terms","page":"105-121","source":"DOI.org (Crossref)","title":"An Archaeology of Remembering: Death, Bereavement and the First World War","title-short":"An Archaeology of Remembering","volume":"7","author":[{"family":"Tarlow","given":"Sarah"}],"issued":{"date-parts":[["1997",4]]}}}],"schema":"https://github.com/citation-style-language/schema/raw/master/csl-citation.json"} </w:instrText>
      </w:r>
      <w:r>
        <w:fldChar w:fldCharType="separate"/>
      </w:r>
      <w:r w:rsidRPr="00790456">
        <w:rPr>
          <w:rFonts w:ascii="Calibri" w:hAnsi="Calibri" w:cs="Calibri"/>
        </w:rPr>
        <w:t>(Tarlow, 1997)</w:t>
      </w:r>
      <w:r>
        <w:fldChar w:fldCharType="end"/>
      </w:r>
      <w:r>
        <w:t>. It served as a place where people could gather and pay their respects to those who were killed in war.</w:t>
      </w:r>
    </w:p>
    <w:p w14:paraId="17218E2E" w14:textId="77777777" w:rsidR="00BA210C" w:rsidRDefault="00BA210C" w:rsidP="00BA210C">
      <w:r>
        <w:t>In a way, these memorials acted as a substitute for graves. Though the bodies of the deceased were buried in a different location, these memorials acted as a place where people could express their grief. There were also annual ceremonies held in these places, giving these memorials a central place in grieving.</w:t>
      </w:r>
    </w:p>
    <w:p w14:paraId="7D5845B6" w14:textId="77777777" w:rsidR="00BA210C" w:rsidRDefault="00BA210C" w:rsidP="00BA210C">
      <w:r>
        <w:t>War memorials are also authentic because they were directly related to the impact of war on people’s emotions. With these memorials directly related to people’s emotions, they are authentic and thus carry a high level of significance even today.</w:t>
      </w:r>
    </w:p>
    <w:p w14:paraId="3E775080" w14:textId="77777777" w:rsidR="00BA210C" w:rsidRDefault="00BA210C" w:rsidP="00BA210C">
      <w:r>
        <w:t>A famous example of how memorials can accommodate personal sorrow and national memory simultaneously is the Tomb of the Unknown Warrior. After the end of the First World War, many families could not locate the bodies of their loved ones who were killed during the war. To commemorate the unidentified dead, the idea of the Unknown Soldier gained popularity across the world as a symbol of all the missing and unknown dead</w:t>
      </w:r>
      <w:r>
        <w:fldChar w:fldCharType="begin"/>
      </w:r>
      <w:r>
        <w:instrText xml:space="preserve"> ADDIN ZOTERO_ITEM CSL_CITATION {"citationID":"p8qCMZLp","properties":{"formattedCitation":"(Westminster Abbey, no date)","plainCitation":"(Westminster Abbey, no date)","noteIndex":0},"citationItems":[{"id":405,"uris":["http://zotero.org/users/local/yKBDKBHn/items/D4CRYHX8"],"itemData":{"id":405,"type":"webpage","abstract":"At the west end of the Nave is the grave of the Unknown Warrior, whose body was brought from France to be buried in 1920. No one knows the identity of the person buried here. It is the only gravestone in the Abbey that we ask people not to walk on out of respect.","container-title":"Westminster Abbey","language":"en","title":"Unknown Warrior","URL":"https://www.westminster-abbey.org/abbey-commemorations/commemorations/unknown-warrior/","author":[{"family":"Westminster Abbey","given":""}],"accessed":{"date-parts":[["2026",2,25]]}}}],"schema":"https://github.com/citation-style-language/schema/raw/master/csl-citation.json"} </w:instrText>
      </w:r>
      <w:r>
        <w:fldChar w:fldCharType="separate"/>
      </w:r>
      <w:r w:rsidRPr="003A0A24">
        <w:rPr>
          <w:rFonts w:ascii="Calibri" w:hAnsi="Calibri" w:cs="Calibri"/>
        </w:rPr>
        <w:t>(Westminster Abbey, no date)</w:t>
      </w:r>
      <w:r>
        <w:fldChar w:fldCharType="end"/>
      </w:r>
      <w:r>
        <w:t>. Inglis describes how the idea of the Unknown Soldier gained popularity across the world in the early 20th century</w:t>
      </w:r>
      <w:r>
        <w:fldChar w:fldCharType="begin"/>
      </w:r>
      <w:r>
        <w:instrText xml:space="preserve"> ADDIN ZOTERO_ITEM CSL_CITATION {"citationID":"737TPT7O","properties":{"formattedCitation":"(Inglis, 1993)","plainCitation":"(Inglis, 1993)","noteIndex":0},"citationItems":[{"id":400,"uris":["http://zotero.org/users/local/yKBDKBHn/items/ZJ8NVR4L"],"itemData":{"id":400,"type":"article-journal","container-title":"History and Memory","ISSN":"0935-560X","issue":"2","page":"7-31","publisher":"Indiana University Press","source":"JSTOR","title":"Entombing Unknown Soldiers: From London and Paris to Baghdad","title-short":"Entombing Unknown Soldiers","volume":"5","author":[{"family":"Inglis","given":"K. S."}],"issued":{"date-parts":[["1993"]]}}}],"schema":"https://github.com/citation-style-language/schema/raw/master/csl-citation.json"} </w:instrText>
      </w:r>
      <w:r>
        <w:fldChar w:fldCharType="separate"/>
      </w:r>
      <w:r w:rsidRPr="00833BDC">
        <w:rPr>
          <w:rFonts w:ascii="Calibri" w:hAnsi="Calibri" w:cs="Calibri"/>
        </w:rPr>
        <w:t>(Inglis, 1993)</w:t>
      </w:r>
      <w:r>
        <w:fldChar w:fldCharType="end"/>
      </w:r>
      <w:r>
        <w:t>.</w:t>
      </w:r>
    </w:p>
    <w:p w14:paraId="0258223C" w14:textId="77777777" w:rsidR="00BA210C" w:rsidRDefault="00BA210C" w:rsidP="00BA210C">
      <w:r>
        <w:t>The tomb of the Unknown Warrior located at Westminster Abbey contains the body of an unidentified British soldier who died during the war. Though the identity of the soldier buried at the tomb is unknown, the memorial serves as a symbol of the thousands of unidentified dead whose bodies were not located or returned to their families after the war. This gives the memorial a high emotional value. Families who had lost their loved ones during the war could see the Unknown Warrior as a symbol of their missing family member, even though they do not know the exact location of their missing family member.</w:t>
      </w:r>
    </w:p>
    <w:p w14:paraId="0A260236" w14:textId="77777777" w:rsidR="00BA210C" w:rsidRDefault="00BA210C" w:rsidP="00BA210C">
      <w:r>
        <w:t xml:space="preserve">Another factor that gives the memorial a high emotional value is its location. Westminster Abbey is a place with a high national value since it is often used for national ceremonies, royal events, and historical events. Locating the Unknown Warrior at this place links the memory of the unknown dead to the national memory. Additionally, the tomb participates in important national events, such as the coronation ceremony, during which it must be identified by the monarch. Even though the identity of the soldier buried at the tomb is unknown, the memorial has gained a high level of authenticity since it serves as a symbol of the unknown dead who died during the war. </w:t>
      </w:r>
    </w:p>
    <w:p w14:paraId="6F2F7DC0" w14:textId="77777777" w:rsidR="00BA210C" w:rsidRDefault="00BA210C" w:rsidP="00BA210C">
      <w:r>
        <w:t>Military memorials tend to emerge from the ground in which they have been situated, especially in the case of those situated on or near old battlefields. These serve as a reminder of the events of the past. Rather than being isolated structures, many of the battlefield memorials tend to form part of a larger commemorative landscape. This connects the two events in a significant way.</w:t>
      </w:r>
    </w:p>
    <w:p w14:paraId="0BF81F10" w14:textId="77777777" w:rsidR="00BA210C" w:rsidRDefault="00BA210C" w:rsidP="00BA210C">
      <w:r>
        <w:t>Joan Morgan refers to them as “sites of memory,” where cultural values tend to stick to the physical space</w:t>
      </w:r>
      <w:r>
        <w:fldChar w:fldCharType="begin"/>
      </w:r>
      <w:r>
        <w:instrText xml:space="preserve"> ADDIN ZOTERO_ITEM CSL_CITATION {"citationID":"PyBaJwKN","properties":{"formattedCitation":"(Morgan, 2001)","plainCitation":"(Morgan, 2001)","noteIndex":0},"citationItems":[{"id":402,"uris":["http://zotero.org/users/local/yKBDKBHn/items/Z9P5Z946"],"itemData":{"id":402,"type":"thesis","publisher":"Canterbury","title":"Sites of Memory: Memorialistaion in the Landscape","author":[{"family":"Morgan","given":"Joan M."}],"issued":{"date-parts":[["2001"]]}}}],"schema":"https://github.com/citation-style-language/schema/raw/master/csl-citation.json"} </w:instrText>
      </w:r>
      <w:r>
        <w:fldChar w:fldCharType="separate"/>
      </w:r>
      <w:r w:rsidRPr="00DD6D5D">
        <w:rPr>
          <w:rFonts w:ascii="Calibri" w:hAnsi="Calibri" w:cs="Calibri"/>
        </w:rPr>
        <w:t>(Morgan, 2001)</w:t>
      </w:r>
      <w:r>
        <w:fldChar w:fldCharType="end"/>
      </w:r>
      <w:r>
        <w:t xml:space="preserve">. Here, the connection to the surrounding environment is significant. The presence of the memorial is significant in marking the battlefield or the area in which events of war </w:t>
      </w:r>
      <w:r>
        <w:lastRenderedPageBreak/>
        <w:t>occurred. Over time, many of them have come to represent significant areas of heritage to those who visit them. There is a significant connection between the memorial and the surrounding environment. The presence of the memorial in the environment is significant in creating the feeling of historical presence. When people visit the battlefield memorial, they tend to see more than just the statue or the obelisk. They tend to see the space in which historical events occurred. There is a significant connection between the space and the memory of the war.</w:t>
      </w:r>
    </w:p>
    <w:p w14:paraId="48CC57CB" w14:textId="77777777" w:rsidR="00BA210C" w:rsidRDefault="00BA210C" w:rsidP="00BA210C">
      <w:r>
        <w:t>The authenticity of many of the battlefield memorials depends on the location. There is a significant connection between the two. The connection between the space, the event, and the memory of the event gives rise to the feeling that the event is significant. Here, the authenticity of the memorial is significant. It is not just the environment in which the memorial is situated but the memories that people tend to bring to the environment.</w:t>
      </w:r>
    </w:p>
    <w:p w14:paraId="6250DC50" w14:textId="77777777" w:rsidR="00BA210C" w:rsidRDefault="00BA210C" w:rsidP="00BA210C">
      <w:r>
        <w:t>Another important part of military memorials is the way that ritual and remembrance help to keep them alive. These memorials do not merely sit within the land as a series of markers or plaques. Rather, they become a space through which the ritual of remembrance occurs. These rituals help to maintain the connection between the memorial and the memories that it holds. Without them, the memorials run the risk of becoming part of the everyday world and losing a level of poignancy.</w:t>
      </w:r>
    </w:p>
    <w:p w14:paraId="5320D389" w14:textId="77777777" w:rsidR="00BA210C" w:rsidRDefault="00BA210C" w:rsidP="00BA210C">
      <w:r>
        <w:t xml:space="preserve">A good example of this can be seen with the celebration of Remembrance Day. Within the United Kingdom or many Commonwealth countries, for instance, many people attend local war memorials to celebrate the day through services, periods of silence, or the laying of wreaths. One of the most prominent aspects of the celebration of Remembrance Day is the symbol of the Remembrance Poppy </w:t>
      </w:r>
      <w:r>
        <w:fldChar w:fldCharType="begin"/>
      </w:r>
      <w:r>
        <w:instrText xml:space="preserve"> ADDIN ZOTERO_ITEM CSL_CITATION {"citationID":"TMhihLL5","properties":{"formattedCitation":"(Morgan, 2001)","plainCitation":"(Morgan, 2001)","noteIndex":0},"citationItems":[{"id":402,"uris":["http://zotero.org/users/local/yKBDKBHn/items/Z9P5Z946"],"itemData":{"id":402,"type":"thesis","publisher":"Canterbury","title":"Sites of Memory: Memorialistaion in the Landscape","author":[{"family":"Morgan","given":"Joan M."}],"issued":{"date-parts":[["2001"]]}}}],"schema":"https://github.com/citation-style-language/schema/raw/master/csl-citation.json"} </w:instrText>
      </w:r>
      <w:r>
        <w:fldChar w:fldCharType="separate"/>
      </w:r>
      <w:r w:rsidRPr="005127F2">
        <w:rPr>
          <w:rFonts w:ascii="Calibri" w:hAnsi="Calibri" w:cs="Calibri"/>
        </w:rPr>
        <w:t>(Morgan, 2001)</w:t>
      </w:r>
      <w:r>
        <w:fldChar w:fldCharType="end"/>
      </w:r>
      <w:r>
        <w:t>. This symbol represents those who died because of the conflict. Through the ritual of the celebration of Remembrance Day, a collective moment for the nation to come together and think about the past occurs.</w:t>
      </w:r>
    </w:p>
    <w:p w14:paraId="2D600CE2" w14:textId="77777777" w:rsidR="00BA210C" w:rsidRDefault="00BA210C" w:rsidP="00BA210C">
      <w:r>
        <w:t xml:space="preserve">In this way, the meaning that is attached to the idea of the war memorial is continually reinforced through the ritual of the celebration of Remembrance Day. Each year’s celebration reminds the nation of the events that the memorial holds. In doing so, the memorial becomes active once again within the nation’s cultural memory </w:t>
      </w:r>
      <w:r>
        <w:fldChar w:fldCharType="begin"/>
      </w:r>
      <w:r>
        <w:instrText xml:space="preserve"> ADDIN ZOTERO_ITEM CSL_CITATION {"citationID":"jWXXGNCt","properties":{"formattedCitation":"(Morgan, 2001)","plainCitation":"(Morgan, 2001)","noteIndex":0},"citationItems":[{"id":402,"uris":["http://zotero.org/users/local/yKBDKBHn/items/Z9P5Z946"],"itemData":{"id":402,"type":"thesis","publisher":"Canterbury","title":"Sites of Memory: Memorialistaion in the Landscape","author":[{"family":"Morgan","given":"Joan M."}],"issued":{"date-parts":[["2001"]]}}}],"schema":"https://github.com/citation-style-language/schema/raw/master/csl-citation.json"} </w:instrText>
      </w:r>
      <w:r>
        <w:fldChar w:fldCharType="separate"/>
      </w:r>
      <w:r w:rsidRPr="00483C6C">
        <w:rPr>
          <w:rFonts w:ascii="Calibri" w:hAnsi="Calibri" w:cs="Calibri"/>
        </w:rPr>
        <w:t>(Morgan, 2001)</w:t>
      </w:r>
      <w:r>
        <w:fldChar w:fldCharType="end"/>
      </w:r>
      <w:r>
        <w:t>.</w:t>
      </w:r>
    </w:p>
    <w:p w14:paraId="58DAF2F9" w14:textId="77777777" w:rsidR="00BA210C" w:rsidRDefault="00BA210C" w:rsidP="00BA210C">
      <w:r>
        <w:t>Therefore, the authenticity of military memorials extends beyond the physical form of the memorial to the way in which they continue to be interacted with by the nation.</w:t>
      </w:r>
    </w:p>
    <w:p w14:paraId="62A80F20" w14:textId="77777777" w:rsidR="00BA210C" w:rsidRDefault="00BA210C" w:rsidP="00BA210C">
      <w:r>
        <w:t>This means that military memorials play a crucial role in the creation of the identity of the community. They do not merely commemorate what happened but also represent a particular idea about the community’s identity. The research carried out by Joseph Skinner indicates that monuments and historical narratives form a crucial part of the creation of identity within a particular society</w:t>
      </w:r>
      <w:r>
        <w:fldChar w:fldCharType="begin"/>
      </w:r>
      <w:r>
        <w:instrText xml:space="preserve"> ADDIN ZOTERO_ITEM CSL_CITATION {"citationID":"fYdmfCpA","properties":{"formattedCitation":"(Skinner, Manolopoulou and Tsouparopoulou, 2025)","plainCitation":"(Skinner, Manolopoulou and Tsouparopoulou, 2025)","noteIndex":0},"citationItems":[{"id":422,"uris":["http://zotero.org/users/local/yKBDKBHn/items/G2AXB6BQ"],"itemData":{"id":422,"type":"book","abstract":"Identities in Antiquity is a multi-disciplinary platform for the synthetic study of ancient identities, set in a more rounded and inclusive notion of antiquity.The volume showcases methodological and theoretical approaches to the study of ancient identities by scholars from different disciplinary backgrounds and career stages. In doing so, it promotes a more holistic approach to the study of ancient identities, facilitating comparisons between different periods and disciplines and generating new knowledge in the process. Chapters illustrating the intersecting, multifaceted, and mutable (or else highly immutable) nature of ancient identities address themes such as ethnicity, race, gender, mobility, religion, and elite and sub-elite identities – most notably that of the enslaved – in case studies spanning the ancient Mediterranean world and beyond, from the third millennium BCE until the early Middle Ages.The volume is suitable for students and scholars working on the Ancient Near East, the Graeco-Roman Worlds, Late Antiquity, and Byzantium, offering a valuable contribution to the study of past identities and the internal workings of ancient societies.","ISBN":"978-1-351-00312-4","language":"en","note":"Google-Books-ID: 4zllEQAAQBAJ","number-of-pages":"834","publisher":"Taylor &amp; Francis","source":"Google Books","title":"Identities in Antiquity","author":[{"family":"Skinner","given":"Joseph"},{"family":"Manolopoulou","given":"Vicky"},{"family":"Tsouparopoulou","given":"Christina"}],"issued":{"date-parts":[["2025",6,30]]}}}],"schema":"https://github.com/citation-style-language/schema/raw/master/csl-citation.json"} </w:instrText>
      </w:r>
      <w:r>
        <w:fldChar w:fldCharType="separate"/>
      </w:r>
      <w:r w:rsidRPr="00BE161D">
        <w:rPr>
          <w:rFonts w:ascii="Calibri" w:hAnsi="Calibri" w:cs="Calibri"/>
        </w:rPr>
        <w:t>(Skinner, Manolopoulou and Tsouparopoulou, 2025)</w:t>
      </w:r>
      <w:r>
        <w:fldChar w:fldCharType="end"/>
      </w:r>
      <w:r>
        <w:t>. As a matter of fact, they shape the way a particular society creates its identity by promoting a particular idea about the national history of the country. For instance, most war memorials celebrate the idea of heroism, sacrifice, and unity. These ideas form a crucial part of the identity of the society.</w:t>
      </w:r>
    </w:p>
    <w:p w14:paraId="64592234" w14:textId="77777777" w:rsidR="00BA210C" w:rsidRDefault="00BA210C" w:rsidP="00BA210C">
      <w:r>
        <w:t>In this respect, it can be concluded that military memorials form a crucial part of the creation of a particular idea about the national history of a particular country. They commemorate the deaths of the soldiers who fought during the war by promoting the idea that the sacrifice of the soldiers defined the nation or protected the nation’s values. The idea of authenticity within the context of military memorials is not merely about the events that took place but also about the identity that the community creates.</w:t>
      </w:r>
    </w:p>
    <w:p w14:paraId="4A820E17" w14:textId="77777777" w:rsidR="00BA210C" w:rsidRDefault="00BA210C" w:rsidP="00BA210C">
      <w:r>
        <w:lastRenderedPageBreak/>
        <w:t>Because of this, the idea of authenticity within the context of military memorials is crucial since it creates a crucial part of the identity of the community. Authenticity in this context creates a crucial part of the idea about the national history of the country.</w:t>
      </w:r>
    </w:p>
    <w:p w14:paraId="7A636317" w14:textId="77777777" w:rsidR="00BA210C" w:rsidRDefault="00BA210C" w:rsidP="00BA210C">
      <w:r>
        <w:t>However, military memorials and war landscapes aren’t just about looking to the past; they can also touch the present, especially with regards to people who have been part of the military. In that sense, there’s social and emotional significance to memorial landscapes that goes beyond their historical significance.</w:t>
      </w:r>
    </w:p>
    <w:p w14:paraId="51DD6849" w14:textId="77777777" w:rsidR="00BA210C" w:rsidRDefault="00BA210C" w:rsidP="00BA210C">
      <w:r>
        <w:t>K.J. Burnell and Paul Everill note that participating in the archaeological work on military heritage sites can improve the well-being of veterans</w:t>
      </w:r>
      <w:r>
        <w:fldChar w:fldCharType="begin"/>
      </w:r>
      <w:r>
        <w:instrText xml:space="preserve"> ADDIN ZOTERO_ITEM CSL_CITATION {"citationID":"sPqzoamA","properties":{"formattedCitation":"(Burnell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672C7A">
        <w:rPr>
          <w:rFonts w:ascii="Calibri" w:hAnsi="Calibri" w:cs="Calibri"/>
        </w:rPr>
        <w:t>(Burnell and Everill, 2025)</w:t>
      </w:r>
      <w:r>
        <w:fldChar w:fldCharType="end"/>
      </w:r>
      <w:r>
        <w:t>. Getting involved with the physical spaces of battlefields and memorials allows veterans to process their own experiences and emotions while connecting their experiences with the larger narrative of military service.</w:t>
      </w:r>
    </w:p>
    <w:p w14:paraId="35F686F8" w14:textId="77777777" w:rsidR="00BA210C" w:rsidRDefault="00BA210C" w:rsidP="00BA210C">
      <w:r>
        <w:t>Participating in archaeological work on heritage sites allows veterans to connect with their experiences and emotions while connecting their experiences with the larger narrative of military service</w:t>
      </w:r>
      <w:r>
        <w:fldChar w:fldCharType="begin"/>
      </w:r>
      <w:r>
        <w:instrText xml:space="preserve"> ADDIN ZOTERO_ITEM CSL_CITATION {"citationID":"1HQi1hQq","properties":{"formattedCitation":"(Burnell and Everill, 2025)","plainCitation":"(Burnell and Everill, 2025)","noteIndex":0},"citationItems":[{"id":348,"uris":["http://zotero.org/users/local/yKBDKBHn/items/HAZ9NXL5"],"itemData":{"id":348,"type":"article-journal","abstract":"Participation in heritage and archaeology is increasingly offered in the community to support mental health and wellbeing, particularly to groups experiencing mental health challenges. One group is military veterans, who experience higher rates of mental health challenges but are less help-seeking than the general population. Since 2011, archaeological projects have been offered to veterans to support transition, mental health, and wellbeing. Consequently, provision has increasingly become framed as an intervention, with evaluation focused on mental health and wellbeing outcomes. However, there is little understanding of how archaeology has a positive impact. Adopting an interpretative qualitative approach, this study explored veterans&amp;rsquo; and providers&amp;rsquo; perceptions of how and why archaeology supports mental health and wellbeing. Interviews with five UK veterans and four providers of UK projects were conducted and analysed using thematic analysis. Three themes were developed, each with three subthemes. Major themes concerned 1.) Connection and belonging, 2.) Authenticity and purpose, 3.) Meaning-making through the past. Findings support the assumption that archaeology is a powerful non-clinical intervention for veterans but suggest that while wellbeing may improve, mental health may not. Furthermore, potential mechanisms are suggested that must be explored further to improve practice in this area.","container-title":"Journal of Veterans Studies","DOI":"10.21061/jvs.v11i1.656","ISSN":"2470-4768","issue":"1","language":"en","source":"journal-veterans-studies.org","title":"Excavating the Past and (Re)Finding Myself: Exploring Veterans&amp;rsquo; and Providers&amp;rsquo; Experiences of Wellbeing Archaeology","title-short":"Excavating the Past and (Re)Finding Myself","URL":"https://journal-veterans-studies.org/articles/10.21061/jvs.v11i1.656","volume":"11","author":[{"family":"Burnell","given":"Karen J."},{"family":"Everill","given":"Paul"}],"accessed":{"date-parts":[["2026",1,28]]},"issued":{"date-parts":[["2025",4,16]]}}}],"schema":"https://github.com/citation-style-language/schema/raw/master/csl-citation.json"} </w:instrText>
      </w:r>
      <w:r>
        <w:fldChar w:fldCharType="separate"/>
      </w:r>
      <w:r w:rsidRPr="0057308E">
        <w:rPr>
          <w:rFonts w:ascii="Calibri" w:hAnsi="Calibri" w:cs="Calibri"/>
        </w:rPr>
        <w:t>(Burnell and Everill, 2025)</w:t>
      </w:r>
      <w:r>
        <w:fldChar w:fldCharType="end"/>
      </w:r>
      <w:r>
        <w:t>. This shows that there’s a sense of personal identity that can be rebuilt through the experience.</w:t>
      </w:r>
    </w:p>
    <w:p w14:paraId="4DA4B8C0" w14:textId="77777777" w:rsidR="00BA210C" w:rsidRDefault="00BA210C" w:rsidP="00BA210C">
      <w:r>
        <w:t>This perspective shows that authenticity in military memorials can’t just be based on accuracy or materiality but can also depend on the actual experiences and emotions of people who interact with the site. In that sense, memorial landscapes can be considered authentic not only because of their accuracy but because of their ability to create meaningful opportunities to connect with others and with their experiences and emotions.</w:t>
      </w:r>
    </w:p>
    <w:p w14:paraId="435083BA" w14:textId="77777777" w:rsidR="00BA210C" w:rsidRDefault="00BA210C" w:rsidP="00BA210C">
      <w:r>
        <w:t>However, it is important to note that not all memorials or monuments are easy to identify with. Some may even lead to political debates, especially since they may represent different political opinions based on different perceptions of history. What one may see as being authentic may be almost unrecognizable to another.</w:t>
      </w:r>
    </w:p>
    <w:p w14:paraId="02DA5895" w14:textId="77777777" w:rsidR="00BA210C" w:rsidRDefault="00BA210C" w:rsidP="00BA210C">
      <w:r>
        <w:t>In the discussion by Amy Holguin regarding the Alexander the Great Monument, for example, there is an evident representation of the political nature of memorials</w:t>
      </w:r>
      <w:r>
        <w:fldChar w:fldCharType="begin"/>
      </w:r>
      <w:r>
        <w:instrText xml:space="preserve"> ADDIN ZOTERO_ITEM CSL_CITATION {"citationID":"3JJ0VB5I","properties":{"formattedCitation":"(Holguin, 2020)","plainCitation":"(Holguin, 2020)","noteIndex":0},"citationItems":[{"id":398,"uris":["http://zotero.org/users/local/yKBDKBHn/items/PZFTYKGD"],"itemData":{"id":398,"type":"post-weblog","abstract":"Since Macedonian independence in 1991, following the breakup of Yugoslavia, Greece has contested the country’s use of the name Macedonia, fearing territorial desires towards Greece’s region of the same name. Further, they disputed the depiction of the Vergina Sun on the Macedonian flag, claiming appropriation of ancient Greek culture. ‘Warrior on a horse’ is the latest episode in this decades-long dispute, as observers quickly recognised the figure as Alexander the Great, a historical figure to whom both Greece and Macedonia lay claim.","container-title":"Uncomfortable Oxford","language":"en-GB","title":"Alexander the Great in Skopje: an “up yours” to Greece?","title-short":"Alexander the Great in Skopje","URL":"https://www.uncomfortableoxford.com/alexander-the-great-in-skopje-an-up-yours-to-greece","author":[{"family":"Holguin","given":"Amy"}],"accessed":{"date-parts":[["2026",2,25]]},"issued":{"date-parts":[["2020",11,23]]}}}],"schema":"https://github.com/citation-style-language/schema/raw/master/csl-citation.json"} </w:instrText>
      </w:r>
      <w:r>
        <w:fldChar w:fldCharType="separate"/>
      </w:r>
      <w:r w:rsidRPr="00AB4E66">
        <w:rPr>
          <w:rFonts w:ascii="Calibri" w:hAnsi="Calibri" w:cs="Calibri"/>
        </w:rPr>
        <w:t>(Holguin, 2020)</w:t>
      </w:r>
      <w:r>
        <w:fldChar w:fldCharType="end"/>
      </w:r>
      <w:r>
        <w:t>. This is a clear example of how memorials may be erected based on a false history, but at the same time, it is highly criticized by other countries, such as Greece, due to the ‘history’ it represents. Although this is not a battle memorial, it is important to note that it represents the idea that memorials may present different stories based on the history being portrayed.</w:t>
      </w:r>
    </w:p>
    <w:p w14:paraId="0D84EFB9" w14:textId="77777777" w:rsidR="00BA210C" w:rsidRDefault="00BA210C" w:rsidP="00BA210C">
      <w:r w:rsidRPr="007E4811">
        <w:t>For the most part, technology has been quietly transforming the way we discover and connect with our military heritage. New technologies offer the chance to explore historical sites and stories that simply were not possible before. This can be particularly helpful in bringing heritage within reach for those who are unable to visit the memorial site or battlefield. For example, a recent study by A</w:t>
      </w:r>
      <w:r>
        <w:t>lice</w:t>
      </w:r>
      <w:r w:rsidRPr="007E4811">
        <w:t xml:space="preserve"> Thise</w:t>
      </w:r>
      <w:r>
        <w:t>,</w:t>
      </w:r>
      <w:r w:rsidRPr="007E4811">
        <w:t xml:space="preserve"> demonstrates the potential of technology as a vehicle for heritage mediation</w:t>
      </w:r>
      <w:r>
        <w:fldChar w:fldCharType="begin"/>
      </w:r>
      <w:r>
        <w:instrText xml:space="preserve"> ADDIN ZOTERO_ITEM CSL_CITATION {"citationID":"4ly2HYfb","properties":{"formattedCitation":"(Thise, Laboury and Hallot, 2025)","plainCitation":"(Thise, Laboury and Hallot, 2025)","noteIndex":0},"citationItems":[{"id":412,"uris":["http://zotero.org/users/local/yKBDKBHn/items/I4M5KTSN"],"itemData":{"id":412,"type":"article-journal","abstract":"Abstract. Numerous heritage sites remain inaccessible due to factors such as their state of preservation, physical inaccessibility, or the geopolitical context of their location. Advances in digital documentation technologies provide opportunities to preserve records of these monuments and make them more accessible. Among these digital tools, video games, and more specifically serious games, have emerged as effective mediums for public heritage mediation. This paper explores the potential of serious game development for communicating about heritage sites that are otherwise inaccessible. The chosen case study is the chapel of the Theban Tomb of Sennefer (TT96A), an elite member of the 18th Dynasty of Ancient Egypt, situated in the site of Sheikh Abd el-Qurna, near present-day Luxor. The study demonstrates that the methodology used in developing these tools, such as employing a storyboard, offers a robust means of conveying the historical evolution of such sites. The result is illustrated through a video showcasing the game, available at: https://youtu.be/K1b4P9HSu-E.","container-title":"ISPRS Annals of the Photogrammetry, Remote Sensing and Spatial Information Sciences","DOI":"10.5194/isprs-annals-x-m-2-2025-317-2025","ISSN":"2194-9042","language":"Anglais","publisher":"Copernicus","source":"orbi.uliege.be","title":"Video Games as a Tool for Heritage Mediation, Application on the Monument of Sennefer in the Theban Necropolis, Egypt","URL":"https://orbi.uliege.be/handle/2268/336358","volume":"X-M-2-2025","author":[{"family":"Thise","given":"Alice"},{"family":"Laboury","given":"Dimitri"},{"family":"Hallot","given":"Pierre"}],"accessed":{"date-parts":[["2026",3,2]]},"issued":{"date-parts":[["2025",9,24]]}}}],"schema":"https://github.com/citation-style-language/schema/raw/master/csl-citation.json"} </w:instrText>
      </w:r>
      <w:r>
        <w:fldChar w:fldCharType="separate"/>
      </w:r>
      <w:r w:rsidRPr="000021CF">
        <w:rPr>
          <w:rFonts w:ascii="Calibri" w:hAnsi="Calibri" w:cs="Calibri"/>
        </w:rPr>
        <w:t>(Thise, Laboury and Hallot, 2025)</w:t>
      </w:r>
      <w:r>
        <w:fldChar w:fldCharType="end"/>
      </w:r>
      <w:r w:rsidRPr="007E4811">
        <w:t>. This offers the chance to “tinker” with the heritage site or to explore interactive games. This form of memorialization can be a powerful learning experience. This can be particularly important as it offers the chance to connect with heritage for those who would not normally be able to visit the memorial site or battlefield</w:t>
      </w:r>
      <w:r>
        <w:fldChar w:fldCharType="begin"/>
      </w:r>
      <w:r>
        <w:instrText xml:space="preserve"> ADDIN ZOTERO_ITEM CSL_CITATION {"citationID":"r3HJGduL","properties":{"formattedCitation":"(Thise, Laboury and Hallot, 2025)","plainCitation":"(Thise, Laboury and Hallot, 2025)","noteIndex":0},"citationItems":[{"id":412,"uris":["http://zotero.org/users/local/yKBDKBHn/items/I4M5KTSN"],"itemData":{"id":412,"type":"article-journal","abstract":"Abstract. Numerous heritage sites remain inaccessible due to factors such as their state of preservation, physical inaccessibility, or the geopolitical context of their location. Advances in digital documentation technologies provide opportunities to preserve records of these monuments and make them more accessible. Among these digital tools, video games, and more specifically serious games, have emerged as effective mediums for public heritage mediation. This paper explores the potential of serious game development for communicating about heritage sites that are otherwise inaccessible. The chosen case study is the chapel of the Theban Tomb of Sennefer (TT96A), an elite member of the 18th Dynasty of Ancient Egypt, situated in the site of Sheikh Abd el-Qurna, near present-day Luxor. The study demonstrates that the methodology used in developing these tools, such as employing a storyboard, offers a robust means of conveying the historical evolution of such sites. The result is illustrated through a video showcasing the game, available at: https://youtu.be/K1b4P9HSu-E.","container-title":"ISPRS Annals of the Photogrammetry, Remote Sensing and Spatial Information Sciences","DOI":"10.5194/isprs-annals-x-m-2-2025-317-2025","ISSN":"2194-9042","language":"Anglais","publisher":"Copernicus","source":"orbi.uliege.be","title":"Video Games as a Tool for Heritage Mediation, Application on the Monument of Sennefer in the Theban Necropolis, Egypt","URL":"https://orbi.uliege.be/handle/2268/336358","volume":"X-M-2-2025","author":[{"family":"Thise","given":"Alice"},{"family":"Laboury","given":"Dimitri"},{"family":"Hallot","given":"Pierre"}],"accessed":{"date-parts":[["2026",3,2]]},"issued":{"date-parts":[["2025",9,24]]}}}],"schema":"https://github.com/citation-style-language/schema/raw/master/csl-citation.json"} </w:instrText>
      </w:r>
      <w:r>
        <w:fldChar w:fldCharType="separate"/>
      </w:r>
      <w:r w:rsidRPr="00675FF9">
        <w:rPr>
          <w:rFonts w:ascii="Calibri" w:hAnsi="Calibri" w:cs="Calibri"/>
        </w:rPr>
        <w:t>(Thise, Laboury and Hallot, 2025)</w:t>
      </w:r>
      <w:r>
        <w:fldChar w:fldCharType="end"/>
      </w:r>
      <w:r w:rsidRPr="007E4811">
        <w:t>. However, the issue of authenticity in the digital representation of the memorial site can be a problem. This is because the physical memorial site offers a sense of authenticity through its physicality. This can be contrasted with the lack of physicality of the digital site. This can cause the question to arise as to how authentic the memorial site or heritage site feels.</w:t>
      </w:r>
      <w:r>
        <w:t xml:space="preserve"> Q</w:t>
      </w:r>
      <w:r w:rsidRPr="007E4811">
        <w:t>uestion</w:t>
      </w:r>
      <w:r>
        <w:t xml:space="preserve">s like, </w:t>
      </w:r>
      <w:r w:rsidRPr="007E4811">
        <w:t xml:space="preserve">what makes a memorial site authentic? For example, is it the physicality of the site? Is it the location of the site? Or is it the way that the site </w:t>
      </w:r>
      <w:r w:rsidRPr="007E4811">
        <w:lastRenderedPageBreak/>
        <w:t>makes the visitor feel? The answer to this question may be that authenticity can be linked to the level of engagement that the visitor has with the heritage site.</w:t>
      </w:r>
    </w:p>
    <w:p w14:paraId="3FED4A66" w14:textId="77777777" w:rsidR="00BA210C" w:rsidRDefault="00BA210C" w:rsidP="00BA210C">
      <w:r>
        <w:t>Authenticity on the battlefields and within the military memorials themselves, therefore, is not a fixed attribute of the physical objects and markers but a complex concept that comes to life through the identification and interpretation of the sites and objects by the individuals and societies who engage with the battlefields and the memorials.</w:t>
      </w:r>
    </w:p>
    <w:p w14:paraId="0D4C12C2" w14:textId="77777777" w:rsidR="00BA210C" w:rsidRDefault="00BA210C" w:rsidP="00BA210C">
      <w:r>
        <w:t>As the previous analysis has shown, the authenticity of the military memorials lies within a series of factors and sources, including the role of cultural interpretation and perception, as discussed by Barbara Wood and Deepak Chhabra, the role of grieving and the ritualistic traditions surrounding the memorials, as discussed by Sarah Tarlow, the role of symbols and the unknown, as discussed by Inglis, the role of the memorials as a ‘landscape of memory’ and the ‘bolstering’ of the same with ‘rituals’ and ‘identity’ formation, as discussed by Morgan and Skinner, and the role of the memorials connecting with the contemporary era and the current populations, including the role of archaeological work and the support of veterans, as discussed by Burnell and Everill. Finally, the fact that the memorials are subject to political debate and discussion, as discussed by Holguin, serves to underscore the idea that the concept of authenticity cannot and does not apply universally.</w:t>
      </w:r>
    </w:p>
    <w:p w14:paraId="3A785EF0" w14:textId="77777777" w:rsidR="00BA210C" w:rsidRDefault="00BA210C" w:rsidP="00BA210C">
      <w:r>
        <w:t>As a result, the military memorials are not fixed objects and are instead part of a process and a series of developments and understandings about the past and the role of conflict and loss within the broader context of the nation and the individual. Thus, the battlefields and the memorials are ‘living memories’ and are constantly subject to re-creation and re-interpretation through the identification and the interaction with the physical objects and sites by the individuals and the societies who engage with the same.</w:t>
      </w:r>
    </w:p>
    <w:p w14:paraId="36DEFB73" w14:textId="77777777" w:rsidR="00BA210C" w:rsidRDefault="00BA210C" w:rsidP="00BA210C"/>
    <w:p w14:paraId="23613196" w14:textId="77777777" w:rsidR="00BA210C" w:rsidRDefault="00BA210C" w:rsidP="00BA210C"/>
    <w:p w14:paraId="62B813EB" w14:textId="77777777" w:rsidR="00BA210C" w:rsidRDefault="00BA210C" w:rsidP="00BA210C"/>
    <w:p w14:paraId="4AE102B3" w14:textId="77777777" w:rsidR="00BA210C" w:rsidRDefault="00BA210C" w:rsidP="00BA210C"/>
    <w:p w14:paraId="35316F2F" w14:textId="77777777" w:rsidR="00BA210C" w:rsidRDefault="00BA210C" w:rsidP="00BA210C"/>
    <w:p w14:paraId="448335F7" w14:textId="77777777" w:rsidR="00BA210C" w:rsidRDefault="00BA210C" w:rsidP="00BA210C"/>
    <w:p w14:paraId="78BA210A" w14:textId="77777777" w:rsidR="00BA210C" w:rsidRDefault="00BA210C" w:rsidP="00BA210C"/>
    <w:p w14:paraId="17927472" w14:textId="77777777" w:rsidR="00BA210C" w:rsidRDefault="00BA210C" w:rsidP="00BA210C"/>
    <w:p w14:paraId="6889FDF9" w14:textId="77777777" w:rsidR="00BA210C" w:rsidRDefault="00BA210C" w:rsidP="00BA210C"/>
    <w:p w14:paraId="10E11B04" w14:textId="77777777" w:rsidR="00BA210C" w:rsidRDefault="00BA210C" w:rsidP="00BA210C"/>
    <w:p w14:paraId="26D62EF6" w14:textId="77777777" w:rsidR="00BA210C" w:rsidRDefault="00BA210C" w:rsidP="00BA210C"/>
    <w:p w14:paraId="01D46A4A" w14:textId="77777777" w:rsidR="00BA210C" w:rsidRDefault="00BA210C" w:rsidP="00BA210C"/>
    <w:p w14:paraId="4CFE40F8" w14:textId="77777777" w:rsidR="00BA210C" w:rsidRDefault="00BA210C" w:rsidP="00BA210C">
      <w:pPr>
        <w:pStyle w:val="Heading1"/>
        <w:rPr>
          <w:color w:val="auto"/>
        </w:rPr>
      </w:pPr>
      <w:r w:rsidRPr="0052454B">
        <w:rPr>
          <w:color w:val="auto"/>
        </w:rPr>
        <w:lastRenderedPageBreak/>
        <w:t>Bibliography</w:t>
      </w:r>
    </w:p>
    <w:p w14:paraId="510F4AC1" w14:textId="77777777" w:rsidR="00BA210C" w:rsidRPr="00675FF9" w:rsidRDefault="00BA210C" w:rsidP="00BA210C">
      <w:pPr>
        <w:pStyle w:val="Bibliography"/>
        <w:rPr>
          <w:rFonts w:ascii="Calibri" w:hAnsi="Calibri" w:cs="Calibri"/>
        </w:rPr>
      </w:pPr>
      <w:r>
        <w:fldChar w:fldCharType="begin"/>
      </w:r>
      <w:r>
        <w:instrText xml:space="preserve"> ADDIN ZOTERO_BIBL {"uncited":[],"omitted":[],"custom":[]} CSL_BIBLIOGRAPHY </w:instrText>
      </w:r>
      <w:r>
        <w:fldChar w:fldCharType="separate"/>
      </w:r>
      <w:r w:rsidRPr="00675FF9">
        <w:rPr>
          <w:rFonts w:ascii="Calibri" w:hAnsi="Calibri" w:cs="Calibri"/>
        </w:rPr>
        <w:t xml:space="preserve">Burnell, K.J. and Everill, P. (2025) ‘Excavating the Past and (Re)Finding Myself: Exploring Veterans&amp;rsquo; and Providers&amp;rsquo; Experiences of Wellbeing Archaeology’, </w:t>
      </w:r>
      <w:r w:rsidRPr="00675FF9">
        <w:rPr>
          <w:rFonts w:ascii="Calibri" w:hAnsi="Calibri" w:cs="Calibri"/>
          <w:i/>
          <w:iCs/>
        </w:rPr>
        <w:t>Journal of Veterans Studies</w:t>
      </w:r>
      <w:r w:rsidRPr="00675FF9">
        <w:rPr>
          <w:rFonts w:ascii="Calibri" w:hAnsi="Calibri" w:cs="Calibri"/>
        </w:rPr>
        <w:t>, 11(1). Available at: https://doi.org/10.21061/jvs.v11i1.656.</w:t>
      </w:r>
    </w:p>
    <w:p w14:paraId="52B3A4BB" w14:textId="77777777" w:rsidR="00BA210C" w:rsidRPr="00675FF9" w:rsidRDefault="00BA210C" w:rsidP="00BA210C">
      <w:pPr>
        <w:pStyle w:val="Bibliography"/>
        <w:rPr>
          <w:rFonts w:ascii="Calibri" w:hAnsi="Calibri" w:cs="Calibri"/>
        </w:rPr>
      </w:pPr>
      <w:r w:rsidRPr="00675FF9">
        <w:rPr>
          <w:rFonts w:ascii="Calibri" w:hAnsi="Calibri" w:cs="Calibri"/>
        </w:rPr>
        <w:t xml:space="preserve">Chhabra, D. (2001) </w:t>
      </w:r>
      <w:r w:rsidRPr="00675FF9">
        <w:rPr>
          <w:rFonts w:ascii="Calibri" w:hAnsi="Calibri" w:cs="Calibri"/>
          <w:i/>
          <w:iCs/>
        </w:rPr>
        <w:t>Heritage tourism: An analysis of perceived authenticity and economic impact of the Scottish Highland Games in North Carolina</w:t>
      </w:r>
      <w:r w:rsidRPr="00675FF9">
        <w:rPr>
          <w:rFonts w:ascii="Calibri" w:hAnsi="Calibri" w:cs="Calibri"/>
        </w:rPr>
        <w:t>. Ph.D. North Carolina State University. Available at: https://www.proquest.com/docview/304710698/abstract/9B13E108FC8643E5PQ/1 (Accessed: 14 January 2026).</w:t>
      </w:r>
    </w:p>
    <w:p w14:paraId="50C372DF" w14:textId="77777777" w:rsidR="00BA210C" w:rsidRPr="00675FF9" w:rsidRDefault="00BA210C" w:rsidP="00BA210C">
      <w:pPr>
        <w:pStyle w:val="Bibliography"/>
        <w:rPr>
          <w:rFonts w:ascii="Calibri" w:hAnsi="Calibri" w:cs="Calibri"/>
        </w:rPr>
      </w:pPr>
      <w:r w:rsidRPr="00675FF9">
        <w:rPr>
          <w:rFonts w:ascii="Calibri" w:hAnsi="Calibri" w:cs="Calibri"/>
        </w:rPr>
        <w:t xml:space="preserve">Holguin, A. (2020) ‘Alexander the Great in Skopje: an “up yours” to Greece?’, </w:t>
      </w:r>
      <w:r w:rsidRPr="00675FF9">
        <w:rPr>
          <w:rFonts w:ascii="Calibri" w:hAnsi="Calibri" w:cs="Calibri"/>
          <w:i/>
          <w:iCs/>
        </w:rPr>
        <w:t>Uncomfortable Oxford</w:t>
      </w:r>
      <w:r w:rsidRPr="00675FF9">
        <w:rPr>
          <w:rFonts w:ascii="Calibri" w:hAnsi="Calibri" w:cs="Calibri"/>
        </w:rPr>
        <w:t>, 23 November. Available at: https://www.uncomfortableoxford.com/alexander-the-great-in-skopje-an-up-yours-to-greece (Accessed: 25 February 2026).</w:t>
      </w:r>
    </w:p>
    <w:p w14:paraId="751AC627" w14:textId="77777777" w:rsidR="00BA210C" w:rsidRPr="00675FF9" w:rsidRDefault="00BA210C" w:rsidP="00BA210C">
      <w:pPr>
        <w:pStyle w:val="Bibliography"/>
        <w:rPr>
          <w:rFonts w:ascii="Calibri" w:hAnsi="Calibri" w:cs="Calibri"/>
        </w:rPr>
      </w:pPr>
      <w:r w:rsidRPr="00675FF9">
        <w:rPr>
          <w:rFonts w:ascii="Calibri" w:hAnsi="Calibri" w:cs="Calibri"/>
        </w:rPr>
        <w:t xml:space="preserve">Inglis, K.S. (1993) ‘Entombing Unknown Soldiers: From London and Paris to Baghdad’, </w:t>
      </w:r>
      <w:r w:rsidRPr="00675FF9">
        <w:rPr>
          <w:rFonts w:ascii="Calibri" w:hAnsi="Calibri" w:cs="Calibri"/>
          <w:i/>
          <w:iCs/>
        </w:rPr>
        <w:t>History and Memory</w:t>
      </w:r>
      <w:r w:rsidRPr="00675FF9">
        <w:rPr>
          <w:rFonts w:ascii="Calibri" w:hAnsi="Calibri" w:cs="Calibri"/>
        </w:rPr>
        <w:t>, 5(2), pp. 7–31.</w:t>
      </w:r>
    </w:p>
    <w:p w14:paraId="1F30AAA6" w14:textId="77777777" w:rsidR="00BA210C" w:rsidRPr="00675FF9" w:rsidRDefault="00BA210C" w:rsidP="00BA210C">
      <w:pPr>
        <w:pStyle w:val="Bibliography"/>
        <w:rPr>
          <w:rFonts w:ascii="Calibri" w:hAnsi="Calibri" w:cs="Calibri"/>
        </w:rPr>
      </w:pPr>
      <w:r w:rsidRPr="00675FF9">
        <w:rPr>
          <w:rFonts w:ascii="Calibri" w:hAnsi="Calibri" w:cs="Calibri"/>
        </w:rPr>
        <w:t xml:space="preserve">Morgan, J.M. (2001) </w:t>
      </w:r>
      <w:r w:rsidRPr="00675FF9">
        <w:rPr>
          <w:rFonts w:ascii="Calibri" w:hAnsi="Calibri" w:cs="Calibri"/>
          <w:i/>
          <w:iCs/>
        </w:rPr>
        <w:t>Sites of Memory: Memorialistaion in the Landscape</w:t>
      </w:r>
      <w:r w:rsidRPr="00675FF9">
        <w:rPr>
          <w:rFonts w:ascii="Calibri" w:hAnsi="Calibri" w:cs="Calibri"/>
        </w:rPr>
        <w:t>. Canterbury.</w:t>
      </w:r>
    </w:p>
    <w:p w14:paraId="290F6C1C" w14:textId="77777777" w:rsidR="00BA210C" w:rsidRPr="00675FF9" w:rsidRDefault="00BA210C" w:rsidP="00BA210C">
      <w:pPr>
        <w:pStyle w:val="Bibliography"/>
        <w:rPr>
          <w:rFonts w:ascii="Calibri" w:hAnsi="Calibri" w:cs="Calibri"/>
        </w:rPr>
      </w:pPr>
      <w:r w:rsidRPr="00675FF9">
        <w:rPr>
          <w:rFonts w:ascii="Calibri" w:hAnsi="Calibri" w:cs="Calibri"/>
        </w:rPr>
        <w:t xml:space="preserve">Skinner, J., Manolopoulou, V. and Tsouparopoulou, C. (2025) </w:t>
      </w:r>
      <w:r w:rsidRPr="00675FF9">
        <w:rPr>
          <w:rFonts w:ascii="Calibri" w:hAnsi="Calibri" w:cs="Calibri"/>
          <w:i/>
          <w:iCs/>
        </w:rPr>
        <w:t>Identities in Antiquity</w:t>
      </w:r>
      <w:r w:rsidRPr="00675FF9">
        <w:rPr>
          <w:rFonts w:ascii="Calibri" w:hAnsi="Calibri" w:cs="Calibri"/>
        </w:rPr>
        <w:t>. Taylor &amp; Francis.</w:t>
      </w:r>
    </w:p>
    <w:p w14:paraId="4FB344CA" w14:textId="77777777" w:rsidR="00BA210C" w:rsidRPr="00675FF9" w:rsidRDefault="00BA210C" w:rsidP="00BA210C">
      <w:pPr>
        <w:pStyle w:val="Bibliography"/>
        <w:rPr>
          <w:rFonts w:ascii="Calibri" w:hAnsi="Calibri" w:cs="Calibri"/>
        </w:rPr>
      </w:pPr>
      <w:r w:rsidRPr="00675FF9">
        <w:rPr>
          <w:rFonts w:ascii="Calibri" w:hAnsi="Calibri" w:cs="Calibri"/>
        </w:rPr>
        <w:t xml:space="preserve">Tarlow, S. (1997) ‘An Archaeology of Remembering: Death, Bereavement and the First World War’, </w:t>
      </w:r>
      <w:r w:rsidRPr="00675FF9">
        <w:rPr>
          <w:rFonts w:ascii="Calibri" w:hAnsi="Calibri" w:cs="Calibri"/>
          <w:i/>
          <w:iCs/>
        </w:rPr>
        <w:t>Cambridge Archaeological Journal</w:t>
      </w:r>
      <w:r w:rsidRPr="00675FF9">
        <w:rPr>
          <w:rFonts w:ascii="Calibri" w:hAnsi="Calibri" w:cs="Calibri"/>
        </w:rPr>
        <w:t>, 7(1), pp. 105–121. Available at: https://doi.org/10.1017/S0959774300001499.</w:t>
      </w:r>
    </w:p>
    <w:p w14:paraId="2B62D253" w14:textId="77777777" w:rsidR="00BA210C" w:rsidRPr="00675FF9" w:rsidRDefault="00BA210C" w:rsidP="00BA210C">
      <w:pPr>
        <w:pStyle w:val="Bibliography"/>
        <w:rPr>
          <w:rFonts w:ascii="Calibri" w:hAnsi="Calibri" w:cs="Calibri"/>
        </w:rPr>
      </w:pPr>
      <w:r w:rsidRPr="00675FF9">
        <w:rPr>
          <w:rFonts w:ascii="Calibri" w:hAnsi="Calibri" w:cs="Calibri"/>
        </w:rPr>
        <w:t xml:space="preserve">Thise, A., Laboury, D. and Hallot, P. (2025) ‘Video Games as a Tool for Heritage Mediation, Application on the Monument of Sennefer in the Theban Necropolis, Egypt’, </w:t>
      </w:r>
      <w:r w:rsidRPr="00675FF9">
        <w:rPr>
          <w:rFonts w:ascii="Calibri" w:hAnsi="Calibri" w:cs="Calibri"/>
          <w:i/>
          <w:iCs/>
        </w:rPr>
        <w:t>ISPRS Annals of the Photogrammetry, Remote Sensing and Spatial Information Sciences</w:t>
      </w:r>
      <w:r w:rsidRPr="00675FF9">
        <w:rPr>
          <w:rFonts w:ascii="Calibri" w:hAnsi="Calibri" w:cs="Calibri"/>
        </w:rPr>
        <w:t>, X-M-2–2025. Available at: https://doi.org/10.5194/isprs-annals-x-m-2-2025-317-2025.</w:t>
      </w:r>
    </w:p>
    <w:p w14:paraId="092B84EF" w14:textId="77777777" w:rsidR="00BA210C" w:rsidRPr="00675FF9" w:rsidRDefault="00BA210C" w:rsidP="00BA210C">
      <w:pPr>
        <w:pStyle w:val="Bibliography"/>
        <w:rPr>
          <w:rFonts w:ascii="Calibri" w:hAnsi="Calibri" w:cs="Calibri"/>
        </w:rPr>
      </w:pPr>
      <w:r w:rsidRPr="00675FF9">
        <w:rPr>
          <w:rFonts w:ascii="Calibri" w:hAnsi="Calibri" w:cs="Calibri"/>
        </w:rPr>
        <w:t xml:space="preserve">Westminster Abbey (no date) </w:t>
      </w:r>
      <w:r w:rsidRPr="00675FF9">
        <w:rPr>
          <w:rFonts w:ascii="Calibri" w:hAnsi="Calibri" w:cs="Calibri"/>
          <w:i/>
          <w:iCs/>
        </w:rPr>
        <w:t>Unknown Warrior</w:t>
      </w:r>
      <w:r w:rsidRPr="00675FF9">
        <w:rPr>
          <w:rFonts w:ascii="Calibri" w:hAnsi="Calibri" w:cs="Calibri"/>
        </w:rPr>
        <w:t xml:space="preserve">, </w:t>
      </w:r>
      <w:r w:rsidRPr="00675FF9">
        <w:rPr>
          <w:rFonts w:ascii="Calibri" w:hAnsi="Calibri" w:cs="Calibri"/>
          <w:i/>
          <w:iCs/>
        </w:rPr>
        <w:t>Westminster Abbey</w:t>
      </w:r>
      <w:r w:rsidRPr="00675FF9">
        <w:rPr>
          <w:rFonts w:ascii="Calibri" w:hAnsi="Calibri" w:cs="Calibri"/>
        </w:rPr>
        <w:t>. Available at: https://www.westminster-abbey.org/abbey-commemorations/commemorations/unknown-warrior/ (Accessed: 25 February 2026).</w:t>
      </w:r>
    </w:p>
    <w:p w14:paraId="659782F0" w14:textId="77777777" w:rsidR="00BA210C" w:rsidRPr="00675FF9" w:rsidRDefault="00BA210C" w:rsidP="00BA210C">
      <w:pPr>
        <w:pStyle w:val="Bibliography"/>
        <w:rPr>
          <w:rFonts w:ascii="Calibri" w:hAnsi="Calibri" w:cs="Calibri"/>
        </w:rPr>
      </w:pPr>
      <w:r w:rsidRPr="00675FF9">
        <w:rPr>
          <w:rFonts w:ascii="Calibri" w:hAnsi="Calibri" w:cs="Calibri"/>
        </w:rPr>
        <w:t xml:space="preserve">Wood, B. (2020) ‘A Review of the Concept of Authenticity in Heritage, with Particular Reference to Historic Houses’, </w:t>
      </w:r>
      <w:r w:rsidRPr="00675FF9">
        <w:rPr>
          <w:rFonts w:ascii="Calibri" w:hAnsi="Calibri" w:cs="Calibri"/>
          <w:i/>
          <w:iCs/>
        </w:rPr>
        <w:t>Collections</w:t>
      </w:r>
      <w:r w:rsidRPr="00675FF9">
        <w:rPr>
          <w:rFonts w:ascii="Calibri" w:hAnsi="Calibri" w:cs="Calibri"/>
        </w:rPr>
        <w:t>, 16(1), pp. 8–33. Available at: https://doi.org/10.1177/1550190620904798.</w:t>
      </w:r>
    </w:p>
    <w:p w14:paraId="00872149" w14:textId="77777777" w:rsidR="00BA210C" w:rsidRPr="0052454B" w:rsidRDefault="00BA210C" w:rsidP="00BA210C">
      <w:r>
        <w:fldChar w:fldCharType="end"/>
      </w:r>
    </w:p>
    <w:p w14:paraId="5B1496CE" w14:textId="77777777" w:rsidR="00BA210C" w:rsidRPr="0052454B" w:rsidRDefault="00BA210C" w:rsidP="00BA210C"/>
    <w:p w14:paraId="031A4DEA" w14:textId="77777777" w:rsidR="00431EA4" w:rsidRDefault="00431EA4"/>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10C"/>
    <w:rsid w:val="0015789D"/>
    <w:rsid w:val="001F4656"/>
    <w:rsid w:val="00431EA4"/>
    <w:rsid w:val="007959C9"/>
    <w:rsid w:val="00AC583D"/>
    <w:rsid w:val="00BA210C"/>
    <w:rsid w:val="00FC7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03645"/>
  <w15:chartTrackingRefBased/>
  <w15:docId w15:val="{741B218C-417B-4A5D-83C6-A44B9ADAA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10C"/>
  </w:style>
  <w:style w:type="paragraph" w:styleId="Heading1">
    <w:name w:val="heading 1"/>
    <w:basedOn w:val="Normal"/>
    <w:next w:val="Normal"/>
    <w:link w:val="Heading1Char"/>
    <w:uiPriority w:val="9"/>
    <w:qFormat/>
    <w:rsid w:val="00BA21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21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21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21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21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2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1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21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21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21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21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2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10C"/>
    <w:rPr>
      <w:rFonts w:eastAsiaTheme="majorEastAsia" w:cstheme="majorBidi"/>
      <w:color w:val="272727" w:themeColor="text1" w:themeTint="D8"/>
    </w:rPr>
  </w:style>
  <w:style w:type="paragraph" w:styleId="Title">
    <w:name w:val="Title"/>
    <w:basedOn w:val="Normal"/>
    <w:next w:val="Normal"/>
    <w:link w:val="TitleChar"/>
    <w:uiPriority w:val="10"/>
    <w:qFormat/>
    <w:rsid w:val="00BA2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10C"/>
    <w:pPr>
      <w:spacing w:before="160"/>
      <w:jc w:val="center"/>
    </w:pPr>
    <w:rPr>
      <w:i/>
      <w:iCs/>
      <w:color w:val="404040" w:themeColor="text1" w:themeTint="BF"/>
    </w:rPr>
  </w:style>
  <w:style w:type="character" w:customStyle="1" w:styleId="QuoteChar">
    <w:name w:val="Quote Char"/>
    <w:basedOn w:val="DefaultParagraphFont"/>
    <w:link w:val="Quote"/>
    <w:uiPriority w:val="29"/>
    <w:rsid w:val="00BA210C"/>
    <w:rPr>
      <w:i/>
      <w:iCs/>
      <w:color w:val="404040" w:themeColor="text1" w:themeTint="BF"/>
    </w:rPr>
  </w:style>
  <w:style w:type="paragraph" w:styleId="ListParagraph">
    <w:name w:val="List Paragraph"/>
    <w:basedOn w:val="Normal"/>
    <w:uiPriority w:val="34"/>
    <w:qFormat/>
    <w:rsid w:val="00BA210C"/>
    <w:pPr>
      <w:ind w:left="720"/>
      <w:contextualSpacing/>
    </w:pPr>
  </w:style>
  <w:style w:type="character" w:styleId="IntenseEmphasis">
    <w:name w:val="Intense Emphasis"/>
    <w:basedOn w:val="DefaultParagraphFont"/>
    <w:uiPriority w:val="21"/>
    <w:qFormat/>
    <w:rsid w:val="00BA210C"/>
    <w:rPr>
      <w:i/>
      <w:iCs/>
      <w:color w:val="2F5496" w:themeColor="accent1" w:themeShade="BF"/>
    </w:rPr>
  </w:style>
  <w:style w:type="paragraph" w:styleId="IntenseQuote">
    <w:name w:val="Intense Quote"/>
    <w:basedOn w:val="Normal"/>
    <w:next w:val="Normal"/>
    <w:link w:val="IntenseQuoteChar"/>
    <w:uiPriority w:val="30"/>
    <w:qFormat/>
    <w:rsid w:val="00BA21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210C"/>
    <w:rPr>
      <w:i/>
      <w:iCs/>
      <w:color w:val="2F5496" w:themeColor="accent1" w:themeShade="BF"/>
    </w:rPr>
  </w:style>
  <w:style w:type="character" w:styleId="IntenseReference">
    <w:name w:val="Intense Reference"/>
    <w:basedOn w:val="DefaultParagraphFont"/>
    <w:uiPriority w:val="32"/>
    <w:qFormat/>
    <w:rsid w:val="00BA210C"/>
    <w:rPr>
      <w:b/>
      <w:bCs/>
      <w:smallCaps/>
      <w:color w:val="2F5496" w:themeColor="accent1" w:themeShade="BF"/>
      <w:spacing w:val="5"/>
    </w:rPr>
  </w:style>
  <w:style w:type="paragraph" w:styleId="Bibliography">
    <w:name w:val="Bibliography"/>
    <w:basedOn w:val="Normal"/>
    <w:next w:val="Normal"/>
    <w:uiPriority w:val="37"/>
    <w:unhideWhenUsed/>
    <w:rsid w:val="00BA210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3D07B8B-4036-44A0-9966-9F52F3943D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1C8168-7135-47F2-90E3-67A8A5C9EAE2}">
  <ds:schemaRefs>
    <ds:schemaRef ds:uri="http://schemas.microsoft.com/sharepoint/v3/contenttype/forms"/>
  </ds:schemaRefs>
</ds:datastoreItem>
</file>

<file path=customXml/itemProps3.xml><?xml version="1.0" encoding="utf-8"?>
<ds:datastoreItem xmlns:ds="http://schemas.openxmlformats.org/officeDocument/2006/customXml" ds:itemID="{89836711-11B3-4BAB-B5F8-290855B1D7D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7057</Words>
  <Characters>40227</Characters>
  <Application>Microsoft Office Word</Application>
  <DocSecurity>0</DocSecurity>
  <Lines>335</Lines>
  <Paragraphs>94</Paragraphs>
  <ScaleCrop>false</ScaleCrop>
  <Company/>
  <LinksUpToDate>false</LinksUpToDate>
  <CharactersWithSpaces>47190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cp:revision>
  <dcterms:created xsi:type="dcterms:W3CDTF">2026-03-08T23:29:00Z</dcterms:created>
  <dcterms:modified xsi:type="dcterms:W3CDTF">2026-03-08T23:29:00Z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