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57280" w14:textId="412C6667" w:rsidR="00AD7717" w:rsidRPr="00080540" w:rsidRDefault="009A0417" w:rsidP="00AD7717">
      <w:pPr>
        <w:spacing w:before="240" w:after="240" w:line="240" w:lineRule="auto"/>
        <w:ind w:firstLine="720"/>
        <w:rPr>
          <w:rFonts w:eastAsia="Times New Roman" w:cstheme="minorHAnsi"/>
          <w:sz w:val="24"/>
          <w:szCs w:val="24"/>
          <w:lang w:eastAsia="en-GB"/>
        </w:rPr>
      </w:pPr>
      <w:r w:rsidRPr="00080540">
        <w:rPr>
          <w:rFonts w:eastAsia="Times New Roman" w:cstheme="minorHAnsi"/>
          <w:sz w:val="24"/>
          <w:szCs w:val="24"/>
          <w:lang w:eastAsia="en-GB"/>
        </w:rPr>
        <w:t>How best to judge the moral worth of our actions is an argument that has been around for centuries; Aristotle’s ideology of virtue ethics has existed for more than 2,300 years, and Peter Singer has had consequentialist opinions as recently as 19</w:t>
      </w:r>
      <w:r w:rsidR="005E34C9" w:rsidRPr="00080540">
        <w:rPr>
          <w:rFonts w:eastAsia="Times New Roman" w:cstheme="minorHAnsi"/>
          <w:sz w:val="24"/>
          <w:szCs w:val="24"/>
          <w:lang w:eastAsia="en-GB"/>
        </w:rPr>
        <w:t>93</w:t>
      </w:r>
      <w:r w:rsidRPr="00080540">
        <w:rPr>
          <w:rStyle w:val="FootnoteReference"/>
          <w:rFonts w:eastAsia="Times New Roman" w:cstheme="minorHAnsi"/>
          <w:sz w:val="24"/>
          <w:szCs w:val="24"/>
          <w:lang w:eastAsia="en-GB"/>
        </w:rPr>
        <w:footnoteReference w:id="1"/>
      </w:r>
      <w:r w:rsidRPr="00080540">
        <w:rPr>
          <w:rFonts w:eastAsia="Times New Roman" w:cstheme="minorHAnsi"/>
          <w:sz w:val="24"/>
          <w:szCs w:val="24"/>
          <w:lang w:eastAsia="en-GB"/>
        </w:rPr>
        <w:t xml:space="preserve">. </w:t>
      </w:r>
      <w:r w:rsidR="006148A8" w:rsidRPr="00080540">
        <w:rPr>
          <w:rFonts w:eastAsia="Times New Roman" w:cstheme="minorHAnsi"/>
          <w:sz w:val="24"/>
          <w:szCs w:val="24"/>
          <w:lang w:eastAsia="en-GB"/>
        </w:rPr>
        <w:t>Consequentialism, also known as teleology, is the philosophical ideology that is rooted in the value of someone’s actions being entirely dependent on its consequences. Some notable consequentialist philosophers are Epicurus and Henry Sidgwick. A more specific branch of consequentialism is utilitarianism</w:t>
      </w:r>
      <w:r w:rsidR="004E4185" w:rsidRPr="00080540">
        <w:rPr>
          <w:rFonts w:eastAsia="Times New Roman" w:cstheme="minorHAnsi"/>
          <w:sz w:val="24"/>
          <w:szCs w:val="24"/>
          <w:lang w:eastAsia="en-GB"/>
        </w:rPr>
        <w:t>,</w:t>
      </w:r>
      <w:r w:rsidR="006148A8" w:rsidRPr="00080540">
        <w:rPr>
          <w:rFonts w:eastAsia="Times New Roman" w:cstheme="minorHAnsi"/>
          <w:sz w:val="24"/>
          <w:szCs w:val="24"/>
          <w:lang w:eastAsia="en-GB"/>
        </w:rPr>
        <w:t xml:space="preserve"> as advocated by Jeremy Bentham and John Stuart Mill. Utilitarianism tries to maximise happiness and minimise pain caused, and so </w:t>
      </w:r>
      <w:r w:rsidR="004E4185" w:rsidRPr="00080540">
        <w:rPr>
          <w:rFonts w:eastAsia="Times New Roman" w:cstheme="minorHAnsi"/>
          <w:sz w:val="24"/>
          <w:szCs w:val="24"/>
          <w:lang w:eastAsia="en-GB"/>
        </w:rPr>
        <w:t>those who agree with this ideology</w:t>
      </w:r>
      <w:r w:rsidR="006148A8" w:rsidRPr="00080540">
        <w:rPr>
          <w:rFonts w:eastAsia="Times New Roman" w:cstheme="minorHAnsi"/>
          <w:sz w:val="24"/>
          <w:szCs w:val="24"/>
          <w:lang w:eastAsia="en-GB"/>
        </w:rPr>
        <w:t xml:space="preserve"> </w:t>
      </w:r>
      <w:r w:rsidR="004E4185" w:rsidRPr="00080540">
        <w:rPr>
          <w:rFonts w:eastAsia="Times New Roman" w:cstheme="minorHAnsi"/>
          <w:sz w:val="24"/>
          <w:szCs w:val="24"/>
          <w:lang w:eastAsia="en-GB"/>
        </w:rPr>
        <w:t>believe</w:t>
      </w:r>
      <w:r w:rsidR="006148A8" w:rsidRPr="00080540">
        <w:rPr>
          <w:rFonts w:eastAsia="Times New Roman" w:cstheme="minorHAnsi"/>
          <w:sz w:val="24"/>
          <w:szCs w:val="24"/>
          <w:lang w:eastAsia="en-GB"/>
        </w:rPr>
        <w:t xml:space="preserve"> that the more happiness or less pain caused, the better an action is in terms of moral good. </w:t>
      </w:r>
      <w:r w:rsidR="006148A8" w:rsidRPr="00080540">
        <w:rPr>
          <w:rFonts w:eastAsia="Times New Roman" w:cstheme="minorHAnsi"/>
          <w:sz w:val="24"/>
          <w:szCs w:val="24"/>
          <w:lang w:eastAsia="en-GB"/>
        </w:rPr>
        <w:br/>
        <w:t xml:space="preserve">In contrast to consequentialism, deontology, which is also known as duty ethics, argues that our actions should be governed by ethical rules without reference to any possible consequences. Immanuel Kant was notably associated with this ideology. Virtue ethics </w:t>
      </w:r>
      <w:r w:rsidR="004C59DC" w:rsidRPr="00080540">
        <w:rPr>
          <w:rFonts w:eastAsia="Times New Roman" w:cstheme="minorHAnsi"/>
          <w:sz w:val="24"/>
          <w:szCs w:val="24"/>
          <w:lang w:eastAsia="en-GB"/>
        </w:rPr>
        <w:t>is</w:t>
      </w:r>
      <w:r w:rsidR="006148A8" w:rsidRPr="00080540">
        <w:rPr>
          <w:rFonts w:eastAsia="Times New Roman" w:cstheme="minorHAnsi"/>
          <w:sz w:val="24"/>
          <w:szCs w:val="24"/>
          <w:lang w:eastAsia="en-GB"/>
        </w:rPr>
        <w:t xml:space="preserve"> another alternative, with someone’s conscience being what defines moral right from wrong, as opposed to a set of rules or trying to predict consequences.</w:t>
      </w:r>
      <w:r w:rsidR="004C59DC" w:rsidRPr="00080540">
        <w:rPr>
          <w:rFonts w:eastAsia="Times New Roman" w:cstheme="minorHAnsi"/>
          <w:sz w:val="24"/>
          <w:szCs w:val="24"/>
          <w:lang w:eastAsia="en-GB"/>
        </w:rPr>
        <w:t xml:space="preserve"> Plato and Aristotle are the two most famous virtue ethics philosophers.</w:t>
      </w:r>
      <w:r w:rsidR="005E34C9" w:rsidRPr="00080540">
        <w:rPr>
          <w:rFonts w:eastAsia="Times New Roman" w:cstheme="minorHAnsi"/>
          <w:sz w:val="24"/>
          <w:szCs w:val="24"/>
          <w:lang w:eastAsia="en-GB"/>
        </w:rPr>
        <w:br/>
      </w:r>
      <w:r w:rsidR="006148A8" w:rsidRPr="00080540">
        <w:rPr>
          <w:rFonts w:eastAsia="Times New Roman" w:cstheme="minorHAnsi"/>
          <w:sz w:val="24"/>
          <w:szCs w:val="24"/>
          <w:lang w:eastAsia="en-GB"/>
        </w:rPr>
        <w:t xml:space="preserve">Both consequentialism and deontology have points to recommend them. However, there are some issues with both points of view when considering the ethics of behaviour. One of the issues with consequentialism would be the question of intent versus outcome; it is important to consider the intent behind an action as well as its outcome. An action may have been executed with the best of intentions and still have a negative outcome, and so this action should not necessarily be </w:t>
      </w:r>
      <w:r w:rsidR="004E4185" w:rsidRPr="00080540">
        <w:rPr>
          <w:rFonts w:eastAsia="Times New Roman" w:cstheme="minorHAnsi"/>
          <w:sz w:val="24"/>
          <w:szCs w:val="24"/>
          <w:lang w:eastAsia="en-GB"/>
        </w:rPr>
        <w:t>viewed</w:t>
      </w:r>
      <w:r w:rsidR="006148A8" w:rsidRPr="00080540">
        <w:rPr>
          <w:rFonts w:eastAsia="Times New Roman" w:cstheme="minorHAnsi"/>
          <w:sz w:val="24"/>
          <w:szCs w:val="24"/>
          <w:lang w:eastAsia="en-GB"/>
        </w:rPr>
        <w:t xml:space="preserve"> as</w:t>
      </w:r>
      <w:r w:rsidR="004E4185" w:rsidRPr="00080540">
        <w:rPr>
          <w:rFonts w:eastAsia="Times New Roman" w:cstheme="minorHAnsi"/>
          <w:sz w:val="24"/>
          <w:szCs w:val="24"/>
          <w:lang w:eastAsia="en-GB"/>
        </w:rPr>
        <w:t xml:space="preserve"> being</w:t>
      </w:r>
      <w:r w:rsidR="006148A8" w:rsidRPr="00080540">
        <w:rPr>
          <w:rFonts w:eastAsia="Times New Roman" w:cstheme="minorHAnsi"/>
          <w:sz w:val="24"/>
          <w:szCs w:val="24"/>
          <w:lang w:eastAsia="en-GB"/>
        </w:rPr>
        <w:t xml:space="preserve"> evil. However, the argument could be raised that no one purposefully tries to be an evil person. Following a set of ethical rules as proposed by deontology may seem like a </w:t>
      </w:r>
      <w:r w:rsidR="004E4185" w:rsidRPr="00080540">
        <w:rPr>
          <w:rFonts w:eastAsia="Times New Roman" w:cstheme="minorHAnsi"/>
          <w:sz w:val="24"/>
          <w:szCs w:val="24"/>
          <w:lang w:eastAsia="en-GB"/>
        </w:rPr>
        <w:t>fool proof</w:t>
      </w:r>
      <w:r w:rsidR="006148A8" w:rsidRPr="00080540">
        <w:rPr>
          <w:rFonts w:eastAsia="Times New Roman" w:cstheme="minorHAnsi"/>
          <w:sz w:val="24"/>
          <w:szCs w:val="24"/>
          <w:lang w:eastAsia="en-GB"/>
        </w:rPr>
        <w:t xml:space="preserve"> and simple way of ensuring an action is morally good, though there may be occasions in which the outcome could change an action’s moral value.</w:t>
      </w:r>
      <w:r w:rsidR="005E34C9" w:rsidRPr="00080540">
        <w:rPr>
          <w:rFonts w:eastAsia="Times New Roman" w:cstheme="minorHAnsi"/>
          <w:sz w:val="24"/>
          <w:szCs w:val="24"/>
          <w:lang w:eastAsia="en-GB"/>
        </w:rPr>
        <w:br/>
      </w:r>
      <w:r w:rsidR="006148A8" w:rsidRPr="00080540">
        <w:rPr>
          <w:rFonts w:eastAsia="Times New Roman" w:cstheme="minorHAnsi"/>
          <w:sz w:val="24"/>
          <w:szCs w:val="24"/>
          <w:lang w:eastAsia="en-GB"/>
        </w:rPr>
        <w:t>The value of an action should be judged partly on its outcome, but not entirely, as there are other things such as intent that would affect its moral value. A combination of consequentialist, deontological, and virtue ethic ideologies would be better than relying solely on one or another.</w:t>
      </w:r>
    </w:p>
    <w:p w14:paraId="2B8746A9" w14:textId="240DC9A5" w:rsidR="007E7AE0" w:rsidRPr="00080540" w:rsidRDefault="005E34C9" w:rsidP="00826C3B">
      <w:pPr>
        <w:spacing w:before="240" w:after="240" w:line="240" w:lineRule="auto"/>
        <w:ind w:firstLine="720"/>
        <w:rPr>
          <w:rFonts w:eastAsia="Times New Roman" w:cstheme="minorHAnsi"/>
          <w:sz w:val="24"/>
          <w:szCs w:val="24"/>
          <w:lang w:eastAsia="en-GB"/>
        </w:rPr>
      </w:pPr>
      <w:r w:rsidRPr="00080540">
        <w:rPr>
          <w:rFonts w:eastAsia="Times New Roman" w:cstheme="minorHAnsi"/>
          <w:sz w:val="24"/>
          <w:szCs w:val="24"/>
          <w:lang w:eastAsia="en-GB"/>
        </w:rPr>
        <w:t>Consequentialism is the belief that the consequences of an action determine its moral worth</w:t>
      </w:r>
      <w:r w:rsidR="009B06A0" w:rsidRPr="00080540">
        <w:rPr>
          <w:rFonts w:eastAsia="Times New Roman" w:cstheme="minorHAnsi"/>
          <w:sz w:val="24"/>
          <w:szCs w:val="24"/>
          <w:lang w:eastAsia="en-GB"/>
        </w:rPr>
        <w:t xml:space="preserve">; </w:t>
      </w:r>
      <w:r w:rsidRPr="00080540">
        <w:rPr>
          <w:rFonts w:eastAsia="Times New Roman" w:cstheme="minorHAnsi"/>
          <w:sz w:val="24"/>
          <w:szCs w:val="24"/>
          <w:lang w:eastAsia="en-GB"/>
        </w:rPr>
        <w:t>for example</w:t>
      </w:r>
      <w:r w:rsidR="009B06A0" w:rsidRPr="00080540">
        <w:rPr>
          <w:rFonts w:eastAsia="Times New Roman" w:cstheme="minorHAnsi"/>
          <w:sz w:val="24"/>
          <w:szCs w:val="24"/>
          <w:lang w:eastAsia="en-GB"/>
        </w:rPr>
        <w:t xml:space="preserve">, travelling back in time to kill a baby who would eventually grow to become a serial killer would be seen as a morally good thing, as even though an arguably innocent baby would die, </w:t>
      </w:r>
      <w:r w:rsidR="00785CBF" w:rsidRPr="00080540">
        <w:rPr>
          <w:rFonts w:eastAsia="Times New Roman" w:cstheme="minorHAnsi"/>
          <w:sz w:val="24"/>
          <w:szCs w:val="24"/>
          <w:lang w:eastAsia="en-GB"/>
        </w:rPr>
        <w:t>it would save the lives of many.</w:t>
      </w:r>
      <w:r w:rsidR="00785CBF" w:rsidRPr="00080540">
        <w:rPr>
          <w:rFonts w:eastAsia="Times New Roman" w:cstheme="minorHAnsi"/>
          <w:sz w:val="24"/>
          <w:szCs w:val="24"/>
          <w:lang w:eastAsia="en-GB"/>
        </w:rPr>
        <w:br/>
        <w:t xml:space="preserve">There are </w:t>
      </w:r>
      <w:r w:rsidR="00AD7717" w:rsidRPr="00080540">
        <w:rPr>
          <w:rFonts w:eastAsia="Times New Roman" w:cstheme="minorHAnsi"/>
          <w:sz w:val="24"/>
          <w:szCs w:val="24"/>
          <w:lang w:eastAsia="en-GB"/>
        </w:rPr>
        <w:t xml:space="preserve">many </w:t>
      </w:r>
      <w:r w:rsidR="00785CBF" w:rsidRPr="00080540">
        <w:rPr>
          <w:rFonts w:eastAsia="Times New Roman" w:cstheme="minorHAnsi"/>
          <w:sz w:val="24"/>
          <w:szCs w:val="24"/>
          <w:lang w:eastAsia="en-GB"/>
        </w:rPr>
        <w:t>different sub-categories of consequentialism, one of which being</w:t>
      </w:r>
      <w:r w:rsidR="00AD7717" w:rsidRPr="00080540">
        <w:rPr>
          <w:rFonts w:eastAsia="Times New Roman" w:cstheme="minorHAnsi"/>
          <w:sz w:val="24"/>
          <w:szCs w:val="24"/>
          <w:lang w:eastAsia="en-GB"/>
        </w:rPr>
        <w:t xml:space="preserve"> utilitarianism. </w:t>
      </w:r>
      <w:r w:rsidR="007E7AE0" w:rsidRPr="00080540">
        <w:rPr>
          <w:rFonts w:eastAsia="Times New Roman" w:cstheme="minorHAnsi"/>
          <w:sz w:val="24"/>
          <w:szCs w:val="24"/>
          <w:lang w:eastAsia="en-GB"/>
        </w:rPr>
        <w:t>Classic u</w:t>
      </w:r>
      <w:r w:rsidR="00AD7717" w:rsidRPr="00080540">
        <w:rPr>
          <w:rFonts w:eastAsia="Times New Roman" w:cstheme="minorHAnsi"/>
          <w:sz w:val="24"/>
          <w:szCs w:val="24"/>
          <w:lang w:eastAsia="en-GB"/>
        </w:rPr>
        <w:t xml:space="preserve">tilitarianism is </w:t>
      </w:r>
      <w:r w:rsidR="007E7AE0" w:rsidRPr="00080540">
        <w:rPr>
          <w:rFonts w:eastAsia="Times New Roman" w:cstheme="minorHAnsi"/>
          <w:sz w:val="24"/>
          <w:szCs w:val="24"/>
          <w:lang w:eastAsia="en-GB"/>
        </w:rPr>
        <w:t>a complex ideology as it combines many forms of consequentialism</w:t>
      </w:r>
      <w:r w:rsidR="0095589E" w:rsidRPr="00080540">
        <w:rPr>
          <w:rStyle w:val="FootnoteReference"/>
          <w:rFonts w:eastAsia="Times New Roman" w:cstheme="minorHAnsi"/>
          <w:sz w:val="24"/>
          <w:szCs w:val="24"/>
          <w:lang w:eastAsia="en-GB"/>
        </w:rPr>
        <w:footnoteReference w:id="2"/>
      </w:r>
      <w:r w:rsidR="007E7AE0" w:rsidRPr="00080540">
        <w:rPr>
          <w:rFonts w:eastAsia="Times New Roman" w:cstheme="minorHAnsi"/>
          <w:sz w:val="24"/>
          <w:szCs w:val="24"/>
          <w:lang w:eastAsia="en-GB"/>
        </w:rPr>
        <w:t xml:space="preserve">, </w:t>
      </w:r>
      <w:r w:rsidR="0095589E" w:rsidRPr="00080540">
        <w:rPr>
          <w:rFonts w:eastAsia="Times New Roman" w:cstheme="minorHAnsi"/>
          <w:sz w:val="24"/>
          <w:szCs w:val="24"/>
          <w:lang w:eastAsia="en-GB"/>
        </w:rPr>
        <w:t>such as</w:t>
      </w:r>
      <w:r w:rsidR="007E7AE0" w:rsidRPr="00080540">
        <w:rPr>
          <w:rFonts w:eastAsia="Times New Roman" w:cstheme="minorHAnsi"/>
          <w:sz w:val="24"/>
          <w:szCs w:val="24"/>
          <w:lang w:eastAsia="en-GB"/>
        </w:rPr>
        <w:t xml:space="preserve"> actual consequentialism (which believes that the moral value of an act is based on the actual consequences, as opposed to the intended or likely outcomes), direct consequentialism (which is based solely on the consequences of an action</w:t>
      </w:r>
      <w:r w:rsidR="0095589E" w:rsidRPr="00080540">
        <w:rPr>
          <w:rFonts w:eastAsia="Times New Roman" w:cstheme="minorHAnsi"/>
          <w:sz w:val="24"/>
          <w:szCs w:val="24"/>
          <w:lang w:eastAsia="en-GB"/>
        </w:rPr>
        <w:t>, “as opposed to the consequences of the agent’s motive, of a rule or practice that covers other acts of the same kind, and so on”</w:t>
      </w:r>
      <w:r w:rsidR="0095589E" w:rsidRPr="00080540">
        <w:rPr>
          <w:rStyle w:val="FootnoteReference"/>
          <w:rFonts w:eastAsia="Times New Roman" w:cstheme="minorHAnsi"/>
          <w:sz w:val="24"/>
          <w:szCs w:val="24"/>
          <w:lang w:eastAsia="en-GB"/>
        </w:rPr>
        <w:footnoteReference w:id="3"/>
      </w:r>
      <w:r w:rsidR="0095589E" w:rsidRPr="00080540">
        <w:rPr>
          <w:rFonts w:eastAsia="Times New Roman" w:cstheme="minorHAnsi"/>
          <w:sz w:val="24"/>
          <w:szCs w:val="24"/>
          <w:lang w:eastAsia="en-GB"/>
        </w:rPr>
        <w:t>),  and hedonism (</w:t>
      </w:r>
      <w:r w:rsidR="008367D5" w:rsidRPr="00080540">
        <w:rPr>
          <w:rFonts w:eastAsia="Times New Roman" w:cstheme="minorHAnsi"/>
          <w:sz w:val="24"/>
          <w:szCs w:val="24"/>
          <w:lang w:eastAsia="en-GB"/>
        </w:rPr>
        <w:t xml:space="preserve">which believes that </w:t>
      </w:r>
      <w:r w:rsidR="0095589E" w:rsidRPr="00080540">
        <w:rPr>
          <w:rFonts w:eastAsia="Times New Roman" w:cstheme="minorHAnsi"/>
          <w:sz w:val="24"/>
          <w:szCs w:val="24"/>
          <w:lang w:eastAsia="en-GB"/>
        </w:rPr>
        <w:t>the moral value of an action is based upon</w:t>
      </w:r>
      <w:r w:rsidR="008367D5" w:rsidRPr="00080540">
        <w:rPr>
          <w:rFonts w:eastAsia="Times New Roman" w:cstheme="minorHAnsi"/>
          <w:sz w:val="24"/>
          <w:szCs w:val="24"/>
          <w:lang w:eastAsia="en-GB"/>
        </w:rPr>
        <w:t xml:space="preserve"> only how much pleasure or pain it causes people, rather than other factors such as freedom) to name a few.</w:t>
      </w:r>
      <w:r w:rsidR="00826C3B" w:rsidRPr="00080540">
        <w:rPr>
          <w:rFonts w:eastAsia="Times New Roman" w:cstheme="minorHAnsi"/>
          <w:sz w:val="24"/>
          <w:szCs w:val="24"/>
          <w:lang w:eastAsia="en-GB"/>
        </w:rPr>
        <w:br/>
      </w:r>
      <w:r w:rsidR="008367D5" w:rsidRPr="00080540">
        <w:rPr>
          <w:rFonts w:eastAsia="Times New Roman" w:cstheme="minorHAnsi"/>
          <w:sz w:val="24"/>
          <w:szCs w:val="24"/>
          <w:lang w:eastAsia="en-GB"/>
        </w:rPr>
        <w:t xml:space="preserve">The “classic proponents” of </w:t>
      </w:r>
      <w:r w:rsidR="00BE47A1" w:rsidRPr="00080540">
        <w:rPr>
          <w:rFonts w:eastAsia="Times New Roman" w:cstheme="minorHAnsi"/>
          <w:sz w:val="24"/>
          <w:szCs w:val="24"/>
          <w:lang w:eastAsia="en-GB"/>
        </w:rPr>
        <w:t>utilitarianism</w:t>
      </w:r>
      <w:r w:rsidR="008367D5" w:rsidRPr="00080540">
        <w:rPr>
          <w:rFonts w:eastAsia="Times New Roman" w:cstheme="minorHAnsi"/>
          <w:sz w:val="24"/>
          <w:szCs w:val="24"/>
          <w:lang w:eastAsia="en-GB"/>
        </w:rPr>
        <w:t xml:space="preserve"> were Jeremy Bentham (1789), John Stuart Mill (1861), and Henry Sidgwick (1907).</w:t>
      </w:r>
      <w:r w:rsidR="00BE47A1" w:rsidRPr="00080540">
        <w:rPr>
          <w:rFonts w:eastAsia="Times New Roman" w:cstheme="minorHAnsi"/>
          <w:sz w:val="24"/>
          <w:szCs w:val="24"/>
          <w:lang w:eastAsia="en-GB"/>
        </w:rPr>
        <w:t xml:space="preserve"> </w:t>
      </w:r>
      <w:r w:rsidR="00C35845" w:rsidRPr="00080540">
        <w:rPr>
          <w:rFonts w:eastAsia="Times New Roman" w:cstheme="minorHAnsi"/>
          <w:sz w:val="24"/>
          <w:szCs w:val="24"/>
          <w:lang w:eastAsia="en-GB"/>
        </w:rPr>
        <w:t xml:space="preserve">In an extract from </w:t>
      </w:r>
      <w:r w:rsidR="00C35845" w:rsidRPr="00080540">
        <w:rPr>
          <w:rFonts w:eastAsia="Times New Roman" w:cstheme="minorHAnsi"/>
          <w:i/>
          <w:iCs/>
          <w:sz w:val="24"/>
          <w:szCs w:val="24"/>
          <w:lang w:eastAsia="en-GB"/>
        </w:rPr>
        <w:t>Consequentialism and History</w:t>
      </w:r>
      <w:r w:rsidR="00C35845" w:rsidRPr="00080540">
        <w:rPr>
          <w:rFonts w:eastAsia="Times New Roman" w:cstheme="minorHAnsi"/>
          <w:sz w:val="24"/>
          <w:szCs w:val="24"/>
          <w:lang w:eastAsia="en-GB"/>
        </w:rPr>
        <w:t xml:space="preserve">, there is reference to </w:t>
      </w:r>
      <w:r w:rsidR="00C35845" w:rsidRPr="00080540">
        <w:rPr>
          <w:rFonts w:eastAsia="Times New Roman" w:cstheme="minorHAnsi"/>
          <w:sz w:val="24"/>
          <w:szCs w:val="24"/>
          <w:lang w:eastAsia="en-GB"/>
        </w:rPr>
        <w:lastRenderedPageBreak/>
        <w:t xml:space="preserve">Mill’s </w:t>
      </w:r>
      <w:r w:rsidR="00C35845" w:rsidRPr="00080540">
        <w:rPr>
          <w:rFonts w:eastAsia="Times New Roman" w:cstheme="minorHAnsi"/>
          <w:i/>
          <w:iCs/>
          <w:sz w:val="24"/>
          <w:szCs w:val="24"/>
          <w:lang w:eastAsia="en-GB"/>
        </w:rPr>
        <w:t xml:space="preserve">Utilitarianism. </w:t>
      </w:r>
      <w:r w:rsidR="00C35845" w:rsidRPr="00080540">
        <w:rPr>
          <w:rFonts w:eastAsia="Times New Roman" w:cstheme="minorHAnsi"/>
          <w:sz w:val="24"/>
          <w:szCs w:val="24"/>
          <w:lang w:eastAsia="en-GB"/>
        </w:rPr>
        <w:t xml:space="preserve">Mill </w:t>
      </w:r>
      <w:r w:rsidR="004522F3" w:rsidRPr="00080540">
        <w:rPr>
          <w:rFonts w:eastAsia="Times New Roman" w:cstheme="minorHAnsi"/>
          <w:sz w:val="24"/>
          <w:szCs w:val="24"/>
          <w:lang w:eastAsia="en-GB"/>
        </w:rPr>
        <w:t>writes</w:t>
      </w:r>
      <w:r w:rsidR="00C35845" w:rsidRPr="00080540">
        <w:rPr>
          <w:rFonts w:eastAsia="Times New Roman" w:cstheme="minorHAnsi"/>
          <w:sz w:val="24"/>
          <w:szCs w:val="24"/>
          <w:lang w:eastAsia="en-GB"/>
        </w:rPr>
        <w:t xml:space="preserve"> in the opening chapter that, “A test of right and wrong must be the means, one would think, of ascertaining what is right or wrong,”, which explains why he </w:t>
      </w:r>
      <w:r w:rsidR="004522F3" w:rsidRPr="00080540">
        <w:rPr>
          <w:rFonts w:eastAsia="Times New Roman" w:cstheme="minorHAnsi"/>
          <w:sz w:val="24"/>
          <w:szCs w:val="24"/>
          <w:lang w:eastAsia="en-GB"/>
        </w:rPr>
        <w:t>believed</w:t>
      </w:r>
      <w:r w:rsidR="00C35845" w:rsidRPr="00080540">
        <w:rPr>
          <w:rFonts w:eastAsia="Times New Roman" w:cstheme="minorHAnsi"/>
          <w:sz w:val="24"/>
          <w:szCs w:val="24"/>
          <w:lang w:eastAsia="en-GB"/>
        </w:rPr>
        <w:t xml:space="preserve"> so strongly in the beliefs recorded in his book</w:t>
      </w:r>
      <w:r w:rsidR="00C35845" w:rsidRPr="00080540">
        <w:rPr>
          <w:rStyle w:val="FootnoteReference"/>
          <w:rFonts w:eastAsia="Times New Roman" w:cstheme="minorHAnsi"/>
          <w:sz w:val="24"/>
          <w:szCs w:val="24"/>
          <w:lang w:eastAsia="en-GB"/>
        </w:rPr>
        <w:footnoteReference w:id="4"/>
      </w:r>
      <w:r w:rsidR="00C35845" w:rsidRPr="00080540">
        <w:rPr>
          <w:rFonts w:eastAsia="Times New Roman" w:cstheme="minorHAnsi"/>
          <w:sz w:val="24"/>
          <w:szCs w:val="24"/>
          <w:lang w:eastAsia="en-GB"/>
        </w:rPr>
        <w:t xml:space="preserve">. In the third chapter, </w:t>
      </w:r>
      <w:r w:rsidR="00835684" w:rsidRPr="00080540">
        <w:rPr>
          <w:rFonts w:eastAsia="Times New Roman" w:cstheme="minorHAnsi"/>
          <w:sz w:val="24"/>
          <w:szCs w:val="24"/>
          <w:lang w:eastAsia="en-GB"/>
        </w:rPr>
        <w:t>Mill argues that the principle of utility should be adopted by more people. On the other hand, Sidgwick argue</w:t>
      </w:r>
      <w:r w:rsidR="004522F3" w:rsidRPr="00080540">
        <w:rPr>
          <w:rFonts w:eastAsia="Times New Roman" w:cstheme="minorHAnsi"/>
          <w:sz w:val="24"/>
          <w:szCs w:val="24"/>
          <w:lang w:eastAsia="en-GB"/>
        </w:rPr>
        <w:t>s</w:t>
      </w:r>
      <w:r w:rsidR="00835684" w:rsidRPr="00080540">
        <w:rPr>
          <w:rFonts w:eastAsia="Times New Roman" w:cstheme="minorHAnsi"/>
          <w:sz w:val="24"/>
          <w:szCs w:val="24"/>
          <w:lang w:eastAsia="en-GB"/>
        </w:rPr>
        <w:t xml:space="preserve"> that from a utilitarian point of view, it may be better if the principle of utility was not more widely adopted</w:t>
      </w:r>
      <w:r w:rsidR="004522F3" w:rsidRPr="00080540">
        <w:rPr>
          <w:rStyle w:val="FootnoteReference"/>
          <w:rFonts w:eastAsia="Times New Roman" w:cstheme="minorHAnsi"/>
          <w:sz w:val="24"/>
          <w:szCs w:val="24"/>
          <w:lang w:eastAsia="en-GB"/>
        </w:rPr>
        <w:footnoteReference w:id="5"/>
      </w:r>
      <w:r w:rsidR="00835684" w:rsidRPr="00080540">
        <w:rPr>
          <w:rFonts w:eastAsia="Times New Roman" w:cstheme="minorHAnsi"/>
          <w:sz w:val="24"/>
          <w:szCs w:val="24"/>
          <w:lang w:eastAsia="en-GB"/>
        </w:rPr>
        <w:t>.</w:t>
      </w:r>
      <w:r w:rsidR="004522F3" w:rsidRPr="00080540">
        <w:rPr>
          <w:rFonts w:eastAsia="Times New Roman" w:cstheme="minorHAnsi"/>
          <w:sz w:val="24"/>
          <w:szCs w:val="24"/>
          <w:lang w:eastAsia="en-GB"/>
        </w:rPr>
        <w:t xml:space="preserve"> Bentham refers to the principle of utility as recognising the extent that the ideas of good and evil has on our lives, and that it “assumes it for the foundation of that system, the object of which is to rear the fabric of felicity by the hands of reason and of law. Systems which attempt to question it, deal in sounds instead of senses, in caprice instead of reason, in darkness instead of light.”</w:t>
      </w:r>
      <w:r w:rsidR="004522F3" w:rsidRPr="00080540">
        <w:rPr>
          <w:rStyle w:val="FootnoteReference"/>
          <w:rFonts w:eastAsia="Times New Roman" w:cstheme="minorHAnsi"/>
          <w:sz w:val="24"/>
          <w:szCs w:val="24"/>
          <w:lang w:eastAsia="en-GB"/>
        </w:rPr>
        <w:footnoteReference w:id="6"/>
      </w:r>
    </w:p>
    <w:p w14:paraId="222A1B5F" w14:textId="06B577B3" w:rsidR="00835684" w:rsidRPr="00080540" w:rsidRDefault="00835684" w:rsidP="00835684">
      <w:pPr>
        <w:spacing w:before="240" w:after="240" w:line="240" w:lineRule="auto"/>
        <w:ind w:firstLine="720"/>
        <w:rPr>
          <w:rFonts w:cstheme="minorHAnsi"/>
          <w:sz w:val="24"/>
          <w:szCs w:val="24"/>
        </w:rPr>
      </w:pPr>
      <w:r w:rsidRPr="00080540">
        <w:rPr>
          <w:rFonts w:eastAsia="Times New Roman" w:cstheme="minorHAnsi"/>
          <w:sz w:val="24"/>
          <w:szCs w:val="24"/>
          <w:lang w:eastAsia="en-GB"/>
        </w:rPr>
        <w:t>Cruelty towards few people would still be an inherently evil action, even it would help many others.</w:t>
      </w:r>
      <w:r w:rsidRPr="00080540">
        <w:rPr>
          <w:rFonts w:cstheme="minorHAnsi"/>
          <w:sz w:val="24"/>
          <w:szCs w:val="24"/>
        </w:rPr>
        <w:t xml:space="preserve"> This is the view that has led to many people have being opposed to the death penalty. For example, someone who is condemned for murder gets killed by someone else. It could be argued that the murderer had wronged someone who was innocent, but in cases where the person killed had done something seriously wrong, this argument would be invalid. There have also been cases where the person put to death had been proved innocent after their death. In addition to this, is killing a person could be seen as never morally justifiable. These reasons would make the death penalty evil. However, a consequentialist might argue that as these cases are rare, the death penalty is for the greater good, as it helps to prevent overcrowding of prisons, and also prevents the criminal from attacking again.</w:t>
      </w:r>
      <w:r w:rsidRPr="00080540">
        <w:rPr>
          <w:rFonts w:eastAsia="Times New Roman" w:cstheme="minorHAnsi"/>
          <w:sz w:val="24"/>
          <w:szCs w:val="24"/>
          <w:lang w:eastAsia="en-GB"/>
        </w:rPr>
        <w:br/>
        <w:t>Another example could be vaccines (</w:t>
      </w:r>
      <w:r w:rsidR="00B77245" w:rsidRPr="00080540">
        <w:rPr>
          <w:rFonts w:eastAsia="Times New Roman" w:cstheme="minorHAnsi"/>
          <w:sz w:val="24"/>
          <w:szCs w:val="24"/>
          <w:lang w:eastAsia="en-GB"/>
        </w:rPr>
        <w:t xml:space="preserve">which is </w:t>
      </w:r>
      <w:r w:rsidRPr="00080540">
        <w:rPr>
          <w:rFonts w:eastAsia="Times New Roman" w:cstheme="minorHAnsi"/>
          <w:sz w:val="24"/>
          <w:szCs w:val="24"/>
          <w:lang w:eastAsia="en-GB"/>
        </w:rPr>
        <w:t>especially relevant during the current pandemic), as while they help most of those who get them, there are some people who experience ‘vaccine damage’, which is referred to “adverse effects following immunization (AEFI)” by the World Health Organisation (WHO)</w:t>
      </w:r>
      <w:r w:rsidRPr="00080540">
        <w:rPr>
          <w:rStyle w:val="FootnoteReference"/>
          <w:rFonts w:eastAsia="Times New Roman" w:cstheme="minorHAnsi"/>
          <w:sz w:val="24"/>
          <w:szCs w:val="24"/>
          <w:lang w:eastAsia="en-GB"/>
        </w:rPr>
        <w:footnoteReference w:id="7"/>
      </w:r>
      <w:r w:rsidRPr="00080540">
        <w:rPr>
          <w:rFonts w:eastAsia="Times New Roman" w:cstheme="minorHAnsi"/>
          <w:sz w:val="24"/>
          <w:szCs w:val="24"/>
          <w:lang w:eastAsia="en-GB"/>
        </w:rPr>
        <w:t>. The WHO website states that “vaccine-associated adverse events may affect healthy individuals”</w:t>
      </w:r>
      <w:r w:rsidRPr="00080540">
        <w:rPr>
          <w:rStyle w:val="FootnoteReference"/>
          <w:rFonts w:eastAsia="Times New Roman" w:cstheme="minorHAnsi"/>
          <w:sz w:val="24"/>
          <w:szCs w:val="24"/>
          <w:lang w:eastAsia="en-GB"/>
        </w:rPr>
        <w:footnoteReference w:id="8"/>
      </w:r>
      <w:r w:rsidRPr="00080540">
        <w:rPr>
          <w:rFonts w:eastAsia="Times New Roman" w:cstheme="minorHAnsi"/>
          <w:sz w:val="24"/>
          <w:szCs w:val="24"/>
          <w:lang w:eastAsia="en-GB"/>
        </w:rPr>
        <w:t xml:space="preserve">. Is it morally justifiable to cause harm to some people, even if it greatly benefits others? In an article by the New York Times, a source from the </w:t>
      </w:r>
      <w:r w:rsidRPr="00080540">
        <w:rPr>
          <w:rFonts w:eastAsia="Times New Roman" w:cstheme="minorHAnsi"/>
          <w:i/>
          <w:iCs/>
          <w:sz w:val="24"/>
          <w:szCs w:val="24"/>
          <w:lang w:eastAsia="en-GB"/>
        </w:rPr>
        <w:t xml:space="preserve">National Vaccine Injury Compensation Program </w:t>
      </w:r>
      <w:r w:rsidRPr="00080540">
        <w:rPr>
          <w:rFonts w:eastAsia="Times New Roman" w:cstheme="minorHAnsi"/>
          <w:sz w:val="24"/>
          <w:szCs w:val="24"/>
          <w:lang w:eastAsia="en-GB"/>
        </w:rPr>
        <w:t>is referenced when stating that from 2006 to 2017 (an 11-year period), for every one million vaccination doses, only two claims were reported</w:t>
      </w:r>
      <w:r w:rsidRPr="00080540">
        <w:rPr>
          <w:rStyle w:val="FootnoteReference"/>
          <w:rFonts w:eastAsia="Times New Roman" w:cstheme="minorHAnsi"/>
          <w:sz w:val="24"/>
          <w:szCs w:val="24"/>
          <w:lang w:eastAsia="en-GB"/>
        </w:rPr>
        <w:footnoteReference w:id="9"/>
      </w:r>
      <w:r w:rsidRPr="00080540">
        <w:rPr>
          <w:rFonts w:eastAsia="Times New Roman" w:cstheme="minorHAnsi"/>
          <w:sz w:val="24"/>
          <w:szCs w:val="24"/>
          <w:lang w:eastAsia="en-GB"/>
        </w:rPr>
        <w:t>.</w:t>
      </w:r>
    </w:p>
    <w:p w14:paraId="01F854B8" w14:textId="12C32793" w:rsidR="00FB0728" w:rsidRPr="00080540" w:rsidRDefault="006148A8" w:rsidP="00FB0728">
      <w:pPr>
        <w:spacing w:before="240" w:after="240" w:line="240" w:lineRule="auto"/>
        <w:ind w:firstLine="720"/>
        <w:rPr>
          <w:rFonts w:eastAsia="Times New Roman" w:cstheme="minorHAnsi"/>
          <w:sz w:val="24"/>
          <w:szCs w:val="24"/>
          <w:lang w:eastAsia="en-GB"/>
        </w:rPr>
      </w:pPr>
      <w:r w:rsidRPr="00080540">
        <w:rPr>
          <w:rFonts w:eastAsia="Times New Roman" w:cstheme="minorHAnsi"/>
          <w:sz w:val="24"/>
          <w:szCs w:val="24"/>
          <w:lang w:eastAsia="en-GB"/>
        </w:rPr>
        <w:t xml:space="preserve">Deontology is </w:t>
      </w:r>
      <w:r w:rsidR="008367D5" w:rsidRPr="00080540">
        <w:rPr>
          <w:rFonts w:eastAsia="Times New Roman" w:cstheme="minorHAnsi"/>
          <w:sz w:val="24"/>
          <w:szCs w:val="24"/>
          <w:lang w:eastAsia="en-GB"/>
        </w:rPr>
        <w:t>one of the</w:t>
      </w:r>
      <w:r w:rsidRPr="00080540">
        <w:rPr>
          <w:rFonts w:eastAsia="Times New Roman" w:cstheme="minorHAnsi"/>
          <w:sz w:val="24"/>
          <w:szCs w:val="24"/>
          <w:lang w:eastAsia="en-GB"/>
        </w:rPr>
        <w:t xml:space="preserve"> alternative ideolog</w:t>
      </w:r>
      <w:r w:rsidR="008367D5" w:rsidRPr="00080540">
        <w:rPr>
          <w:rFonts w:eastAsia="Times New Roman" w:cstheme="minorHAnsi"/>
          <w:sz w:val="24"/>
          <w:szCs w:val="24"/>
          <w:lang w:eastAsia="en-GB"/>
        </w:rPr>
        <w:t xml:space="preserve">ies </w:t>
      </w:r>
      <w:r w:rsidRPr="00080540">
        <w:rPr>
          <w:rFonts w:eastAsia="Times New Roman" w:cstheme="minorHAnsi"/>
          <w:sz w:val="24"/>
          <w:szCs w:val="24"/>
          <w:lang w:eastAsia="en-GB"/>
        </w:rPr>
        <w:t xml:space="preserve">to </w:t>
      </w:r>
      <w:r w:rsidR="008367D5" w:rsidRPr="00080540">
        <w:rPr>
          <w:rFonts w:eastAsia="Times New Roman" w:cstheme="minorHAnsi"/>
          <w:sz w:val="24"/>
          <w:szCs w:val="24"/>
          <w:lang w:eastAsia="en-GB"/>
        </w:rPr>
        <w:t>consequentialism and is considered to be its foil</w:t>
      </w:r>
      <w:r w:rsidR="008367D5" w:rsidRPr="00080540">
        <w:rPr>
          <w:rStyle w:val="FootnoteReference"/>
          <w:rFonts w:eastAsia="Times New Roman" w:cstheme="minorHAnsi"/>
          <w:sz w:val="24"/>
          <w:szCs w:val="24"/>
          <w:lang w:eastAsia="en-GB"/>
        </w:rPr>
        <w:footnoteReference w:id="10"/>
      </w:r>
      <w:r w:rsidRPr="00080540">
        <w:rPr>
          <w:rFonts w:eastAsia="Times New Roman" w:cstheme="minorHAnsi"/>
          <w:sz w:val="24"/>
          <w:szCs w:val="24"/>
          <w:lang w:eastAsia="en-GB"/>
        </w:rPr>
        <w:t>. It “</w:t>
      </w:r>
      <w:r w:rsidRPr="00080540">
        <w:rPr>
          <w:rFonts w:eastAsia="Times New Roman" w:cstheme="minorHAnsi"/>
          <w:sz w:val="24"/>
          <w:szCs w:val="24"/>
          <w:shd w:val="clear" w:color="auto" w:fill="FFFFFF"/>
          <w:lang w:eastAsia="en-GB"/>
        </w:rPr>
        <w:t>falls within the domain of moral theories that guide and assess our choices of what we ought to do (deontic theories), in contrast to those that guide and assess what kind of person we are and should be (aretaic [virtue] theories).”</w:t>
      </w:r>
      <w:r w:rsidR="009A0417" w:rsidRPr="00080540">
        <w:rPr>
          <w:rStyle w:val="FootnoteReference"/>
          <w:rFonts w:eastAsia="Times New Roman" w:cstheme="minorHAnsi"/>
          <w:sz w:val="24"/>
          <w:szCs w:val="24"/>
          <w:shd w:val="clear" w:color="auto" w:fill="FFFFFF"/>
          <w:lang w:eastAsia="en-GB"/>
        </w:rPr>
        <w:footnoteReference w:id="11"/>
      </w:r>
      <w:r w:rsidRPr="00080540">
        <w:rPr>
          <w:rFonts w:eastAsia="Times New Roman" w:cstheme="minorHAnsi"/>
          <w:sz w:val="24"/>
          <w:szCs w:val="24"/>
          <w:shd w:val="clear" w:color="auto" w:fill="FFFFFF"/>
          <w:lang w:eastAsia="en-GB"/>
        </w:rPr>
        <w:t xml:space="preserve"> - it bas</w:t>
      </w:r>
      <w:r w:rsidR="0CC47340" w:rsidRPr="00080540">
        <w:rPr>
          <w:rFonts w:eastAsia="Times New Roman" w:cstheme="minorHAnsi"/>
          <w:sz w:val="24"/>
          <w:szCs w:val="24"/>
          <w:shd w:val="clear" w:color="auto" w:fill="FFFFFF"/>
          <w:lang w:eastAsia="en-GB"/>
        </w:rPr>
        <w:t>e</w:t>
      </w:r>
      <w:r w:rsidRPr="00080540">
        <w:rPr>
          <w:rFonts w:eastAsia="Times New Roman" w:cstheme="minorHAnsi"/>
          <w:sz w:val="24"/>
          <w:szCs w:val="24"/>
          <w:shd w:val="clear" w:color="auto" w:fill="FFFFFF"/>
          <w:lang w:eastAsia="en-GB"/>
        </w:rPr>
        <w:t>s an action’s moral value off a set of rules. One of the most well-known deontologist philosophers is Immanuel Kant, wh</w:t>
      </w:r>
      <w:r w:rsidR="00826C3B" w:rsidRPr="00080540">
        <w:rPr>
          <w:rFonts w:eastAsia="Times New Roman" w:cstheme="minorHAnsi"/>
          <w:sz w:val="24"/>
          <w:szCs w:val="24"/>
          <w:shd w:val="clear" w:color="auto" w:fill="FFFFFF"/>
          <w:lang w:eastAsia="en-GB"/>
        </w:rPr>
        <w:t>o believed that “the only thing unqualifiedly good is a good will.”</w:t>
      </w:r>
      <w:r w:rsidR="00826C3B" w:rsidRPr="00080540">
        <w:rPr>
          <w:rStyle w:val="FootnoteReference"/>
          <w:rFonts w:eastAsia="Times New Roman" w:cstheme="minorHAnsi"/>
          <w:sz w:val="24"/>
          <w:szCs w:val="24"/>
          <w:shd w:val="clear" w:color="auto" w:fill="FFFFFF"/>
          <w:lang w:eastAsia="en-GB"/>
        </w:rPr>
        <w:footnoteReference w:id="12"/>
      </w:r>
      <w:r w:rsidR="00FB0728" w:rsidRPr="00080540">
        <w:rPr>
          <w:rFonts w:eastAsia="Times New Roman" w:cstheme="minorHAnsi"/>
          <w:sz w:val="24"/>
          <w:szCs w:val="24"/>
          <w:shd w:val="clear" w:color="auto" w:fill="FFFFFF"/>
          <w:lang w:eastAsia="en-GB"/>
        </w:rPr>
        <w:t xml:space="preserve"> </w:t>
      </w:r>
      <w:r w:rsidR="007D5F81" w:rsidRPr="00080540">
        <w:rPr>
          <w:rFonts w:eastAsia="Times New Roman" w:cstheme="minorHAnsi"/>
          <w:sz w:val="24"/>
          <w:szCs w:val="24"/>
          <w:lang w:eastAsia="en-GB"/>
        </w:rPr>
        <w:t xml:space="preserve">Kant once said that </w:t>
      </w:r>
      <w:r w:rsidR="007D5F81" w:rsidRPr="00080540">
        <w:rPr>
          <w:sz w:val="24"/>
          <w:szCs w:val="24"/>
          <w:shd w:val="clear" w:color="auto" w:fill="FFFFFF"/>
        </w:rPr>
        <w:t>“a conflict of duties is inconceivable”</w:t>
      </w:r>
      <w:r w:rsidR="004D60AC" w:rsidRPr="00080540">
        <w:rPr>
          <w:rStyle w:val="FootnoteReference"/>
          <w:sz w:val="24"/>
          <w:szCs w:val="24"/>
          <w:shd w:val="clear" w:color="auto" w:fill="FFFFFF"/>
        </w:rPr>
        <w:footnoteReference w:id="13"/>
      </w:r>
      <w:r w:rsidR="007D5F81" w:rsidRPr="00080540">
        <w:rPr>
          <w:sz w:val="24"/>
          <w:szCs w:val="24"/>
          <w:shd w:val="clear" w:color="auto" w:fill="FFFFFF"/>
        </w:rPr>
        <w:t xml:space="preserve">, in reference to </w:t>
      </w:r>
      <w:r w:rsidR="004D60AC" w:rsidRPr="00080540">
        <w:rPr>
          <w:sz w:val="24"/>
          <w:szCs w:val="24"/>
          <w:shd w:val="clear" w:color="auto" w:fill="FFFFFF"/>
        </w:rPr>
        <w:t xml:space="preserve">“certain </w:t>
      </w:r>
      <w:r w:rsidR="007D5F81" w:rsidRPr="00080540">
        <w:rPr>
          <w:sz w:val="24"/>
          <w:szCs w:val="24"/>
          <w:shd w:val="clear" w:color="auto" w:fill="FFFFFF"/>
        </w:rPr>
        <w:t>duties</w:t>
      </w:r>
      <w:r w:rsidR="004D60AC" w:rsidRPr="00080540">
        <w:rPr>
          <w:sz w:val="24"/>
          <w:szCs w:val="24"/>
          <w:shd w:val="clear" w:color="auto" w:fill="FFFFFF"/>
        </w:rPr>
        <w:t xml:space="preserve"> and certain rights”.</w:t>
      </w:r>
      <w:r w:rsidR="007D5F81" w:rsidRPr="00080540">
        <w:rPr>
          <w:sz w:val="24"/>
          <w:szCs w:val="24"/>
          <w:shd w:val="clear" w:color="auto" w:fill="FFFFFF"/>
        </w:rPr>
        <w:t xml:space="preserve"> </w:t>
      </w:r>
      <w:r w:rsidR="006E5BD7" w:rsidRPr="00080540">
        <w:rPr>
          <w:rFonts w:eastAsia="Times New Roman" w:cstheme="minorHAnsi"/>
          <w:sz w:val="24"/>
          <w:szCs w:val="24"/>
          <w:lang w:eastAsia="en-GB"/>
        </w:rPr>
        <w:br/>
        <w:t>T</w:t>
      </w:r>
      <w:r w:rsidR="00FB0728" w:rsidRPr="00080540">
        <w:rPr>
          <w:rFonts w:eastAsia="Times New Roman" w:cstheme="minorHAnsi"/>
          <w:sz w:val="24"/>
          <w:szCs w:val="24"/>
          <w:lang w:eastAsia="en-GB"/>
        </w:rPr>
        <w:t xml:space="preserve">his </w:t>
      </w:r>
      <w:r w:rsidR="32F1DE21" w:rsidRPr="00080540">
        <w:rPr>
          <w:rFonts w:eastAsia="Times New Roman" w:cstheme="minorHAnsi"/>
          <w:sz w:val="24"/>
          <w:szCs w:val="24"/>
          <w:lang w:eastAsia="en-GB"/>
        </w:rPr>
        <w:t xml:space="preserve">view would appear to argue that if a person found a </w:t>
      </w:r>
      <w:r w:rsidR="004D60AC" w:rsidRPr="00080540">
        <w:rPr>
          <w:rFonts w:eastAsia="Times New Roman" w:cstheme="minorHAnsi"/>
          <w:sz w:val="24"/>
          <w:szCs w:val="24"/>
          <w:lang w:eastAsia="en-GB"/>
        </w:rPr>
        <w:t>wallet,</w:t>
      </w:r>
      <w:r w:rsidR="32F1DE21" w:rsidRPr="00080540">
        <w:rPr>
          <w:rFonts w:eastAsia="Times New Roman" w:cstheme="minorHAnsi"/>
          <w:sz w:val="24"/>
          <w:szCs w:val="24"/>
          <w:lang w:eastAsia="en-GB"/>
        </w:rPr>
        <w:t xml:space="preserve"> they should </w:t>
      </w:r>
      <w:r w:rsidR="00FB0728" w:rsidRPr="00080540">
        <w:rPr>
          <w:rFonts w:eastAsia="Times New Roman" w:cstheme="minorHAnsi"/>
          <w:sz w:val="24"/>
          <w:szCs w:val="24"/>
          <w:lang w:eastAsia="en-GB"/>
        </w:rPr>
        <w:t xml:space="preserve">return it, even if the </w:t>
      </w:r>
      <w:r w:rsidR="00FB0728" w:rsidRPr="00080540">
        <w:rPr>
          <w:rFonts w:eastAsia="Times New Roman" w:cstheme="minorHAnsi"/>
          <w:sz w:val="24"/>
          <w:szCs w:val="24"/>
          <w:lang w:eastAsia="en-GB"/>
        </w:rPr>
        <w:lastRenderedPageBreak/>
        <w:t>person to whom the wallet belongs is very rich and wouldn’t notice the wallet missing, and the person finding it very poor and in need of the money.</w:t>
      </w:r>
    </w:p>
    <w:p w14:paraId="2A69832C" w14:textId="0E471742" w:rsidR="00AD7717" w:rsidRPr="00080540" w:rsidRDefault="006148A8" w:rsidP="00FB0728">
      <w:pPr>
        <w:spacing w:before="240" w:after="240" w:line="240" w:lineRule="auto"/>
        <w:ind w:firstLine="720"/>
        <w:rPr>
          <w:rFonts w:eastAsia="Times New Roman" w:cstheme="minorHAnsi"/>
          <w:sz w:val="24"/>
          <w:szCs w:val="24"/>
          <w:lang w:eastAsia="en-GB"/>
        </w:rPr>
      </w:pPr>
      <w:r w:rsidRPr="00080540">
        <w:rPr>
          <w:rFonts w:eastAsia="Times New Roman" w:cstheme="minorHAnsi"/>
          <w:sz w:val="24"/>
          <w:szCs w:val="24"/>
          <w:lang w:eastAsia="en-GB"/>
        </w:rPr>
        <w:t xml:space="preserve">The simplicity of deontology makes it </w:t>
      </w:r>
      <w:r w:rsidR="00211116" w:rsidRPr="00080540">
        <w:rPr>
          <w:rFonts w:eastAsia="Times New Roman" w:cstheme="minorHAnsi"/>
          <w:sz w:val="24"/>
          <w:szCs w:val="24"/>
          <w:lang w:eastAsia="en-GB"/>
        </w:rPr>
        <w:t>very attractive; it is fairly common and can be found in anywhere from ancient religious texts (for example, the Ten Commandments</w:t>
      </w:r>
      <w:r w:rsidR="00FB0728" w:rsidRPr="00080540">
        <w:rPr>
          <w:rFonts w:eastAsia="Times New Roman" w:cstheme="minorHAnsi"/>
          <w:sz w:val="24"/>
          <w:szCs w:val="24"/>
          <w:lang w:eastAsia="en-GB"/>
        </w:rPr>
        <w:t xml:space="preserve"> in the Jewish and Christian religions</w:t>
      </w:r>
      <w:r w:rsidR="00211116" w:rsidRPr="00080540">
        <w:rPr>
          <w:rFonts w:eastAsia="Times New Roman" w:cstheme="minorHAnsi"/>
          <w:sz w:val="24"/>
          <w:szCs w:val="24"/>
          <w:lang w:eastAsia="en-GB"/>
        </w:rPr>
        <w:t>) to more modern fixtures of society (for example, UK law)</w:t>
      </w:r>
      <w:r w:rsidRPr="00080540">
        <w:rPr>
          <w:rFonts w:eastAsia="Times New Roman" w:cstheme="minorHAnsi"/>
          <w:sz w:val="24"/>
          <w:szCs w:val="24"/>
          <w:lang w:eastAsia="en-GB"/>
        </w:rPr>
        <w:t xml:space="preserve">. </w:t>
      </w:r>
      <w:r w:rsidR="00211116" w:rsidRPr="00080540">
        <w:rPr>
          <w:rFonts w:eastAsia="Times New Roman" w:cstheme="minorHAnsi"/>
          <w:sz w:val="24"/>
          <w:szCs w:val="24"/>
          <w:lang w:eastAsia="en-GB"/>
        </w:rPr>
        <w:t xml:space="preserve">It being so simple means that </w:t>
      </w:r>
      <w:r w:rsidRPr="00080540">
        <w:rPr>
          <w:rFonts w:eastAsia="Times New Roman" w:cstheme="minorHAnsi"/>
          <w:sz w:val="24"/>
          <w:szCs w:val="24"/>
          <w:lang w:eastAsia="en-GB"/>
        </w:rPr>
        <w:t>children can easily follow it</w:t>
      </w:r>
      <w:r w:rsidR="00AD7717" w:rsidRPr="00080540">
        <w:rPr>
          <w:rFonts w:eastAsia="Times New Roman" w:cstheme="minorHAnsi"/>
          <w:sz w:val="24"/>
          <w:szCs w:val="24"/>
          <w:lang w:eastAsia="en-GB"/>
        </w:rPr>
        <w:t xml:space="preserve">. </w:t>
      </w:r>
      <w:r w:rsidRPr="00080540">
        <w:rPr>
          <w:rFonts w:eastAsia="Times New Roman" w:cstheme="minorHAnsi"/>
          <w:sz w:val="24"/>
          <w:szCs w:val="24"/>
          <w:lang w:eastAsia="en-GB"/>
        </w:rPr>
        <w:t xml:space="preserve">However, it does not make it </w:t>
      </w:r>
      <w:r w:rsidR="004E4185" w:rsidRPr="00080540">
        <w:rPr>
          <w:rFonts w:eastAsia="Times New Roman" w:cstheme="minorHAnsi"/>
          <w:sz w:val="24"/>
          <w:szCs w:val="24"/>
          <w:lang w:eastAsia="en-GB"/>
        </w:rPr>
        <w:t>fool proof</w:t>
      </w:r>
      <w:r w:rsidR="00211116" w:rsidRPr="00080540">
        <w:rPr>
          <w:rFonts w:eastAsia="Times New Roman" w:cstheme="minorHAnsi"/>
          <w:sz w:val="24"/>
          <w:szCs w:val="24"/>
          <w:lang w:eastAsia="en-GB"/>
        </w:rPr>
        <w:t>, as there will always be people who believe they are above the law and will not follow it (for</w:t>
      </w:r>
      <w:r w:rsidR="00AD169E" w:rsidRPr="00080540">
        <w:rPr>
          <w:rFonts w:eastAsia="Times New Roman" w:cstheme="minorHAnsi"/>
          <w:sz w:val="24"/>
          <w:szCs w:val="24"/>
          <w:lang w:eastAsia="en-GB"/>
        </w:rPr>
        <w:t xml:space="preserve"> instance, the rich and famous who bribe police officials to get away with crime) and there will always be those who break the law out of necessity (for example, people who steal food to feed their families when they can’t afford to buy it themselves).</w:t>
      </w:r>
      <w:r w:rsidR="00FB0728" w:rsidRPr="00080540">
        <w:rPr>
          <w:rFonts w:eastAsia="Times New Roman" w:cstheme="minorHAnsi"/>
          <w:sz w:val="24"/>
          <w:szCs w:val="24"/>
          <w:lang w:eastAsia="en-GB"/>
        </w:rPr>
        <w:br/>
        <w:t>The rule following aspect of deontology can sometimes lead to people not helping others and doing the right thing</w:t>
      </w:r>
      <w:r w:rsidR="00826C3B" w:rsidRPr="00080540">
        <w:rPr>
          <w:rFonts w:eastAsia="Times New Roman" w:cstheme="minorHAnsi"/>
          <w:sz w:val="24"/>
          <w:szCs w:val="24"/>
          <w:lang w:eastAsia="en-GB"/>
        </w:rPr>
        <w:t>, due to either avoidance of taking responsibility for their actions or for fear of what could happen if they were to disobey</w:t>
      </w:r>
      <w:r w:rsidR="00FB0728" w:rsidRPr="00080540">
        <w:rPr>
          <w:rFonts w:eastAsia="Times New Roman" w:cstheme="minorHAnsi"/>
          <w:sz w:val="24"/>
          <w:szCs w:val="24"/>
          <w:lang w:eastAsia="en-GB"/>
        </w:rPr>
        <w:t xml:space="preserve">. For instance, if someone is at home with their family and does not have access to a phone for whatever reason when a murderer breaks in, they may allow their loved ones to perish because the rules state that they should </w:t>
      </w:r>
      <w:r w:rsidR="00826C3B" w:rsidRPr="00080540">
        <w:rPr>
          <w:rFonts w:eastAsia="Times New Roman" w:cstheme="minorHAnsi"/>
          <w:sz w:val="24"/>
          <w:szCs w:val="24"/>
          <w:lang w:eastAsia="en-GB"/>
        </w:rPr>
        <w:t>not</w:t>
      </w:r>
      <w:r w:rsidR="00FB0728" w:rsidRPr="00080540">
        <w:rPr>
          <w:rFonts w:eastAsia="Times New Roman" w:cstheme="minorHAnsi"/>
          <w:sz w:val="24"/>
          <w:szCs w:val="24"/>
          <w:lang w:eastAsia="en-GB"/>
        </w:rPr>
        <w:t xml:space="preserve"> </w:t>
      </w:r>
      <w:r w:rsidR="00826C3B" w:rsidRPr="00080540">
        <w:rPr>
          <w:rFonts w:eastAsia="Times New Roman" w:cstheme="minorHAnsi"/>
          <w:sz w:val="24"/>
          <w:szCs w:val="24"/>
          <w:lang w:eastAsia="en-GB"/>
        </w:rPr>
        <w:t>harm another person</w:t>
      </w:r>
      <w:r w:rsidR="00FB0728" w:rsidRPr="00080540">
        <w:rPr>
          <w:rFonts w:eastAsia="Times New Roman" w:cstheme="minorHAnsi"/>
          <w:sz w:val="24"/>
          <w:szCs w:val="24"/>
          <w:lang w:eastAsia="en-GB"/>
        </w:rPr>
        <w:t>. This person may have not saved their family because they were afraid of the trouble that could come from not following the rules</w:t>
      </w:r>
      <w:r w:rsidR="00826C3B" w:rsidRPr="00080540">
        <w:rPr>
          <w:rFonts w:eastAsia="Times New Roman" w:cstheme="minorHAnsi"/>
          <w:sz w:val="24"/>
          <w:szCs w:val="24"/>
          <w:lang w:eastAsia="en-GB"/>
        </w:rPr>
        <w:t>.</w:t>
      </w:r>
      <w:r w:rsidR="00FB0728" w:rsidRPr="00080540">
        <w:rPr>
          <w:rFonts w:eastAsia="Times New Roman" w:cstheme="minorHAnsi"/>
          <w:sz w:val="24"/>
          <w:szCs w:val="24"/>
          <w:lang w:eastAsia="en-GB"/>
        </w:rPr>
        <w:br/>
        <w:t>Another of the main issues with deontology is that there may be unforeseen and damaging consequences to an action, which could have been avoided by not following the set of rules. As it is impossible to predict the consequences of an action, even if someone were to stick to the set of ethical rules which deontology is rooted in, the consequences of their actions may be negative. This undermines the deontology argument, as there should be more to moral goodness than just following the rules set out.</w:t>
      </w:r>
    </w:p>
    <w:p w14:paraId="687DC595" w14:textId="6E7AD13F" w:rsidR="004C59DC" w:rsidRPr="00080540" w:rsidRDefault="007D5F81" w:rsidP="00AD7717">
      <w:pPr>
        <w:spacing w:before="240" w:after="240" w:line="240" w:lineRule="auto"/>
        <w:ind w:firstLine="720"/>
        <w:rPr>
          <w:rFonts w:eastAsia="Times New Roman" w:cstheme="minorHAnsi"/>
          <w:sz w:val="24"/>
          <w:szCs w:val="24"/>
          <w:lang w:eastAsia="en-GB"/>
        </w:rPr>
      </w:pPr>
      <w:r w:rsidRPr="00080540">
        <w:rPr>
          <w:rFonts w:eastAsia="Times New Roman" w:cstheme="minorHAnsi"/>
          <w:sz w:val="24"/>
          <w:szCs w:val="24"/>
          <w:lang w:eastAsia="en-GB"/>
        </w:rPr>
        <w:t>Neither of these ideologies mention the value of someone’s intent</w:t>
      </w:r>
      <w:r w:rsidR="004D60AC" w:rsidRPr="00080540">
        <w:rPr>
          <w:rFonts w:eastAsia="Times New Roman" w:cstheme="minorHAnsi"/>
          <w:sz w:val="24"/>
          <w:szCs w:val="24"/>
          <w:lang w:eastAsia="en-GB"/>
        </w:rPr>
        <w:t>, which can make them seem clinical with their emphasises on calculation and obeying the rules. This</w:t>
      </w:r>
      <w:r w:rsidRPr="00080540">
        <w:rPr>
          <w:rFonts w:eastAsia="Times New Roman" w:cstheme="minorHAnsi"/>
          <w:sz w:val="24"/>
          <w:szCs w:val="24"/>
          <w:lang w:eastAsia="en-GB"/>
        </w:rPr>
        <w:t xml:space="preserve"> brings us to virtue ethics, which</w:t>
      </w:r>
      <w:r w:rsidR="003167B1" w:rsidRPr="00080540">
        <w:rPr>
          <w:rFonts w:eastAsia="Times New Roman" w:cstheme="minorHAnsi"/>
          <w:sz w:val="24"/>
          <w:szCs w:val="24"/>
          <w:lang w:eastAsia="en-GB"/>
        </w:rPr>
        <w:t xml:space="preserve"> places its</w:t>
      </w:r>
      <w:r w:rsidRPr="00080540">
        <w:rPr>
          <w:rFonts w:eastAsia="Times New Roman" w:cstheme="minorHAnsi"/>
          <w:sz w:val="24"/>
          <w:szCs w:val="24"/>
          <w:lang w:eastAsia="en-GB"/>
        </w:rPr>
        <w:t xml:space="preserve"> main focus is on </w:t>
      </w:r>
      <w:r w:rsidR="004D60AC" w:rsidRPr="00080540">
        <w:rPr>
          <w:rFonts w:eastAsia="Times New Roman" w:cstheme="minorHAnsi"/>
          <w:sz w:val="24"/>
          <w:szCs w:val="24"/>
          <w:lang w:eastAsia="en-GB"/>
        </w:rPr>
        <w:t>t</w:t>
      </w:r>
      <w:r w:rsidR="006148A8" w:rsidRPr="00080540">
        <w:rPr>
          <w:rFonts w:eastAsia="Times New Roman" w:cstheme="minorHAnsi"/>
          <w:sz w:val="24"/>
          <w:szCs w:val="24"/>
          <w:lang w:eastAsia="en-GB"/>
        </w:rPr>
        <w:t xml:space="preserve">rying to live a good and moral life. </w:t>
      </w:r>
      <w:r w:rsidR="003167B1" w:rsidRPr="00080540">
        <w:rPr>
          <w:rFonts w:eastAsia="Times New Roman" w:cstheme="minorHAnsi"/>
          <w:sz w:val="24"/>
          <w:szCs w:val="24"/>
          <w:lang w:eastAsia="en-GB"/>
        </w:rPr>
        <w:t>Two of the most notable virtue ethics philosophers are Plato and Aristotle (though in Eastern parts of the world, Mencius and Confucius are considered to be more notable)</w:t>
      </w:r>
      <w:r w:rsidR="003167B1" w:rsidRPr="00080540">
        <w:rPr>
          <w:rStyle w:val="FootnoteReference"/>
          <w:rFonts w:eastAsia="Times New Roman" w:cstheme="minorHAnsi"/>
          <w:sz w:val="24"/>
          <w:szCs w:val="24"/>
          <w:lang w:eastAsia="en-GB"/>
        </w:rPr>
        <w:footnoteReference w:id="14"/>
      </w:r>
      <w:r w:rsidR="003167B1" w:rsidRPr="00080540">
        <w:rPr>
          <w:rFonts w:eastAsia="Times New Roman" w:cstheme="minorHAnsi"/>
          <w:sz w:val="24"/>
          <w:szCs w:val="24"/>
          <w:lang w:eastAsia="en-GB"/>
        </w:rPr>
        <w:t xml:space="preserve">. </w:t>
      </w:r>
      <w:r w:rsidR="004C59DC" w:rsidRPr="00080540">
        <w:rPr>
          <w:rFonts w:eastAsia="Times New Roman" w:cstheme="minorHAnsi"/>
          <w:sz w:val="24"/>
          <w:szCs w:val="24"/>
          <w:lang w:eastAsia="en-GB"/>
        </w:rPr>
        <w:t xml:space="preserve">Though it suffered an elapse in popularity, it was reintroduced to people by Gertrude Elizabeth Margaret Anscombe (who is more commonly known as G.E.M Anscombe), in an article called </w:t>
      </w:r>
      <w:r w:rsidR="004C59DC" w:rsidRPr="00080540">
        <w:rPr>
          <w:rFonts w:eastAsia="Times New Roman" w:cstheme="minorHAnsi"/>
          <w:i/>
          <w:iCs/>
          <w:sz w:val="24"/>
          <w:szCs w:val="24"/>
          <w:lang w:eastAsia="en-GB"/>
        </w:rPr>
        <w:t>Modern Moral Philosophy</w:t>
      </w:r>
      <w:r w:rsidR="00080540" w:rsidRPr="00080540">
        <w:rPr>
          <w:rFonts w:eastAsia="Times New Roman" w:cstheme="minorHAnsi"/>
          <w:sz w:val="24"/>
          <w:szCs w:val="24"/>
          <w:lang w:eastAsia="en-GB"/>
        </w:rPr>
        <w:t>, in which she mentions that “a great deal of specific action guidance could be found in rules employing the virtue and vice terms”.</w:t>
      </w:r>
      <w:r w:rsidR="00080540" w:rsidRPr="00080540">
        <w:rPr>
          <w:rStyle w:val="FootnoteReference"/>
          <w:rFonts w:eastAsia="Times New Roman" w:cstheme="minorHAnsi"/>
          <w:sz w:val="24"/>
          <w:szCs w:val="24"/>
          <w:lang w:eastAsia="en-GB"/>
        </w:rPr>
        <w:footnoteReference w:id="15"/>
      </w:r>
      <w:r w:rsidR="00080540" w:rsidRPr="00080540">
        <w:rPr>
          <w:rFonts w:eastAsia="Times New Roman" w:cstheme="minorHAnsi"/>
          <w:sz w:val="24"/>
          <w:szCs w:val="24"/>
          <w:lang w:eastAsia="en-GB"/>
        </w:rPr>
        <w:t xml:space="preserve"> An example of a rule employing virtue and vice terms would be “Do what is honest, charitable, generous… do not do what is dishonest, uncharitable, mean”</w:t>
      </w:r>
      <w:r w:rsidR="00080540" w:rsidRPr="00080540">
        <w:rPr>
          <w:rStyle w:val="FootnoteReference"/>
          <w:rFonts w:eastAsia="Times New Roman" w:cstheme="minorHAnsi"/>
          <w:sz w:val="24"/>
          <w:szCs w:val="24"/>
          <w:lang w:eastAsia="en-GB"/>
        </w:rPr>
        <w:footnoteReference w:id="16"/>
      </w:r>
      <w:r w:rsidR="00080540" w:rsidRPr="00080540">
        <w:rPr>
          <w:rFonts w:eastAsia="Times New Roman" w:cstheme="minorHAnsi"/>
          <w:sz w:val="24"/>
          <w:szCs w:val="24"/>
          <w:lang w:eastAsia="en-GB"/>
        </w:rPr>
        <w:t xml:space="preserve">, as given by Hursthouse in her 1999 book </w:t>
      </w:r>
      <w:r w:rsidR="00080540" w:rsidRPr="00080540">
        <w:rPr>
          <w:rFonts w:eastAsia="Times New Roman" w:cstheme="minorHAnsi"/>
          <w:i/>
          <w:iCs/>
          <w:sz w:val="24"/>
          <w:szCs w:val="24"/>
          <w:lang w:eastAsia="en-GB"/>
        </w:rPr>
        <w:t>On Virtue Ethics</w:t>
      </w:r>
      <w:r w:rsidR="00080540" w:rsidRPr="00080540">
        <w:rPr>
          <w:rFonts w:eastAsia="Times New Roman" w:cstheme="minorHAnsi"/>
          <w:sz w:val="24"/>
          <w:szCs w:val="24"/>
          <w:lang w:eastAsia="en-GB"/>
        </w:rPr>
        <w:t>. Following these rules could be compared to deontology.</w:t>
      </w:r>
    </w:p>
    <w:p w14:paraId="6183DEEF" w14:textId="689C064E" w:rsidR="007D5F81" w:rsidRPr="00080540" w:rsidRDefault="007D5F81" w:rsidP="00AD7717">
      <w:pPr>
        <w:spacing w:before="240" w:after="240" w:line="240" w:lineRule="auto"/>
        <w:ind w:firstLine="720"/>
        <w:rPr>
          <w:rFonts w:eastAsia="Times New Roman" w:cstheme="minorHAnsi"/>
          <w:sz w:val="24"/>
          <w:szCs w:val="24"/>
          <w:lang w:eastAsia="en-GB"/>
        </w:rPr>
      </w:pPr>
      <w:r w:rsidRPr="00080540">
        <w:rPr>
          <w:rFonts w:eastAsia="Times New Roman" w:cstheme="minorHAnsi"/>
          <w:sz w:val="24"/>
          <w:szCs w:val="24"/>
          <w:lang w:eastAsia="en-GB"/>
        </w:rPr>
        <w:t>One of the main issues with virtue ethics is tha</w:t>
      </w:r>
      <w:r w:rsidR="004C59DC" w:rsidRPr="00080540">
        <w:rPr>
          <w:rFonts w:eastAsia="Times New Roman" w:cstheme="minorHAnsi"/>
          <w:sz w:val="24"/>
          <w:szCs w:val="24"/>
          <w:lang w:eastAsia="en-GB"/>
        </w:rPr>
        <w:t>t its focus on improving the self has been considered selfish.</w:t>
      </w:r>
      <w:r w:rsidR="00080540" w:rsidRPr="00080540">
        <w:rPr>
          <w:rFonts w:eastAsia="Times New Roman" w:cstheme="minorHAnsi"/>
          <w:sz w:val="24"/>
          <w:szCs w:val="24"/>
          <w:lang w:eastAsia="en-GB"/>
        </w:rPr>
        <w:t xml:space="preserve"> However, improving yourself should not be considered selfish, as it would be for the gain of others more so (or instead of) yourself.</w:t>
      </w:r>
      <w:r w:rsidR="00DB730F">
        <w:rPr>
          <w:rFonts w:eastAsia="Times New Roman" w:cstheme="minorHAnsi"/>
          <w:sz w:val="24"/>
          <w:szCs w:val="24"/>
          <w:lang w:eastAsia="en-GB"/>
        </w:rPr>
        <w:br/>
      </w:r>
      <w:r w:rsidR="00DB730F">
        <w:rPr>
          <w:rFonts w:eastAsia="Times New Roman" w:cstheme="minorHAnsi"/>
          <w:sz w:val="24"/>
          <w:szCs w:val="24"/>
          <w:lang w:eastAsia="en-GB"/>
        </w:rPr>
        <w:lastRenderedPageBreak/>
        <w:t>Another of the issues is that of moral luck; if someone does not have proper guidance or teaching on what is good and evil, how should they be expected to do good?</w:t>
      </w:r>
      <w:r w:rsidR="00DB730F">
        <w:rPr>
          <w:rStyle w:val="FootnoteReference"/>
          <w:rFonts w:eastAsia="Times New Roman" w:cstheme="minorHAnsi"/>
          <w:sz w:val="24"/>
          <w:szCs w:val="24"/>
          <w:lang w:eastAsia="en-GB"/>
        </w:rPr>
        <w:footnoteReference w:id="17"/>
      </w:r>
    </w:p>
    <w:p w14:paraId="43427612" w14:textId="2206B3F9" w:rsidR="00B77245" w:rsidRPr="00080540" w:rsidRDefault="003167B1" w:rsidP="00B77245">
      <w:pPr>
        <w:spacing w:before="240" w:after="240" w:line="240" w:lineRule="auto"/>
        <w:ind w:firstLine="720"/>
        <w:rPr>
          <w:rFonts w:eastAsia="Times New Roman" w:cstheme="minorHAnsi"/>
          <w:sz w:val="24"/>
          <w:szCs w:val="24"/>
          <w:lang w:eastAsia="en-GB"/>
        </w:rPr>
      </w:pPr>
      <w:r w:rsidRPr="00080540">
        <w:rPr>
          <w:rFonts w:eastAsia="Times New Roman" w:cstheme="minorHAnsi"/>
          <w:sz w:val="24"/>
          <w:szCs w:val="24"/>
          <w:lang w:eastAsia="en-GB"/>
        </w:rPr>
        <w:t>While all three of the major approaches to normative ethics make room for some exceptions</w:t>
      </w:r>
      <w:r w:rsidRPr="00080540">
        <w:rPr>
          <w:rStyle w:val="FootnoteReference"/>
          <w:rFonts w:eastAsia="Times New Roman" w:cstheme="minorHAnsi"/>
          <w:sz w:val="24"/>
          <w:szCs w:val="24"/>
          <w:lang w:eastAsia="en-GB"/>
        </w:rPr>
        <w:footnoteReference w:id="18"/>
      </w:r>
      <w:r w:rsidRPr="00080540">
        <w:rPr>
          <w:rFonts w:eastAsia="Times New Roman" w:cstheme="minorHAnsi"/>
          <w:sz w:val="24"/>
          <w:szCs w:val="24"/>
          <w:lang w:eastAsia="en-GB"/>
        </w:rPr>
        <w:t>, a</w:t>
      </w:r>
      <w:r w:rsidR="006148A8" w:rsidRPr="00080540">
        <w:rPr>
          <w:rFonts w:eastAsia="Times New Roman" w:cstheme="minorHAnsi"/>
          <w:sz w:val="24"/>
          <w:szCs w:val="24"/>
          <w:lang w:eastAsia="en-GB"/>
        </w:rPr>
        <w:t xml:space="preserve"> </w:t>
      </w:r>
      <w:r w:rsidRPr="00080540">
        <w:rPr>
          <w:rFonts w:eastAsia="Times New Roman" w:cstheme="minorHAnsi"/>
          <w:sz w:val="24"/>
          <w:szCs w:val="24"/>
          <w:lang w:eastAsia="en-GB"/>
        </w:rPr>
        <w:t xml:space="preserve">more equal </w:t>
      </w:r>
      <w:r w:rsidR="006148A8" w:rsidRPr="00080540">
        <w:rPr>
          <w:rFonts w:eastAsia="Times New Roman" w:cstheme="minorHAnsi"/>
          <w:sz w:val="24"/>
          <w:szCs w:val="24"/>
          <w:lang w:eastAsia="en-GB"/>
        </w:rPr>
        <w:t xml:space="preserve">combination of </w:t>
      </w:r>
      <w:r w:rsidR="00AD169E" w:rsidRPr="00080540">
        <w:rPr>
          <w:rFonts w:eastAsia="Times New Roman" w:cstheme="minorHAnsi"/>
          <w:sz w:val="24"/>
          <w:szCs w:val="24"/>
          <w:lang w:eastAsia="en-GB"/>
        </w:rPr>
        <w:t xml:space="preserve">all three of the </w:t>
      </w:r>
      <w:r w:rsidR="006148A8" w:rsidRPr="00080540">
        <w:rPr>
          <w:rFonts w:eastAsia="Times New Roman" w:cstheme="minorHAnsi"/>
          <w:sz w:val="24"/>
          <w:szCs w:val="24"/>
          <w:lang w:eastAsia="en-GB"/>
        </w:rPr>
        <w:t xml:space="preserve">ideologies may provide a better moral philosophy than just </w:t>
      </w:r>
      <w:r w:rsidRPr="00080540">
        <w:rPr>
          <w:rFonts w:eastAsia="Times New Roman" w:cstheme="minorHAnsi"/>
          <w:sz w:val="24"/>
          <w:szCs w:val="24"/>
          <w:lang w:eastAsia="en-GB"/>
        </w:rPr>
        <w:t xml:space="preserve">attempting to </w:t>
      </w:r>
      <w:r w:rsidR="006148A8" w:rsidRPr="00080540">
        <w:rPr>
          <w:rFonts w:eastAsia="Times New Roman" w:cstheme="minorHAnsi"/>
          <w:sz w:val="24"/>
          <w:szCs w:val="24"/>
          <w:lang w:eastAsia="en-GB"/>
        </w:rPr>
        <w:t xml:space="preserve">follow one alone. This might look like considering intentions and then using any knowledge you may have about the likelihood of the consequences before acting. An awareness of consequences may be </w:t>
      </w:r>
      <w:r w:rsidR="004E4185" w:rsidRPr="00080540">
        <w:rPr>
          <w:rFonts w:eastAsia="Times New Roman" w:cstheme="minorHAnsi"/>
          <w:sz w:val="24"/>
          <w:szCs w:val="24"/>
          <w:lang w:eastAsia="en-GB"/>
        </w:rPr>
        <w:t>harmful but</w:t>
      </w:r>
      <w:r w:rsidR="006148A8" w:rsidRPr="00080540">
        <w:rPr>
          <w:rFonts w:eastAsia="Times New Roman" w:cstheme="minorHAnsi"/>
          <w:sz w:val="24"/>
          <w:szCs w:val="24"/>
          <w:lang w:eastAsia="en-GB"/>
        </w:rPr>
        <w:t xml:space="preserve"> using intellect and experience to judge the best course of action bearing both intent and consequence in mind.</w:t>
      </w:r>
      <w:r w:rsidR="00E17C03" w:rsidRPr="00080540">
        <w:rPr>
          <w:rFonts w:eastAsia="Times New Roman" w:cstheme="minorHAnsi"/>
          <w:sz w:val="24"/>
          <w:szCs w:val="24"/>
          <w:lang w:eastAsia="en-GB"/>
        </w:rPr>
        <w:br/>
        <w:t xml:space="preserve">An example of this could be lying to save someone’s feelings; if someone asks for your opinion </w:t>
      </w:r>
      <w:r w:rsidR="00826C3B" w:rsidRPr="00080540">
        <w:rPr>
          <w:rFonts w:eastAsia="Times New Roman" w:cstheme="minorHAnsi"/>
          <w:sz w:val="24"/>
          <w:szCs w:val="24"/>
          <w:lang w:eastAsia="en-GB"/>
        </w:rPr>
        <w:t xml:space="preserve">on their cooking </w:t>
      </w:r>
      <w:r w:rsidR="00E17C03" w:rsidRPr="00080540">
        <w:rPr>
          <w:rFonts w:eastAsia="Times New Roman" w:cstheme="minorHAnsi"/>
          <w:sz w:val="24"/>
          <w:szCs w:val="24"/>
          <w:lang w:eastAsia="en-GB"/>
        </w:rPr>
        <w:t xml:space="preserve">and you </w:t>
      </w:r>
      <w:r w:rsidR="00B77245" w:rsidRPr="00080540">
        <w:rPr>
          <w:rFonts w:eastAsia="Times New Roman" w:cstheme="minorHAnsi"/>
          <w:sz w:val="24"/>
          <w:szCs w:val="24"/>
          <w:lang w:eastAsia="en-GB"/>
        </w:rPr>
        <w:t>do not</w:t>
      </w:r>
      <w:r w:rsidR="00E17C03" w:rsidRPr="00080540">
        <w:rPr>
          <w:rFonts w:eastAsia="Times New Roman" w:cstheme="minorHAnsi"/>
          <w:sz w:val="24"/>
          <w:szCs w:val="24"/>
          <w:lang w:eastAsia="en-GB"/>
        </w:rPr>
        <w:t xml:space="preserve"> want to upset them</w:t>
      </w:r>
      <w:r w:rsidR="00B77245" w:rsidRPr="00080540">
        <w:rPr>
          <w:rFonts w:eastAsia="Times New Roman" w:cstheme="minorHAnsi"/>
          <w:sz w:val="24"/>
          <w:szCs w:val="24"/>
          <w:lang w:eastAsia="en-GB"/>
        </w:rPr>
        <w:t>, you may choose to lie</w:t>
      </w:r>
      <w:r w:rsidR="00211116" w:rsidRPr="00080540">
        <w:rPr>
          <w:rFonts w:eastAsia="Times New Roman" w:cstheme="minorHAnsi"/>
          <w:sz w:val="24"/>
          <w:szCs w:val="24"/>
          <w:lang w:eastAsia="en-GB"/>
        </w:rPr>
        <w:t xml:space="preserve"> out of kindness</w:t>
      </w:r>
      <w:r w:rsidR="00826C3B" w:rsidRPr="00080540">
        <w:rPr>
          <w:rFonts w:eastAsia="Times New Roman" w:cstheme="minorHAnsi"/>
          <w:sz w:val="24"/>
          <w:szCs w:val="24"/>
          <w:lang w:eastAsia="en-GB"/>
        </w:rPr>
        <w:t xml:space="preserve"> and tell them that you enjoyed the meal which they prepared even if you did not enjoy it</w:t>
      </w:r>
      <w:r w:rsidR="00211116" w:rsidRPr="00080540">
        <w:rPr>
          <w:rFonts w:eastAsia="Times New Roman" w:cstheme="minorHAnsi"/>
          <w:sz w:val="24"/>
          <w:szCs w:val="24"/>
          <w:lang w:eastAsia="en-GB"/>
        </w:rPr>
        <w:t xml:space="preserve">. </w:t>
      </w:r>
      <w:r w:rsidR="00826C3B" w:rsidRPr="00080540">
        <w:rPr>
          <w:rFonts w:eastAsia="Times New Roman" w:cstheme="minorHAnsi"/>
          <w:sz w:val="24"/>
          <w:szCs w:val="24"/>
          <w:lang w:eastAsia="en-GB"/>
        </w:rPr>
        <w:t>Though it can be argued that their cooking will never improve if you are not honest, making someone happy can be considered more important than how much you enjoy a meal.</w:t>
      </w:r>
    </w:p>
    <w:p w14:paraId="191F05A4" w14:textId="614A679F" w:rsidR="006148A8" w:rsidRDefault="003167B1" w:rsidP="00AD7717">
      <w:pPr>
        <w:spacing w:before="240" w:after="240" w:line="240" w:lineRule="auto"/>
        <w:ind w:firstLine="720"/>
        <w:rPr>
          <w:rFonts w:eastAsia="Times New Roman" w:cstheme="minorHAnsi"/>
          <w:sz w:val="24"/>
          <w:szCs w:val="24"/>
          <w:lang w:eastAsia="en-GB"/>
        </w:rPr>
      </w:pPr>
      <w:r w:rsidRPr="00080540">
        <w:rPr>
          <w:rFonts w:eastAsia="Times New Roman" w:cstheme="minorHAnsi"/>
          <w:sz w:val="24"/>
          <w:szCs w:val="24"/>
          <w:lang w:eastAsia="en-GB"/>
        </w:rPr>
        <w:t xml:space="preserve">This essay had the intention of </w:t>
      </w:r>
      <w:r w:rsidR="002D18AD" w:rsidRPr="00080540">
        <w:rPr>
          <w:rFonts w:eastAsia="Times New Roman" w:cstheme="minorHAnsi"/>
          <w:sz w:val="24"/>
          <w:szCs w:val="24"/>
          <w:lang w:eastAsia="en-GB"/>
        </w:rPr>
        <w:t>concluding</w:t>
      </w:r>
      <w:r w:rsidRPr="00080540">
        <w:rPr>
          <w:rFonts w:eastAsia="Times New Roman" w:cstheme="minorHAnsi"/>
          <w:sz w:val="24"/>
          <w:szCs w:val="24"/>
          <w:lang w:eastAsia="en-GB"/>
        </w:rPr>
        <w:t xml:space="preserve"> on </w:t>
      </w:r>
      <w:r w:rsidR="002D18AD" w:rsidRPr="00080540">
        <w:rPr>
          <w:rFonts w:eastAsia="Times New Roman" w:cstheme="minorHAnsi"/>
          <w:sz w:val="24"/>
          <w:szCs w:val="24"/>
          <w:lang w:eastAsia="en-GB"/>
        </w:rPr>
        <w:t>whether</w:t>
      </w:r>
      <w:r w:rsidRPr="00080540">
        <w:rPr>
          <w:rFonts w:eastAsia="Times New Roman" w:cstheme="minorHAnsi"/>
          <w:sz w:val="24"/>
          <w:szCs w:val="24"/>
          <w:lang w:eastAsia="en-GB"/>
        </w:rPr>
        <w:t xml:space="preserve"> consequentialism is the best approach to normative ethics.</w:t>
      </w:r>
      <w:r w:rsidR="00AD7717" w:rsidRPr="00080540">
        <w:rPr>
          <w:rFonts w:eastAsia="Times New Roman" w:cstheme="minorHAnsi"/>
          <w:sz w:val="24"/>
          <w:szCs w:val="24"/>
          <w:u w:val="single"/>
          <w:lang w:eastAsia="en-GB"/>
        </w:rPr>
        <w:br/>
      </w:r>
      <w:r w:rsidR="00826C3B" w:rsidRPr="00080540">
        <w:rPr>
          <w:rFonts w:eastAsia="Times New Roman" w:cstheme="minorHAnsi"/>
          <w:sz w:val="24"/>
          <w:szCs w:val="24"/>
          <w:lang w:eastAsia="en-GB"/>
        </w:rPr>
        <w:t>There can be issues found in any ideology</w:t>
      </w:r>
      <w:r w:rsidR="00080540" w:rsidRPr="00080540">
        <w:rPr>
          <w:rFonts w:eastAsia="Times New Roman" w:cstheme="minorHAnsi"/>
          <w:sz w:val="24"/>
          <w:szCs w:val="24"/>
          <w:lang w:eastAsia="en-GB"/>
        </w:rPr>
        <w:t>, as well as benefits. Therefore, I</w:t>
      </w:r>
      <w:r w:rsidR="006148A8" w:rsidRPr="00080540">
        <w:rPr>
          <w:rFonts w:eastAsia="Times New Roman" w:cstheme="minorHAnsi"/>
          <w:sz w:val="24"/>
          <w:szCs w:val="24"/>
          <w:lang w:eastAsia="en-GB"/>
        </w:rPr>
        <w:t xml:space="preserve"> conclude</w:t>
      </w:r>
      <w:r w:rsidR="00080540" w:rsidRPr="00080540">
        <w:rPr>
          <w:rFonts w:eastAsia="Times New Roman" w:cstheme="minorHAnsi"/>
          <w:sz w:val="24"/>
          <w:szCs w:val="24"/>
          <w:lang w:eastAsia="en-GB"/>
        </w:rPr>
        <w:t xml:space="preserve"> that</w:t>
      </w:r>
      <w:r w:rsidR="006148A8" w:rsidRPr="00080540">
        <w:rPr>
          <w:rFonts w:eastAsia="Times New Roman" w:cstheme="minorHAnsi"/>
          <w:sz w:val="24"/>
          <w:szCs w:val="24"/>
          <w:lang w:eastAsia="en-GB"/>
        </w:rPr>
        <w:t xml:space="preserve"> an action’s moral value should certainly be based on more than just its consequences; it should instead be based on </w:t>
      </w:r>
      <w:r w:rsidR="002D18AD" w:rsidRPr="00080540">
        <w:rPr>
          <w:rFonts w:eastAsia="Times New Roman" w:cstheme="minorHAnsi"/>
          <w:sz w:val="24"/>
          <w:szCs w:val="24"/>
          <w:lang w:eastAsia="en-GB"/>
        </w:rPr>
        <w:t>several</w:t>
      </w:r>
      <w:r w:rsidR="006148A8" w:rsidRPr="00080540">
        <w:rPr>
          <w:rFonts w:eastAsia="Times New Roman" w:cstheme="minorHAnsi"/>
          <w:sz w:val="24"/>
          <w:szCs w:val="24"/>
          <w:lang w:eastAsia="en-GB"/>
        </w:rPr>
        <w:t xml:space="preserve"> other things in addition to this, such as someone’s intent and </w:t>
      </w:r>
      <w:r w:rsidR="009B06A0" w:rsidRPr="00080540">
        <w:rPr>
          <w:rFonts w:eastAsia="Times New Roman" w:cstheme="minorHAnsi"/>
          <w:sz w:val="24"/>
          <w:szCs w:val="24"/>
          <w:lang w:eastAsia="en-GB"/>
        </w:rPr>
        <w:t xml:space="preserve">moral </w:t>
      </w:r>
      <w:r w:rsidR="006148A8" w:rsidRPr="00080540">
        <w:rPr>
          <w:rFonts w:eastAsia="Times New Roman" w:cstheme="minorHAnsi"/>
          <w:sz w:val="24"/>
          <w:szCs w:val="24"/>
          <w:lang w:eastAsia="en-GB"/>
        </w:rPr>
        <w:t>rules.</w:t>
      </w:r>
    </w:p>
    <w:p w14:paraId="3B804C7F" w14:textId="77777777" w:rsidR="00DB730F" w:rsidRDefault="00DB730F" w:rsidP="00DB730F">
      <w:pPr>
        <w:spacing w:before="240" w:after="240" w:line="240" w:lineRule="auto"/>
        <w:ind w:firstLine="720"/>
        <w:rPr>
          <w:rFonts w:eastAsia="Times New Roman" w:cstheme="minorHAnsi"/>
          <w:b/>
          <w:bCs/>
          <w:sz w:val="28"/>
          <w:szCs w:val="28"/>
          <w:lang w:eastAsia="en-GB"/>
        </w:rPr>
      </w:pPr>
    </w:p>
    <w:p w14:paraId="5352A505" w14:textId="77777777" w:rsidR="00DB730F" w:rsidRDefault="00DB730F">
      <w:pPr>
        <w:rPr>
          <w:rFonts w:eastAsia="Times New Roman" w:cstheme="minorHAnsi"/>
          <w:b/>
          <w:bCs/>
          <w:sz w:val="28"/>
          <w:szCs w:val="28"/>
          <w:lang w:eastAsia="en-GB"/>
        </w:rPr>
      </w:pPr>
      <w:r>
        <w:rPr>
          <w:rFonts w:eastAsia="Times New Roman" w:cstheme="minorHAnsi"/>
          <w:b/>
          <w:bCs/>
          <w:sz w:val="28"/>
          <w:szCs w:val="28"/>
          <w:lang w:eastAsia="en-GB"/>
        </w:rPr>
        <w:br w:type="page"/>
      </w:r>
    </w:p>
    <w:p w14:paraId="7FB4B2DD" w14:textId="77777777" w:rsidR="00DB730F" w:rsidRDefault="00DB730F" w:rsidP="00DB730F">
      <w:pPr>
        <w:spacing w:before="240" w:after="240" w:line="240" w:lineRule="auto"/>
        <w:ind w:firstLine="720"/>
        <w:rPr>
          <w:rFonts w:eastAsia="Times New Roman" w:cstheme="minorHAnsi"/>
          <w:b/>
          <w:bCs/>
          <w:sz w:val="28"/>
          <w:szCs w:val="28"/>
          <w:lang w:eastAsia="en-GB"/>
        </w:rPr>
      </w:pPr>
    </w:p>
    <w:p w14:paraId="6C67A2F9" w14:textId="42DAA986" w:rsidR="00DD17D6" w:rsidRDefault="00080540" w:rsidP="00DB730F">
      <w:pPr>
        <w:ind w:firstLine="240"/>
        <w:rPr>
          <w:rFonts w:eastAsia="Times New Roman" w:cstheme="minorHAnsi"/>
          <w:b/>
          <w:bCs/>
          <w:sz w:val="28"/>
          <w:szCs w:val="28"/>
          <w:lang w:eastAsia="en-GB"/>
        </w:rPr>
      </w:pPr>
      <w:r w:rsidRPr="002D18AD">
        <w:rPr>
          <w:rFonts w:eastAsia="Times New Roman" w:cstheme="minorHAnsi"/>
          <w:b/>
          <w:bCs/>
          <w:sz w:val="28"/>
          <w:szCs w:val="28"/>
          <w:lang w:eastAsia="en-GB"/>
        </w:rPr>
        <w:t>Bibliography:</w:t>
      </w:r>
    </w:p>
    <w:p w14:paraId="57AC59F9" w14:textId="77777777" w:rsidR="00DB730F" w:rsidRDefault="00DB730F" w:rsidP="00DB730F">
      <w:pPr>
        <w:pStyle w:val="ListParagraph"/>
        <w:numPr>
          <w:ilvl w:val="0"/>
          <w:numId w:val="2"/>
        </w:numPr>
      </w:pPr>
      <w:r>
        <w:t xml:space="preserve">Alexander, Larry, and Michael Moore, ‘Deontological Ethics’, in </w:t>
      </w:r>
      <w:r w:rsidRPr="00DB730F">
        <w:rPr>
          <w:i/>
          <w:iCs/>
        </w:rPr>
        <w:t>The Stanford Encyclopedia of Philosophy</w:t>
      </w:r>
      <w:r>
        <w:t>, ed. by Edward N. Zalta, Winter 2020 (Metaphysics Research Lab, Stanford University, 2020) &lt;</w:t>
      </w:r>
      <w:hyperlink r:id="rId11" w:history="1">
        <w:r>
          <w:rPr>
            <w:rStyle w:val="Hyperlink"/>
          </w:rPr>
          <w:t>https://plato.stanford.edu/archives/win2020/entries/ethics-deontological/</w:t>
        </w:r>
      </w:hyperlink>
      <w:r>
        <w:t>&gt; [accessed 21 February 2021]</w:t>
      </w:r>
    </w:p>
    <w:p w14:paraId="0A04897E" w14:textId="77777777" w:rsidR="00DB730F" w:rsidRDefault="00DB730F" w:rsidP="00DB730F">
      <w:pPr>
        <w:pStyle w:val="ListParagraph"/>
        <w:numPr>
          <w:ilvl w:val="0"/>
          <w:numId w:val="2"/>
        </w:numPr>
      </w:pPr>
      <w:r>
        <w:t xml:space="preserve">Belluck, Pam, and Reed Abelson, ‘Vaccine Injury Claims Are Few and Far Between’, </w:t>
      </w:r>
      <w:r w:rsidRPr="00DB730F">
        <w:rPr>
          <w:i/>
          <w:iCs/>
        </w:rPr>
        <w:t>The New York Times</w:t>
      </w:r>
      <w:r>
        <w:t>, 18 June 2019, section Health &lt;</w:t>
      </w:r>
      <w:hyperlink r:id="rId12" w:history="1">
        <w:r>
          <w:rPr>
            <w:rStyle w:val="Hyperlink"/>
          </w:rPr>
          <w:t>https://www.nytimes.com/2019/06/18/health/vaccine-injury-claims.html</w:t>
        </w:r>
      </w:hyperlink>
      <w:r>
        <w:t>&gt; [accessed 28 February 2021]</w:t>
      </w:r>
    </w:p>
    <w:p w14:paraId="6B1B5228" w14:textId="77777777" w:rsidR="00DB730F" w:rsidRDefault="00DB730F" w:rsidP="00DB730F">
      <w:pPr>
        <w:pStyle w:val="ListParagraph"/>
        <w:numPr>
          <w:ilvl w:val="0"/>
          <w:numId w:val="2"/>
        </w:numPr>
      </w:pPr>
      <w:r>
        <w:t>‘Bentham - An Introduction to the Principles of Morals and Le.Pdf’ &lt;</w:t>
      </w:r>
      <w:hyperlink r:id="rId13" w:history="1">
        <w:r>
          <w:rPr>
            <w:rStyle w:val="Hyperlink"/>
          </w:rPr>
          <w:t>https://www.blackwellpublishing.co.uk/content/BPL_Images/Content_store/Sample_chapter/9780631233510/Warnock.pdf</w:t>
        </w:r>
      </w:hyperlink>
      <w:r>
        <w:t>&gt; [accessed 28 February 2021]</w:t>
      </w:r>
    </w:p>
    <w:p w14:paraId="122BA8E4" w14:textId="77777777" w:rsidR="00DB730F" w:rsidRDefault="00DB730F" w:rsidP="00DB730F">
      <w:pPr>
        <w:pStyle w:val="ListParagraph"/>
        <w:numPr>
          <w:ilvl w:val="0"/>
          <w:numId w:val="2"/>
        </w:numPr>
      </w:pPr>
      <w:r>
        <w:t>Bentham, Jeremy, ‘An Introduction to the Principles of Morals and Legislation’, 2017, 162</w:t>
      </w:r>
    </w:p>
    <w:p w14:paraId="2FFAFD15" w14:textId="77777777" w:rsidR="00DB730F" w:rsidRDefault="00DB730F" w:rsidP="00DB730F">
      <w:pPr>
        <w:pStyle w:val="ListParagraph"/>
        <w:numPr>
          <w:ilvl w:val="0"/>
          <w:numId w:val="2"/>
        </w:numPr>
      </w:pPr>
      <w:r>
        <w:t xml:space="preserve">Gomberg, Paul, ‘Consequentialism and History’, </w:t>
      </w:r>
      <w:r w:rsidRPr="00DB730F">
        <w:rPr>
          <w:i/>
          <w:iCs/>
        </w:rPr>
        <w:t>Canadian Journal of Philosophy</w:t>
      </w:r>
      <w:r>
        <w:t>, 19 (1989), 383–403 &lt;</w:t>
      </w:r>
      <w:hyperlink r:id="rId14" w:history="1">
        <w:r>
          <w:rPr>
            <w:rStyle w:val="Hyperlink"/>
          </w:rPr>
          <w:t>https://doi.org/10.1080/00455091.1989.10716486</w:t>
        </w:r>
      </w:hyperlink>
      <w:r>
        <w:t>&gt;</w:t>
      </w:r>
    </w:p>
    <w:p w14:paraId="4ACBE8B1" w14:textId="77777777" w:rsidR="00DB730F" w:rsidRDefault="00DB730F" w:rsidP="00DB730F">
      <w:pPr>
        <w:pStyle w:val="ListParagraph"/>
        <w:numPr>
          <w:ilvl w:val="0"/>
          <w:numId w:val="2"/>
        </w:numPr>
      </w:pPr>
      <w:r>
        <w:t xml:space="preserve">Hursthouse, Rosalind, </w:t>
      </w:r>
      <w:r w:rsidRPr="00DB730F">
        <w:rPr>
          <w:i/>
          <w:iCs/>
        </w:rPr>
        <w:t>On Virtue Ethics</w:t>
      </w:r>
      <w:r>
        <w:t xml:space="preserve"> (OUP Oxford, 1999)</w:t>
      </w:r>
    </w:p>
    <w:p w14:paraId="0BAAB4E2" w14:textId="77777777" w:rsidR="00DB730F" w:rsidRDefault="00DB730F" w:rsidP="00DB730F">
      <w:pPr>
        <w:pStyle w:val="ListParagraph"/>
        <w:numPr>
          <w:ilvl w:val="0"/>
          <w:numId w:val="2"/>
        </w:numPr>
      </w:pPr>
      <w:r>
        <w:t xml:space="preserve">Hursthouse, Rosalind, and Glen Pettigrove, ‘Virtue Ethics’, in </w:t>
      </w:r>
      <w:r w:rsidRPr="00DB730F">
        <w:rPr>
          <w:i/>
          <w:iCs/>
        </w:rPr>
        <w:t>The Stanford Encyclopedia of Philosophy</w:t>
      </w:r>
      <w:r>
        <w:t>, ed. by Edward N. Zalta, Winter 2018 (Metaphysics Research Lab, Stanford University, 2018) &lt;</w:t>
      </w:r>
      <w:hyperlink r:id="rId15" w:history="1">
        <w:r>
          <w:rPr>
            <w:rStyle w:val="Hyperlink"/>
          </w:rPr>
          <w:t>https://plato.stanford.edu/archives/win2018/entries/ethics-virtue/</w:t>
        </w:r>
      </w:hyperlink>
      <w:r>
        <w:t>&gt; [accessed 23 February 2021]</w:t>
      </w:r>
    </w:p>
    <w:p w14:paraId="2EE9E8C4" w14:textId="77777777" w:rsidR="00DB730F" w:rsidRDefault="00DB730F" w:rsidP="00DB730F">
      <w:pPr>
        <w:pStyle w:val="ListParagraph"/>
        <w:numPr>
          <w:ilvl w:val="0"/>
          <w:numId w:val="2"/>
        </w:numPr>
      </w:pPr>
      <w:r>
        <w:t>Nafsika Athanassoulis, ‘Virtue Ethics | Internet Encyclopedia of Philosophy’ &lt;</w:t>
      </w:r>
      <w:hyperlink r:id="rId16" w:history="1">
        <w:r>
          <w:rPr>
            <w:rStyle w:val="Hyperlink"/>
          </w:rPr>
          <w:t>https://iep.utm.edu/virtue/</w:t>
        </w:r>
      </w:hyperlink>
      <w:r>
        <w:t>&gt; [accessed 28 February 2021]</w:t>
      </w:r>
    </w:p>
    <w:p w14:paraId="5E93768D" w14:textId="77777777" w:rsidR="00DB730F" w:rsidRDefault="00DB730F" w:rsidP="00DB730F">
      <w:pPr>
        <w:pStyle w:val="ListParagraph"/>
        <w:numPr>
          <w:ilvl w:val="0"/>
          <w:numId w:val="2"/>
        </w:numPr>
      </w:pPr>
      <w:r>
        <w:t xml:space="preserve">Sinnott-Armstrong, Walter, ‘Consequentialism’, in </w:t>
      </w:r>
      <w:r w:rsidRPr="00DB730F">
        <w:rPr>
          <w:i/>
          <w:iCs/>
        </w:rPr>
        <w:t>The Stanford Encyclopedia of Philosophy</w:t>
      </w:r>
      <w:r>
        <w:t>, ed. by Edward N. Zalta, Summer 2019 (Metaphysics Research Lab, Stanford University, 2019) &lt;</w:t>
      </w:r>
      <w:hyperlink r:id="rId17" w:history="1">
        <w:r>
          <w:rPr>
            <w:rStyle w:val="Hyperlink"/>
          </w:rPr>
          <w:t>https://plato.stanford.edu/archives/sum2019/entries/consequentialism/</w:t>
        </w:r>
      </w:hyperlink>
      <w:r>
        <w:t>&gt; [accessed 21 February 2021]</w:t>
      </w:r>
    </w:p>
    <w:p w14:paraId="5A37E6C6" w14:textId="77777777" w:rsidR="00DB730F" w:rsidRDefault="00DB730F" w:rsidP="00DB730F">
      <w:pPr>
        <w:pStyle w:val="ListParagraph"/>
        <w:numPr>
          <w:ilvl w:val="0"/>
          <w:numId w:val="2"/>
        </w:numPr>
      </w:pPr>
      <w:r>
        <w:t xml:space="preserve">‘WHO | Adverse Events Following Immunization (AEFI)’, </w:t>
      </w:r>
      <w:r w:rsidRPr="00DB730F">
        <w:rPr>
          <w:i/>
          <w:iCs/>
        </w:rPr>
        <w:t>WHO</w:t>
      </w:r>
      <w:r>
        <w:t xml:space="preserve"> (World Health Organization) &lt;</w:t>
      </w:r>
      <w:hyperlink r:id="rId18" w:history="1">
        <w:r>
          <w:rPr>
            <w:rStyle w:val="Hyperlink"/>
          </w:rPr>
          <w:t>https://www.who.int/vaccine_safety/initiative/detection/AEFI/en/</w:t>
        </w:r>
      </w:hyperlink>
      <w:r>
        <w:t>&gt; [accessed 28 February 2021]</w:t>
      </w:r>
    </w:p>
    <w:p w14:paraId="52C5EDD2" w14:textId="00752E9E" w:rsidR="00DB730F" w:rsidRPr="00DB730F" w:rsidRDefault="00DB730F" w:rsidP="00DB730F">
      <w:pPr>
        <w:spacing w:before="240" w:after="240" w:line="240" w:lineRule="auto"/>
        <w:rPr>
          <w:rFonts w:eastAsia="Times New Roman" w:cstheme="minorHAnsi"/>
          <w:b/>
          <w:bCs/>
          <w:sz w:val="28"/>
          <w:szCs w:val="28"/>
          <w:lang w:eastAsia="en-GB"/>
        </w:rPr>
      </w:pPr>
    </w:p>
    <w:sectPr w:rsidR="00DB730F" w:rsidRPr="00DB730F" w:rsidSect="006148A8">
      <w:headerReference w:type="default" r:id="rId1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1B35D4" w14:textId="77777777" w:rsidR="00282692" w:rsidRDefault="00282692" w:rsidP="006148A8">
      <w:pPr>
        <w:spacing w:after="0" w:line="240" w:lineRule="auto"/>
      </w:pPr>
      <w:r>
        <w:separator/>
      </w:r>
    </w:p>
  </w:endnote>
  <w:endnote w:type="continuationSeparator" w:id="0">
    <w:p w14:paraId="7D46F4EA" w14:textId="77777777" w:rsidR="00282692" w:rsidRDefault="00282692" w:rsidP="00614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3D8A68" w14:textId="77777777" w:rsidR="00282692" w:rsidRDefault="00282692" w:rsidP="006148A8">
      <w:pPr>
        <w:spacing w:after="0" w:line="240" w:lineRule="auto"/>
      </w:pPr>
      <w:r>
        <w:separator/>
      </w:r>
    </w:p>
  </w:footnote>
  <w:footnote w:type="continuationSeparator" w:id="0">
    <w:p w14:paraId="34D2F62F" w14:textId="77777777" w:rsidR="00282692" w:rsidRDefault="00282692" w:rsidP="006148A8">
      <w:pPr>
        <w:spacing w:after="0" w:line="240" w:lineRule="auto"/>
      </w:pPr>
      <w:r>
        <w:continuationSeparator/>
      </w:r>
    </w:p>
  </w:footnote>
  <w:footnote w:id="1">
    <w:p w14:paraId="77B525FD" w14:textId="77777777" w:rsidR="009A0417" w:rsidRDefault="009A0417" w:rsidP="009A0417">
      <w:pPr>
        <w:pStyle w:val="FootnoteText"/>
      </w:pPr>
      <w:r>
        <w:rPr>
          <w:rStyle w:val="FootnoteReference"/>
        </w:rPr>
        <w:footnoteRef/>
      </w:r>
      <w:r>
        <w:t xml:space="preserve"> W. Sinnott-Armstrong, Consequentialism. The Stanford Encyclopedia of Philosophy (Online: </w:t>
      </w:r>
      <w:r w:rsidRPr="006B1095">
        <w:t>Metaphysics Research Lab</w:t>
      </w:r>
      <w:r>
        <w:t xml:space="preserve"> of </w:t>
      </w:r>
      <w:r w:rsidRPr="006B1095">
        <w:t>Stanford University</w:t>
      </w:r>
      <w:r>
        <w:t>, 2019)</w:t>
      </w:r>
    </w:p>
  </w:footnote>
  <w:footnote w:id="2">
    <w:p w14:paraId="1592985A" w14:textId="3AA70280" w:rsidR="0095589E" w:rsidRDefault="0095589E">
      <w:pPr>
        <w:pStyle w:val="FootnoteText"/>
      </w:pPr>
      <w:r>
        <w:rPr>
          <w:rStyle w:val="FootnoteReference"/>
        </w:rPr>
        <w:footnoteRef/>
      </w:r>
      <w:r>
        <w:t xml:space="preserve"> Sinnott-Armstrong, Consequentialism (2019)</w:t>
      </w:r>
    </w:p>
  </w:footnote>
  <w:footnote w:id="3">
    <w:p w14:paraId="789BC0D3" w14:textId="090F678D" w:rsidR="0095589E" w:rsidRDefault="0095589E">
      <w:pPr>
        <w:pStyle w:val="FootnoteText"/>
      </w:pPr>
      <w:r>
        <w:rPr>
          <w:rStyle w:val="FootnoteReference"/>
        </w:rPr>
        <w:footnoteRef/>
      </w:r>
      <w:r>
        <w:t xml:space="preserve"> Sinnott-Armstrong, Consequentialism (2019)</w:t>
      </w:r>
    </w:p>
  </w:footnote>
  <w:footnote w:id="4">
    <w:p w14:paraId="1D57ACEF" w14:textId="43A0A9BB" w:rsidR="00C35845" w:rsidRDefault="00C35845">
      <w:pPr>
        <w:pStyle w:val="FootnoteText"/>
      </w:pPr>
      <w:r>
        <w:rPr>
          <w:rStyle w:val="FootnoteReference"/>
        </w:rPr>
        <w:footnoteRef/>
      </w:r>
      <w:r>
        <w:t xml:space="preserve"> P. </w:t>
      </w:r>
      <w:r w:rsidRPr="00C35845">
        <w:t xml:space="preserve">Gomberg, </w:t>
      </w:r>
      <w:r>
        <w:t>C</w:t>
      </w:r>
      <w:r w:rsidRPr="00C35845">
        <w:t>onsequentialism and History, Canadian Journal of Philosophy, 19 (</w:t>
      </w:r>
      <w:r>
        <w:t xml:space="preserve">Online: </w:t>
      </w:r>
      <w:r w:rsidRPr="00C35845">
        <w:t>Cambridge University Press</w:t>
      </w:r>
      <w:r>
        <w:t>, 2020)</w:t>
      </w:r>
    </w:p>
  </w:footnote>
  <w:footnote w:id="5">
    <w:p w14:paraId="70A2F77D" w14:textId="6AC855D3" w:rsidR="004522F3" w:rsidRDefault="004522F3">
      <w:pPr>
        <w:pStyle w:val="FootnoteText"/>
      </w:pPr>
      <w:r>
        <w:rPr>
          <w:rStyle w:val="FootnoteReference"/>
        </w:rPr>
        <w:footnoteRef/>
      </w:r>
      <w:r>
        <w:t xml:space="preserve"> Gomberg, Consequentialism and History (2020)</w:t>
      </w:r>
    </w:p>
  </w:footnote>
  <w:footnote w:id="6">
    <w:p w14:paraId="4FF2B5CC" w14:textId="0CCD5FAC" w:rsidR="004522F3" w:rsidRDefault="004522F3">
      <w:pPr>
        <w:pStyle w:val="FootnoteText"/>
      </w:pPr>
      <w:r>
        <w:rPr>
          <w:rStyle w:val="FootnoteReference"/>
        </w:rPr>
        <w:footnoteRef/>
      </w:r>
      <w:r>
        <w:t xml:space="preserve"> J. Bentham, </w:t>
      </w:r>
      <w:r w:rsidRPr="004522F3">
        <w:t>An Introduction to the Principles of Morals and Legislation</w:t>
      </w:r>
      <w:r>
        <w:t xml:space="preserve"> (Online: Blackwell Publishing, 2017}</w:t>
      </w:r>
    </w:p>
  </w:footnote>
  <w:footnote w:id="7">
    <w:p w14:paraId="064D89B8" w14:textId="1F47DFDF" w:rsidR="00835684" w:rsidRDefault="00835684" w:rsidP="00835684">
      <w:pPr>
        <w:pStyle w:val="FootnoteText"/>
      </w:pPr>
      <w:r>
        <w:rPr>
          <w:rStyle w:val="FootnoteReference"/>
        </w:rPr>
        <w:footnoteRef/>
      </w:r>
      <w:r>
        <w:t xml:space="preserve"> Unknown, </w:t>
      </w:r>
      <w:r w:rsidRPr="005F5097">
        <w:t>Adverse events following immunization (AEFI)</w:t>
      </w:r>
      <w:r>
        <w:t>. WHO (online</w:t>
      </w:r>
      <w:r w:rsidR="006E5BD7">
        <w:t>: unknown publisher and year</w:t>
      </w:r>
      <w:r>
        <w:t>)</w:t>
      </w:r>
    </w:p>
  </w:footnote>
  <w:footnote w:id="8">
    <w:p w14:paraId="67A8FB48" w14:textId="77777777" w:rsidR="00835684" w:rsidRDefault="00835684" w:rsidP="00835684">
      <w:pPr>
        <w:pStyle w:val="FootnoteText"/>
      </w:pPr>
      <w:r>
        <w:rPr>
          <w:rStyle w:val="FootnoteReference"/>
        </w:rPr>
        <w:footnoteRef/>
      </w:r>
      <w:r>
        <w:t xml:space="preserve"> Unknown, </w:t>
      </w:r>
      <w:r w:rsidRPr="005F5097">
        <w:t>Adverse events following immunization (AEFI)</w:t>
      </w:r>
      <w:r>
        <w:t>.</w:t>
      </w:r>
    </w:p>
  </w:footnote>
  <w:footnote w:id="9">
    <w:p w14:paraId="58BCF623" w14:textId="77777777" w:rsidR="00835684" w:rsidRDefault="00835684" w:rsidP="00835684">
      <w:pPr>
        <w:pStyle w:val="FootnoteText"/>
      </w:pPr>
      <w:r>
        <w:rPr>
          <w:rStyle w:val="FootnoteReference"/>
        </w:rPr>
        <w:footnoteRef/>
      </w:r>
      <w:r>
        <w:t xml:space="preserve"> P. Belluck and R. Abelson, </w:t>
      </w:r>
      <w:r w:rsidRPr="00A025AE">
        <w:t>Vaccine Injury Claims Are Few and Far Between</w:t>
      </w:r>
      <w:r>
        <w:t>. The New York Times (Online: 2019)</w:t>
      </w:r>
    </w:p>
  </w:footnote>
  <w:footnote w:id="10">
    <w:p w14:paraId="688B6703" w14:textId="67AEC134" w:rsidR="008367D5" w:rsidRDefault="008367D5">
      <w:pPr>
        <w:pStyle w:val="FootnoteText"/>
      </w:pPr>
      <w:r>
        <w:rPr>
          <w:rStyle w:val="FootnoteReference"/>
        </w:rPr>
        <w:footnoteRef/>
      </w:r>
      <w:r>
        <w:t xml:space="preserve"> L. Alexander and M. Moore, Deontological Ethics. The Stanford Encyclopedia of Philosophy (Online: </w:t>
      </w:r>
      <w:r w:rsidRPr="006B1095">
        <w:t>Metaphysics Research Lab</w:t>
      </w:r>
      <w:r>
        <w:t xml:space="preserve"> of </w:t>
      </w:r>
      <w:r w:rsidRPr="006B1095">
        <w:t>Stanford University</w:t>
      </w:r>
      <w:r>
        <w:t>, 2020)</w:t>
      </w:r>
    </w:p>
  </w:footnote>
  <w:footnote w:id="11">
    <w:p w14:paraId="5BBDA86C" w14:textId="3E167559" w:rsidR="009A0417" w:rsidRDefault="009A0417">
      <w:pPr>
        <w:pStyle w:val="FootnoteText"/>
      </w:pPr>
      <w:r>
        <w:rPr>
          <w:rStyle w:val="FootnoteReference"/>
        </w:rPr>
        <w:footnoteRef/>
      </w:r>
      <w:r>
        <w:t xml:space="preserve"> Alexander and</w:t>
      </w:r>
      <w:r w:rsidR="008367D5">
        <w:t xml:space="preserve"> Moore, </w:t>
      </w:r>
      <w:r>
        <w:t>Deontological Ethics</w:t>
      </w:r>
      <w:r w:rsidR="008367D5">
        <w:t xml:space="preserve"> (2020</w:t>
      </w:r>
      <w:r>
        <w:t>)</w:t>
      </w:r>
    </w:p>
  </w:footnote>
  <w:footnote w:id="12">
    <w:p w14:paraId="560F049F" w14:textId="761C2692" w:rsidR="00826C3B" w:rsidRDefault="00826C3B">
      <w:pPr>
        <w:pStyle w:val="FootnoteText"/>
      </w:pPr>
      <w:r>
        <w:rPr>
          <w:rStyle w:val="FootnoteReference"/>
        </w:rPr>
        <w:footnoteRef/>
      </w:r>
      <w:r>
        <w:t xml:space="preserve"> Alexander and Moore, Deontological Ethics (2020)</w:t>
      </w:r>
    </w:p>
  </w:footnote>
  <w:footnote w:id="13">
    <w:p w14:paraId="58640151" w14:textId="4AE2E7F0" w:rsidR="004D60AC" w:rsidRDefault="004D60AC">
      <w:pPr>
        <w:pStyle w:val="FootnoteText"/>
      </w:pPr>
      <w:r>
        <w:rPr>
          <w:rStyle w:val="FootnoteReference"/>
        </w:rPr>
        <w:footnoteRef/>
      </w:r>
      <w:r>
        <w:t xml:space="preserve"> Alexander and Moore, Deontological Ethics (2020)</w:t>
      </w:r>
    </w:p>
  </w:footnote>
  <w:footnote w:id="14">
    <w:p w14:paraId="5FD0665C" w14:textId="51E18EEA" w:rsidR="003167B1" w:rsidRDefault="003167B1">
      <w:pPr>
        <w:pStyle w:val="FootnoteText"/>
      </w:pPr>
      <w:r>
        <w:rPr>
          <w:rStyle w:val="FootnoteReference"/>
        </w:rPr>
        <w:footnoteRef/>
      </w:r>
      <w:r>
        <w:t xml:space="preserve"> R. </w:t>
      </w:r>
      <w:r w:rsidRPr="003167B1">
        <w:t>Hursthouse</w:t>
      </w:r>
      <w:r>
        <w:t xml:space="preserve"> and G. Pettigrove, Virtue Ethics. The Stanford Encyclopedia of Philosophy (Online: </w:t>
      </w:r>
      <w:r w:rsidRPr="006B1095">
        <w:t>Metaphysics Research Lab</w:t>
      </w:r>
      <w:r>
        <w:t xml:space="preserve"> of </w:t>
      </w:r>
      <w:r w:rsidRPr="006B1095">
        <w:t>Stanford University</w:t>
      </w:r>
      <w:r>
        <w:t>, 2018)</w:t>
      </w:r>
    </w:p>
  </w:footnote>
  <w:footnote w:id="15">
    <w:p w14:paraId="3EBE250D" w14:textId="4067FE94" w:rsidR="00080540" w:rsidRDefault="00080540">
      <w:pPr>
        <w:pStyle w:val="FootnoteText"/>
      </w:pPr>
      <w:r>
        <w:rPr>
          <w:rStyle w:val="FootnoteReference"/>
        </w:rPr>
        <w:footnoteRef/>
      </w:r>
      <w:r>
        <w:t xml:space="preserve"> </w:t>
      </w:r>
      <w:r w:rsidRPr="003167B1">
        <w:t>Hursthouse</w:t>
      </w:r>
      <w:r>
        <w:t xml:space="preserve"> and Pettigrove, Virtue Ethics (2018)</w:t>
      </w:r>
    </w:p>
  </w:footnote>
  <w:footnote w:id="16">
    <w:p w14:paraId="4D935C26" w14:textId="12136319" w:rsidR="00080540" w:rsidRDefault="00080540">
      <w:pPr>
        <w:pStyle w:val="FootnoteText"/>
      </w:pPr>
      <w:r>
        <w:rPr>
          <w:rStyle w:val="FootnoteReference"/>
        </w:rPr>
        <w:footnoteRef/>
      </w:r>
      <w:r>
        <w:t xml:space="preserve"> R. Hursthouse, On Virtue Ethics. (Online: </w:t>
      </w:r>
      <w:r w:rsidRPr="00080540">
        <w:t>OUP Oxford</w:t>
      </w:r>
      <w:r>
        <w:t>, 1999)</w:t>
      </w:r>
    </w:p>
  </w:footnote>
  <w:footnote w:id="17">
    <w:p w14:paraId="44AAC2F7" w14:textId="12973790" w:rsidR="00DB730F" w:rsidRDefault="00DB730F">
      <w:pPr>
        <w:pStyle w:val="FootnoteText"/>
      </w:pPr>
      <w:r>
        <w:rPr>
          <w:rStyle w:val="FootnoteReference"/>
        </w:rPr>
        <w:footnoteRef/>
      </w:r>
      <w:r>
        <w:t xml:space="preserve"> </w:t>
      </w:r>
      <w:r w:rsidRPr="00DB730F">
        <w:t>N</w:t>
      </w:r>
      <w:r>
        <w:t>.</w:t>
      </w:r>
      <w:r w:rsidRPr="00DB730F">
        <w:t xml:space="preserve"> Athanassoulis</w:t>
      </w:r>
      <w:r>
        <w:t>. Virtue Ethics, Internet Encyclopedia of Philosophy (online: Internet Encyclopedia of Philosophy, unknown date)</w:t>
      </w:r>
    </w:p>
  </w:footnote>
  <w:footnote w:id="18">
    <w:p w14:paraId="763321B6" w14:textId="711DD523" w:rsidR="003167B1" w:rsidRDefault="003167B1">
      <w:pPr>
        <w:pStyle w:val="FootnoteText"/>
      </w:pPr>
      <w:r>
        <w:rPr>
          <w:rStyle w:val="FootnoteReference"/>
        </w:rPr>
        <w:footnoteRef/>
      </w:r>
      <w:r>
        <w:t xml:space="preserve"> </w:t>
      </w:r>
      <w:r w:rsidRPr="003167B1">
        <w:t>Hursthouse</w:t>
      </w:r>
      <w:r>
        <w:t xml:space="preserve"> and Pettigrove, Virtue Ethics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C4C68" w14:textId="11A255C9" w:rsidR="006148A8" w:rsidRPr="006148A8" w:rsidRDefault="006148A8" w:rsidP="006148A8">
    <w:pPr>
      <w:pStyle w:val="Title"/>
      <w:jc w:val="center"/>
      <w:rPr>
        <w:sz w:val="12"/>
        <w:szCs w:val="12"/>
      </w:rPr>
    </w:pPr>
    <w:r w:rsidRPr="006148A8">
      <w:rPr>
        <w:sz w:val="32"/>
        <w:szCs w:val="32"/>
      </w:rPr>
      <w:t>Should the moral worth of our actions be judged solely on its consequences?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95273B"/>
    <w:multiLevelType w:val="hybridMultilevel"/>
    <w:tmpl w:val="80E6961E"/>
    <w:lvl w:ilvl="0" w:tplc="08090001">
      <w:start w:val="1"/>
      <w:numFmt w:val="bullet"/>
      <w:lvlText w:val=""/>
      <w:lvlJc w:val="left"/>
      <w:pPr>
        <w:ind w:left="240" w:hanging="360"/>
      </w:pPr>
      <w:rPr>
        <w:rFonts w:ascii="Symbol" w:hAnsi="Symbol" w:hint="default"/>
      </w:rPr>
    </w:lvl>
    <w:lvl w:ilvl="1" w:tplc="08090003" w:tentative="1">
      <w:start w:val="1"/>
      <w:numFmt w:val="bullet"/>
      <w:lvlText w:val="o"/>
      <w:lvlJc w:val="left"/>
      <w:pPr>
        <w:ind w:left="960" w:hanging="360"/>
      </w:pPr>
      <w:rPr>
        <w:rFonts w:ascii="Courier New" w:hAnsi="Courier New" w:cs="Courier New" w:hint="default"/>
      </w:rPr>
    </w:lvl>
    <w:lvl w:ilvl="2" w:tplc="08090005" w:tentative="1">
      <w:start w:val="1"/>
      <w:numFmt w:val="bullet"/>
      <w:lvlText w:val=""/>
      <w:lvlJc w:val="left"/>
      <w:pPr>
        <w:ind w:left="1680" w:hanging="360"/>
      </w:pPr>
      <w:rPr>
        <w:rFonts w:ascii="Wingdings" w:hAnsi="Wingdings" w:hint="default"/>
      </w:rPr>
    </w:lvl>
    <w:lvl w:ilvl="3" w:tplc="08090001" w:tentative="1">
      <w:start w:val="1"/>
      <w:numFmt w:val="bullet"/>
      <w:lvlText w:val=""/>
      <w:lvlJc w:val="left"/>
      <w:pPr>
        <w:ind w:left="2400" w:hanging="360"/>
      </w:pPr>
      <w:rPr>
        <w:rFonts w:ascii="Symbol" w:hAnsi="Symbol" w:hint="default"/>
      </w:rPr>
    </w:lvl>
    <w:lvl w:ilvl="4" w:tplc="08090003" w:tentative="1">
      <w:start w:val="1"/>
      <w:numFmt w:val="bullet"/>
      <w:lvlText w:val="o"/>
      <w:lvlJc w:val="left"/>
      <w:pPr>
        <w:ind w:left="3120" w:hanging="360"/>
      </w:pPr>
      <w:rPr>
        <w:rFonts w:ascii="Courier New" w:hAnsi="Courier New" w:cs="Courier New" w:hint="default"/>
      </w:rPr>
    </w:lvl>
    <w:lvl w:ilvl="5" w:tplc="08090005" w:tentative="1">
      <w:start w:val="1"/>
      <w:numFmt w:val="bullet"/>
      <w:lvlText w:val=""/>
      <w:lvlJc w:val="left"/>
      <w:pPr>
        <w:ind w:left="3840" w:hanging="360"/>
      </w:pPr>
      <w:rPr>
        <w:rFonts w:ascii="Wingdings" w:hAnsi="Wingdings" w:hint="default"/>
      </w:rPr>
    </w:lvl>
    <w:lvl w:ilvl="6" w:tplc="08090001" w:tentative="1">
      <w:start w:val="1"/>
      <w:numFmt w:val="bullet"/>
      <w:lvlText w:val=""/>
      <w:lvlJc w:val="left"/>
      <w:pPr>
        <w:ind w:left="4560" w:hanging="360"/>
      </w:pPr>
      <w:rPr>
        <w:rFonts w:ascii="Symbol" w:hAnsi="Symbol" w:hint="default"/>
      </w:rPr>
    </w:lvl>
    <w:lvl w:ilvl="7" w:tplc="08090003" w:tentative="1">
      <w:start w:val="1"/>
      <w:numFmt w:val="bullet"/>
      <w:lvlText w:val="o"/>
      <w:lvlJc w:val="left"/>
      <w:pPr>
        <w:ind w:left="5280" w:hanging="360"/>
      </w:pPr>
      <w:rPr>
        <w:rFonts w:ascii="Courier New" w:hAnsi="Courier New" w:cs="Courier New" w:hint="default"/>
      </w:rPr>
    </w:lvl>
    <w:lvl w:ilvl="8" w:tplc="08090005" w:tentative="1">
      <w:start w:val="1"/>
      <w:numFmt w:val="bullet"/>
      <w:lvlText w:val=""/>
      <w:lvlJc w:val="left"/>
      <w:pPr>
        <w:ind w:left="6000" w:hanging="360"/>
      </w:pPr>
      <w:rPr>
        <w:rFonts w:ascii="Wingdings" w:hAnsi="Wingdings" w:hint="default"/>
      </w:rPr>
    </w:lvl>
  </w:abstractNum>
  <w:abstractNum w:abstractNumId="1" w15:restartNumberingAfterBreak="0">
    <w:nsid w:val="51E21366"/>
    <w:multiLevelType w:val="hybridMultilevel"/>
    <w:tmpl w:val="A710A91A"/>
    <w:lvl w:ilvl="0" w:tplc="08090001">
      <w:start w:val="1"/>
      <w:numFmt w:val="bullet"/>
      <w:lvlText w:val=""/>
      <w:lvlJc w:val="left"/>
      <w:pPr>
        <w:ind w:left="240" w:hanging="360"/>
      </w:pPr>
      <w:rPr>
        <w:rFonts w:ascii="Symbol" w:hAnsi="Symbol" w:hint="default"/>
      </w:rPr>
    </w:lvl>
    <w:lvl w:ilvl="1" w:tplc="08090003" w:tentative="1">
      <w:start w:val="1"/>
      <w:numFmt w:val="bullet"/>
      <w:lvlText w:val="o"/>
      <w:lvlJc w:val="left"/>
      <w:pPr>
        <w:ind w:left="960" w:hanging="360"/>
      </w:pPr>
      <w:rPr>
        <w:rFonts w:ascii="Courier New" w:hAnsi="Courier New" w:cs="Courier New" w:hint="default"/>
      </w:rPr>
    </w:lvl>
    <w:lvl w:ilvl="2" w:tplc="08090005" w:tentative="1">
      <w:start w:val="1"/>
      <w:numFmt w:val="bullet"/>
      <w:lvlText w:val=""/>
      <w:lvlJc w:val="left"/>
      <w:pPr>
        <w:ind w:left="1680" w:hanging="360"/>
      </w:pPr>
      <w:rPr>
        <w:rFonts w:ascii="Wingdings" w:hAnsi="Wingdings" w:hint="default"/>
      </w:rPr>
    </w:lvl>
    <w:lvl w:ilvl="3" w:tplc="08090001" w:tentative="1">
      <w:start w:val="1"/>
      <w:numFmt w:val="bullet"/>
      <w:lvlText w:val=""/>
      <w:lvlJc w:val="left"/>
      <w:pPr>
        <w:ind w:left="2400" w:hanging="360"/>
      </w:pPr>
      <w:rPr>
        <w:rFonts w:ascii="Symbol" w:hAnsi="Symbol" w:hint="default"/>
      </w:rPr>
    </w:lvl>
    <w:lvl w:ilvl="4" w:tplc="08090003" w:tentative="1">
      <w:start w:val="1"/>
      <w:numFmt w:val="bullet"/>
      <w:lvlText w:val="o"/>
      <w:lvlJc w:val="left"/>
      <w:pPr>
        <w:ind w:left="3120" w:hanging="360"/>
      </w:pPr>
      <w:rPr>
        <w:rFonts w:ascii="Courier New" w:hAnsi="Courier New" w:cs="Courier New" w:hint="default"/>
      </w:rPr>
    </w:lvl>
    <w:lvl w:ilvl="5" w:tplc="08090005" w:tentative="1">
      <w:start w:val="1"/>
      <w:numFmt w:val="bullet"/>
      <w:lvlText w:val=""/>
      <w:lvlJc w:val="left"/>
      <w:pPr>
        <w:ind w:left="3840" w:hanging="360"/>
      </w:pPr>
      <w:rPr>
        <w:rFonts w:ascii="Wingdings" w:hAnsi="Wingdings" w:hint="default"/>
      </w:rPr>
    </w:lvl>
    <w:lvl w:ilvl="6" w:tplc="08090001" w:tentative="1">
      <w:start w:val="1"/>
      <w:numFmt w:val="bullet"/>
      <w:lvlText w:val=""/>
      <w:lvlJc w:val="left"/>
      <w:pPr>
        <w:ind w:left="4560" w:hanging="360"/>
      </w:pPr>
      <w:rPr>
        <w:rFonts w:ascii="Symbol" w:hAnsi="Symbol" w:hint="default"/>
      </w:rPr>
    </w:lvl>
    <w:lvl w:ilvl="7" w:tplc="08090003" w:tentative="1">
      <w:start w:val="1"/>
      <w:numFmt w:val="bullet"/>
      <w:lvlText w:val="o"/>
      <w:lvlJc w:val="left"/>
      <w:pPr>
        <w:ind w:left="5280" w:hanging="360"/>
      </w:pPr>
      <w:rPr>
        <w:rFonts w:ascii="Courier New" w:hAnsi="Courier New" w:cs="Courier New" w:hint="default"/>
      </w:rPr>
    </w:lvl>
    <w:lvl w:ilvl="8" w:tplc="08090005" w:tentative="1">
      <w:start w:val="1"/>
      <w:numFmt w:val="bullet"/>
      <w:lvlText w:val=""/>
      <w:lvlJc w:val="left"/>
      <w:pPr>
        <w:ind w:left="60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8A8"/>
    <w:rsid w:val="00080540"/>
    <w:rsid w:val="0013E04E"/>
    <w:rsid w:val="00211116"/>
    <w:rsid w:val="00282692"/>
    <w:rsid w:val="002D18AD"/>
    <w:rsid w:val="003167B1"/>
    <w:rsid w:val="003414CB"/>
    <w:rsid w:val="0043483C"/>
    <w:rsid w:val="004522F3"/>
    <w:rsid w:val="004C3884"/>
    <w:rsid w:val="004C59DC"/>
    <w:rsid w:val="004D60AC"/>
    <w:rsid w:val="004E4185"/>
    <w:rsid w:val="005E34C9"/>
    <w:rsid w:val="005F5097"/>
    <w:rsid w:val="006148A8"/>
    <w:rsid w:val="006E5BD7"/>
    <w:rsid w:val="00785CBF"/>
    <w:rsid w:val="007D5F81"/>
    <w:rsid w:val="007E7AE0"/>
    <w:rsid w:val="00811AFE"/>
    <w:rsid w:val="00826C3B"/>
    <w:rsid w:val="0083044A"/>
    <w:rsid w:val="00835684"/>
    <w:rsid w:val="008367D5"/>
    <w:rsid w:val="0095589E"/>
    <w:rsid w:val="009A0417"/>
    <w:rsid w:val="009B06A0"/>
    <w:rsid w:val="00A025AE"/>
    <w:rsid w:val="00AC5AEF"/>
    <w:rsid w:val="00AD169E"/>
    <w:rsid w:val="00AD7717"/>
    <w:rsid w:val="00B44410"/>
    <w:rsid w:val="00B77245"/>
    <w:rsid w:val="00BA518B"/>
    <w:rsid w:val="00BB45BE"/>
    <w:rsid w:val="00BE47A1"/>
    <w:rsid w:val="00C35845"/>
    <w:rsid w:val="00C71B14"/>
    <w:rsid w:val="00C739E6"/>
    <w:rsid w:val="00D16E7C"/>
    <w:rsid w:val="00D22151"/>
    <w:rsid w:val="00DB730F"/>
    <w:rsid w:val="00E17C03"/>
    <w:rsid w:val="00E62B42"/>
    <w:rsid w:val="00EA7993"/>
    <w:rsid w:val="00F3C4F3"/>
    <w:rsid w:val="00FB0728"/>
    <w:rsid w:val="0117A6FA"/>
    <w:rsid w:val="01292BCF"/>
    <w:rsid w:val="054FAAAE"/>
    <w:rsid w:val="06BEA136"/>
    <w:rsid w:val="076DC021"/>
    <w:rsid w:val="07DCB10E"/>
    <w:rsid w:val="0862A59E"/>
    <w:rsid w:val="0867F510"/>
    <w:rsid w:val="08FED6D8"/>
    <w:rsid w:val="0C307ACA"/>
    <w:rsid w:val="0CC47340"/>
    <w:rsid w:val="0EB49D46"/>
    <w:rsid w:val="0F4E643A"/>
    <w:rsid w:val="0F54EFFF"/>
    <w:rsid w:val="113E0B50"/>
    <w:rsid w:val="139F0B74"/>
    <w:rsid w:val="14233D96"/>
    <w:rsid w:val="150880C6"/>
    <w:rsid w:val="17E8CC38"/>
    <w:rsid w:val="1A05A1D8"/>
    <w:rsid w:val="1B7022D2"/>
    <w:rsid w:val="1B9EF7D9"/>
    <w:rsid w:val="1FFB5A9B"/>
    <w:rsid w:val="23A13128"/>
    <w:rsid w:val="24C41CAC"/>
    <w:rsid w:val="26149D2A"/>
    <w:rsid w:val="2BB3FEFC"/>
    <w:rsid w:val="31054158"/>
    <w:rsid w:val="32F1DE21"/>
    <w:rsid w:val="334855D9"/>
    <w:rsid w:val="35260076"/>
    <w:rsid w:val="36F0C1BC"/>
    <w:rsid w:val="372932F9"/>
    <w:rsid w:val="3B5C1E92"/>
    <w:rsid w:val="3FBE32BC"/>
    <w:rsid w:val="4079E379"/>
    <w:rsid w:val="46A7ECB4"/>
    <w:rsid w:val="4AD25154"/>
    <w:rsid w:val="4DFC2046"/>
    <w:rsid w:val="4FF2B37F"/>
    <w:rsid w:val="54A2429B"/>
    <w:rsid w:val="56E98501"/>
    <w:rsid w:val="570AB32D"/>
    <w:rsid w:val="58C0C09C"/>
    <w:rsid w:val="5C15A70C"/>
    <w:rsid w:val="5DE5A8C0"/>
    <w:rsid w:val="5F93199A"/>
    <w:rsid w:val="62D3FC4A"/>
    <w:rsid w:val="65272910"/>
    <w:rsid w:val="69361215"/>
    <w:rsid w:val="6A0CDBC1"/>
    <w:rsid w:val="7351A3A7"/>
    <w:rsid w:val="753C8E24"/>
    <w:rsid w:val="77695A81"/>
    <w:rsid w:val="79AD4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ABB0E"/>
  <w15:chartTrackingRefBased/>
  <w15:docId w15:val="{2F9AFAB7-0F16-4A42-89C3-ABADCE90D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48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148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8A8"/>
  </w:style>
  <w:style w:type="paragraph" w:styleId="Footer">
    <w:name w:val="footer"/>
    <w:basedOn w:val="Normal"/>
    <w:link w:val="FooterChar"/>
    <w:uiPriority w:val="99"/>
    <w:unhideWhenUsed/>
    <w:rsid w:val="006148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8A8"/>
  </w:style>
  <w:style w:type="paragraph" w:styleId="Title">
    <w:name w:val="Title"/>
    <w:basedOn w:val="Normal"/>
    <w:next w:val="Normal"/>
    <w:link w:val="TitleChar"/>
    <w:uiPriority w:val="10"/>
    <w:qFormat/>
    <w:rsid w:val="006148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8A8"/>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BA518B"/>
    <w:rPr>
      <w:sz w:val="16"/>
      <w:szCs w:val="16"/>
    </w:rPr>
  </w:style>
  <w:style w:type="paragraph" w:styleId="CommentText">
    <w:name w:val="annotation text"/>
    <w:basedOn w:val="Normal"/>
    <w:link w:val="CommentTextChar"/>
    <w:uiPriority w:val="99"/>
    <w:semiHidden/>
    <w:unhideWhenUsed/>
    <w:rsid w:val="00BA518B"/>
    <w:pPr>
      <w:spacing w:line="240" w:lineRule="auto"/>
    </w:pPr>
    <w:rPr>
      <w:sz w:val="20"/>
      <w:szCs w:val="20"/>
    </w:rPr>
  </w:style>
  <w:style w:type="character" w:customStyle="1" w:styleId="CommentTextChar">
    <w:name w:val="Comment Text Char"/>
    <w:basedOn w:val="DefaultParagraphFont"/>
    <w:link w:val="CommentText"/>
    <w:uiPriority w:val="99"/>
    <w:semiHidden/>
    <w:rsid w:val="00BA518B"/>
    <w:rPr>
      <w:sz w:val="20"/>
      <w:szCs w:val="20"/>
    </w:rPr>
  </w:style>
  <w:style w:type="paragraph" w:styleId="CommentSubject">
    <w:name w:val="annotation subject"/>
    <w:basedOn w:val="CommentText"/>
    <w:next w:val="CommentText"/>
    <w:link w:val="CommentSubjectChar"/>
    <w:uiPriority w:val="99"/>
    <w:semiHidden/>
    <w:unhideWhenUsed/>
    <w:rsid w:val="00BA518B"/>
    <w:rPr>
      <w:b/>
      <w:bCs/>
    </w:rPr>
  </w:style>
  <w:style w:type="character" w:customStyle="1" w:styleId="CommentSubjectChar">
    <w:name w:val="Comment Subject Char"/>
    <w:basedOn w:val="CommentTextChar"/>
    <w:link w:val="CommentSubject"/>
    <w:uiPriority w:val="99"/>
    <w:semiHidden/>
    <w:rsid w:val="00BA518B"/>
    <w:rPr>
      <w:b/>
      <w:bCs/>
      <w:sz w:val="20"/>
      <w:szCs w:val="20"/>
    </w:rPr>
  </w:style>
  <w:style w:type="paragraph" w:styleId="FootnoteText">
    <w:name w:val="footnote text"/>
    <w:basedOn w:val="Normal"/>
    <w:link w:val="FootnoteTextChar"/>
    <w:uiPriority w:val="99"/>
    <w:semiHidden/>
    <w:unhideWhenUsed/>
    <w:rsid w:val="009A04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0417"/>
    <w:rPr>
      <w:sz w:val="20"/>
      <w:szCs w:val="20"/>
    </w:rPr>
  </w:style>
  <w:style w:type="character" w:styleId="FootnoteReference">
    <w:name w:val="footnote reference"/>
    <w:basedOn w:val="DefaultParagraphFont"/>
    <w:uiPriority w:val="99"/>
    <w:semiHidden/>
    <w:unhideWhenUsed/>
    <w:rsid w:val="009A0417"/>
    <w:rPr>
      <w:vertAlign w:val="superscript"/>
    </w:rPr>
  </w:style>
  <w:style w:type="character" w:styleId="Hyperlink">
    <w:name w:val="Hyperlink"/>
    <w:basedOn w:val="DefaultParagraphFont"/>
    <w:uiPriority w:val="99"/>
    <w:semiHidden/>
    <w:unhideWhenUsed/>
    <w:rsid w:val="00080540"/>
    <w:rPr>
      <w:color w:val="0000FF"/>
      <w:u w:val="single"/>
    </w:rPr>
  </w:style>
  <w:style w:type="paragraph" w:styleId="ListParagraph">
    <w:name w:val="List Paragraph"/>
    <w:basedOn w:val="Normal"/>
    <w:uiPriority w:val="34"/>
    <w:qFormat/>
    <w:rsid w:val="002D18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531416">
      <w:bodyDiv w:val="1"/>
      <w:marLeft w:val="0"/>
      <w:marRight w:val="0"/>
      <w:marTop w:val="0"/>
      <w:marBottom w:val="0"/>
      <w:divBdr>
        <w:top w:val="none" w:sz="0" w:space="0" w:color="auto"/>
        <w:left w:val="none" w:sz="0" w:space="0" w:color="auto"/>
        <w:bottom w:val="none" w:sz="0" w:space="0" w:color="auto"/>
        <w:right w:val="none" w:sz="0" w:space="0" w:color="auto"/>
      </w:divBdr>
    </w:div>
    <w:div w:id="903300265">
      <w:bodyDiv w:val="1"/>
      <w:marLeft w:val="0"/>
      <w:marRight w:val="0"/>
      <w:marTop w:val="0"/>
      <w:marBottom w:val="0"/>
      <w:divBdr>
        <w:top w:val="none" w:sz="0" w:space="0" w:color="auto"/>
        <w:left w:val="none" w:sz="0" w:space="0" w:color="auto"/>
        <w:bottom w:val="none" w:sz="0" w:space="0" w:color="auto"/>
        <w:right w:val="none" w:sz="0" w:space="0" w:color="auto"/>
      </w:divBdr>
      <w:divsChild>
        <w:div w:id="1028332033">
          <w:marLeft w:val="480"/>
          <w:marRight w:val="0"/>
          <w:marTop w:val="0"/>
          <w:marBottom w:val="0"/>
          <w:divBdr>
            <w:top w:val="none" w:sz="0" w:space="0" w:color="auto"/>
            <w:left w:val="none" w:sz="0" w:space="0" w:color="auto"/>
            <w:bottom w:val="none" w:sz="0" w:space="0" w:color="auto"/>
            <w:right w:val="none" w:sz="0" w:space="0" w:color="auto"/>
          </w:divBdr>
          <w:divsChild>
            <w:div w:id="634987434">
              <w:marLeft w:val="0"/>
              <w:marRight w:val="0"/>
              <w:marTop w:val="0"/>
              <w:marBottom w:val="240"/>
              <w:divBdr>
                <w:top w:val="none" w:sz="0" w:space="0" w:color="auto"/>
                <w:left w:val="none" w:sz="0" w:space="0" w:color="auto"/>
                <w:bottom w:val="none" w:sz="0" w:space="0" w:color="auto"/>
                <w:right w:val="none" w:sz="0" w:space="0" w:color="auto"/>
              </w:divBdr>
            </w:div>
            <w:div w:id="1345207197">
              <w:marLeft w:val="0"/>
              <w:marRight w:val="0"/>
              <w:marTop w:val="0"/>
              <w:marBottom w:val="240"/>
              <w:divBdr>
                <w:top w:val="none" w:sz="0" w:space="0" w:color="auto"/>
                <w:left w:val="none" w:sz="0" w:space="0" w:color="auto"/>
                <w:bottom w:val="none" w:sz="0" w:space="0" w:color="auto"/>
                <w:right w:val="none" w:sz="0" w:space="0" w:color="auto"/>
              </w:divBdr>
            </w:div>
            <w:div w:id="247228221">
              <w:marLeft w:val="0"/>
              <w:marRight w:val="0"/>
              <w:marTop w:val="0"/>
              <w:marBottom w:val="240"/>
              <w:divBdr>
                <w:top w:val="none" w:sz="0" w:space="0" w:color="auto"/>
                <w:left w:val="none" w:sz="0" w:space="0" w:color="auto"/>
                <w:bottom w:val="none" w:sz="0" w:space="0" w:color="auto"/>
                <w:right w:val="none" w:sz="0" w:space="0" w:color="auto"/>
              </w:divBdr>
            </w:div>
            <w:div w:id="1089156054">
              <w:marLeft w:val="0"/>
              <w:marRight w:val="0"/>
              <w:marTop w:val="0"/>
              <w:marBottom w:val="240"/>
              <w:divBdr>
                <w:top w:val="none" w:sz="0" w:space="0" w:color="auto"/>
                <w:left w:val="none" w:sz="0" w:space="0" w:color="auto"/>
                <w:bottom w:val="none" w:sz="0" w:space="0" w:color="auto"/>
                <w:right w:val="none" w:sz="0" w:space="0" w:color="auto"/>
              </w:divBdr>
            </w:div>
            <w:div w:id="884216239">
              <w:marLeft w:val="0"/>
              <w:marRight w:val="0"/>
              <w:marTop w:val="0"/>
              <w:marBottom w:val="240"/>
              <w:divBdr>
                <w:top w:val="none" w:sz="0" w:space="0" w:color="auto"/>
                <w:left w:val="none" w:sz="0" w:space="0" w:color="auto"/>
                <w:bottom w:val="none" w:sz="0" w:space="0" w:color="auto"/>
                <w:right w:val="none" w:sz="0" w:space="0" w:color="auto"/>
              </w:divBdr>
            </w:div>
            <w:div w:id="1656840014">
              <w:marLeft w:val="0"/>
              <w:marRight w:val="0"/>
              <w:marTop w:val="0"/>
              <w:marBottom w:val="240"/>
              <w:divBdr>
                <w:top w:val="none" w:sz="0" w:space="0" w:color="auto"/>
                <w:left w:val="none" w:sz="0" w:space="0" w:color="auto"/>
                <w:bottom w:val="none" w:sz="0" w:space="0" w:color="auto"/>
                <w:right w:val="none" w:sz="0" w:space="0" w:color="auto"/>
              </w:divBdr>
            </w:div>
            <w:div w:id="1304195233">
              <w:marLeft w:val="0"/>
              <w:marRight w:val="0"/>
              <w:marTop w:val="0"/>
              <w:marBottom w:val="240"/>
              <w:divBdr>
                <w:top w:val="none" w:sz="0" w:space="0" w:color="auto"/>
                <w:left w:val="none" w:sz="0" w:space="0" w:color="auto"/>
                <w:bottom w:val="none" w:sz="0" w:space="0" w:color="auto"/>
                <w:right w:val="none" w:sz="0" w:space="0" w:color="auto"/>
              </w:divBdr>
            </w:div>
            <w:div w:id="1840734779">
              <w:marLeft w:val="0"/>
              <w:marRight w:val="0"/>
              <w:marTop w:val="0"/>
              <w:marBottom w:val="240"/>
              <w:divBdr>
                <w:top w:val="none" w:sz="0" w:space="0" w:color="auto"/>
                <w:left w:val="none" w:sz="0" w:space="0" w:color="auto"/>
                <w:bottom w:val="none" w:sz="0" w:space="0" w:color="auto"/>
                <w:right w:val="none" w:sz="0" w:space="0" w:color="auto"/>
              </w:divBdr>
            </w:div>
            <w:div w:id="468935617">
              <w:marLeft w:val="0"/>
              <w:marRight w:val="0"/>
              <w:marTop w:val="0"/>
              <w:marBottom w:val="240"/>
              <w:divBdr>
                <w:top w:val="none" w:sz="0" w:space="0" w:color="auto"/>
                <w:left w:val="none" w:sz="0" w:space="0" w:color="auto"/>
                <w:bottom w:val="none" w:sz="0" w:space="0" w:color="auto"/>
                <w:right w:val="none" w:sz="0" w:space="0" w:color="auto"/>
              </w:divBdr>
            </w:div>
            <w:div w:id="10007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966113">
      <w:bodyDiv w:val="1"/>
      <w:marLeft w:val="0"/>
      <w:marRight w:val="0"/>
      <w:marTop w:val="0"/>
      <w:marBottom w:val="0"/>
      <w:divBdr>
        <w:top w:val="none" w:sz="0" w:space="0" w:color="auto"/>
        <w:left w:val="none" w:sz="0" w:space="0" w:color="auto"/>
        <w:bottom w:val="none" w:sz="0" w:space="0" w:color="auto"/>
        <w:right w:val="none" w:sz="0" w:space="0" w:color="auto"/>
      </w:divBdr>
      <w:divsChild>
        <w:div w:id="58947130">
          <w:marLeft w:val="480"/>
          <w:marRight w:val="0"/>
          <w:marTop w:val="0"/>
          <w:marBottom w:val="0"/>
          <w:divBdr>
            <w:top w:val="none" w:sz="0" w:space="0" w:color="auto"/>
            <w:left w:val="none" w:sz="0" w:space="0" w:color="auto"/>
            <w:bottom w:val="none" w:sz="0" w:space="0" w:color="auto"/>
            <w:right w:val="none" w:sz="0" w:space="0" w:color="auto"/>
          </w:divBdr>
          <w:divsChild>
            <w:div w:id="1126512434">
              <w:marLeft w:val="0"/>
              <w:marRight w:val="0"/>
              <w:marTop w:val="0"/>
              <w:marBottom w:val="240"/>
              <w:divBdr>
                <w:top w:val="none" w:sz="0" w:space="0" w:color="auto"/>
                <w:left w:val="none" w:sz="0" w:space="0" w:color="auto"/>
                <w:bottom w:val="none" w:sz="0" w:space="0" w:color="auto"/>
                <w:right w:val="none" w:sz="0" w:space="0" w:color="auto"/>
              </w:divBdr>
            </w:div>
            <w:div w:id="283970373">
              <w:marLeft w:val="0"/>
              <w:marRight w:val="0"/>
              <w:marTop w:val="0"/>
              <w:marBottom w:val="240"/>
              <w:divBdr>
                <w:top w:val="none" w:sz="0" w:space="0" w:color="auto"/>
                <w:left w:val="none" w:sz="0" w:space="0" w:color="auto"/>
                <w:bottom w:val="none" w:sz="0" w:space="0" w:color="auto"/>
                <w:right w:val="none" w:sz="0" w:space="0" w:color="auto"/>
              </w:divBdr>
            </w:div>
            <w:div w:id="1341616141">
              <w:marLeft w:val="0"/>
              <w:marRight w:val="0"/>
              <w:marTop w:val="0"/>
              <w:marBottom w:val="240"/>
              <w:divBdr>
                <w:top w:val="none" w:sz="0" w:space="0" w:color="auto"/>
                <w:left w:val="none" w:sz="0" w:space="0" w:color="auto"/>
                <w:bottom w:val="none" w:sz="0" w:space="0" w:color="auto"/>
                <w:right w:val="none" w:sz="0" w:space="0" w:color="auto"/>
              </w:divBdr>
            </w:div>
            <w:div w:id="1051342348">
              <w:marLeft w:val="0"/>
              <w:marRight w:val="0"/>
              <w:marTop w:val="0"/>
              <w:marBottom w:val="240"/>
              <w:divBdr>
                <w:top w:val="none" w:sz="0" w:space="0" w:color="auto"/>
                <w:left w:val="none" w:sz="0" w:space="0" w:color="auto"/>
                <w:bottom w:val="none" w:sz="0" w:space="0" w:color="auto"/>
                <w:right w:val="none" w:sz="0" w:space="0" w:color="auto"/>
              </w:divBdr>
            </w:div>
            <w:div w:id="1133855">
              <w:marLeft w:val="0"/>
              <w:marRight w:val="0"/>
              <w:marTop w:val="0"/>
              <w:marBottom w:val="240"/>
              <w:divBdr>
                <w:top w:val="none" w:sz="0" w:space="0" w:color="auto"/>
                <w:left w:val="none" w:sz="0" w:space="0" w:color="auto"/>
                <w:bottom w:val="none" w:sz="0" w:space="0" w:color="auto"/>
                <w:right w:val="none" w:sz="0" w:space="0" w:color="auto"/>
              </w:divBdr>
            </w:div>
            <w:div w:id="1086726089">
              <w:marLeft w:val="0"/>
              <w:marRight w:val="0"/>
              <w:marTop w:val="0"/>
              <w:marBottom w:val="240"/>
              <w:divBdr>
                <w:top w:val="none" w:sz="0" w:space="0" w:color="auto"/>
                <w:left w:val="none" w:sz="0" w:space="0" w:color="auto"/>
                <w:bottom w:val="none" w:sz="0" w:space="0" w:color="auto"/>
                <w:right w:val="none" w:sz="0" w:space="0" w:color="auto"/>
              </w:divBdr>
            </w:div>
            <w:div w:id="1952930772">
              <w:marLeft w:val="0"/>
              <w:marRight w:val="0"/>
              <w:marTop w:val="0"/>
              <w:marBottom w:val="240"/>
              <w:divBdr>
                <w:top w:val="none" w:sz="0" w:space="0" w:color="auto"/>
                <w:left w:val="none" w:sz="0" w:space="0" w:color="auto"/>
                <w:bottom w:val="none" w:sz="0" w:space="0" w:color="auto"/>
                <w:right w:val="none" w:sz="0" w:space="0" w:color="auto"/>
              </w:divBdr>
            </w:div>
            <w:div w:id="2140491784">
              <w:marLeft w:val="0"/>
              <w:marRight w:val="0"/>
              <w:marTop w:val="0"/>
              <w:marBottom w:val="240"/>
              <w:divBdr>
                <w:top w:val="none" w:sz="0" w:space="0" w:color="auto"/>
                <w:left w:val="none" w:sz="0" w:space="0" w:color="auto"/>
                <w:bottom w:val="none" w:sz="0" w:space="0" w:color="auto"/>
                <w:right w:val="none" w:sz="0" w:space="0" w:color="auto"/>
              </w:divBdr>
            </w:div>
            <w:div w:id="1461656083">
              <w:marLeft w:val="0"/>
              <w:marRight w:val="0"/>
              <w:marTop w:val="0"/>
              <w:marBottom w:val="240"/>
              <w:divBdr>
                <w:top w:val="none" w:sz="0" w:space="0" w:color="auto"/>
                <w:left w:val="none" w:sz="0" w:space="0" w:color="auto"/>
                <w:bottom w:val="none" w:sz="0" w:space="0" w:color="auto"/>
                <w:right w:val="none" w:sz="0" w:space="0" w:color="auto"/>
              </w:divBdr>
            </w:div>
            <w:div w:id="124776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738760">
      <w:bodyDiv w:val="1"/>
      <w:marLeft w:val="0"/>
      <w:marRight w:val="0"/>
      <w:marTop w:val="0"/>
      <w:marBottom w:val="0"/>
      <w:divBdr>
        <w:top w:val="none" w:sz="0" w:space="0" w:color="auto"/>
        <w:left w:val="none" w:sz="0" w:space="0" w:color="auto"/>
        <w:bottom w:val="none" w:sz="0" w:space="0" w:color="auto"/>
        <w:right w:val="none" w:sz="0" w:space="0" w:color="auto"/>
      </w:divBdr>
    </w:div>
    <w:div w:id="2119640951">
      <w:bodyDiv w:val="1"/>
      <w:marLeft w:val="0"/>
      <w:marRight w:val="0"/>
      <w:marTop w:val="0"/>
      <w:marBottom w:val="0"/>
      <w:divBdr>
        <w:top w:val="none" w:sz="0" w:space="0" w:color="auto"/>
        <w:left w:val="none" w:sz="0" w:space="0" w:color="auto"/>
        <w:bottom w:val="none" w:sz="0" w:space="0" w:color="auto"/>
        <w:right w:val="none" w:sz="0" w:space="0" w:color="auto"/>
      </w:divBdr>
      <w:divsChild>
        <w:div w:id="1215770664">
          <w:marLeft w:val="480"/>
          <w:marRight w:val="0"/>
          <w:marTop w:val="0"/>
          <w:marBottom w:val="0"/>
          <w:divBdr>
            <w:top w:val="none" w:sz="0" w:space="0" w:color="auto"/>
            <w:left w:val="none" w:sz="0" w:space="0" w:color="auto"/>
            <w:bottom w:val="none" w:sz="0" w:space="0" w:color="auto"/>
            <w:right w:val="none" w:sz="0" w:space="0" w:color="auto"/>
          </w:divBdr>
          <w:divsChild>
            <w:div w:id="1307970094">
              <w:marLeft w:val="0"/>
              <w:marRight w:val="0"/>
              <w:marTop w:val="0"/>
              <w:marBottom w:val="240"/>
              <w:divBdr>
                <w:top w:val="none" w:sz="0" w:space="0" w:color="auto"/>
                <w:left w:val="none" w:sz="0" w:space="0" w:color="auto"/>
                <w:bottom w:val="none" w:sz="0" w:space="0" w:color="auto"/>
                <w:right w:val="none" w:sz="0" w:space="0" w:color="auto"/>
              </w:divBdr>
            </w:div>
            <w:div w:id="149491735">
              <w:marLeft w:val="0"/>
              <w:marRight w:val="0"/>
              <w:marTop w:val="0"/>
              <w:marBottom w:val="240"/>
              <w:divBdr>
                <w:top w:val="none" w:sz="0" w:space="0" w:color="auto"/>
                <w:left w:val="none" w:sz="0" w:space="0" w:color="auto"/>
                <w:bottom w:val="none" w:sz="0" w:space="0" w:color="auto"/>
                <w:right w:val="none" w:sz="0" w:space="0" w:color="auto"/>
              </w:divBdr>
            </w:div>
            <w:div w:id="1388601142">
              <w:marLeft w:val="0"/>
              <w:marRight w:val="0"/>
              <w:marTop w:val="0"/>
              <w:marBottom w:val="240"/>
              <w:divBdr>
                <w:top w:val="none" w:sz="0" w:space="0" w:color="auto"/>
                <w:left w:val="none" w:sz="0" w:space="0" w:color="auto"/>
                <w:bottom w:val="none" w:sz="0" w:space="0" w:color="auto"/>
                <w:right w:val="none" w:sz="0" w:space="0" w:color="auto"/>
              </w:divBdr>
            </w:div>
            <w:div w:id="1309823109">
              <w:marLeft w:val="0"/>
              <w:marRight w:val="0"/>
              <w:marTop w:val="0"/>
              <w:marBottom w:val="240"/>
              <w:divBdr>
                <w:top w:val="none" w:sz="0" w:space="0" w:color="auto"/>
                <w:left w:val="none" w:sz="0" w:space="0" w:color="auto"/>
                <w:bottom w:val="none" w:sz="0" w:space="0" w:color="auto"/>
                <w:right w:val="none" w:sz="0" w:space="0" w:color="auto"/>
              </w:divBdr>
            </w:div>
            <w:div w:id="215624935">
              <w:marLeft w:val="0"/>
              <w:marRight w:val="0"/>
              <w:marTop w:val="0"/>
              <w:marBottom w:val="240"/>
              <w:divBdr>
                <w:top w:val="none" w:sz="0" w:space="0" w:color="auto"/>
                <w:left w:val="none" w:sz="0" w:space="0" w:color="auto"/>
                <w:bottom w:val="none" w:sz="0" w:space="0" w:color="auto"/>
                <w:right w:val="none" w:sz="0" w:space="0" w:color="auto"/>
              </w:divBdr>
            </w:div>
            <w:div w:id="1112239870">
              <w:marLeft w:val="0"/>
              <w:marRight w:val="0"/>
              <w:marTop w:val="0"/>
              <w:marBottom w:val="240"/>
              <w:divBdr>
                <w:top w:val="none" w:sz="0" w:space="0" w:color="auto"/>
                <w:left w:val="none" w:sz="0" w:space="0" w:color="auto"/>
                <w:bottom w:val="none" w:sz="0" w:space="0" w:color="auto"/>
                <w:right w:val="none" w:sz="0" w:space="0" w:color="auto"/>
              </w:divBdr>
            </w:div>
            <w:div w:id="1091123359">
              <w:marLeft w:val="0"/>
              <w:marRight w:val="0"/>
              <w:marTop w:val="0"/>
              <w:marBottom w:val="240"/>
              <w:divBdr>
                <w:top w:val="none" w:sz="0" w:space="0" w:color="auto"/>
                <w:left w:val="none" w:sz="0" w:space="0" w:color="auto"/>
                <w:bottom w:val="none" w:sz="0" w:space="0" w:color="auto"/>
                <w:right w:val="none" w:sz="0" w:space="0" w:color="auto"/>
              </w:divBdr>
            </w:div>
            <w:div w:id="1085227194">
              <w:marLeft w:val="0"/>
              <w:marRight w:val="0"/>
              <w:marTop w:val="0"/>
              <w:marBottom w:val="240"/>
              <w:divBdr>
                <w:top w:val="none" w:sz="0" w:space="0" w:color="auto"/>
                <w:left w:val="none" w:sz="0" w:space="0" w:color="auto"/>
                <w:bottom w:val="none" w:sz="0" w:space="0" w:color="auto"/>
                <w:right w:val="none" w:sz="0" w:space="0" w:color="auto"/>
              </w:divBdr>
            </w:div>
            <w:div w:id="88074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lackwellpublishing.co.uk/content/BPL_Images/Content_store/Sample_chapter/9780631233510/Warnock.pdf" TargetMode="External"/><Relationship Id="rId18" Type="http://schemas.openxmlformats.org/officeDocument/2006/relationships/hyperlink" Target="https://www.who.int/vaccine_safety/initiative/detection/AEFI/en/"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nytimes.com/2019/06/18/health/vaccine-injury-claims.html" TargetMode="External"/><Relationship Id="rId17" Type="http://schemas.openxmlformats.org/officeDocument/2006/relationships/hyperlink" Target="https://plato.stanford.edu/archives/sum2019/entries/consequentialism/" TargetMode="External"/><Relationship Id="rId2" Type="http://schemas.openxmlformats.org/officeDocument/2006/relationships/customXml" Target="../customXml/item2.xml"/><Relationship Id="rId16" Type="http://schemas.openxmlformats.org/officeDocument/2006/relationships/hyperlink" Target="https://iep.utm.edu/virtu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lato.stanford.edu/archives/win2020/entries/ethics-deontological/" TargetMode="External"/><Relationship Id="rId5" Type="http://schemas.openxmlformats.org/officeDocument/2006/relationships/numbering" Target="numbering.xml"/><Relationship Id="rId15" Type="http://schemas.openxmlformats.org/officeDocument/2006/relationships/hyperlink" Target="https://plato.stanford.edu/archives/win2018/entries/ethics-virtue/"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80/00455091.1989.10716486" TargetMode="External"/></Relationships>
</file>

<file path=word/theme/theme1.xml><?xml version="1.0" encoding="utf-8"?>
<a:theme xmlns:a="http://schemas.openxmlformats.org/drawingml/2006/main" name="Office Theme">
  <a:themeElements>
    <a:clrScheme name="colour code text">
      <a:dk1>
        <a:sysClr val="windowText" lastClr="000000"/>
      </a:dk1>
      <a:lt1>
        <a:sysClr val="window" lastClr="FFFFFF"/>
      </a:lt1>
      <a:dk2>
        <a:srgbClr val="44546A"/>
      </a:dk2>
      <a:lt2>
        <a:srgbClr val="E7E6E6"/>
      </a:lt2>
      <a:accent1>
        <a:srgbClr val="C01508"/>
      </a:accent1>
      <a:accent2>
        <a:srgbClr val="D05F12"/>
      </a:accent2>
      <a:accent3>
        <a:srgbClr val="BF9000"/>
      </a:accent3>
      <a:accent4>
        <a:srgbClr val="528C2A"/>
      </a:accent4>
      <a:accent5>
        <a:srgbClr val="6491DA"/>
      </a:accent5>
      <a:accent6>
        <a:srgbClr val="243BAC"/>
      </a:accent6>
      <a:hlink>
        <a:srgbClr val="B840CC"/>
      </a:hlink>
      <a:folHlink>
        <a:srgbClr val="CE4E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4" ma:contentTypeDescription="Create a new document." ma:contentTypeScope="" ma:versionID="0acbebcec0d4d46307e449aa5b4f91e0">
  <xsd:schema xmlns:xsd="http://www.w3.org/2001/XMLSchema" xmlns:xs="http://www.w3.org/2001/XMLSchema" xmlns:p="http://schemas.microsoft.com/office/2006/metadata/properties" xmlns:ns2="577b6c5c-d293-49e3-9c3b-c98474d6b631" targetNamespace="http://schemas.microsoft.com/office/2006/metadata/properties" ma:root="true" ma:fieldsID="b647417855a1df16a2ff00f981b0ea93" ns2:_="">
    <xsd:import namespace="577b6c5c-d293-49e3-9c3b-c98474d6b6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CFA78-FE46-4377-82A0-4E69D73C69E5}">
  <ds:schemaRefs>
    <ds:schemaRef ds:uri="http://schemas.microsoft.com/sharepoint/v3/contenttype/forms"/>
  </ds:schemaRefs>
</ds:datastoreItem>
</file>

<file path=customXml/itemProps2.xml><?xml version="1.0" encoding="utf-8"?>
<ds:datastoreItem xmlns:ds="http://schemas.openxmlformats.org/officeDocument/2006/customXml" ds:itemID="{0DBD0D53-95AF-40F4-92A0-5D7F902CB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205425-8247-413B-9EEE-DF604208982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7BE08B-C363-4403-B302-DD317EDC8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1</Pages>
  <Words>2147</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dc:creator>
  <cp:keywords/>
  <dc:description/>
  <cp:lastModifiedBy>Faith</cp:lastModifiedBy>
  <cp:revision>10</cp:revision>
  <dcterms:created xsi:type="dcterms:W3CDTF">2021-02-23T15:09:00Z</dcterms:created>
  <dcterms:modified xsi:type="dcterms:W3CDTF">2021-02-28T22:19:00Z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ies>
</file>