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r>
      <w:r>
        <w:rPr>
          <w:rFonts w:ascii="Arial Unicode MS" w:cs="Arial Unicode MS" w:hAnsi="Arial Unicode MS" w:eastAsia="Arial Unicode MS"/>
          <w:b w:val="0"/>
          <w:bCs w:val="0"/>
          <w:i w:val="0"/>
          <w:iCs w:val="0"/>
        </w:rPr>
        <w:br w:type="textWrapping"/>
      </w:r>
      <w:r>
        <w:rPr>
          <w:rFonts w:ascii="Arial" w:hAnsi="Arial"/>
          <w:b w:val="1"/>
          <w:bCs w:val="1"/>
          <w:sz w:val="28"/>
          <w:szCs w:val="28"/>
          <w:rtl w:val="0"/>
          <w:lang w:val="en-US"/>
        </w:rPr>
        <w:t>APPENDIX GA36b</w:t>
      </w:r>
    </w:p>
    <w:p>
      <w:pPr>
        <w:pStyle w:val="Body"/>
        <w:rPr>
          <w:rFonts w:ascii="Arial" w:cs="Arial" w:hAnsi="Arial" w:eastAsia="Arial"/>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rtl w:val="0"/>
                <w:lang w:val="en-US"/>
              </w:rPr>
              <w:t xml:space="preserve">LEVEL 5 ASSESSMENT SPECIFICATION </w:t>
            </w:r>
          </w:p>
        </w:tc>
      </w:tr>
    </w:tbl>
    <w:p>
      <w:pPr>
        <w:pStyle w:val="Body"/>
        <w:widowControl w:val="0"/>
        <w:ind w:left="392" w:hanging="392"/>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Joseff Edwards</w:t>
            </w:r>
            <w:r>
              <w:rPr>
                <w:rFonts w:ascii="Arial" w:hAnsi="Arial" w:hint="default"/>
                <w:b w:val="1"/>
                <w:bCs w:val="1"/>
                <w:sz w:val="22"/>
                <w:szCs w:val="22"/>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Arial" w:cs="Cambria" w:hAnsi="Arial" w:eastAsia="Cambria"/>
                <w:b w:val="1"/>
                <w:bCs w:val="1"/>
                <w:i w:val="0"/>
                <w:iCs w:val="0"/>
                <w:caps w:val="0"/>
                <w:smallCaps w:val="0"/>
                <w:strike w:val="0"/>
                <w:dstrike w:val="0"/>
                <w:outline w:val="0"/>
                <w:color w:val="000000"/>
                <w:spacing w:val="0"/>
                <w:kern w:val="0"/>
                <w:position w:val="0"/>
                <w:sz w:val="22"/>
                <w:szCs w:val="22"/>
                <w:u w:val="none" w:color="000000"/>
                <w:vertAlign w:val="baseline"/>
                <w:rtl w:val="0"/>
              </w:rPr>
              <w:t>1501341</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Primary BA Ed</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Pedagogy in practice 2 Assessment for Learning</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ECAD5001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30%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Mr T. Cox</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762"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rtl w:val="0"/>
                <w:lang w:val="en-US"/>
              </w:rPr>
              <w:t xml:space="preserve">Discuss the importance and effectiveness of developing Assessment for Learning throughout the primary school, including critical analysis of personal implementation of ONE AfL strategy from Professional Teaching Experience. </w:t>
            </w:r>
            <w:r>
              <w:rPr>
                <w:i w:val="1"/>
                <w:iCs w:val="1"/>
              </w:rPr>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2000 words</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14/12/18</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1/2/19</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sectPr>
          <w:headerReference w:type="default" r:id="rId5"/>
          <w:footerReference w:type="default" r:id="rId6"/>
          <w:pgSz w:w="11900" w:h="16840" w:orient="portrait"/>
          <w:pgMar w:top="720" w:right="720" w:bottom="720" w:left="720" w:header="706" w:footer="454"/>
          <w:bidi w:val="0"/>
        </w:sectPr>
      </w:pPr>
    </w:p>
    <w:p>
      <w:pPr>
        <w:pStyle w:val="Body"/>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rPr>
            </w:pPr>
            <w:r>
              <w:rPr>
                <w:rFonts w:ascii="Arial" w:hAnsi="Arial"/>
                <w:b w:val="1"/>
                <w:bCs w:val="1"/>
                <w:sz w:val="18"/>
                <w:szCs w:val="18"/>
                <w:rtl w:val="0"/>
                <w:lang w:val="en-US"/>
              </w:rPr>
              <w:t xml:space="preserve">Marks </w:t>
            </w:r>
          </w:p>
          <w:p>
            <w:pPr>
              <w:pStyle w:val="Body"/>
              <w:bidi w:val="0"/>
              <w:ind w:left="113" w:right="113" w:firstLine="0"/>
              <w:jc w:val="center"/>
              <w:rPr>
                <w:rtl w:val="0"/>
              </w:rPr>
            </w:pPr>
            <w:r>
              <w:rPr>
                <w:rFonts w:ascii="Arial" w:hAnsi="Arial"/>
                <w:b w:val="1"/>
                <w:bCs w:val="1"/>
                <w:sz w:val="18"/>
                <w:szCs w:val="18"/>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rPr>
            </w:pPr>
            <w:r>
              <w:rPr>
                <w:rFonts w:ascii="Arial" w:hAnsi="Arial"/>
                <w:b w:val="1"/>
                <w:bCs w:val="1"/>
                <w:sz w:val="20"/>
                <w:szCs w:val="20"/>
                <w:rtl w:val="0"/>
                <w:lang w:val="en-US"/>
              </w:rPr>
              <w:t>1. Engagement with Literature Skills</w:t>
            </w:r>
          </w:p>
          <w:p>
            <w:pPr>
              <w:pStyle w:val="Body"/>
              <w:bidi w:val="0"/>
              <w:spacing w:after="120"/>
              <w:ind w:left="0" w:right="0" w:firstLine="0"/>
              <w:jc w:val="left"/>
              <w:rPr>
                <w:rtl w:val="0"/>
              </w:rPr>
            </w:pPr>
            <w:r>
              <w:rPr>
                <w:rFonts w:ascii="Arial" w:hAnsi="Arial"/>
                <w:sz w:val="14"/>
                <w:szCs w:val="14"/>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rtl w:val="0"/>
                <w:lang w:val="en-US"/>
              </w:rPr>
              <w:t>2. Knowledge and Understanding Skills</w:t>
            </w:r>
            <w:r>
              <w:rPr>
                <w:rFonts w:ascii="Arial" w:cs="Arial" w:hAnsi="Arial" w:eastAsia="Arial"/>
                <w:b w:val="1"/>
                <w:bCs w:val="1"/>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3. Cognitive and Intellectual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4. Practical Application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5. Transferable Skills for Life and Professional Practice</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Assessment Mark </w:t>
            </w:r>
            <w:r>
              <w:rPr>
                <w:rFonts w:ascii="Arial" w:hAnsi="Arial"/>
                <w:sz w:val="22"/>
                <w:szCs w:val="22"/>
                <w:rtl w:val="0"/>
                <w:lang w:val="en-US"/>
              </w:rPr>
              <w:t>(</w:t>
            </w:r>
            <w:r>
              <w:rPr>
                <w:rFonts w:ascii="Arial" w:hAnsi="Arial"/>
                <w:sz w:val="16"/>
                <w:szCs w:val="16"/>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rtl w:val="0"/>
                <w:lang w:val="en-US"/>
              </w:rPr>
              <w:t>%</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Up to 1 week late (</w:t>
            </w:r>
            <w:r>
              <w:rPr>
                <w:rFonts w:ascii="Arial" w:hAnsi="Arial"/>
                <w:b w:val="0"/>
                <w:bCs w:val="0"/>
                <w:sz w:val="12"/>
                <w:szCs w:val="12"/>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Over 1 week late (</w:t>
            </w:r>
            <w:r>
              <w:rPr>
                <w:rFonts w:ascii="Arial" w:hAnsi="Arial"/>
                <w:b w:val="0"/>
                <w:bCs w:val="0"/>
                <w:sz w:val="12"/>
                <w:szCs w:val="12"/>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sectPr>
          <w:type w:val="continuous"/>
          <w:pgSz w:w="11900" w:h="16840" w:orient="portrait"/>
          <w:pgMar w:top="720" w:right="720" w:bottom="720" w:left="720" w:header="706" w:footer="454"/>
          <w:bidi w:val="0"/>
        </w:sectPr>
      </w:pPr>
    </w:p>
    <w:p>
      <w:pPr>
        <w:pStyle w:val="Normal (Web)"/>
        <w:rPr>
          <w:rFonts w:ascii="Arial" w:cs="Arial" w:hAnsi="Arial" w:eastAsia="Arial"/>
          <w:color w:val="303b44"/>
          <w:sz w:val="22"/>
          <w:szCs w:val="22"/>
          <w:u w:color="303b44"/>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Normal (Web)"/>
            </w:pPr>
            <w:r>
              <w:rPr>
                <w:rFonts w:ascii="Arial" w:hAnsi="Arial"/>
                <w:b w:val="1"/>
                <w:bCs w:val="1"/>
                <w:color w:val="303b44"/>
                <w:sz w:val="22"/>
                <w:szCs w:val="22"/>
                <w:u w:color="303b44"/>
                <w:rtl w:val="0"/>
                <w:lang w:val="en-US"/>
              </w:rPr>
              <w:t>GENERIC ASSESSMENT CRITERIA</w:t>
            </w:r>
          </w:p>
        </w:tc>
      </w:tr>
    </w:tbl>
    <w:p>
      <w:pPr>
        <w:pStyle w:val="Normal (Web)"/>
        <w:widowControl w:val="0"/>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rtl w:val="0"/>
                <w:lang w:val="en-US"/>
              </w:rPr>
              <w:t>Level 5</w:t>
            </w:r>
          </w:p>
        </w:tc>
      </w:tr>
      <w:tr>
        <w:tblPrEx>
          <w:shd w:val="clear" w:color="auto" w:fill="ced7e7"/>
        </w:tblPrEx>
        <w:trPr>
          <w:trHeight w:val="308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ccff"/>
            <w:tcMar>
              <w:top w:type="dxa" w:w="80"/>
              <w:left w:type="dxa" w:w="80"/>
              <w:bottom w:type="dxa" w:w="80"/>
              <w:right w:type="dxa" w:w="80"/>
            </w:tcMar>
            <w:vAlign w:val="top"/>
          </w:tcPr>
          <w:p>
            <w:pPr>
              <w:pStyle w:val="Body"/>
            </w:pPr>
            <w:r>
              <w:rPr>
                <w:rFonts w:ascii="Arial" w:hAnsi="Arial"/>
                <w:spacing w:val="0"/>
                <w:rtl w:val="0"/>
                <w:lang w:val="en-US"/>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eb)"/>
        <w:widowControl w:val="0"/>
        <w:rPr>
          <w:rFonts w:ascii="Arial" w:cs="Arial" w:hAnsi="Arial" w:eastAsia="Arial"/>
          <w:color w:val="303b44"/>
          <w:sz w:val="22"/>
          <w:szCs w:val="22"/>
          <w:u w:color="303b44"/>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8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sz w:val="18"/>
                <w:szCs w:val="18"/>
                <w:rtl w:val="0"/>
                <w:lang w:val="en-US"/>
              </w:rPr>
              <w:t>Level 5</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SATISFACTORY</w:t>
            </w:r>
          </w:p>
          <w:p>
            <w:pPr>
              <w:pStyle w:val="Body"/>
              <w:bidi w:val="0"/>
              <w:ind w:left="0" w:right="0" w:firstLine="0"/>
              <w:jc w:val="center"/>
              <w:rPr>
                <w:rtl w:val="0"/>
              </w:rPr>
            </w:pPr>
            <w:r>
              <w:rPr>
                <w:rFonts w:ascii="Arial" w:hAnsi="Arial"/>
                <w:b w:val="1"/>
                <w:bCs w:val="1"/>
                <w:sz w:val="18"/>
                <w:szCs w:val="18"/>
                <w:rtl w:val="0"/>
                <w:lang w:val="en-US"/>
              </w:rPr>
              <w:t>(3</w:t>
            </w:r>
            <w:r>
              <w:rPr>
                <w:rFonts w:ascii="Arial" w:hAnsi="Arial"/>
                <w:b w:val="1"/>
                <w:bCs w:val="1"/>
                <w:sz w:val="18"/>
                <w:szCs w:val="18"/>
                <w:vertAlign w:val="superscript"/>
                <w:rtl w:val="0"/>
                <w:lang w:val="en-US"/>
              </w:rPr>
              <w:t>rd</w:t>
            </w:r>
            <w:r>
              <w:rPr>
                <w:rFonts w:ascii="Arial" w:hAnsi="Arial"/>
                <w:b w:val="1"/>
                <w:bCs w:val="1"/>
                <w:sz w:val="18"/>
                <w:szCs w:val="18"/>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GOOD</w:t>
            </w:r>
          </w:p>
          <w:p>
            <w:pPr>
              <w:pStyle w:val="Body"/>
              <w:bidi w:val="0"/>
              <w:ind w:left="0" w:right="0" w:firstLine="0"/>
              <w:jc w:val="center"/>
              <w:rPr>
                <w:rtl w:val="0"/>
              </w:rPr>
            </w:pPr>
            <w:r>
              <w:rPr>
                <w:rFonts w:ascii="Arial" w:hAnsi="Arial"/>
                <w:b w:val="1"/>
                <w:bCs w:val="1"/>
                <w:sz w:val="18"/>
                <w:szCs w:val="18"/>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VERY GOOD</w:t>
            </w:r>
          </w:p>
          <w:p>
            <w:pPr>
              <w:pStyle w:val="Body"/>
              <w:bidi w:val="0"/>
              <w:ind w:left="0" w:right="0" w:firstLine="0"/>
              <w:jc w:val="center"/>
              <w:rPr>
                <w:rtl w:val="0"/>
              </w:rPr>
            </w:pPr>
            <w:r>
              <w:rPr>
                <w:rFonts w:ascii="Arial" w:hAnsi="Arial"/>
                <w:b w:val="1"/>
                <w:bCs w:val="1"/>
                <w:sz w:val="18"/>
                <w:szCs w:val="18"/>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EXCELLENT</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EXCEPTIONAL</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251"/>
              <w:bottom w:type="dxa" w:w="80"/>
              <w:right w:type="dxa" w:w="80"/>
            </w:tcMar>
            <w:vAlign w:val="top"/>
          </w:tcPr>
          <w:p>
            <w:pPr>
              <w:pStyle w:val="Body"/>
              <w:ind w:left="171" w:firstLine="0"/>
            </w:pPr>
            <w:r>
              <w:rPr>
                <w:rFonts w:ascii="Arial" w:hAnsi="Arial"/>
                <w:b w:val="1"/>
                <w:bCs w:val="1"/>
                <w:sz w:val="20"/>
                <w:szCs w:val="20"/>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jc w:val="center"/>
            </w:pPr>
            <w:r>
              <w:rPr>
                <w:rFonts w:ascii="Arial" w:hAnsi="Arial"/>
                <w:b w:val="1"/>
                <w:bCs w:val="1"/>
                <w:sz w:val="18"/>
                <w:szCs w:val="18"/>
                <w:rtl w:val="0"/>
                <w:lang w:val="en-US"/>
              </w:rPr>
              <w:t>85-100%</w:t>
            </w:r>
          </w:p>
        </w:tc>
      </w:tr>
      <w:tr>
        <w:tblPrEx>
          <w:shd w:val="clear" w:color="auto" w:fill="ced7e7"/>
        </w:tblPrEx>
        <w:trPr>
          <w:trHeight w:val="57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rPr>
                <w:rFonts w:ascii="Arial" w:cs="Arial" w:hAnsi="Arial" w:eastAsia="Arial"/>
                <w:sz w:val="18"/>
                <w:szCs w:val="18"/>
              </w:rPr>
            </w:pPr>
            <w:r>
              <w:rPr>
                <w:rFonts w:ascii="Arial" w:hAnsi="Arial"/>
                <w:b w:val="1"/>
                <w:bCs w:val="1"/>
                <w:sz w:val="20"/>
                <w:szCs w:val="20"/>
                <w:rtl w:val="0"/>
                <w:lang w:val="en-US"/>
              </w:rPr>
              <w:t xml:space="preserve">Engagement with literature </w:t>
            </w:r>
            <w:r>
              <w:rPr>
                <w:rFonts w:ascii="Arial" w:hAnsi="Arial"/>
                <w:sz w:val="18"/>
                <w:szCs w:val="18"/>
                <w:rtl w:val="0"/>
                <w:lang w:val="en-US"/>
              </w:rPr>
              <w:t>(including reading, referencing,</w:t>
            </w:r>
          </w:p>
          <w:p>
            <w:pPr>
              <w:pStyle w:val="Body"/>
              <w:bidi w:val="0"/>
              <w:spacing w:before="34"/>
              <w:ind w:left="108" w:right="0" w:firstLine="0"/>
              <w:jc w:val="left"/>
              <w:rPr>
                <w:rFonts w:ascii="Arial" w:cs="Arial" w:hAnsi="Arial" w:eastAsia="Arial"/>
                <w:sz w:val="18"/>
                <w:szCs w:val="18"/>
                <w:rtl w:val="0"/>
              </w:rPr>
            </w:pPr>
            <w:r>
              <w:rPr>
                <w:rFonts w:ascii="Arial" w:hAnsi="Arial"/>
                <w:sz w:val="18"/>
                <w:szCs w:val="18"/>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rtl w:val="0"/>
                <w:lang w:val="en-US"/>
              </w:rPr>
              <w:t>academic honesty)</w:t>
            </w:r>
            <w:r>
              <w:rPr>
                <w:rFonts w:ascii="Arial" w:hAnsi="Arial"/>
                <w:b w:val="1"/>
                <w:bCs w:val="1"/>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Little or no evidence of reading</w:t>
            </w:r>
            <w:r>
              <w:rPr>
                <w:rFonts w:ascii="Times New Roman" w:hAnsi="Times New Roman"/>
                <w:rtl w:val="0"/>
                <w:lang w:val="en-US"/>
              </w:rPr>
              <w:t xml:space="preserve"> and/or </w:t>
            </w:r>
            <w:r>
              <w:rPr>
                <w:rFonts w:ascii="Arial" w:hAnsi="Arial"/>
                <w:rtl w:val="0"/>
                <w:lang w:val="en-US"/>
              </w:rPr>
              <w:t>reliance on inappropriate sources.</w:t>
            </w:r>
          </w:p>
          <w:p>
            <w:pPr>
              <w:pStyle w:val="Body"/>
              <w:bidi w:val="0"/>
              <w:ind w:left="0" w:right="0" w:firstLine="0"/>
              <w:jc w:val="left"/>
              <w:rPr>
                <w:rFonts w:ascii="Arial" w:cs="Arial" w:hAnsi="Arial" w:eastAsia="Arial"/>
                <w:rtl w:val="0"/>
              </w:rPr>
            </w:pPr>
            <w:r>
              <w:rPr>
                <w:rFonts w:ascii="Arial" w:hAnsi="Arial"/>
                <w:rtl w:val="0"/>
                <w:lang w:val="en-US"/>
              </w:rPr>
              <w:t>Views and findings mostly unsupported and non-authoritative.</w:t>
            </w:r>
          </w:p>
          <w:p>
            <w:pPr>
              <w:pStyle w:val="Body"/>
              <w:bidi w:val="0"/>
              <w:ind w:left="0" w:right="0" w:firstLine="0"/>
              <w:jc w:val="left"/>
              <w:rPr>
                <w:rtl w:val="0"/>
              </w:rPr>
            </w:pPr>
            <w:r>
              <w:rPr>
                <w:rFonts w:ascii="Arial" w:hAnsi="Arial"/>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limited range of mostly relevant and credible sources. Some omissions and minor errors.</w:t>
            </w:r>
          </w:p>
          <w:p>
            <w:pPr>
              <w:pStyle w:val="Body"/>
              <w:bidi w:val="0"/>
              <w:ind w:left="0" w:right="0" w:firstLine="0"/>
              <w:jc w:val="left"/>
              <w:rPr>
                <w:rtl w:val="0"/>
              </w:rPr>
            </w:pPr>
            <w:r>
              <w:rPr>
                <w:rFonts w:ascii="Arial" w:hAnsi="Arial"/>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Engagement with an appropriate range of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wide range of literature, including sources retrieved independently.</w:t>
            </w:r>
          </w:p>
          <w:p>
            <w:pPr>
              <w:pStyle w:val="Body"/>
              <w:bidi w:val="0"/>
              <w:ind w:left="0" w:right="0" w:firstLine="0"/>
              <w:jc w:val="left"/>
              <w:rPr>
                <w:rtl w:val="0"/>
              </w:rPr>
            </w:pPr>
            <w:r>
              <w:rPr>
                <w:rFonts w:ascii="Arial" w:hAnsi="Arial"/>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Exceptional engagement with an extensive range of relevant and credible literature. High-level referencing skills consistently applied.</w:t>
            </w:r>
          </w:p>
        </w:tc>
      </w:tr>
      <w:tr>
        <w:tblPrEx>
          <w:shd w:val="clear" w:color="auto" w:fill="ced7e7"/>
        </w:tblPrEx>
        <w:trPr>
          <w:trHeight w:val="550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rtl w:val="0"/>
                <w:lang w:val="en-US"/>
              </w:rPr>
              <w:t xml:space="preserve">Knowledge and understanding </w:t>
            </w:r>
            <w:r>
              <w:rPr>
                <w:rFonts w:ascii="Arial" w:hAnsi="Arial"/>
                <w:sz w:val="20"/>
                <w:szCs w:val="20"/>
                <w:rtl w:val="0"/>
                <w:lang w:val="en-US"/>
              </w:rPr>
              <w:t>(</w:t>
            </w:r>
            <w:r>
              <w:rPr>
                <w:rFonts w:ascii="Arial" w:hAnsi="Arial"/>
                <w:sz w:val="18"/>
                <w:szCs w:val="18"/>
                <w:rtl w:val="0"/>
                <w:lang w:val="en-US"/>
              </w:rPr>
              <w:t>Sound knowledge and critical understanding of the well-established concepts and principles in their field of study; knowledge of the main methods of enquiry in the discipline.)</w:t>
            </w:r>
            <w:r>
              <w:rPr>
                <w:rFonts w:ascii="Arial" w:hAnsi="Arial"/>
                <w:b w:val="1"/>
                <w:bCs w:val="1"/>
                <w:sz w:val="20"/>
                <w:szCs w:val="20"/>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Major gaps in knowledge with unsatisfactory, uncritical understanding of the subject matter. Much irrelevant material.  Substantial inaccuracies. Significantly flawed understanding of the main methods of enquiry 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Fragmentary knowledge, with only superficial critical understanding. Some significant inaccuracies and/or irrelevant material.  Incomplete or partially flawed understanding of the main methods of enquiry 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detailed and accurate. A good critical understanding of the well-established concepts and principles and the main methods of enquiry, with minor gaps in the selection of material.</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extensive.  Exhibits very competent critical understanding of the well-established concepts and principles of the subject and the main methods of enquiry.  Breadth and depth of knowledge.</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Excellent, detailed knowledge and highly critical understanding of the well-established concepts and principles of the subject and the main methods of enquiry.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Exceptionally detailed knowledge and outstanding critical understanding of the well-established concepts and principles of the subject and the main methods of enquiry. May go beyond established theories.</w:t>
            </w:r>
          </w:p>
        </w:tc>
      </w:tr>
      <w:tr>
        <w:tblPrEx>
          <w:shd w:val="clear" w:color="auto" w:fill="ced7e7"/>
        </w:tblPrEx>
        <w:trPr>
          <w:trHeight w:val="990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C</w:t>
            </w:r>
            <w:r>
              <w:rPr>
                <w:rFonts w:ascii="Arial" w:hAnsi="Arial"/>
                <w:b w:val="1"/>
                <w:bCs w:val="1"/>
                <w:spacing w:val="0"/>
                <w:rtl w:val="0"/>
                <w:lang w:val="en-US"/>
              </w:rPr>
              <w:t>ogn</w:t>
            </w:r>
            <w:r>
              <w:rPr>
                <w:rFonts w:ascii="Arial" w:hAnsi="Arial"/>
                <w:b w:val="1"/>
                <w:bCs w:val="1"/>
                <w:rtl w:val="0"/>
                <w:lang w:val="en-US"/>
              </w:rPr>
              <w:t>i</w:t>
            </w:r>
            <w:r>
              <w:rPr>
                <w:rFonts w:ascii="Arial" w:hAnsi="Arial"/>
                <w:b w:val="1"/>
                <w:bCs w:val="1"/>
                <w:spacing w:val="0"/>
                <w:rtl w:val="0"/>
                <w:lang w:val="en-US"/>
              </w:rPr>
              <w:t>t</w:t>
            </w:r>
            <w:r>
              <w:rPr>
                <w:rFonts w:ascii="Arial" w:hAnsi="Arial"/>
                <w:b w:val="1"/>
                <w:bCs w:val="1"/>
                <w:rtl w:val="0"/>
                <w:lang w:val="en-US"/>
              </w:rPr>
              <w:t>i</w:t>
            </w:r>
            <w:r>
              <w:rPr>
                <w:rFonts w:ascii="Arial" w:hAnsi="Arial"/>
                <w:b w:val="1"/>
                <w:bCs w:val="1"/>
                <w:spacing w:val="0"/>
                <w:rtl w:val="0"/>
                <w:lang w:val="en-US"/>
              </w:rPr>
              <w:t>v</w:t>
            </w:r>
            <w:r>
              <w:rPr>
                <w:rFonts w:ascii="Arial" w:hAnsi="Arial"/>
                <w:b w:val="1"/>
                <w:bCs w:val="1"/>
                <w:rtl w:val="0"/>
                <w:lang w:val="en-US"/>
              </w:rPr>
              <w:t>e</w:t>
            </w:r>
            <w:r>
              <w:rPr>
                <w:rFonts w:ascii="Arial" w:hAnsi="Arial"/>
                <w:b w:val="1"/>
                <w:bCs w:val="1"/>
                <w:spacing w:val="0"/>
                <w:rtl w:val="0"/>
                <w:lang w:val="en-US"/>
              </w:rPr>
              <w:t xml:space="preserve"> </w:t>
            </w:r>
            <w:r>
              <w:rPr>
                <w:rFonts w:ascii="Arial" w:hAnsi="Arial"/>
                <w:b w:val="1"/>
                <w:bCs w:val="1"/>
                <w:rtl w:val="0"/>
                <w:lang w:val="en-US"/>
              </w:rPr>
              <w:t>a</w:t>
            </w:r>
            <w:r>
              <w:rPr>
                <w:rFonts w:ascii="Arial" w:hAnsi="Arial"/>
                <w:b w:val="1"/>
                <w:bCs w:val="1"/>
                <w:spacing w:val="0"/>
                <w:rtl w:val="0"/>
                <w:lang w:val="en-US"/>
              </w:rPr>
              <w:t>n</w:t>
            </w:r>
            <w:r>
              <w:rPr>
                <w:rFonts w:ascii="Arial" w:hAnsi="Arial"/>
                <w:b w:val="1"/>
                <w:bCs w:val="1"/>
                <w:rtl w:val="0"/>
                <w:lang w:val="en-US"/>
              </w:rPr>
              <w:t>d i</w:t>
            </w:r>
            <w:r>
              <w:rPr>
                <w:rFonts w:ascii="Arial" w:hAnsi="Arial"/>
                <w:b w:val="1"/>
                <w:bCs w:val="1"/>
                <w:spacing w:val="0"/>
                <w:rtl w:val="0"/>
                <w:lang w:val="en-US"/>
              </w:rPr>
              <w:t>nt</w:t>
            </w:r>
            <w:r>
              <w:rPr>
                <w:rFonts w:ascii="Arial" w:hAnsi="Arial"/>
                <w:b w:val="1"/>
                <w:bCs w:val="1"/>
                <w:rtl w:val="0"/>
                <w:lang w:val="en-US"/>
              </w:rPr>
              <w:t>ellec</w:t>
            </w:r>
            <w:r>
              <w:rPr>
                <w:rFonts w:ascii="Arial" w:hAnsi="Arial"/>
                <w:b w:val="1"/>
                <w:bCs w:val="1"/>
                <w:spacing w:val="0"/>
                <w:rtl w:val="0"/>
                <w:lang w:val="en-US"/>
              </w:rPr>
              <w:t>tu</w:t>
            </w:r>
            <w:r>
              <w:rPr>
                <w:rFonts w:ascii="Arial" w:hAnsi="Arial"/>
                <w:b w:val="1"/>
                <w:bCs w:val="1"/>
                <w:rtl w:val="0"/>
                <w:lang w:val="en-US"/>
              </w:rPr>
              <w:t>al skil</w:t>
            </w:r>
            <w:r>
              <w:rPr>
                <w:rFonts w:ascii="Arial" w:hAnsi="Arial"/>
                <w:b w:val="1"/>
                <w:bCs w:val="1"/>
                <w:spacing w:val="0"/>
                <w:rtl w:val="0"/>
                <w:lang w:val="en-US"/>
              </w:rPr>
              <w:t>l</w:t>
            </w:r>
            <w:r>
              <w:rPr>
                <w:rFonts w:ascii="Arial" w:hAnsi="Arial"/>
                <w:b w:val="1"/>
                <w:bCs w:val="1"/>
                <w:rtl w:val="0"/>
                <w:lang w:val="en-US"/>
              </w:rPr>
              <w:t xml:space="preserve">s </w:t>
            </w:r>
          </w:p>
          <w:p>
            <w:pPr>
              <w:pStyle w:val="Body"/>
              <w:bidi w:val="0"/>
              <w:spacing w:before="34" w:line="239" w:lineRule="auto"/>
              <w:ind w:left="108" w:right="0" w:firstLine="0"/>
              <w:jc w:val="left"/>
              <w:rPr>
                <w:rtl w:val="0"/>
              </w:rPr>
            </w:pPr>
            <w:r>
              <w:rPr>
                <w:rFonts w:ascii="Arial" w:hAnsi="Arial"/>
                <w:sz w:val="18"/>
                <w:szCs w:val="18"/>
                <w:rtl w:val="0"/>
                <w:lang w:val="en-US"/>
              </w:rPr>
              <w:t>(Critical evaluation and analysis of concepts and principles; argument and judgement</w:t>
            </w:r>
            <w:r>
              <w:rPr>
                <w:rFonts w:ascii="Arial" w:hAnsi="Arial"/>
                <w:b w:val="1"/>
                <w:bCs w:val="1"/>
                <w:sz w:val="20"/>
                <w:szCs w:val="20"/>
                <w:rtl w:val="0"/>
                <w:lang w:val="en-US"/>
              </w:rPr>
              <w:t xml:space="preserve">; </w:t>
            </w:r>
            <w:r>
              <w:rPr>
                <w:rFonts w:ascii="Arial" w:hAnsi="Arial"/>
                <w:sz w:val="18"/>
                <w:szCs w:val="18"/>
                <w:rtl w:val="0"/>
                <w:lang w:val="en-US"/>
              </w:rPr>
              <w:t xml:space="preserve">the limits of their knowledge, and how this influences their analyses and interpretations.)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Wholly or almost wholly descriptive work. Little or no critical evaluation and analysis of concepts and principles.</w:t>
            </w:r>
          </w:p>
          <w:p>
            <w:pPr>
              <w:pStyle w:val="Body"/>
              <w:bidi w:val="0"/>
              <w:ind w:left="0" w:right="0" w:firstLine="0"/>
              <w:jc w:val="left"/>
              <w:rPr>
                <w:rtl w:val="0"/>
              </w:rPr>
            </w:pPr>
            <w:r>
              <w:rPr>
                <w:rFonts w:ascii="Arial" w:hAnsi="Arial"/>
                <w:rtl w:val="0"/>
                <w:lang w:val="en-US"/>
              </w:rPr>
              <w:t>Failure to develop arguments, leading to illogical or invalid judgements. Unsubstantiated generalisations or opinion, made without use of any credible evidence.</w:t>
            </w:r>
            <w:r>
              <w:rPr>
                <w:rFonts w:ascii="Arial" w:cs="Arial" w:hAnsi="Arial" w:eastAsia="Arial"/>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attempt at critical evaluation and analysis of concepts and principles, tending towards description.</w:t>
            </w:r>
          </w:p>
          <w:p>
            <w:pPr>
              <w:pStyle w:val="Body"/>
              <w:bidi w:val="0"/>
              <w:ind w:left="0" w:right="0" w:firstLine="0"/>
              <w:jc w:val="left"/>
              <w:rPr>
                <w:rFonts w:ascii="Arial" w:cs="Arial" w:hAnsi="Arial" w:eastAsia="Arial"/>
                <w:rtl w:val="0"/>
              </w:rPr>
            </w:pPr>
            <w:r>
              <w:rPr>
                <w:rFonts w:ascii="Arial" w:hAnsi="Arial"/>
                <w:rtl w:val="0"/>
                <w:lang w:val="en-US"/>
              </w:rPr>
              <w:t>Some evidence to support arguments and judgements but these may be underdeveloped, with a little inconsistency / mis-interpretation or failure to fully recognise limits of knowledge.</w:t>
            </w:r>
          </w:p>
          <w:p>
            <w:pPr>
              <w:pStyle w:val="Body"/>
            </w:pPr>
            <w:r>
              <w:rPr>
                <w:rFonts w:ascii="Arial" w:cs="Arial" w:hAnsi="Arial" w:eastAsia="Arial"/>
                <w:lang w:val="en-US"/>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Some critical evaluation and analysis of concepts and principles, though descriptive in parts. </w:t>
            </w:r>
          </w:p>
          <w:p>
            <w:pPr>
              <w:pStyle w:val="Body"/>
              <w:bidi w:val="0"/>
              <w:ind w:left="0" w:right="0" w:firstLine="0"/>
              <w:jc w:val="left"/>
              <w:rPr>
                <w:rFonts w:ascii="Arial" w:cs="Arial" w:hAnsi="Arial" w:eastAsia="Arial"/>
                <w:rtl w:val="0"/>
              </w:rPr>
            </w:pPr>
            <w:r>
              <w:rPr>
                <w:rFonts w:ascii="Arial" w:hAnsi="Arial"/>
                <w:rtl w:val="0"/>
                <w:lang w:val="en-US"/>
              </w:rPr>
              <w:t>An emerging awareness the limits of their knowledge and ability to use evidence to support the argument though with some tendency to assert/state opinion rather than argue on the basis of reason and evidence.</w:t>
            </w:r>
          </w:p>
          <w:p>
            <w:pPr>
              <w:pStyle w:val="Body"/>
              <w:bidi w:val="0"/>
              <w:ind w:left="0" w:right="0" w:firstLine="0"/>
              <w:jc w:val="left"/>
              <w:rPr>
                <w:rtl w:val="0"/>
              </w:rPr>
            </w:pPr>
            <w:r>
              <w:rPr>
                <w:rFonts w:ascii="Arial" w:hAnsi="Arial"/>
                <w:rtl w:val="0"/>
                <w:lang w:val="en-US"/>
              </w:rPr>
              <w:t>Mostly valid arguments and logical judgements.</w:t>
            </w:r>
            <w:r>
              <w:rPr>
                <w:rFonts w:ascii="Times New Roman" w:hAnsi="Times New Roman"/>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Excellent critical evaluation and analysis of concepts and principles leading to logical, evidence-based, reasoned arguments and judgements. Explicit recognition of other stances and a strong awareness of the limits of their knowledge.</w:t>
            </w:r>
          </w:p>
          <w:p>
            <w:pPr>
              <w:pStyle w:val="Body"/>
              <w:bidi w:val="0"/>
              <w:ind w:left="0" w:right="0" w:firstLine="0"/>
              <w:jc w:val="left"/>
              <w:rPr>
                <w:rtl w:val="0"/>
              </w:rPr>
            </w:pPr>
            <w:r>
              <w:rPr>
                <w:rFonts w:ascii="Arial" w:hAnsi="Arial"/>
                <w:rtl w:val="0"/>
                <w:lang w:val="en-US"/>
              </w:rPr>
              <w:t xml:space="preserve">A capacity for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some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Outstanding critical evaluation and analysis of concepts and principles.  Uses evidence exceptionally well to connect ideas, and support highly logical and persuasive, arguments and judgements.</w:t>
            </w:r>
            <w:r>
              <w:rPr>
                <w:rFonts w:ascii="Times New Roman" w:hAnsi="Times New Roman"/>
                <w:rtl w:val="0"/>
                <w:lang w:val="en-US"/>
              </w:rPr>
              <w:t xml:space="preserve"> </w:t>
            </w:r>
            <w:r>
              <w:rPr>
                <w:rFonts w:ascii="Arial" w:hAnsi="Arial"/>
                <w:rtl w:val="0"/>
                <w:lang w:val="en-US"/>
              </w:rPr>
              <w:t xml:space="preserve">Evidence of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a clear grasp of the broader field and wider concepts. Perceptive recognition of the limits of their knowledge, and how this influences their analyses and interpretations.</w:t>
            </w:r>
          </w:p>
        </w:tc>
      </w:tr>
      <w:tr>
        <w:tblPrEx>
          <w:shd w:val="clear" w:color="auto" w:fill="ced7e7"/>
        </w:tblPrEx>
        <w:trPr>
          <w:trHeight w:val="902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Practical skills</w:t>
            </w:r>
          </w:p>
          <w:p>
            <w:pPr>
              <w:pStyle w:val="Body"/>
              <w:bidi w:val="0"/>
              <w:spacing w:before="34" w:line="239" w:lineRule="auto"/>
              <w:ind w:left="108" w:right="0" w:firstLine="0"/>
              <w:jc w:val="left"/>
              <w:rPr>
                <w:rtl w:val="0"/>
              </w:rPr>
            </w:pPr>
            <w:r>
              <w:rPr>
                <w:rFonts w:ascii="Arial" w:hAnsi="Arial"/>
                <w:sz w:val="18"/>
                <w:szCs w:val="18"/>
                <w:rtl w:val="0"/>
                <w:lang w:val="en-US"/>
              </w:rPr>
              <w:t>(Apply underlying concepts and principles more widely outside the context in which they were first studied; use a range of established techniques; propose solutions to problems arising from analysis.)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or no use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Little or no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rtl w:val="0"/>
                <w:lang w:val="en-US"/>
              </w:rPr>
              <w:t>Very weak problem-solving skills</w:t>
            </w:r>
            <w:r>
              <w:rPr>
                <w:rFonts w:ascii="Times New Roman" w:hAnsi="Times New Roman"/>
                <w:rtl w:val="0"/>
                <w:lang w:val="en-US"/>
              </w:rPr>
              <w:t xml:space="preserve"> </w:t>
            </w:r>
            <w:r>
              <w:rPr>
                <w:rFonts w:ascii="Arial" w:hAnsi="Arial"/>
                <w:rtl w:val="0"/>
                <w:lang w:val="en-US"/>
              </w:rPr>
              <w:t xml:space="preserve">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Rudimentary application of established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 xml:space="preserve">Weak understanding of the application of theory to practice, with only occasional evidence of making appropriate links between the two. Weak problem-solving skills outside the context in which they were first studied. </w:t>
            </w:r>
          </w:p>
          <w:p>
            <w:pPr>
              <w:pStyle w:val="Body"/>
            </w:pPr>
            <w:r>
              <w:rPr>
                <w:rFonts w:ascii="Arial" w:cs="Arial" w:hAnsi="Arial" w:eastAsia="Arial"/>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adequate awareness and mostly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rtl w:val="0"/>
                <w:lang w:val="en-US"/>
              </w:rPr>
              <w:t xml:space="preserve">Can identify problems and propose basic solutions outside the context in which they were first studied.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good and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rtl w:val="0"/>
                <w:lang w:val="en-US"/>
              </w:rPr>
              <w:t>Can identify problems and propose mostly appropriate solutions outside the context in which they were first studied.</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very good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rtl w:val="0"/>
                <w:lang w:val="en-US"/>
              </w:rPr>
              <w:t xml:space="preserve"> </w:t>
            </w:r>
            <w:r>
              <w:rPr>
                <w:rFonts w:ascii="Arial" w:hAnsi="Arial"/>
                <w:rtl w:val="0"/>
                <w:lang w:val="en-US"/>
              </w:rPr>
              <w:t>outside the context in which they were first studied.</w:t>
            </w:r>
          </w:p>
          <w:p>
            <w:pPr>
              <w:pStyle w:val="Body"/>
              <w:bidi w:val="0"/>
              <w:ind w:left="0" w:right="0" w:firstLine="0"/>
              <w:jc w:val="left"/>
              <w:rPr>
                <w:rtl w:val="0"/>
              </w:rPr>
            </w:pPr>
            <w:r>
              <w:rPr>
                <w:rFonts w:ascii="Arial" w:hAnsi="Arial"/>
                <w:rtl w:val="0"/>
                <w:lang w:val="en-US"/>
              </w:rPr>
              <w:t xml:space="preserve">Evidence of some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advanced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The context of the application is well considered, and insightful.</w:t>
            </w:r>
          </w:p>
          <w:p>
            <w:pPr>
              <w:pStyle w:val="Body"/>
              <w:bidi w:val="0"/>
              <w:ind w:left="0" w:right="0" w:firstLine="0"/>
              <w:jc w:val="left"/>
              <w:rPr>
                <w:rtl w:val="0"/>
              </w:rPr>
            </w:pPr>
            <w:r>
              <w:rPr>
                <w:rFonts w:ascii="Arial" w:hAnsi="Arial"/>
                <w:rtl w:val="0"/>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blPrEx>
          <w:shd w:val="clear" w:color="auto" w:fill="ced7e7"/>
        </w:tblPrEx>
        <w:trPr>
          <w:trHeight w:val="1188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Transferable skills for life and professional practice</w:t>
            </w:r>
          </w:p>
          <w:p>
            <w:pPr>
              <w:pStyle w:val="Body"/>
              <w:bidi w:val="0"/>
              <w:spacing w:before="34" w:line="239" w:lineRule="auto"/>
              <w:ind w:left="108" w:right="0" w:firstLine="0"/>
              <w:jc w:val="left"/>
              <w:rPr>
                <w:rFonts w:ascii="Arial" w:cs="Arial" w:hAnsi="Arial" w:eastAsia="Arial"/>
                <w:sz w:val="18"/>
                <w:szCs w:val="18"/>
                <w:rtl w:val="0"/>
              </w:rPr>
            </w:pPr>
            <w:r>
              <w:rPr>
                <w:rFonts w:ascii="Arial" w:hAnsi="Arial"/>
                <w:sz w:val="18"/>
                <w:szCs w:val="18"/>
                <w:rtl w:val="0"/>
                <w:lang w:val="en-US"/>
              </w:rPr>
              <w:t>(Effectively communicate in a variety of forms</w:t>
            </w:r>
          </w:p>
          <w:p>
            <w:pPr>
              <w:pStyle w:val="Body"/>
              <w:bidi w:val="0"/>
              <w:spacing w:before="34" w:line="239" w:lineRule="auto"/>
              <w:ind w:left="108" w:right="0" w:firstLine="0"/>
              <w:jc w:val="left"/>
              <w:rPr>
                <w:rtl w:val="0"/>
              </w:rPr>
            </w:pPr>
            <w:r>
              <w:rPr>
                <w:rFonts w:ascii="Arial" w:hAnsi="Arial"/>
                <w:sz w:val="18"/>
                <w:szCs w:val="18"/>
                <w:rtl w:val="0"/>
                <w:lang w:val="en-US"/>
              </w:rPr>
              <w:t>to specialist and non-specialist audiences;  the qualities and transferable skills necessary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Communication medium is inappropriate or misapplied.</w:t>
            </w:r>
          </w:p>
          <w:p>
            <w:pPr>
              <w:pStyle w:val="Body"/>
              <w:bidi w:val="0"/>
              <w:ind w:left="0" w:right="0" w:firstLine="0"/>
              <w:jc w:val="left"/>
              <w:rPr>
                <w:rFonts w:ascii="Arial" w:cs="Arial" w:hAnsi="Arial" w:eastAsia="Arial"/>
                <w:rtl w:val="0"/>
              </w:rPr>
            </w:pPr>
            <w:r>
              <w:rPr>
                <w:rFonts w:ascii="Arial" w:hAnsi="Arial"/>
                <w:rtl w:val="0"/>
                <w:lang w:val="en-US"/>
              </w:rPr>
              <w:t>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rtl w:val="0"/>
                <w:lang w:val="en-US"/>
              </w:rPr>
              <w:t xml:space="preserve"> </w:t>
            </w:r>
            <w:r>
              <w:rPr>
                <w:rFonts w:ascii="Arial" w:hAnsi="Arial"/>
                <w:rtl w:val="0"/>
                <w:lang w:val="en-US"/>
              </w:rPr>
              <w:t>requiring the exercise of personal responsibility and decision-making.</w:t>
            </w:r>
          </w:p>
          <w:p>
            <w:pPr>
              <w:pStyle w:val="Body"/>
            </w:pPr>
            <w:r>
              <w:rPr>
                <w:rFonts w:ascii="Arial" w:cs="Arial" w:hAnsi="Arial" w:eastAsia="Arial"/>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rtl w:val="0"/>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in a suitable medium for the audience but with some room for improvement. </w:t>
            </w:r>
          </w:p>
          <w:p>
            <w:pPr>
              <w:pStyle w:val="Body"/>
              <w:bidi w:val="0"/>
              <w:ind w:left="0" w:right="0" w:firstLine="0"/>
              <w:jc w:val="left"/>
              <w:rPr>
                <w:rFonts w:ascii="Arial" w:cs="Arial" w:hAnsi="Arial" w:eastAsia="Arial"/>
                <w:rtl w:val="0"/>
              </w:rPr>
            </w:pPr>
            <w:r>
              <w:rPr>
                <w:rFonts w:ascii="Arial" w:hAnsi="Arial"/>
                <w:rtl w:val="0"/>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Body"/>
              <w:bidi w:val="0"/>
              <w:ind w:left="0" w:right="0" w:firstLine="0"/>
              <w:jc w:val="left"/>
              <w:rPr>
                <w:rtl w:val="0"/>
              </w:rPr>
            </w:pPr>
            <w:r>
              <w:rPr>
                <w:rFonts w:ascii="Arial" w:hAnsi="Arial"/>
                <w:rtl w:val="0"/>
                <w:lang w:val="en-US"/>
              </w:rPr>
              <w:t>Demonstrates the basic skills for employment requiring the exercise of personal responsibility and decision-making,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effectively in a suitable medium for the audience, but may have minor errors.</w:t>
            </w:r>
          </w:p>
          <w:p>
            <w:pPr>
              <w:pStyle w:val="Body"/>
              <w:bidi w:val="0"/>
              <w:ind w:left="0" w:right="0" w:firstLine="0"/>
              <w:jc w:val="left"/>
              <w:rPr>
                <w:rFonts w:ascii="Arial" w:cs="Arial" w:hAnsi="Arial" w:eastAsia="Arial"/>
                <w:rtl w:val="0"/>
              </w:rPr>
            </w:pPr>
            <w:r>
              <w:rPr>
                <w:rFonts w:ascii="Arial" w:hAnsi="Arial"/>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rtl w:val="0"/>
                <w:lang w:val="en-US"/>
              </w:rPr>
              <w:t>Demonstrates the skills for employment requiring the exercise of personal responsibility and decision-making,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well, confidently and consistently in a suitable medium for the audience.</w:t>
            </w:r>
          </w:p>
          <w:p>
            <w:pPr>
              <w:pStyle w:val="Body"/>
              <w:bidi w:val="0"/>
              <w:ind w:left="0" w:right="0" w:firstLine="0"/>
              <w:jc w:val="left"/>
              <w:rPr>
                <w:rFonts w:ascii="Arial" w:cs="Arial" w:hAnsi="Arial" w:eastAsia="Arial"/>
                <w:rtl w:val="0"/>
              </w:rPr>
            </w:pPr>
            <w:r>
              <w:rPr>
                <w:rFonts w:ascii="Arial" w:hAnsi="Arial"/>
                <w:rtl w:val="0"/>
                <w:lang w:val="en-US"/>
              </w:rPr>
              <w:t xml:space="preserve">Work is coherent, fluent, well-structured and organised. Can work very well autonomously and/or as part of a team, with very good contribution to group activities. </w:t>
            </w:r>
          </w:p>
          <w:p>
            <w:pPr>
              <w:pStyle w:val="Body"/>
              <w:bidi w:val="0"/>
              <w:ind w:left="0" w:right="0" w:firstLine="0"/>
              <w:jc w:val="left"/>
              <w:rPr>
                <w:rtl w:val="0"/>
              </w:rPr>
            </w:pPr>
            <w:r>
              <w:rPr>
                <w:rFonts w:ascii="Arial" w:hAnsi="Arial"/>
                <w:rtl w:val="0"/>
                <w:lang w:val="en-US"/>
              </w:rPr>
              <w:t>Demonstrates very good skills for employment requiring the exercise of personal responsibility and decision-making,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professionally confidently and consistently in a suitable medium for the audience.</w:t>
            </w:r>
          </w:p>
          <w:p>
            <w:pPr>
              <w:pStyle w:val="Body"/>
              <w:bidi w:val="0"/>
              <w:ind w:left="0" w:right="0" w:firstLine="0"/>
              <w:jc w:val="left"/>
              <w:rPr>
                <w:rtl w:val="0"/>
              </w:rPr>
            </w:pPr>
            <w:r>
              <w:rPr>
                <w:rFonts w:ascii="Arial" w:hAnsi="Arial"/>
                <w:rtl w:val="0"/>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r>
              <w:rPr>
                <w:rFonts w:ascii="Arial" w:cs="Arial" w:hAnsi="Arial" w:eastAsia="Arial"/>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with an exceptionally high level of professionalism, highly suitable for the audience. </w:t>
            </w:r>
          </w:p>
          <w:p>
            <w:pPr>
              <w:pStyle w:val="Body"/>
              <w:bidi w:val="0"/>
              <w:ind w:left="0" w:right="0" w:firstLine="0"/>
              <w:jc w:val="left"/>
              <w:rPr>
                <w:rtl w:val="0"/>
              </w:rPr>
            </w:pPr>
            <w:r>
              <w:rPr>
                <w:rFonts w:ascii="Arial" w:hAnsi="Arial"/>
                <w:rtl w:val="0"/>
                <w:lang w:val="en-US"/>
              </w:rPr>
              <w:t>Work is exceptionally coherent, very fluent and is presented professionally. Can work exceptionally well within a team, showing leadership skills.</w:t>
            </w:r>
            <w:r>
              <w:rPr>
                <w:rFonts w:ascii="Times New Roman" w:hAnsi="Times New Roman"/>
                <w:rtl w:val="0"/>
                <w:lang w:val="en-US"/>
              </w:rPr>
              <w:t xml:space="preserve"> </w:t>
            </w:r>
            <w:r>
              <w:rPr>
                <w:rFonts w:ascii="Arial" w:hAnsi="Arial"/>
                <w:rtl w:val="0"/>
                <w:lang w:val="en-US"/>
              </w:rPr>
              <w:t>Demonstrates exceptional skills for employment requiring the exercise of personal responsibility and decision-making and an appetite for further development.</w:t>
            </w:r>
          </w:p>
        </w:tc>
      </w:tr>
    </w:tbl>
    <w:p>
      <w:pPr>
        <w:pStyle w:val="Body"/>
        <w:widowControl w:val="0"/>
        <w:rPr>
          <w:rFonts w:ascii="Arial" w:cs="Arial" w:hAnsi="Arial" w:eastAsia="Arial"/>
        </w:rPr>
      </w:pPr>
    </w:p>
    <w:p>
      <w:pPr>
        <w:pStyle w:val="Body"/>
        <w:rPr>
          <w:rFonts w:ascii="Arial" w:cs="Arial" w:hAnsi="Arial" w:eastAsia="Arial"/>
        </w:rPr>
      </w:pPr>
    </w:p>
    <w:p>
      <w:pPr>
        <w:pStyle w:val="Normal (Web)"/>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p>
      <w:pPr>
        <w:pStyle w:val="Body"/>
        <w:spacing w:line="360" w:lineRule="auto"/>
        <w:ind w:left="720" w:firstLine="0"/>
        <w:rPr>
          <w:sz w:val="24"/>
          <w:szCs w:val="24"/>
        </w:rPr>
      </w:pPr>
      <w:r>
        <w:rPr>
          <w:sz w:val="24"/>
          <w:szCs w:val="24"/>
          <w:rtl w:val="0"/>
          <w:lang w:val="en-US"/>
        </w:rPr>
        <w:t>In this assignment the point that will be discussed is the importance and effectiveness of developing Assessment for Learning (AFL) within a primary school. There will also be a critical analysis of personal implementation of one AFL strategy from Professional Teaching Practice (PTE).</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Assessment for Learning is a skill that teachers need to be able to create constructive feedback for pupils to improve their learning in the future (Cambridge Assessment International Education, Unknown). There is also a great emphasis on </w:t>
      </w:r>
      <w:r>
        <w:rPr>
          <w:sz w:val="24"/>
          <w:szCs w:val="24"/>
          <w:rtl w:val="0"/>
          <w:lang w:val="en-US"/>
        </w:rPr>
        <w:t>‘</w:t>
      </w:r>
      <w:r>
        <w:rPr>
          <w:sz w:val="24"/>
          <w:szCs w:val="24"/>
          <w:rtl w:val="0"/>
          <w:lang w:val="en-US"/>
        </w:rPr>
        <w:t>closing the gap</w:t>
      </w:r>
      <w:r>
        <w:rPr>
          <w:sz w:val="24"/>
          <w:szCs w:val="24"/>
          <w:rtl w:val="0"/>
          <w:lang w:val="en-US"/>
        </w:rPr>
        <w:t xml:space="preserve">’ </w:t>
      </w:r>
      <w:r>
        <w:rPr>
          <w:sz w:val="24"/>
          <w:szCs w:val="24"/>
          <w:rtl w:val="0"/>
          <w:lang w:val="en-US"/>
        </w:rPr>
        <w:t xml:space="preserve">when anyone makes reference to AFL. The main reason behind this is so that the higher attaining pupils keep progressing but also the lower attaining pupils progress without hindering any other progression throughout the classroom. Andrews, Robinson and Hutchinson (2017) agree that there is a need in education for action to be taken in </w:t>
      </w:r>
      <w:r>
        <w:rPr>
          <w:sz w:val="24"/>
          <w:szCs w:val="24"/>
          <w:rtl w:val="0"/>
          <w:lang w:val="en-US"/>
        </w:rPr>
        <w:t>‘</w:t>
      </w:r>
      <w:r>
        <w:rPr>
          <w:sz w:val="24"/>
          <w:szCs w:val="24"/>
          <w:rtl w:val="0"/>
          <w:lang w:val="en-US"/>
        </w:rPr>
        <w:t>closing the gap</w:t>
      </w:r>
      <w:r>
        <w:rPr>
          <w:sz w:val="24"/>
          <w:szCs w:val="24"/>
          <w:rtl w:val="0"/>
          <w:lang w:val="en-US"/>
        </w:rPr>
        <w:t>’</w:t>
      </w:r>
      <w:r>
        <w:rPr>
          <w:sz w:val="24"/>
          <w:szCs w:val="24"/>
          <w:rtl w:val="0"/>
          <w:lang w:val="en-US"/>
        </w:rPr>
        <w:t xml:space="preserve">. They say that the gap in attainment level is closing, however it is very slow and inconsistent even though there has been a large investment from the government.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AFL is not to be mistaken for Assessment of Learning (AOL); they can both be used to evaluate a students learning. AFL is a form of formative assessment which is </w:t>
      </w:r>
      <w:r>
        <w:rPr>
          <w:sz w:val="24"/>
          <w:szCs w:val="24"/>
          <w:rtl w:val="0"/>
          <w:lang w:val="en-US"/>
        </w:rPr>
        <w:t>used to monitor student</w:t>
      </w:r>
      <w:r>
        <w:rPr>
          <w:sz w:val="24"/>
          <w:szCs w:val="24"/>
          <w:rtl w:val="0"/>
        </w:rPr>
        <w:t>’</w:t>
      </w:r>
      <w:r>
        <w:rPr>
          <w:sz w:val="24"/>
          <w:szCs w:val="24"/>
          <w:rtl w:val="0"/>
          <w:lang w:val="en-US"/>
        </w:rPr>
        <w:t xml:space="preserve">s learning </w:t>
      </w:r>
      <w:r>
        <w:rPr>
          <w:sz w:val="24"/>
          <w:szCs w:val="24"/>
          <w:rtl w:val="0"/>
          <w:lang w:val="en-US"/>
        </w:rPr>
        <w:t>and</w:t>
      </w:r>
      <w:r>
        <w:rPr>
          <w:sz w:val="24"/>
          <w:szCs w:val="24"/>
          <w:rtl w:val="0"/>
          <w:lang w:val="en-US"/>
        </w:rPr>
        <w:t xml:space="preserve"> provide ongoing feedback</w:t>
      </w:r>
      <w:r>
        <w:rPr>
          <w:sz w:val="24"/>
          <w:szCs w:val="24"/>
          <w:rtl w:val="0"/>
          <w:lang w:val="en-US"/>
        </w:rPr>
        <w:t xml:space="preserve"> through different strategies. Where as AOL is a form of summative assessment which </w:t>
      </w:r>
      <w:r>
        <w:rPr>
          <w:sz w:val="24"/>
          <w:szCs w:val="24"/>
          <w:rtl w:val="0"/>
          <w:lang w:val="en-US"/>
        </w:rPr>
        <w:t xml:space="preserve">is used to evaluate </w:t>
      </w:r>
      <w:r>
        <w:rPr>
          <w:sz w:val="24"/>
          <w:szCs w:val="24"/>
          <w:rtl w:val="0"/>
          <w:lang w:val="en-US"/>
        </w:rPr>
        <w:t xml:space="preserve">a </w:t>
      </w:r>
      <w:r>
        <w:rPr>
          <w:sz w:val="24"/>
          <w:szCs w:val="24"/>
          <w:rtl w:val="0"/>
        </w:rPr>
        <w:t>student</w:t>
      </w:r>
      <w:r>
        <w:rPr>
          <w:sz w:val="24"/>
          <w:szCs w:val="24"/>
          <w:rtl w:val="0"/>
        </w:rPr>
        <w:t>’</w:t>
      </w:r>
      <w:r>
        <w:rPr>
          <w:sz w:val="24"/>
          <w:szCs w:val="24"/>
          <w:rtl w:val="0"/>
          <w:lang w:val="en-US"/>
        </w:rPr>
        <w:t>s learning at the end of an instructional unit by comparing it against some standard or benchmark.</w:t>
      </w:r>
      <w:r>
        <w:rPr>
          <w:sz w:val="24"/>
          <w:szCs w:val="24"/>
          <w:rtl w:val="0"/>
          <w:lang w:val="en-US"/>
        </w:rPr>
        <w:t xml:space="preserve"> OFSTED (1998) explain that assessment should be used to improve standards and not just to measure them.</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Two experts currently leading the field in AFL are Black and Wiliam (1998). This report has had a drastic impact in how AFL is looked at within the education sector, including how it is used and why. There are four key recommendations that can be found in this book which can be broken down in to feedback, questioning, peer/self-assessment and success criteria. Using these recommendations schools around the world should have a much greater understanding of how to improve and increase a child</w:t>
      </w:r>
      <w:r>
        <w:rPr>
          <w:sz w:val="24"/>
          <w:szCs w:val="24"/>
          <w:rtl w:val="0"/>
          <w:lang w:val="en-US"/>
        </w:rPr>
        <w:t>’</w:t>
      </w:r>
      <w:r>
        <w:rPr>
          <w:sz w:val="24"/>
          <w:szCs w:val="24"/>
          <w:rtl w:val="0"/>
          <w:lang w:val="en-US"/>
        </w:rPr>
        <w:t xml:space="preserve">s knowledge. They also make reference to how much AFL raised standards for lower-attaining pupils. Both Black and Wiliam (1998) and Fuchs et al. (1997) argue that constant feedback of assessment aids all attainment levels in enhancing their learning. Considering these points it is evident that AFL would be favourable throughout any school that is trying to </w:t>
      </w:r>
      <w:r>
        <w:rPr>
          <w:sz w:val="24"/>
          <w:szCs w:val="24"/>
          <w:rtl w:val="0"/>
          <w:lang w:val="en-US"/>
        </w:rPr>
        <w:t>‘</w:t>
      </w:r>
      <w:r>
        <w:rPr>
          <w:sz w:val="24"/>
          <w:szCs w:val="24"/>
          <w:rtl w:val="0"/>
          <w:lang w:val="en-US"/>
        </w:rPr>
        <w:t>close the gap</w:t>
      </w:r>
      <w:r>
        <w:rPr>
          <w:sz w:val="24"/>
          <w:szCs w:val="24"/>
          <w:rtl w:val="0"/>
          <w:lang w:val="en-US"/>
        </w:rPr>
        <w:t>’</w:t>
      </w:r>
      <w:r>
        <w:rPr>
          <w:sz w:val="24"/>
          <w:szCs w:val="24"/>
          <w:rtl w:val="0"/>
          <w:lang w:val="en-US"/>
        </w:rPr>
        <w:t xml:space="preserve">.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Throughout a school it is important that the environment is inclusive to learning and that the children are able to feel comfortable when there. One of the ways in which this can be aided is by turning negative phrases in to positives. This is a simple trick but is very effective and will benefit any school that takes to this. Wright (2006) expresses the children can only remember negative comments are not getting much in the way of positive reinforcement. All schools should </w:t>
      </w:r>
      <w:r>
        <w:rPr>
          <w:sz w:val="24"/>
          <w:szCs w:val="24"/>
          <w:rtl w:val="0"/>
          <w:lang w:val="en-US"/>
        </w:rPr>
        <w:t>“</w:t>
      </w:r>
      <w:r>
        <w:rPr>
          <w:sz w:val="24"/>
          <w:szCs w:val="24"/>
          <w:rtl w:val="0"/>
          <w:lang w:val="en-US"/>
        </w:rPr>
        <w:t>Turn don</w:t>
      </w:r>
      <w:r>
        <w:rPr>
          <w:sz w:val="24"/>
          <w:szCs w:val="24"/>
          <w:rtl w:val="0"/>
          <w:lang w:val="en-US"/>
        </w:rPr>
        <w:t>’</w:t>
      </w:r>
      <w:r>
        <w:rPr>
          <w:sz w:val="24"/>
          <w:szCs w:val="24"/>
          <w:rtl w:val="0"/>
          <w:lang w:val="en-US"/>
        </w:rPr>
        <w:t>ts</w:t>
      </w:r>
      <w:r>
        <w:rPr>
          <w:sz w:val="24"/>
          <w:szCs w:val="24"/>
          <w:rtl w:val="0"/>
          <w:lang w:val="en-US"/>
        </w:rPr>
        <w:t xml:space="preserve">’ </w:t>
      </w:r>
      <w:r>
        <w:rPr>
          <w:sz w:val="24"/>
          <w:szCs w:val="24"/>
          <w:rtl w:val="0"/>
          <w:lang w:val="en-US"/>
        </w:rPr>
        <w:t xml:space="preserve">into </w:t>
      </w:r>
      <w:r>
        <w:rPr>
          <w:sz w:val="24"/>
          <w:szCs w:val="24"/>
          <w:rtl w:val="0"/>
          <w:lang w:val="en-US"/>
        </w:rPr>
        <w:t>‘</w:t>
      </w:r>
      <w:r>
        <w:rPr>
          <w:sz w:val="24"/>
          <w:szCs w:val="24"/>
          <w:rtl w:val="0"/>
          <w:lang w:val="en-US"/>
        </w:rPr>
        <w:t>Dos</w:t>
      </w:r>
      <w:r>
        <w:rPr>
          <w:sz w:val="24"/>
          <w:szCs w:val="24"/>
          <w:rtl w:val="0"/>
          <w:lang w:val="en-US"/>
        </w:rPr>
        <w:t xml:space="preserve">’” </w:t>
      </w:r>
      <w:r>
        <w:rPr>
          <w:sz w:val="24"/>
          <w:szCs w:val="24"/>
          <w:rtl w:val="0"/>
          <w:lang w:val="en-US"/>
        </w:rPr>
        <w:t xml:space="preserve">(Wright 2006, p73). This in itself makes it possible for a school to create a conductive climate for the children. An expert that also has similar idea regarding positive reinforcement in Carol Dweck. She argues that learners that are used to achieving highly tend to avoid taking risks because the are scared of making mistakes. Dweck too believes that schools need to harbour a positive learning environment that allows every pupil reach their maximum potential. She refers to this belief as a </w:t>
      </w:r>
      <w:r>
        <w:rPr>
          <w:sz w:val="24"/>
          <w:szCs w:val="24"/>
          <w:rtl w:val="0"/>
          <w:lang w:val="en-US"/>
        </w:rPr>
        <w:t>‘</w:t>
      </w:r>
      <w:r>
        <w:rPr>
          <w:sz w:val="24"/>
          <w:szCs w:val="24"/>
          <w:rtl w:val="0"/>
          <w:lang w:val="en-US"/>
        </w:rPr>
        <w:t>Growth Mindset</w:t>
      </w:r>
      <w:r>
        <w:rPr>
          <w:sz w:val="24"/>
          <w:szCs w:val="24"/>
          <w:rtl w:val="0"/>
          <w:lang w:val="en-US"/>
        </w:rPr>
        <w:t>’</w:t>
      </w:r>
      <w:r>
        <w:rPr>
          <w:sz w:val="24"/>
          <w:szCs w:val="24"/>
          <w:rtl w:val="0"/>
          <w:lang w:val="en-US"/>
        </w:rPr>
        <w:t xml:space="preserve">. Schools need to foster their children in to being individuals with growth mindsets instead of fixed mindsets. One recommendation to encourage this type of mindset is for the class teacher to praise effort rather than intelligence. This means that no matter the attainment level of child they will have the courage in the future to try their best. </w:t>
      </w:r>
    </w:p>
    <w:p>
      <w:pPr>
        <w:pStyle w:val="Body"/>
        <w:spacing w:line="360" w:lineRule="auto"/>
        <w:ind w:left="720" w:firstLine="0"/>
        <w:rPr>
          <w:sz w:val="24"/>
          <w:szCs w:val="24"/>
          <w:u w:val="single"/>
        </w:rPr>
      </w:pPr>
    </w:p>
    <w:p>
      <w:pPr>
        <w:pStyle w:val="Body"/>
        <w:spacing w:line="360" w:lineRule="auto"/>
        <w:ind w:left="720" w:firstLine="0"/>
        <w:rPr>
          <w:sz w:val="24"/>
          <w:szCs w:val="24"/>
        </w:rPr>
      </w:pPr>
      <w:r>
        <w:rPr>
          <w:sz w:val="24"/>
          <w:szCs w:val="24"/>
          <w:rtl w:val="0"/>
          <w:lang w:val="en-US"/>
        </w:rPr>
        <w:t>In recent years there has been a lot of research around the benefits of AFL and whether or not it works. One way of looking at it is improving test scores. According to (Black et al.  2011) there is a mass of evidence suggesting that the changes involving AFL will raise the scores of students on normal conventional tests. At a time where statistics are such a value, it would be a mistake not to implement any AFL throughout a school. One such element that has been recognised to make  a positive impact to a child</w:t>
      </w:r>
      <w:r>
        <w:rPr>
          <w:sz w:val="24"/>
          <w:szCs w:val="24"/>
          <w:rtl w:val="0"/>
          <w:lang w:val="en-US"/>
        </w:rPr>
        <w:t>’</w:t>
      </w:r>
      <w:r>
        <w:rPr>
          <w:sz w:val="24"/>
          <w:szCs w:val="24"/>
          <w:rtl w:val="0"/>
          <w:lang w:val="en-US"/>
        </w:rPr>
        <w:t>s learning is feedback which could include verbal or non-verbal. Hattie (2010) and Black et al. (2002) agree that if feedback is given in the correct manner it will have an advantageous effect on the learners. Furthermore, Black et al. (2002) further discuss that if feedback is concise and delivered in an appropriate manner this can be more beneficial than giving a large quantity. Even though these experts express the positives of feedback, one individual that disagrees with this is Butler (1988). He explains that pupils</w:t>
      </w:r>
      <w:r>
        <w:rPr>
          <w:sz w:val="24"/>
          <w:szCs w:val="24"/>
          <w:rtl w:val="0"/>
          <w:lang w:val="en-US"/>
        </w:rPr>
        <w:t xml:space="preserve">’ </w:t>
      </w:r>
      <w:r>
        <w:rPr>
          <w:sz w:val="24"/>
          <w:szCs w:val="24"/>
          <w:rtl w:val="0"/>
          <w:lang w:val="en-US"/>
        </w:rPr>
        <w:t xml:space="preserve">learning can be improved using comments but including any grading or scoring can have a greatly negative effect. This is due to the pupils ignoring any feedback comments made by the teacher when scoring was involved. </w:t>
      </w:r>
    </w:p>
    <w:p>
      <w:pPr>
        <w:pStyle w:val="Body"/>
        <w:spacing w:line="360" w:lineRule="auto"/>
        <w:ind w:left="720" w:firstLine="0"/>
        <w:rPr>
          <w:sz w:val="24"/>
          <w:szCs w:val="24"/>
          <w:u w:val="single"/>
        </w:rPr>
      </w:pPr>
    </w:p>
    <w:p>
      <w:pPr>
        <w:pStyle w:val="Body"/>
        <w:spacing w:line="360" w:lineRule="auto"/>
        <w:ind w:left="720" w:firstLine="0"/>
        <w:rPr>
          <w:sz w:val="24"/>
          <w:szCs w:val="24"/>
        </w:rPr>
      </w:pPr>
      <w:r>
        <w:rPr>
          <w:sz w:val="24"/>
          <w:szCs w:val="24"/>
          <w:rtl w:val="0"/>
          <w:lang w:val="en-US"/>
        </w:rPr>
        <w:t xml:space="preserve">The AFL strategy that will be the focal point of this essay is WALT and WILF which was implemented in the Foundation Phase. This strategy aims to set out the learning objectives right at the start of a lesson. According to the </w:t>
      </w:r>
      <w:r>
        <w:rPr>
          <w:sz w:val="24"/>
          <w:szCs w:val="24"/>
          <w:rtl w:val="0"/>
          <w:lang w:val="en-US"/>
        </w:rPr>
        <w:t>Department for Children , Schools and Families (2007)</w:t>
      </w:r>
      <w:r>
        <w:rPr>
          <w:sz w:val="24"/>
          <w:szCs w:val="24"/>
          <w:rtl w:val="0"/>
          <w:lang w:val="en-US"/>
        </w:rPr>
        <w:t>, l</w:t>
      </w:r>
      <w:r>
        <w:rPr>
          <w:sz w:val="24"/>
          <w:szCs w:val="24"/>
          <w:rtl w:val="0"/>
          <w:lang w:val="en-US"/>
        </w:rPr>
        <w:t xml:space="preserve">earning outcomes and objectives are a crucial part </w:t>
      </w:r>
      <w:r>
        <w:rPr>
          <w:sz w:val="24"/>
          <w:szCs w:val="24"/>
          <w:rtl w:val="0"/>
          <w:lang w:val="en-US"/>
        </w:rPr>
        <w:t>in</w:t>
      </w:r>
      <w:r>
        <w:rPr>
          <w:sz w:val="24"/>
          <w:szCs w:val="24"/>
          <w:rtl w:val="0"/>
        </w:rPr>
        <w:t xml:space="preserve"> </w:t>
      </w:r>
      <w:r>
        <w:rPr>
          <w:sz w:val="24"/>
          <w:szCs w:val="24"/>
          <w:rtl w:val="0"/>
          <w:lang w:val="en-US"/>
        </w:rPr>
        <w:t xml:space="preserve">planning </w:t>
      </w:r>
      <w:r>
        <w:rPr>
          <w:sz w:val="24"/>
          <w:szCs w:val="24"/>
          <w:rtl w:val="0"/>
          <w:lang w:val="en-US"/>
        </w:rPr>
        <w:t>and delivering</w:t>
      </w:r>
      <w:r>
        <w:rPr>
          <w:sz w:val="24"/>
          <w:szCs w:val="24"/>
          <w:rtl w:val="0"/>
          <w:lang w:val="en-US"/>
        </w:rPr>
        <w:t xml:space="preserve"> and effective lesson.  The main AFL element this strategy falls in to is sharing the success criteria. As Black (2003) explains, by sharing the learning objectives with the learners it helped them make a decision on what improvements can be made to their work next time. Whilst taking this into consideration Pollard (2104) warns that learning objectives should not be shared for the sake of it. He in fact believes pupils must be included in the process so that it is effective in AFL. This coincides with the ideas that Professor Graham Donaldson expresses in his critical analysis of the Curriculum in Wales, </w:t>
      </w:r>
      <w:r>
        <w:rPr>
          <w:i w:val="1"/>
          <w:iCs w:val="1"/>
          <w:sz w:val="24"/>
          <w:szCs w:val="24"/>
          <w:rtl w:val="0"/>
          <w:lang w:val="en-US"/>
        </w:rPr>
        <w:t xml:space="preserve">Successful Futures. </w:t>
      </w:r>
      <w:r>
        <w:rPr>
          <w:sz w:val="24"/>
          <w:szCs w:val="24"/>
          <w:rtl w:val="0"/>
          <w:lang w:val="en-US"/>
        </w:rPr>
        <w:t xml:space="preserve">Within this document he states that teachers need to </w:t>
      </w:r>
      <w:r>
        <w:rPr>
          <w:sz w:val="24"/>
          <w:szCs w:val="24"/>
          <w:rtl w:val="0"/>
          <w:lang w:val="en-US"/>
        </w:rPr>
        <w:t>“</w:t>
      </w:r>
      <w:r>
        <w:rPr>
          <w:sz w:val="24"/>
          <w:szCs w:val="24"/>
          <w:rtl w:val="0"/>
          <w:lang w:val="en-US"/>
        </w:rPr>
        <w:t>E</w:t>
      </w:r>
      <w:r>
        <w:rPr>
          <w:sz w:val="24"/>
          <w:szCs w:val="24"/>
          <w:rtl w:val="0"/>
          <w:lang w:val="en-US"/>
        </w:rPr>
        <w:t>ngage students in their own assessment</w:t>
      </w:r>
      <w:r>
        <w:rPr>
          <w:sz w:val="24"/>
          <w:szCs w:val="24"/>
          <w:rtl w:val="0"/>
          <w:lang w:val="en-US"/>
        </w:rPr>
        <w:t xml:space="preserve">” </w:t>
      </w:r>
      <w:r>
        <w:rPr>
          <w:sz w:val="24"/>
          <w:szCs w:val="24"/>
          <w:rtl w:val="0"/>
          <w:lang w:val="en-US"/>
        </w:rPr>
        <w:t xml:space="preserve">(Donaldson 2017, p74).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The strategy in question has strong links to a constructivist approach as the pupils themselves are able to gain knowledge from the learning objective. As well as this, if children are able to have an input into the success criteria/ learning objective they are much more likely to understand what is asked of them through subjective representation. A visual learning objective allows children to make their own decision on how they would carry out the activity. James (2006, p55) states that experts organise knowledge in a way that makes it more retrievable and useful for others. This supports the idea that a good practitioner is able to make the pupils understand what is asked for them within a lesson and how they can complete it to a high standard. It could also be argued that this AFL strategy could be looked at in a behaviourist manner. One way in which this was observed during PTE was in the use of a multi-plenary approach by the classroom teacher. This technique showed the teacher asking pupils to reflect on what it is they are doing as well and how it has helped them achieve their goal (</w:t>
      </w:r>
      <w:r>
        <w:rPr>
          <w:sz w:val="24"/>
          <w:szCs w:val="24"/>
          <w:rtl w:val="0"/>
          <w:lang w:val="en-US"/>
        </w:rPr>
        <w:t>Smith and Gilbert 2010)</w:t>
      </w:r>
      <w:r>
        <w:rPr>
          <w:sz w:val="24"/>
          <w:szCs w:val="24"/>
          <w:rtl w:val="0"/>
          <w:lang w:val="en-US"/>
        </w:rPr>
        <w:t xml:space="preserve">. Smith and Gilbert (2010) also make reference to </w:t>
      </w:r>
      <w:r>
        <w:rPr>
          <w:sz w:val="24"/>
          <w:szCs w:val="24"/>
          <w:rtl w:val="0"/>
          <w:lang w:val="en-US"/>
        </w:rPr>
        <w:t>‘</w:t>
      </w:r>
      <w:r>
        <w:rPr>
          <w:sz w:val="24"/>
          <w:szCs w:val="24"/>
          <w:rtl w:val="0"/>
          <w:lang w:val="en-US"/>
        </w:rPr>
        <w:t>Learning Loops</w:t>
      </w:r>
      <w:r>
        <w:rPr>
          <w:sz w:val="24"/>
          <w:szCs w:val="24"/>
          <w:rtl w:val="0"/>
          <w:lang w:val="en-US"/>
        </w:rPr>
        <w:t>’</w:t>
      </w:r>
      <w:r>
        <w:rPr>
          <w:sz w:val="24"/>
          <w:szCs w:val="24"/>
          <w:rtl w:val="0"/>
          <w:lang w:val="en-US"/>
        </w:rPr>
        <w:t>, which is where the behaviourist approach comes in to it. John Watson believed that repetition is key to a child</w:t>
      </w:r>
      <w:r>
        <w:rPr>
          <w:sz w:val="24"/>
          <w:szCs w:val="24"/>
          <w:rtl w:val="0"/>
          <w:lang w:val="en-US"/>
        </w:rPr>
        <w:t>’</w:t>
      </w:r>
      <w:r>
        <w:rPr>
          <w:sz w:val="24"/>
          <w:szCs w:val="24"/>
          <w:rtl w:val="0"/>
          <w:lang w:val="en-US"/>
        </w:rPr>
        <w:t xml:space="preserve">s development because they are able to gain a better knowledge of a subject.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Allowing the children to have an input in the success criteria gives the children opportunity to have their voice heard. In a report carried out by Estyn (2018), the main findings of this were that with greater participation in lessons and planning meant there were improvements in health, wellbeing, engagement and behaviour. This suggests that children are more interested in what they are doing when they get to have an input because they have shared their knowledge of what they already know.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Whilst this strategy had been implemented within the Foundation Phase it became evident that the strategy had both positive and negative aspects to it. Looking at this approach from a pupils point of view, it gave pupils a clear learning outcome as suggested by Kerry (2002). This means that the children will have a much clearer vision of what they will need to do in order to complete the task successfully. This strategy also promotes independent learning as it allows the pupils to identify which skills they will need to learn. Moreover, Smith and Gilbert (2010) suggest that this enhances a pupils ability to work both curricular and cross-curricular. Two experts that agree with this suggestion are Donaldson (2015) and Barnes (2006), who both promote a cross-cross-curricular approach as it develops a child holistically, preparing them for the outside world.</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An inclusive way of introducing this strategy to a class is to use language that the children are familiar with. By using language that the children are familiar with means that they are able to make sense of it with more ease. Reiterating what Smith and Gilbert (2010) have expressed the use of student friendly language is key. Furthermore, They also believe that a practitioner should not just leave reflection for the end of the lesson but should be revisited and revised throughout.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One draw back to this strategy that was observed was that if not implemented correctly it would make a lesson boring and would make the children unengaged. Expressed by Black et al., (2003) learners get a lot more pleasure out of learning when they ave a better understanding of what they are being taught. This said, when observed, the strategy was not implemented correctly which meant children were not interested in the lesson and the teacher could not gain control of the class.</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Whilst this strategy worked well in the Foundation Phase it is apparent that it could be implemented well throughout the whole school. If it was used in a Key Stage Two environment there would have to be some changes made so that it can be used effectively. One recommendation for this would be that the language used would be of a higher order as the children</w:t>
      </w:r>
      <w:r>
        <w:rPr>
          <w:sz w:val="24"/>
          <w:szCs w:val="24"/>
          <w:rtl w:val="0"/>
          <w:lang w:val="en-US"/>
        </w:rPr>
        <w:t>’</w:t>
      </w:r>
      <w:r>
        <w:rPr>
          <w:sz w:val="24"/>
          <w:szCs w:val="24"/>
          <w:rtl w:val="0"/>
          <w:lang w:val="en-US"/>
        </w:rPr>
        <w:t>s knowledge of a subject would be far greater. Another recommendation for this strategy to be used in Key Stage Two is that the learning objective needs to be in more depth and that also the success criteria could have less steps which go in to more depth. This would be because it promotes a more independent learning opportunity for the pupils. This means that the children would have more of a desire to find out what they need to know.</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To summarise, after discussing all these points it is evident that AFL is a necessity for any school if they are to help learners achieve their maximum potential. Black and William (1998) have a mass of evidence that show the benefits of implementing effective AFL, alongside a positive climate within the school can pay major dividends in the future.</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Body"/>
        <w:spacing w:line="360" w:lineRule="auto"/>
        <w:ind w:left="720" w:firstLine="0"/>
        <w:rPr>
          <w:sz w:val="24"/>
          <w:szCs w:val="24"/>
          <w:u w:val="single"/>
        </w:rPr>
      </w:pPr>
      <w:r>
        <w:rPr>
          <w:sz w:val="24"/>
          <w:szCs w:val="24"/>
          <w:u w:val="single"/>
          <w:rtl w:val="0"/>
          <w:lang w:val="en-US"/>
        </w:rPr>
        <w:t>Reference List</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Andrews, Robinson and Hutchinson (2017)</w:t>
      </w:r>
      <w:r>
        <w:rPr>
          <w:i w:val="1"/>
          <w:iCs w:val="1"/>
          <w:sz w:val="24"/>
          <w:szCs w:val="24"/>
          <w:rtl w:val="0"/>
          <w:lang w:val="en-US"/>
        </w:rPr>
        <w:t xml:space="preserve"> </w:t>
      </w:r>
      <w:r>
        <w:rPr>
          <w:i w:val="1"/>
          <w:iCs w:val="1"/>
          <w:sz w:val="24"/>
          <w:szCs w:val="24"/>
          <w:rtl w:val="0"/>
          <w:lang w:val="en-US"/>
        </w:rPr>
        <w:t>Closing the Gap? Trends in Educational Attainment and Disadvantage</w:t>
      </w:r>
      <w:r>
        <w:rPr>
          <w:i w:val="1"/>
          <w:iCs w:val="1"/>
          <w:sz w:val="24"/>
          <w:szCs w:val="24"/>
          <w:rtl w:val="0"/>
          <w:lang w:val="en-US"/>
        </w:rPr>
        <w:t xml:space="preserve">. </w:t>
      </w:r>
      <w:r>
        <w:rPr>
          <w:sz w:val="24"/>
          <w:szCs w:val="24"/>
          <w:rtl w:val="0"/>
          <w:lang w:val="en-US"/>
        </w:rPr>
        <w:t>Education Policy Institute.</w:t>
      </w:r>
    </w:p>
    <w:p>
      <w:pPr>
        <w:pStyle w:val="Body"/>
        <w:spacing w:line="360" w:lineRule="auto"/>
        <w:ind w:left="720" w:firstLine="0"/>
        <w:rPr>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Assessment Reform Group (1999) </w:t>
      </w:r>
      <w:r>
        <w:rPr>
          <w:rFonts w:ascii="Times New Roman" w:hAnsi="Times New Roman"/>
          <w:i w:val="1"/>
          <w:iCs w:val="1"/>
          <w:sz w:val="24"/>
          <w:szCs w:val="24"/>
          <w:shd w:val="clear" w:color="auto" w:fill="ffffff"/>
          <w:rtl w:val="0"/>
          <w:lang w:val="en-US"/>
        </w:rPr>
        <w:t>Assessment for learning: beyond the black box</w:t>
      </w:r>
      <w:r>
        <w:rPr>
          <w:rFonts w:ascii="Times New Roman" w:hAnsi="Times New Roman"/>
          <w:sz w:val="24"/>
          <w:szCs w:val="24"/>
          <w:shd w:val="clear" w:color="auto" w:fill="ffffff"/>
          <w:rtl w:val="0"/>
        </w:rPr>
        <w:t>.</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University of Cambridge, Faculty of Education.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fr-FR"/>
        </w:rPr>
        <w:t>Barnes, J</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rPr>
        <w:t xml:space="preserve">(2015). </w:t>
      </w:r>
      <w:r>
        <w:rPr>
          <w:rFonts w:ascii="Times New Roman" w:hAnsi="Times New Roman"/>
          <w:i w:val="1"/>
          <w:iCs w:val="1"/>
          <w:sz w:val="24"/>
          <w:szCs w:val="24"/>
          <w:shd w:val="clear" w:color="auto" w:fill="ffffff"/>
          <w:rtl w:val="0"/>
          <w:lang w:val="en-US"/>
        </w:rPr>
        <w:t>An Introduction to Cross-Curricular Learning</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SAGE.</w:t>
      </w:r>
    </w:p>
    <w:p>
      <w:pPr>
        <w:pStyle w:val="Body"/>
        <w:spacing w:line="360" w:lineRule="auto"/>
        <w:ind w:left="720" w:firstLine="0"/>
        <w:rPr>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Black</w:t>
      </w:r>
      <w:r>
        <w:rPr>
          <w:rFonts w:ascii="Times New Roman" w:hAnsi="Times New Roman"/>
          <w:sz w:val="24"/>
          <w:szCs w:val="24"/>
          <w:shd w:val="clear" w:color="auto" w:fill="ffffff"/>
          <w:rtl w:val="0"/>
          <w:lang w:val="en-US"/>
        </w:rPr>
        <w:t xml:space="preserve"> et al</w:t>
      </w:r>
      <w:r>
        <w:rPr>
          <w:rFonts w:ascii="Times New Roman" w:hAnsi="Times New Roman"/>
          <w:sz w:val="24"/>
          <w:szCs w:val="24"/>
          <w:shd w:val="clear" w:color="auto" w:fill="ffffff"/>
          <w:rtl w:val="0"/>
        </w:rPr>
        <w:t xml:space="preserve">. (2002) </w:t>
      </w:r>
      <w:r>
        <w:rPr>
          <w:rFonts w:ascii="Times New Roman" w:hAnsi="Times New Roman"/>
          <w:i w:val="1"/>
          <w:iCs w:val="1"/>
          <w:sz w:val="24"/>
          <w:szCs w:val="24"/>
          <w:shd w:val="clear" w:color="auto" w:fill="ffffff"/>
          <w:rtl w:val="0"/>
          <w:lang w:val="en-US"/>
        </w:rPr>
        <w:t>Working inside the black box</w:t>
      </w:r>
      <w:r>
        <w:rPr>
          <w:rFonts w:ascii="Times New Roman" w:hAnsi="Times New Roman"/>
          <w:sz w:val="24"/>
          <w:szCs w:val="24"/>
          <w:shd w:val="clear" w:color="auto" w:fill="ffffff"/>
          <w:rtl w:val="0"/>
          <w:lang w:val="en-US"/>
        </w:rPr>
        <w:t>. London: King's College London.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1"/>
          <w:iCs w:val="1"/>
          <w:sz w:val="24"/>
          <w:szCs w:val="24"/>
          <w:shd w:val="clear" w:color="auto" w:fill="ffffff"/>
          <w:rtl w:val="0"/>
        </w:rPr>
        <w:tab/>
      </w:r>
      <w:r>
        <w:rPr>
          <w:rFonts w:ascii="Times New Roman" w:hAnsi="Times New Roman"/>
          <w:i w:val="0"/>
          <w:iCs w:val="0"/>
          <w:sz w:val="24"/>
          <w:szCs w:val="24"/>
          <w:shd w:val="clear" w:color="auto" w:fill="ffffff"/>
          <w:rtl w:val="0"/>
          <w:lang w:val="en-US"/>
        </w:rPr>
        <w:t>Black, P., (2003)</w:t>
      </w:r>
      <w:r>
        <w:rPr>
          <w:rFonts w:ascii="Times New Roman" w:hAnsi="Times New Roman" w:hint="default"/>
          <w:i w:val="0"/>
          <w:iCs w:val="0"/>
          <w:sz w:val="24"/>
          <w:szCs w:val="24"/>
          <w:shd w:val="clear" w:color="auto" w:fill="ffffff"/>
          <w:rtl w:val="0"/>
        </w:rPr>
        <w:t> </w:t>
      </w:r>
      <w:r>
        <w:rPr>
          <w:rFonts w:ascii="Times New Roman" w:hAnsi="Times New Roman"/>
          <w:i w:val="1"/>
          <w:iCs w:val="1"/>
          <w:sz w:val="24"/>
          <w:szCs w:val="24"/>
          <w:shd w:val="clear" w:color="auto" w:fill="ffffff"/>
          <w:rtl w:val="0"/>
          <w:lang w:val="en-US"/>
        </w:rPr>
        <w:t>Assessment for Learning: Putting it into practice,</w:t>
      </w:r>
      <w:r>
        <w:rPr>
          <w:rFonts w:ascii="Times New Roman" w:hAnsi="Times New Roman" w:hint="default"/>
          <w:i w:val="1"/>
          <w:iCs w:val="1"/>
          <w:sz w:val="24"/>
          <w:szCs w:val="24"/>
          <w:shd w:val="clear" w:color="auto" w:fill="ffffff"/>
          <w:rtl w:val="0"/>
        </w:rPr>
        <w:t> </w:t>
      </w:r>
      <w:r>
        <w:rPr>
          <w:rFonts w:ascii="Times New Roman" w:hAnsi="Times New Roman"/>
          <w:i w:val="0"/>
          <w:iCs w:val="0"/>
          <w:sz w:val="24"/>
          <w:szCs w:val="24"/>
          <w:shd w:val="clear" w:color="auto" w:fill="ffffff"/>
          <w:rtl w:val="0"/>
          <w:lang w:val="en-US"/>
        </w:rPr>
        <w:t>Maidenhead. Open</w:t>
      </w:r>
    </w:p>
    <w:p>
      <w:pPr>
        <w:pStyle w:val="Default"/>
        <w:bidi w:val="0"/>
        <w:spacing w:line="360" w:lineRule="auto"/>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rPr>
        <w:tab/>
      </w:r>
      <w:r>
        <w:rPr>
          <w:rFonts w:ascii="Times New Roman" w:hAnsi="Times New Roman"/>
          <w:i w:val="0"/>
          <w:iCs w:val="0"/>
          <w:sz w:val="24"/>
          <w:szCs w:val="24"/>
          <w:shd w:val="clear" w:color="auto" w:fill="ffffff"/>
          <w:rtl w:val="0"/>
          <w:lang w:val="en-US"/>
        </w:rPr>
        <w:t>University Press.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Black, P., Harrison, C., Lee, C., Marshall, B. and Wiliam, D. (2011) </w:t>
      </w:r>
      <w:r>
        <w:rPr>
          <w:rFonts w:ascii="Times New Roman" w:hAnsi="Times New Roman"/>
          <w:i w:val="1"/>
          <w:iCs w:val="1"/>
          <w:sz w:val="24"/>
          <w:szCs w:val="24"/>
          <w:shd w:val="clear" w:color="auto" w:fill="ffffff"/>
          <w:rtl w:val="0"/>
          <w:lang w:val="en-US"/>
        </w:rPr>
        <w:t xml:space="preserve">Assessment for </w:t>
      </w:r>
      <w:r>
        <w:rPr>
          <w:rFonts w:ascii="Times New Roman" w:cs="Times New Roman" w:hAnsi="Times New Roman" w:eastAsia="Times New Roman"/>
          <w:i w:val="1"/>
          <w:iCs w:val="1"/>
          <w:sz w:val="24"/>
          <w:szCs w:val="24"/>
          <w:shd w:val="clear" w:color="auto" w:fill="ffffff"/>
          <w:rtl w:val="0"/>
        </w:rPr>
        <w:tab/>
        <w:tab/>
        <w:tab/>
      </w:r>
      <w:r>
        <w:rPr>
          <w:rFonts w:ascii="Times New Roman" w:hAnsi="Times New Roman"/>
          <w:i w:val="1"/>
          <w:iCs w:val="1"/>
          <w:sz w:val="24"/>
          <w:szCs w:val="24"/>
          <w:shd w:val="clear" w:color="auto" w:fill="ffffff"/>
          <w:rtl w:val="0"/>
          <w:lang w:val="en-US"/>
        </w:rPr>
        <w:t>learning</w:t>
      </w:r>
      <w:r>
        <w:rPr>
          <w:rFonts w:ascii="Times New Roman" w:hAnsi="Times New Roman"/>
          <w:sz w:val="24"/>
          <w:szCs w:val="24"/>
          <w:shd w:val="clear" w:color="auto" w:fill="ffffff"/>
          <w:rtl w:val="0"/>
          <w:lang w:val="en-US"/>
        </w:rPr>
        <w:t>. 1st ed. Berkshire: Open University Press.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1"/>
          <w:iCs w:val="1"/>
          <w:sz w:val="24"/>
          <w:szCs w:val="24"/>
          <w:rtl w:val="0"/>
        </w:rPr>
      </w:pPr>
      <w:r>
        <w:rPr>
          <w:rFonts w:ascii="Times New Roman" w:cs="Times New Roman" w:hAnsi="Times New Roman" w:eastAsia="Times New Roman"/>
          <w:sz w:val="24"/>
          <w:szCs w:val="24"/>
          <w:rtl w:val="0"/>
          <w:lang w:val="en-US"/>
        </w:rPr>
        <w:tab/>
        <w:t xml:space="preserve">Butler, R. (1988) </w:t>
      </w:r>
      <w:r>
        <w:rPr>
          <w:rFonts w:ascii="Times New Roman" w:hAnsi="Times New Roman"/>
          <w:i w:val="1"/>
          <w:iCs w:val="1"/>
          <w:sz w:val="24"/>
          <w:szCs w:val="24"/>
          <w:rtl w:val="0"/>
          <w:lang w:val="en-US"/>
        </w:rPr>
        <w:t>Enhancing and Undermining Intrinsic Motivation: The Effects of Task-</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i w:val="1"/>
          <w:iCs w:val="1"/>
          <w:sz w:val="24"/>
          <w:szCs w:val="24"/>
          <w:rtl w:val="0"/>
          <w:lang w:val="en-US"/>
        </w:rPr>
        <w:tab/>
        <w:t>involving and Ego-involving Evaluation on Interest and Performance.</w:t>
      </w:r>
      <w:r>
        <w:rPr>
          <w:rFonts w:ascii="Times New Roman" w:hAnsi="Times New Roman"/>
          <w:sz w:val="24"/>
          <w:szCs w:val="24"/>
          <w:rtl w:val="0"/>
          <w:lang w:val="en-US"/>
        </w:rPr>
        <w:t xml:space="preserve"> British Journal of</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lang w:val="en-US"/>
        </w:rPr>
        <w:tab/>
        <w:t>Educational Psychology.</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Cambridge Assessment International Education (Unknown) </w:t>
      </w:r>
      <w:r>
        <w:rPr>
          <w:i w:val="1"/>
          <w:iCs w:val="1"/>
          <w:sz w:val="24"/>
          <w:szCs w:val="24"/>
          <w:rtl w:val="0"/>
          <w:lang w:val="en-US"/>
        </w:rPr>
        <w:t>Getting started with Assessment for Learning</w:t>
      </w:r>
      <w:r>
        <w:rPr>
          <w:i w:val="1"/>
          <w:iCs w:val="1"/>
          <w:sz w:val="24"/>
          <w:szCs w:val="24"/>
          <w:rtl w:val="0"/>
          <w:lang w:val="en-US"/>
        </w:rPr>
        <w:t xml:space="preserve">.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"https://cambridge-community.org.uk/professional-development/gswafl/index.html"</w:instrText>
      </w:r>
      <w:r>
        <w:rPr>
          <w:rStyle w:val="Hyperlink.0"/>
          <w:sz w:val="24"/>
          <w:szCs w:val="24"/>
        </w:rPr>
        <w:fldChar w:fldCharType="separate" w:fldLock="0"/>
      </w:r>
      <w:r>
        <w:rPr>
          <w:rStyle w:val="Hyperlink.0"/>
          <w:sz w:val="24"/>
          <w:szCs w:val="24"/>
          <w:rtl w:val="0"/>
          <w:lang w:val="en-US"/>
        </w:rPr>
        <w:t>https://cambridge-community.org.uk/professional-development/gswafl/index.html</w:t>
      </w:r>
      <w:r>
        <w:rPr>
          <w:sz w:val="24"/>
          <w:szCs w:val="24"/>
        </w:rPr>
        <w:fldChar w:fldCharType="end" w:fldLock="0"/>
      </w:r>
      <w:r>
        <w:rPr>
          <w:sz w:val="24"/>
          <w:szCs w:val="24"/>
          <w:rtl w:val="0"/>
          <w:lang w:val="en-US"/>
        </w:rPr>
        <w:t xml:space="preserve"> </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Department for Children , Schools and Families (2007) </w:t>
      </w:r>
      <w:r>
        <w:rPr>
          <w:i w:val="1"/>
          <w:iCs w:val="1"/>
          <w:sz w:val="24"/>
          <w:szCs w:val="24"/>
          <w:rtl w:val="0"/>
          <w:lang w:val="en-US"/>
        </w:rPr>
        <w:t xml:space="preserve">Creating a Progress Culture, </w:t>
      </w:r>
      <w:r>
        <w:rPr>
          <w:sz w:val="24"/>
          <w:szCs w:val="24"/>
          <w:rtl w:val="0"/>
          <w:lang w:val="en-US"/>
        </w:rPr>
        <w:t>Secondary National Strategies, DCSF, London.</w:t>
      </w:r>
    </w:p>
    <w:p>
      <w:pPr>
        <w:pStyle w:val="Body"/>
        <w:spacing w:line="360" w:lineRule="auto"/>
        <w:ind w:left="720" w:firstLine="0"/>
        <w:rPr>
          <w:sz w:val="24"/>
          <w:szCs w:val="24"/>
        </w:rPr>
      </w:pPr>
    </w:p>
    <w:p>
      <w:pPr>
        <w:pStyle w:val="Body"/>
        <w:spacing w:line="360" w:lineRule="auto"/>
        <w:ind w:left="720" w:firstLine="0"/>
        <w:rPr>
          <w:sz w:val="24"/>
          <w:szCs w:val="24"/>
        </w:rPr>
      </w:pPr>
      <w:r>
        <w:rPr>
          <w:sz w:val="24"/>
          <w:szCs w:val="24"/>
          <w:rtl w:val="0"/>
          <w:lang w:val="en-US"/>
        </w:rPr>
        <w:t xml:space="preserve">Donaldson, G. (2015) Successful Futures, Available at: </w:t>
      </w:r>
      <w:r>
        <w:rPr>
          <w:rStyle w:val="Hyperlink.0"/>
          <w:sz w:val="24"/>
          <w:szCs w:val="24"/>
        </w:rPr>
        <w:fldChar w:fldCharType="begin" w:fldLock="0"/>
      </w:r>
      <w:r>
        <w:rPr>
          <w:rStyle w:val="Hyperlink.0"/>
          <w:sz w:val="24"/>
          <w:szCs w:val="24"/>
        </w:rPr>
        <w:instrText xml:space="preserve"> HYPERLINK "https://gov.wales/docs/dcells/publications/150225-successful-futures-en.pdf"</w:instrText>
      </w:r>
      <w:r>
        <w:rPr>
          <w:rStyle w:val="Hyperlink.0"/>
          <w:sz w:val="24"/>
          <w:szCs w:val="24"/>
        </w:rPr>
        <w:fldChar w:fldCharType="separate" w:fldLock="0"/>
      </w:r>
      <w:r>
        <w:rPr>
          <w:rStyle w:val="Hyperlink.0"/>
          <w:sz w:val="24"/>
          <w:szCs w:val="24"/>
          <w:rtl w:val="0"/>
          <w:lang w:val="en-US"/>
        </w:rPr>
        <w:t>https://gov.wales/docs/dcells/publications/150225-successful-futures-en.pdf</w:t>
      </w:r>
      <w:r>
        <w:rPr>
          <w:sz w:val="24"/>
          <w:szCs w:val="24"/>
        </w:rPr>
        <w:fldChar w:fldCharType="end" w:fldLock="0"/>
      </w:r>
      <w:r>
        <w:rPr>
          <w:sz w:val="24"/>
          <w:szCs w:val="24"/>
          <w:rtl w:val="0"/>
          <w:lang w:val="en-US"/>
        </w:rPr>
        <w:t xml:space="preserve"> (Accessed 12 Dec. 2018).</w:t>
      </w:r>
    </w:p>
    <w:p>
      <w:pPr>
        <w:pStyle w:val="Body"/>
        <w:spacing w:line="360" w:lineRule="auto"/>
        <w:ind w:left="720" w:firstLine="0"/>
        <w:rPr>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rPr>
        <w:t xml:space="preserve">Estyn.gov.wales. (2018). </w:t>
      </w:r>
      <w:r>
        <w:rPr>
          <w:rFonts w:ascii="Times New Roman" w:hAnsi="Times New Roman" w:hint="default"/>
          <w:i w:val="1"/>
          <w:iCs w:val="1"/>
          <w:sz w:val="24"/>
          <w:szCs w:val="24"/>
          <w:shd w:val="clear" w:color="auto" w:fill="ffffff"/>
          <w:rtl w:val="0"/>
        </w:rPr>
        <w:t>‘</w:t>
      </w:r>
      <w:r>
        <w:rPr>
          <w:rFonts w:ascii="Times New Roman" w:hAnsi="Times New Roman"/>
          <w:i w:val="1"/>
          <w:iCs w:val="1"/>
          <w:sz w:val="24"/>
          <w:szCs w:val="24"/>
          <w:shd w:val="clear" w:color="auto" w:fill="ffffff"/>
          <w:rtl w:val="0"/>
        </w:rPr>
        <w:t>Pupil voice</w:t>
      </w:r>
      <w:r>
        <w:rPr>
          <w:rFonts w:ascii="Times New Roman" w:hAnsi="Times New Roman" w:hint="default"/>
          <w:i w:val="1"/>
          <w:iCs w:val="1"/>
          <w:sz w:val="24"/>
          <w:szCs w:val="24"/>
          <w:shd w:val="clear" w:color="auto" w:fill="ffffff"/>
          <w:rtl w:val="0"/>
        </w:rPr>
        <w:t xml:space="preserve">’ </w:t>
      </w:r>
      <w:r>
        <w:rPr>
          <w:rFonts w:ascii="Times New Roman" w:hAnsi="Times New Roman"/>
          <w:i w:val="1"/>
          <w:iCs w:val="1"/>
          <w:sz w:val="24"/>
          <w:szCs w:val="24"/>
          <w:shd w:val="clear" w:color="auto" w:fill="ffffff"/>
          <w:rtl w:val="0"/>
          <w:lang w:val="en-US"/>
        </w:rPr>
        <w:t>benefits pupils and helps schools to improve | Estyn</w:t>
      </w:r>
      <w:r>
        <w:rPr>
          <w:rFonts w:ascii="Times New Roman" w:hAnsi="Times New Roman"/>
          <w:sz w:val="24"/>
          <w:szCs w:val="24"/>
          <w:shd w:val="clear" w:color="auto" w:fill="ffffff"/>
          <w:rtl w:val="0"/>
        </w:rPr>
        <w:t>.</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[online] Available at: https://www.estyn.gov.wales/news/</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pupil-voice</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-benefits-pupils-and</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helps-schools-improve [Accessed 11 Dec. 2018].</w:t>
      </w:r>
    </w:p>
    <w:p>
      <w:pPr>
        <w:pStyle w:val="Body"/>
        <w:spacing w:line="360" w:lineRule="auto"/>
        <w:ind w:left="720" w:firstLine="0"/>
        <w:rPr>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rPr>
        <w:t xml:space="preserve">Hattie, J. (2010) </w:t>
      </w:r>
      <w:r>
        <w:rPr>
          <w:rFonts w:ascii="Times New Roman" w:hAnsi="Times New Roman"/>
          <w:i w:val="1"/>
          <w:iCs w:val="1"/>
          <w:sz w:val="24"/>
          <w:szCs w:val="24"/>
          <w:shd w:val="clear" w:color="auto" w:fill="ffffff"/>
          <w:rtl w:val="0"/>
          <w:lang w:val="en-US"/>
        </w:rPr>
        <w:t>Visible learning</w:t>
      </w:r>
      <w:r>
        <w:rPr>
          <w:rFonts w:ascii="Times New Roman" w:hAnsi="Times New Roman"/>
          <w:sz w:val="24"/>
          <w:szCs w:val="24"/>
          <w:shd w:val="clear" w:color="auto" w:fill="ffffff"/>
          <w:rtl w:val="0"/>
          <w:lang w:val="en-US"/>
        </w:rPr>
        <w:t>. London: Routledge.</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1"/>
          <w:iCs w:val="1"/>
          <w:sz w:val="24"/>
          <w:szCs w:val="24"/>
          <w:shd w:val="clear" w:color="auto" w:fill="ffffff"/>
          <w:rtl w:val="0"/>
        </w:rPr>
        <w:tab/>
      </w:r>
      <w:r>
        <w:rPr>
          <w:rFonts w:ascii="Times New Roman" w:hAnsi="Times New Roman"/>
          <w:i w:val="0"/>
          <w:iCs w:val="0"/>
          <w:sz w:val="24"/>
          <w:szCs w:val="24"/>
          <w:shd w:val="clear" w:color="auto" w:fill="ffffff"/>
          <w:rtl w:val="0"/>
          <w:lang w:val="en-US"/>
        </w:rPr>
        <w:t xml:space="preserve">James, M (2006) in </w:t>
      </w:r>
      <w:r>
        <w:rPr>
          <w:rFonts w:ascii="Times New Roman" w:hAnsi="Times New Roman"/>
          <w:i w:val="0"/>
          <w:iCs w:val="0"/>
          <w:sz w:val="24"/>
          <w:szCs w:val="24"/>
          <w:shd w:val="clear" w:color="auto" w:fill="ffffff"/>
          <w:rtl w:val="0"/>
        </w:rPr>
        <w:t xml:space="preserve">Gardner, J. (2009). </w:t>
      </w:r>
      <w:r>
        <w:rPr>
          <w:rFonts w:ascii="Times New Roman" w:hAnsi="Times New Roman"/>
          <w:i w:val="1"/>
          <w:iCs w:val="1"/>
          <w:sz w:val="24"/>
          <w:szCs w:val="24"/>
          <w:shd w:val="clear" w:color="auto" w:fill="ffffff"/>
          <w:rtl w:val="0"/>
          <w:lang w:val="en-US"/>
        </w:rPr>
        <w:t>Assessment for learning</w:t>
      </w:r>
      <w:r>
        <w:rPr>
          <w:rFonts w:ascii="Times New Roman" w:hAnsi="Times New Roman"/>
          <w:i w:val="0"/>
          <w:iCs w:val="0"/>
          <w:sz w:val="24"/>
          <w:szCs w:val="24"/>
          <w:shd w:val="clear" w:color="auto" w:fill="ffffff"/>
          <w:rtl w:val="0"/>
          <w:lang w:val="de-DE"/>
        </w:rPr>
        <w:t>. London: SAGE.</w:t>
      </w: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i w:val="0"/>
          <w:iCs w:val="0"/>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lang w:val="en-US"/>
        </w:rPr>
        <w:tab/>
        <w:t xml:space="preserve">Kerry, T. (2002) </w:t>
      </w:r>
      <w:r>
        <w:rPr>
          <w:rFonts w:ascii="Times New Roman" w:hAnsi="Times New Roman"/>
          <w:i w:val="1"/>
          <w:iCs w:val="1"/>
          <w:sz w:val="24"/>
          <w:szCs w:val="24"/>
          <w:shd w:val="clear" w:color="auto" w:fill="ffffff"/>
          <w:rtl w:val="0"/>
          <w:lang w:val="en-US"/>
        </w:rPr>
        <w:t xml:space="preserve">Learning Objective, Task Setting and Differentiation. </w:t>
      </w:r>
      <w:r>
        <w:rPr>
          <w:rFonts w:ascii="Times New Roman" w:hAnsi="Times New Roman"/>
          <w:i w:val="0"/>
          <w:iCs w:val="0"/>
          <w:sz w:val="24"/>
          <w:szCs w:val="24"/>
          <w:shd w:val="clear" w:color="auto" w:fill="ffffff"/>
          <w:rtl w:val="0"/>
          <w:lang w:val="en-US"/>
        </w:rPr>
        <w:t>Cheltenham: Nelson</w:t>
      </w:r>
    </w:p>
    <w:p>
      <w:pPr>
        <w:pStyle w:val="Default"/>
        <w:bidi w:val="0"/>
        <w:spacing w:line="360" w:lineRule="auto"/>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cs="Times New Roman" w:hAnsi="Times New Roman" w:eastAsia="Times New Roman"/>
          <w:i w:val="0"/>
          <w:iCs w:val="0"/>
          <w:sz w:val="24"/>
          <w:szCs w:val="24"/>
          <w:shd w:val="clear" w:color="auto" w:fill="ffffff"/>
          <w:rtl w:val="0"/>
          <w:lang w:val="en-US"/>
        </w:rPr>
        <w:tab/>
        <w:t xml:space="preserve">Thornes.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rPr>
        <w:t xml:space="preserve">OFSTED (1998). </w:t>
      </w:r>
      <w:r>
        <w:rPr>
          <w:rFonts w:ascii="Times New Roman" w:hAnsi="Times New Roman"/>
          <w:i w:val="1"/>
          <w:iCs w:val="1"/>
          <w:sz w:val="24"/>
          <w:szCs w:val="24"/>
          <w:rtl w:val="0"/>
          <w:lang w:val="en-US"/>
        </w:rPr>
        <w:t>Standards and quality in Education</w:t>
      </w:r>
      <w:r>
        <w:rPr>
          <w:rFonts w:ascii="Times New Roman" w:hAnsi="Times New Roman"/>
          <w:sz w:val="24"/>
          <w:szCs w:val="24"/>
          <w:rtl w:val="0"/>
          <w:lang w:val="pt-PT"/>
        </w:rPr>
        <w:t>. [online]</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en-US"/>
        </w:rPr>
        <w:t xml:space="preserve">Assets.publishing.service.gov.uk. Available at: </w:t>
      </w:r>
      <w:r>
        <w:rPr>
          <w:rStyle w:val="Hyperlink.0"/>
          <w:rFonts w:ascii="Times New Roman" w:cs="Times New Roman" w:hAnsi="Times New Roman" w:eastAsia="Times New Roman"/>
          <w:color w:val="0000ff"/>
          <w:sz w:val="24"/>
          <w:szCs w:val="24"/>
          <w:u w:val="single" w:color="0000ff"/>
          <w:rtl w:val="0"/>
        </w:rPr>
        <w:fldChar w:fldCharType="begin" w:fldLock="0"/>
      </w:r>
      <w:r>
        <w:rPr>
          <w:rStyle w:val="Hyperlink.0"/>
          <w:rFonts w:ascii="Times New Roman" w:cs="Times New Roman" w:hAnsi="Times New Roman" w:eastAsia="Times New Roman"/>
          <w:color w:val="0000ff"/>
          <w:sz w:val="24"/>
          <w:szCs w:val="24"/>
          <w:u w:val="single" w:color="0000ff"/>
          <w:rtl w:val="0"/>
        </w:rPr>
        <w:instrText xml:space="preserve"> HYPERLINK "https://assets.publishing.service.gov.uk"</w:instrText>
      </w:r>
      <w:r>
        <w:rPr>
          <w:rStyle w:val="Hyperlink.0"/>
          <w:rFonts w:ascii="Times New Roman" w:cs="Times New Roman" w:hAnsi="Times New Roman" w:eastAsia="Times New Roman"/>
          <w:color w:val="0000ff"/>
          <w:sz w:val="24"/>
          <w:szCs w:val="24"/>
          <w:u w:val="single" w:color="0000ff"/>
          <w:rtl w:val="0"/>
        </w:rPr>
        <w:fldChar w:fldCharType="separate" w:fldLock="0"/>
      </w:r>
      <w:r>
        <w:rPr>
          <w:rStyle w:val="Hyperlink.0"/>
          <w:rFonts w:ascii="Times New Roman" w:hAnsi="Times New Roman"/>
          <w:color w:val="0000ff"/>
          <w:sz w:val="24"/>
          <w:szCs w:val="24"/>
          <w:u w:val="single" w:color="0000ff"/>
          <w:rtl w:val="0"/>
        </w:rPr>
        <w:t>https://assets.publishing.service.gov.uk</w:t>
      </w:r>
      <w:r>
        <w:rPr>
          <w:rFonts w:ascii="Times New Roman" w:cs="Times New Roman" w:hAnsi="Times New Roman" w:eastAsia="Times New Roman"/>
          <w:sz w:val="24"/>
          <w:szCs w:val="24"/>
          <w:rtl w:val="0"/>
        </w:rPr>
        <w:fldChar w:fldCharType="end" w:fldLock="0"/>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en-US"/>
        </w:rPr>
        <w:t>government/uploads/system/uploads/attachment_data/file/265506/129.pdf [Accessed 1</w:t>
      </w:r>
      <w:r>
        <w:rPr>
          <w:rFonts w:ascii="Times New Roman" w:hAnsi="Times New Roman"/>
          <w:sz w:val="24"/>
          <w:szCs w:val="24"/>
          <w:rtl w:val="0"/>
          <w:lang w:val="en-US"/>
        </w:rPr>
        <w:t>1</w:t>
      </w: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cs="Times New Roman" w:hAnsi="Times New Roman" w:eastAsia="Times New Roman"/>
          <w:sz w:val="24"/>
          <w:szCs w:val="24"/>
          <w:rtl w:val="0"/>
        </w:rPr>
        <w:tab/>
      </w:r>
      <w:r>
        <w:rPr>
          <w:rFonts w:ascii="Times New Roman" w:hAnsi="Times New Roman"/>
          <w:sz w:val="24"/>
          <w:szCs w:val="24"/>
          <w:rtl w:val="0"/>
          <w:lang w:val="pt-PT"/>
        </w:rPr>
        <w:t>Dec. 2018].</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lang w:val="en-US"/>
        </w:rPr>
        <w:tab/>
        <w:t xml:space="preserve">Pollard, A. (2014) </w:t>
      </w:r>
      <w:r>
        <w:rPr>
          <w:rFonts w:ascii="Times New Roman" w:hAnsi="Times New Roman"/>
          <w:i w:val="1"/>
          <w:iCs w:val="1"/>
          <w:sz w:val="24"/>
          <w:szCs w:val="24"/>
          <w:shd w:val="clear" w:color="auto" w:fill="ffffff"/>
          <w:rtl w:val="0"/>
          <w:lang w:val="en-US"/>
        </w:rPr>
        <w:t>Reflective teaching in schools.</w:t>
      </w:r>
      <w:r>
        <w:rPr>
          <w:rFonts w:ascii="Times New Roman" w:hAnsi="Times New Roman"/>
          <w:sz w:val="24"/>
          <w:szCs w:val="24"/>
          <w:shd w:val="clear" w:color="auto" w:fill="ffffff"/>
          <w:rtl w:val="0"/>
          <w:lang w:val="en-US"/>
        </w:rPr>
        <w:t xml:space="preserve"> London. Bloomsbury.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Smith, J. and Gilbert, I. (2010). </w:t>
      </w:r>
      <w:r>
        <w:rPr>
          <w:rFonts w:ascii="Times New Roman" w:hAnsi="Times New Roman"/>
          <w:i w:val="1"/>
          <w:iCs w:val="1"/>
          <w:sz w:val="24"/>
          <w:szCs w:val="24"/>
          <w:shd w:val="clear" w:color="auto" w:fill="ffffff"/>
          <w:rtl w:val="0"/>
          <w:lang w:val="en-US"/>
        </w:rPr>
        <w:t>The lazy teacher's handbook</w:t>
      </w:r>
      <w:r>
        <w:rPr>
          <w:rFonts w:ascii="Times New Roman" w:hAnsi="Times New Roman"/>
          <w:sz w:val="24"/>
          <w:szCs w:val="24"/>
          <w:shd w:val="clear" w:color="auto" w:fill="ffffff"/>
          <w:rtl w:val="0"/>
          <w:lang w:val="en-US"/>
        </w:rPr>
        <w:t>. 1st ed.</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 xml:space="preserve">Wright, D. (2006). </w:t>
      </w:r>
      <w:r>
        <w:rPr>
          <w:rFonts w:ascii="Times New Roman" w:hAnsi="Times New Roman"/>
          <w:i w:val="1"/>
          <w:iCs w:val="1"/>
          <w:sz w:val="24"/>
          <w:szCs w:val="24"/>
          <w:shd w:val="clear" w:color="auto" w:fill="ffffff"/>
          <w:rtl w:val="0"/>
          <w:lang w:val="en-US"/>
        </w:rPr>
        <w:t>Classroom karma</w:t>
      </w:r>
      <w:r>
        <w:rPr>
          <w:rFonts w:ascii="Times New Roman" w:hAnsi="Times New Roman"/>
          <w:sz w:val="24"/>
          <w:szCs w:val="24"/>
          <w:shd w:val="clear" w:color="auto" w:fill="ffffff"/>
          <w:rtl w:val="0"/>
          <w:lang w:val="de-DE"/>
        </w:rPr>
        <w:t>. London: David Fulton.</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cs="Times New Roman" w:hAnsi="Times New Roman" w:eastAsia="Times New Roman"/>
          <w:sz w:val="24"/>
          <w:szCs w:val="24"/>
          <w:shd w:val="clear" w:color="auto" w:fill="ffffff"/>
          <w:rtl w:val="0"/>
        </w:rPr>
        <w:tab/>
      </w:r>
      <w:r>
        <w:rPr>
          <w:rFonts w:ascii="Times New Roman" w:hAnsi="Times New Roman"/>
          <w:sz w:val="24"/>
          <w:szCs w:val="24"/>
          <w:shd w:val="clear" w:color="auto" w:fill="ffffff"/>
          <w:rtl w:val="0"/>
          <w:lang w:val="en-US"/>
        </w:rPr>
        <w:t>YouTube</w:t>
      </w:r>
      <w:r>
        <w:rPr>
          <w:rFonts w:ascii="Times New Roman" w:hAnsi="Times New Roman"/>
          <w:sz w:val="24"/>
          <w:szCs w:val="24"/>
          <w:shd w:val="clear" w:color="auto" w:fill="ffffff"/>
          <w:rtl w:val="0"/>
          <w:lang w:val="en-US"/>
        </w:rPr>
        <w:t xml:space="preserve"> (2010)</w:t>
      </w:r>
      <w:r>
        <w:rPr>
          <w:rFonts w:ascii="Times New Roman" w:hAnsi="Times New Roman"/>
          <w:sz w:val="24"/>
          <w:szCs w:val="24"/>
          <w:shd w:val="clear" w:color="auto" w:fill="ffffff"/>
          <w:rtl w:val="0"/>
        </w:rPr>
        <w:t xml:space="preserve">. </w:t>
      </w:r>
      <w:r>
        <w:rPr>
          <w:rFonts w:ascii="Times New Roman" w:hAnsi="Times New Roman"/>
          <w:i w:val="1"/>
          <w:iCs w:val="1"/>
          <w:sz w:val="24"/>
          <w:szCs w:val="24"/>
          <w:shd w:val="clear" w:color="auto" w:fill="ffffff"/>
          <w:rtl w:val="0"/>
          <w:lang w:val="de-DE"/>
        </w:rPr>
        <w:t>Carol Dweck: Mindset interview</w:t>
      </w:r>
      <w:r>
        <w:rPr>
          <w:rFonts w:ascii="Times New Roman" w:hAnsi="Times New Roman"/>
          <w:sz w:val="24"/>
          <w:szCs w:val="24"/>
          <w:shd w:val="clear" w:color="auto" w:fill="ffffff"/>
          <w:rtl w:val="0"/>
          <w:lang w:val="en-US"/>
        </w:rPr>
        <w:t>. [online] Available at: https:/</w:t>
      </w:r>
    </w:p>
    <w:p>
      <w:pPr>
        <w:pStyle w:val="Default"/>
        <w:bidi w:val="0"/>
        <w:spacing w:line="360" w:lineRule="auto"/>
        <w:ind w:left="0" w:right="0" w:firstLine="0"/>
        <w:jc w:val="left"/>
        <w:rPr>
          <w:rtl w:val="0"/>
        </w:rPr>
      </w:pPr>
      <w:r>
        <w:rPr>
          <w:rFonts w:ascii="Times New Roman" w:cs="Times New Roman" w:hAnsi="Times New Roman" w:eastAsia="Times New Roman"/>
          <w:sz w:val="24"/>
          <w:szCs w:val="24"/>
          <w:shd w:val="clear" w:color="auto" w:fill="ffffff"/>
          <w:rtl w:val="0"/>
        </w:rPr>
        <w:tab/>
      </w:r>
      <w:r>
        <w:rPr>
          <w:rStyle w:val="Hyperlink.0"/>
          <w:rFonts w:ascii="Times New Roman" w:cs="Times New Roman" w:hAnsi="Times New Roman" w:eastAsia="Times New Roman"/>
          <w:color w:val="0000ff"/>
          <w:sz w:val="24"/>
          <w:szCs w:val="24"/>
          <w:u w:val="single" w:color="0000ff"/>
          <w:shd w:val="clear" w:color="auto" w:fill="ffffff"/>
          <w:rtl w:val="0"/>
        </w:rPr>
        <w:fldChar w:fldCharType="begin" w:fldLock="0"/>
      </w:r>
      <w:r>
        <w:rPr>
          <w:rStyle w:val="Hyperlink.0"/>
          <w:rFonts w:ascii="Times New Roman" w:cs="Times New Roman" w:hAnsi="Times New Roman" w:eastAsia="Times New Roman"/>
          <w:color w:val="0000ff"/>
          <w:sz w:val="24"/>
          <w:szCs w:val="24"/>
          <w:u w:val="single" w:color="0000ff"/>
          <w:shd w:val="clear" w:color="auto" w:fill="ffffff"/>
          <w:rtl w:val="0"/>
        </w:rPr>
        <w:instrText xml:space="preserve"> HYPERLINK "http://www.youtube.com/watch?time_continue=8&amp;v=ICILzbB1Obg"</w:instrText>
      </w:r>
      <w:r>
        <w:rPr>
          <w:rStyle w:val="Hyperlink.0"/>
          <w:rFonts w:ascii="Times New Roman" w:cs="Times New Roman" w:hAnsi="Times New Roman" w:eastAsia="Times New Roman"/>
          <w:color w:val="0000ff"/>
          <w:sz w:val="24"/>
          <w:szCs w:val="24"/>
          <w:u w:val="single" w:color="0000ff"/>
          <w:shd w:val="clear" w:color="auto" w:fill="ffffff"/>
          <w:rtl w:val="0"/>
        </w:rPr>
        <w:fldChar w:fldCharType="separate" w:fldLock="0"/>
      </w:r>
      <w:r>
        <w:rPr>
          <w:rStyle w:val="Hyperlink.0"/>
          <w:rFonts w:ascii="Times New Roman" w:hAnsi="Times New Roman"/>
          <w:color w:val="0000ff"/>
          <w:sz w:val="24"/>
          <w:szCs w:val="24"/>
          <w:u w:val="single" w:color="0000ff"/>
          <w:shd w:val="clear" w:color="auto" w:fill="ffffff"/>
          <w:rtl w:val="0"/>
          <w:lang w:val="en-US"/>
        </w:rPr>
        <w:t>www.youtube.com/watch?time_continue=8&amp;v=ICILzbB1Obg</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11 Dec. 2018].</w:t>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t>13</w:t>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t>13</w:t>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3"/>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color w:val="0000ff"/>
      <w:u w:val="single" w:color="0000ff"/>
    </w:rPr>
  </w:style>
  <w:style w:type="character" w:styleId="Hyperlink.0">
    <w:name w:val="Hyperlink.0"/>
    <w:basedOn w:val="Link"/>
    <w:next w:val="Hyperlink.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