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B3A73A" w14:textId="04389E48" w:rsidR="007B2ADE" w:rsidRPr="00941203" w:rsidRDefault="00BD5820" w:rsidP="00BD5820">
      <w:pPr>
        <w:spacing w:line="360" w:lineRule="auto"/>
        <w:jc w:val="center"/>
        <w:rPr>
          <w:b/>
          <w:spacing w:val="-2"/>
        </w:rPr>
      </w:pPr>
      <w:r w:rsidRPr="00941203">
        <w:rPr>
          <w:b/>
        </w:rPr>
        <w:t>Children</w:t>
      </w:r>
      <w:r w:rsidRPr="00941203">
        <w:rPr>
          <w:b/>
          <w:spacing w:val="-6"/>
        </w:rPr>
        <w:t xml:space="preserve"> </w:t>
      </w:r>
      <w:r w:rsidRPr="00941203">
        <w:rPr>
          <w:b/>
        </w:rPr>
        <w:t>and</w:t>
      </w:r>
      <w:r w:rsidRPr="00941203">
        <w:rPr>
          <w:b/>
          <w:spacing w:val="-6"/>
        </w:rPr>
        <w:t xml:space="preserve"> </w:t>
      </w:r>
      <w:r w:rsidRPr="00941203">
        <w:rPr>
          <w:b/>
        </w:rPr>
        <w:t>Young</w:t>
      </w:r>
      <w:r w:rsidRPr="00941203">
        <w:rPr>
          <w:b/>
          <w:spacing w:val="-6"/>
        </w:rPr>
        <w:t xml:space="preserve"> </w:t>
      </w:r>
      <w:r w:rsidRPr="00941203">
        <w:rPr>
          <w:b/>
        </w:rPr>
        <w:t>People’s</w:t>
      </w:r>
      <w:r w:rsidRPr="00941203">
        <w:rPr>
          <w:b/>
          <w:spacing w:val="-4"/>
        </w:rPr>
        <w:t xml:space="preserve"> </w:t>
      </w:r>
      <w:r w:rsidRPr="00941203">
        <w:rPr>
          <w:b/>
        </w:rPr>
        <w:t>Health,</w:t>
      </w:r>
      <w:r w:rsidRPr="00941203">
        <w:rPr>
          <w:b/>
          <w:spacing w:val="-3"/>
        </w:rPr>
        <w:t xml:space="preserve"> </w:t>
      </w:r>
      <w:r w:rsidRPr="00941203">
        <w:rPr>
          <w:b/>
        </w:rPr>
        <w:t>Wellbeing</w:t>
      </w:r>
      <w:r w:rsidRPr="00941203">
        <w:rPr>
          <w:b/>
          <w:spacing w:val="-5"/>
        </w:rPr>
        <w:t xml:space="preserve"> </w:t>
      </w:r>
      <w:r w:rsidRPr="00941203">
        <w:rPr>
          <w:b/>
        </w:rPr>
        <w:t>and</w:t>
      </w:r>
      <w:r w:rsidRPr="00941203">
        <w:rPr>
          <w:b/>
          <w:spacing w:val="-7"/>
        </w:rPr>
        <w:t xml:space="preserve"> </w:t>
      </w:r>
      <w:r w:rsidRPr="00941203">
        <w:rPr>
          <w:b/>
          <w:spacing w:val="-2"/>
        </w:rPr>
        <w:t>Resilience</w:t>
      </w:r>
    </w:p>
    <w:p w14:paraId="310B5705" w14:textId="731EB582" w:rsidR="00D02B73" w:rsidRPr="00941203" w:rsidRDefault="00BD5820" w:rsidP="00583B2A">
      <w:pPr>
        <w:spacing w:line="360" w:lineRule="auto"/>
        <w:jc w:val="center"/>
        <w:rPr>
          <w:b/>
          <w:bCs/>
          <w:iCs/>
        </w:rPr>
      </w:pPr>
      <w:r w:rsidRPr="00941203">
        <w:rPr>
          <w:b/>
          <w:bCs/>
          <w:iCs/>
        </w:rPr>
        <w:t>Wellbeing</w:t>
      </w:r>
      <w:r w:rsidRPr="00941203">
        <w:rPr>
          <w:b/>
          <w:bCs/>
          <w:iCs/>
          <w:spacing w:val="-3"/>
        </w:rPr>
        <w:t xml:space="preserve"> </w:t>
      </w:r>
      <w:r w:rsidRPr="00941203">
        <w:rPr>
          <w:b/>
          <w:bCs/>
          <w:iCs/>
        </w:rPr>
        <w:t>of Future</w:t>
      </w:r>
      <w:r w:rsidRPr="00941203">
        <w:rPr>
          <w:b/>
          <w:bCs/>
          <w:iCs/>
          <w:spacing w:val="-3"/>
        </w:rPr>
        <w:t xml:space="preserve"> </w:t>
      </w:r>
      <w:r w:rsidRPr="00941203">
        <w:rPr>
          <w:b/>
          <w:bCs/>
          <w:iCs/>
        </w:rPr>
        <w:t>Generations Wales Act</w:t>
      </w:r>
      <w:r w:rsidR="00363C39" w:rsidRPr="00941203">
        <w:rPr>
          <w:b/>
          <w:bCs/>
          <w:iCs/>
        </w:rPr>
        <w:t xml:space="preserve"> 2015 and</w:t>
      </w:r>
    </w:p>
    <w:p w14:paraId="0269CED9" w14:textId="1D6B1B84" w:rsidR="00363C39" w:rsidRPr="00941203" w:rsidRDefault="00363C39" w:rsidP="00583B2A">
      <w:pPr>
        <w:spacing w:line="360" w:lineRule="auto"/>
        <w:jc w:val="center"/>
        <w:rPr>
          <w:b/>
          <w:bCs/>
          <w:iCs/>
        </w:rPr>
      </w:pPr>
      <w:r w:rsidRPr="00941203">
        <w:rPr>
          <w:b/>
          <w:bCs/>
          <w:iCs/>
        </w:rPr>
        <w:t>Health</w:t>
      </w:r>
      <w:r w:rsidRPr="00941203">
        <w:rPr>
          <w:b/>
          <w:bCs/>
          <w:iCs/>
          <w:spacing w:val="-4"/>
        </w:rPr>
        <w:t xml:space="preserve"> </w:t>
      </w:r>
      <w:r w:rsidRPr="00941203">
        <w:rPr>
          <w:b/>
          <w:bCs/>
          <w:iCs/>
        </w:rPr>
        <w:t>and</w:t>
      </w:r>
      <w:r w:rsidRPr="00941203">
        <w:rPr>
          <w:b/>
          <w:bCs/>
          <w:iCs/>
          <w:spacing w:val="-4"/>
        </w:rPr>
        <w:t xml:space="preserve"> </w:t>
      </w:r>
      <w:r w:rsidRPr="00941203">
        <w:rPr>
          <w:b/>
          <w:bCs/>
          <w:iCs/>
        </w:rPr>
        <w:t>Social</w:t>
      </w:r>
      <w:r w:rsidRPr="00941203">
        <w:rPr>
          <w:b/>
          <w:bCs/>
          <w:iCs/>
          <w:spacing w:val="-4"/>
        </w:rPr>
        <w:t xml:space="preserve"> </w:t>
      </w:r>
      <w:r w:rsidRPr="00941203">
        <w:rPr>
          <w:b/>
          <w:bCs/>
          <w:iCs/>
        </w:rPr>
        <w:t>Care</w:t>
      </w:r>
      <w:r w:rsidRPr="00941203">
        <w:rPr>
          <w:b/>
          <w:bCs/>
          <w:iCs/>
          <w:spacing w:val="-5"/>
        </w:rPr>
        <w:t xml:space="preserve"> </w:t>
      </w:r>
      <w:r w:rsidRPr="00941203">
        <w:rPr>
          <w:b/>
          <w:bCs/>
          <w:iCs/>
        </w:rPr>
        <w:t>Act</w:t>
      </w:r>
      <w:r w:rsidRPr="00941203">
        <w:rPr>
          <w:b/>
          <w:bCs/>
          <w:iCs/>
          <w:spacing w:val="-4"/>
        </w:rPr>
        <w:t xml:space="preserve"> 2012</w:t>
      </w:r>
      <w:r w:rsidRPr="00941203">
        <w:rPr>
          <w:b/>
          <w:bCs/>
          <w:iCs/>
          <w:spacing w:val="-4"/>
        </w:rPr>
        <w:t xml:space="preserve"> essay</w:t>
      </w:r>
    </w:p>
    <w:p w14:paraId="38841DC3" w14:textId="3DD729C2" w:rsidR="00590811" w:rsidRPr="00941203" w:rsidRDefault="00590811" w:rsidP="00363C39">
      <w:pPr>
        <w:spacing w:line="360" w:lineRule="auto"/>
        <w:rPr>
          <w:b/>
          <w:bCs/>
          <w:iCs/>
        </w:rPr>
      </w:pPr>
      <w:r w:rsidRPr="00941203">
        <w:rPr>
          <w:b/>
          <w:bCs/>
          <w:iCs/>
        </w:rPr>
        <w:t xml:space="preserve">Introduction </w:t>
      </w:r>
    </w:p>
    <w:p w14:paraId="2812449F" w14:textId="2D613898" w:rsidR="005E488D" w:rsidRPr="00941203" w:rsidRDefault="00B42AAA" w:rsidP="00DA51ED">
      <w:pPr>
        <w:pStyle w:val="p1"/>
        <w:spacing w:line="360" w:lineRule="auto"/>
        <w:rPr>
          <w:b/>
          <w:bCs/>
          <w:iCs/>
        </w:rPr>
      </w:pPr>
      <w:r w:rsidRPr="00941203">
        <w:rPr>
          <w:rStyle w:val="s1"/>
          <w:rFonts w:ascii="Times New Roman" w:hAnsi="Times New Roman"/>
          <w:sz w:val="24"/>
          <w:szCs w:val="24"/>
        </w:rPr>
        <w:t xml:space="preserve">In recent years, health promotion has become a key priority for many governments worldwide. In Wales and the United Kingdom (UK), a range of health promotion priorities have been identified, with a </w:t>
      </w:r>
      <w:bookmarkStart w:id="0" w:name="OLE_LINK9"/>
      <w:bookmarkStart w:id="1" w:name="OLE_LINK10"/>
      <w:r w:rsidRPr="00941203">
        <w:rPr>
          <w:rStyle w:val="s1"/>
          <w:rFonts w:ascii="Times New Roman" w:hAnsi="Times New Roman"/>
          <w:sz w:val="24"/>
          <w:szCs w:val="24"/>
        </w:rPr>
        <w:t xml:space="preserve">focus on addressing key bio-psycho-social and socio-economic factors that affect the health of children and young people </w:t>
      </w:r>
      <w:bookmarkEnd w:id="0"/>
      <w:bookmarkEnd w:id="1"/>
      <w:r w:rsidRPr="00941203">
        <w:rPr>
          <w:rStyle w:val="s1"/>
          <w:rFonts w:ascii="Times New Roman" w:hAnsi="Times New Roman"/>
          <w:sz w:val="24"/>
          <w:szCs w:val="24"/>
        </w:rPr>
        <w:t>(</w:t>
      </w:r>
      <w:r w:rsidR="000019DA" w:rsidRPr="00941203">
        <w:rPr>
          <w:rStyle w:val="s1"/>
          <w:rFonts w:ascii="Times New Roman" w:hAnsi="Times New Roman"/>
          <w:sz w:val="24"/>
          <w:szCs w:val="24"/>
        </w:rPr>
        <w:t>Sideli, et al 2020</w:t>
      </w:r>
      <w:r w:rsidRPr="00941203">
        <w:rPr>
          <w:rStyle w:val="s1"/>
          <w:rFonts w:ascii="Times New Roman" w:hAnsi="Times New Roman"/>
          <w:sz w:val="24"/>
          <w:szCs w:val="24"/>
        </w:rPr>
        <w:t>). Several key factors can affect the health of children and young people, including biological factors such as genetics and physical health, psychological factors such as stress and mental health, and social factors such as poverty and education (</w:t>
      </w:r>
      <w:r w:rsidR="000019DA" w:rsidRPr="00941203">
        <w:rPr>
          <w:rStyle w:val="s1"/>
          <w:rFonts w:ascii="Times New Roman" w:hAnsi="Times New Roman"/>
          <w:sz w:val="24"/>
          <w:szCs w:val="24"/>
        </w:rPr>
        <w:t>Maggi, 2010</w:t>
      </w:r>
      <w:r w:rsidRPr="00941203">
        <w:rPr>
          <w:rStyle w:val="s1"/>
          <w:rFonts w:ascii="Times New Roman" w:hAnsi="Times New Roman"/>
          <w:sz w:val="24"/>
          <w:szCs w:val="24"/>
        </w:rPr>
        <w:t>). In addition, socio-economic factors such as income and employment can also have a significant impact on health outcomes.</w:t>
      </w:r>
      <w:r w:rsidRPr="00941203">
        <w:rPr>
          <w:rFonts w:ascii="Times New Roman" w:hAnsi="Times New Roman"/>
          <w:sz w:val="24"/>
          <w:szCs w:val="24"/>
        </w:rPr>
        <w:t xml:space="preserve"> </w:t>
      </w:r>
      <w:r w:rsidRPr="00941203">
        <w:rPr>
          <w:rStyle w:val="s1"/>
          <w:rFonts w:ascii="Times New Roman" w:hAnsi="Times New Roman"/>
          <w:sz w:val="24"/>
          <w:szCs w:val="24"/>
        </w:rPr>
        <w:t xml:space="preserve">For example, in Wales, poverty is a significant issue that can impact the health of children and young people. </w:t>
      </w:r>
      <w:bookmarkStart w:id="2" w:name="OLE_LINK7"/>
      <w:bookmarkStart w:id="3" w:name="OLE_LINK8"/>
      <w:r w:rsidR="007B2ADE" w:rsidRPr="00941203">
        <w:rPr>
          <w:rStyle w:val="s1"/>
          <w:rFonts w:ascii="Times New Roman" w:hAnsi="Times New Roman"/>
          <w:sz w:val="24"/>
          <w:szCs w:val="24"/>
        </w:rPr>
        <w:t>According to the Child Poverty Action Group, approximately 29% of children in Wales are poor, which can contribute to a variety of health problems such as hunger, poor mental health, and limited access to healthcare services (Cloke et al 1995). Similarly, in the United Kingdom, income and employment levels can have a substantial impact on health outcomes. People in low-income families are more likely than those in higher-income households to have mental health problems, obesity, and chronic diseases, according to the Office for National Statistics (2012). These differences in health are frequently linked to social determinants of health, such as poverty, education, housing, and access to healthcare services.</w:t>
      </w:r>
    </w:p>
    <w:p w14:paraId="11785F5B" w14:textId="77777777" w:rsidR="00A545DC" w:rsidRPr="00941203" w:rsidRDefault="00A545DC" w:rsidP="00590811">
      <w:pPr>
        <w:spacing w:line="360" w:lineRule="auto"/>
        <w:rPr>
          <w:b/>
          <w:bCs/>
          <w:iCs/>
        </w:rPr>
      </w:pPr>
    </w:p>
    <w:p w14:paraId="1F4AB4DC" w14:textId="100918B1" w:rsidR="00363C39" w:rsidRPr="00941203" w:rsidRDefault="00363C39" w:rsidP="00590811">
      <w:pPr>
        <w:spacing w:line="360" w:lineRule="auto"/>
        <w:rPr>
          <w:b/>
          <w:bCs/>
        </w:rPr>
      </w:pPr>
      <w:r w:rsidRPr="00941203">
        <w:rPr>
          <w:b/>
          <w:bCs/>
        </w:rPr>
        <w:t>The Well-being of Future Generations (Wales) Act 2015</w:t>
      </w:r>
    </w:p>
    <w:p w14:paraId="5F0AB432" w14:textId="52D2F1C0" w:rsidR="0060600C" w:rsidRPr="00941203" w:rsidRDefault="0060600C" w:rsidP="00590811">
      <w:pPr>
        <w:spacing w:line="360" w:lineRule="auto"/>
      </w:pPr>
      <w:r w:rsidRPr="00941203">
        <w:t>The Well-being of Future Generations (Wales) Act 2015 (WFGA) is a significant piece of legislation that significantly impacts the health, wellbeing, and resilience of children and young people in Wales (Davies, 2017). The Act encourages public entities to evaluate how their decisions may affect Wales' social, economic, environmental, and cultural well-being in future generations (Davies, 2016). Furthermore, it requires public authorities to work together to achieve sustainable development, ensuring that current demands are satisfied without jeopardising future generations' ability to meet their own (National Assembly for Wales, 2015).  The Welsh Assembly Government (WAG) adopted the Act in 2015, which gained widespread recognition from the United Nations (UN) as a "model for other countries," with the expectation that it will be implemented</w:t>
      </w:r>
      <w:r w:rsidR="00CD4256" w:rsidRPr="00941203">
        <w:t xml:space="preserve"> (Go</w:t>
      </w:r>
      <w:r w:rsidR="009A4266" w:rsidRPr="00941203">
        <w:t>mez-Baggethun and Naredo, 2015)</w:t>
      </w:r>
      <w:r w:rsidRPr="00941203">
        <w:t>.</w:t>
      </w:r>
    </w:p>
    <w:p w14:paraId="073B25B1" w14:textId="77777777" w:rsidR="008E0CE3" w:rsidRPr="00941203" w:rsidRDefault="008E0CE3" w:rsidP="002C34F7">
      <w:pPr>
        <w:spacing w:line="360" w:lineRule="auto"/>
      </w:pPr>
    </w:p>
    <w:p w14:paraId="38FF14F6" w14:textId="451D724B" w:rsidR="002C34F7" w:rsidRPr="00941203" w:rsidRDefault="00A545DC" w:rsidP="002C34F7">
      <w:pPr>
        <w:pStyle w:val="p1"/>
        <w:spacing w:line="360" w:lineRule="auto"/>
        <w:rPr>
          <w:rFonts w:ascii="Times New Roman" w:hAnsi="Times New Roman"/>
          <w:sz w:val="24"/>
          <w:szCs w:val="24"/>
        </w:rPr>
      </w:pPr>
      <w:r w:rsidRPr="00941203">
        <w:rPr>
          <w:rFonts w:ascii="Times New Roman" w:hAnsi="Times New Roman"/>
          <w:sz w:val="24"/>
          <w:szCs w:val="24"/>
        </w:rPr>
        <w:t xml:space="preserve">This involves assuring access to high-quality health care, education, and social services, as well as fostering environmentally responsible development that protects the environment for future generations. However, the Act's effectiveness will be determined by its execution and the desire of public agencies to collaborate </w:t>
      </w:r>
      <w:r w:rsidR="00941203" w:rsidRPr="00941203">
        <w:rPr>
          <w:rFonts w:ascii="Times New Roman" w:hAnsi="Times New Roman"/>
          <w:sz w:val="24"/>
          <w:szCs w:val="24"/>
        </w:rPr>
        <w:t>to</w:t>
      </w:r>
      <w:r w:rsidRPr="00941203">
        <w:rPr>
          <w:rFonts w:ascii="Times New Roman" w:hAnsi="Times New Roman"/>
          <w:sz w:val="24"/>
          <w:szCs w:val="24"/>
        </w:rPr>
        <w:t xml:space="preserve"> achieve its objectives.</w:t>
      </w:r>
      <w:r w:rsidRPr="00941203">
        <w:rPr>
          <w:rFonts w:ascii="Times New Roman" w:hAnsi="Times New Roman"/>
          <w:sz w:val="24"/>
          <w:szCs w:val="24"/>
        </w:rPr>
        <w:t xml:space="preserve"> </w:t>
      </w:r>
      <w:r w:rsidR="00BD6D44" w:rsidRPr="00941203">
        <w:rPr>
          <w:rFonts w:ascii="Times New Roman" w:hAnsi="Times New Roman"/>
          <w:sz w:val="24"/>
          <w:szCs w:val="24"/>
        </w:rPr>
        <w:t>The Act defines seven goals for Welsh public entities to strive for, including a prosperous Wales, a resilient Wales, a healthier Wales, a more equal Wales, a Wales of cohesive communities, a Wales of vibrant culture, and a globally responsible Wales (Jones, 2019). According to Jones (2019), the Act also requires public bodies to develop Well-being Plans that outline how they propose to contribute to the Act's goals and objectives.</w:t>
      </w:r>
      <w:r w:rsidR="00BD6D44" w:rsidRPr="00941203">
        <w:rPr>
          <w:rFonts w:ascii="Times New Roman" w:hAnsi="Times New Roman"/>
          <w:sz w:val="24"/>
          <w:szCs w:val="24"/>
        </w:rPr>
        <w:t xml:space="preserve"> </w:t>
      </w:r>
      <w:r w:rsidR="00A2150D" w:rsidRPr="00941203">
        <w:rPr>
          <w:rFonts w:ascii="Times New Roman" w:hAnsi="Times New Roman"/>
          <w:sz w:val="24"/>
          <w:szCs w:val="24"/>
        </w:rPr>
        <w:t>This includes preventative measures and early intervention methods that can help to lessen the occurrence of future health problems (Davies, 2018). The plans must be updated every five years and subject to stakeholder consultation and involvement, including local communities (Davies, 2017). According to studies, this Act has contributed to a more holistic approach to policymaking and service delivery, which has benefitted the well-being of children and young people in Wales (Evans et al., 2020).</w:t>
      </w:r>
      <w:r w:rsidR="00450EFD" w:rsidRPr="00941203">
        <w:rPr>
          <w:rFonts w:ascii="Times New Roman" w:hAnsi="Times New Roman"/>
          <w:sz w:val="24"/>
          <w:szCs w:val="24"/>
        </w:rPr>
        <w:t xml:space="preserve"> </w:t>
      </w:r>
      <w:r w:rsidR="00AB0287" w:rsidRPr="00941203">
        <w:rPr>
          <w:rFonts w:ascii="Times New Roman" w:hAnsi="Times New Roman"/>
          <w:sz w:val="24"/>
          <w:szCs w:val="24"/>
        </w:rPr>
        <w:t>As a result, health outcomes for children and adolescents in Wales have improved, with rates of childhood obesity declining and mental health outcomes improving (Brunt and Jones, 2019).</w:t>
      </w:r>
      <w:r w:rsidR="00AB0287" w:rsidRPr="00941203">
        <w:rPr>
          <w:rFonts w:ascii="Times New Roman" w:hAnsi="Times New Roman"/>
          <w:sz w:val="24"/>
          <w:szCs w:val="24"/>
        </w:rPr>
        <w:t xml:space="preserve"> </w:t>
      </w:r>
      <w:r w:rsidR="001B56D1" w:rsidRPr="00941203">
        <w:rPr>
          <w:rStyle w:val="s1"/>
          <w:rFonts w:ascii="Times New Roman" w:hAnsi="Times New Roman"/>
          <w:sz w:val="24"/>
          <w:szCs w:val="24"/>
        </w:rPr>
        <w:t xml:space="preserve">According to the Welsh Health Survey, the prevalence of obesity among children aged 4-15 in Wales has decreased from 12% in 2015 to 10% in 2019 (Welsh Government, 2020). While there are likely many factors contributing to this decline, the focus on promoting healthy lifestyles and preventing obesity in the Well-being Plans of public bodies under the WFGA is likely a contributing factor. </w:t>
      </w:r>
      <w:r w:rsidR="00D01BCD" w:rsidRPr="00941203">
        <w:rPr>
          <w:rFonts w:ascii="Times New Roman" w:hAnsi="Times New Roman"/>
          <w:sz w:val="24"/>
          <w:szCs w:val="24"/>
        </w:rPr>
        <w:t>However, Audit Wales (2020) suggest that the lack of substance, guidance and resources locally can undermine this, which combined with a feeling of distrust between central and local governance structures, means the Act is far from being fully implemented.</w:t>
      </w:r>
      <w:r w:rsidR="001B56D1" w:rsidRPr="00941203">
        <w:rPr>
          <w:rFonts w:ascii="Times New Roman" w:hAnsi="Times New Roman"/>
          <w:sz w:val="24"/>
          <w:szCs w:val="24"/>
        </w:rPr>
        <w:t xml:space="preserve"> </w:t>
      </w:r>
      <w:r w:rsidR="00D01BCD" w:rsidRPr="00941203">
        <w:rPr>
          <w:rFonts w:ascii="Times New Roman" w:hAnsi="Times New Roman"/>
          <w:sz w:val="24"/>
          <w:szCs w:val="24"/>
        </w:rPr>
        <w:t>Despite criticism, t</w:t>
      </w:r>
      <w:r w:rsidR="00AD6C3E" w:rsidRPr="00941203">
        <w:rPr>
          <w:rFonts w:ascii="Times New Roman" w:hAnsi="Times New Roman"/>
          <w:sz w:val="24"/>
          <w:szCs w:val="24"/>
        </w:rPr>
        <w:t xml:space="preserve">he WFGA has a positive impact on the wellbeing of children and young people in Wales. </w:t>
      </w:r>
      <w:r w:rsidR="001B56D1" w:rsidRPr="00941203">
        <w:rPr>
          <w:rStyle w:val="s1"/>
          <w:rFonts w:ascii="Times New Roman" w:hAnsi="Times New Roman"/>
          <w:sz w:val="24"/>
          <w:szCs w:val="24"/>
        </w:rPr>
        <w:t xml:space="preserve">The National Survey for Wales found that 80% of children and young people aged 16-24 reported good mental well-being, an increase from 76% in 2016 (Welsh Government, 2019). The WFGA's emphasis on promoting mental health and well-being in public bodies' Well-being Plans and its focus on preventative measures and early intervention strategies may have contributed to this improvement. </w:t>
      </w:r>
      <w:r w:rsidR="00AB0287" w:rsidRPr="00941203">
        <w:rPr>
          <w:rFonts w:ascii="Times New Roman" w:hAnsi="Times New Roman"/>
          <w:sz w:val="24"/>
          <w:szCs w:val="24"/>
        </w:rPr>
        <w:t xml:space="preserve">The WFGA mandates public authorities to evaluate how their decisions will affect future generations, which has resulted in a stronger emphasis on the socioeconomic determinants of health and wellbeing (Green, Grey, and Ashton, 2020). This has resulted in greater investment in sectors such as education, housing, and community development, all of </w:t>
      </w:r>
      <w:r w:rsidR="00AB0287" w:rsidRPr="00941203">
        <w:rPr>
          <w:rFonts w:ascii="Times New Roman" w:hAnsi="Times New Roman"/>
          <w:sz w:val="24"/>
          <w:szCs w:val="24"/>
        </w:rPr>
        <w:lastRenderedPageBreak/>
        <w:t xml:space="preserve">which are essential elements in boosting children's and young people's well-being (Mclellan et al, 2022). </w:t>
      </w:r>
      <w:r w:rsidR="002C34F7" w:rsidRPr="00941203">
        <w:rPr>
          <w:rStyle w:val="s1"/>
          <w:rFonts w:ascii="Times New Roman" w:hAnsi="Times New Roman"/>
          <w:sz w:val="24"/>
          <w:szCs w:val="24"/>
        </w:rPr>
        <w:t xml:space="preserve">In 2018, the Welsh Government invested £33.4 million in youth work, an increase of £3.2 million from the previous year (Welsh Government, 2020). This investment aligns with the WFGA's goal of promoting a more equal Wales and its emphasis on investing in youth programs and community development initiatives. </w:t>
      </w:r>
      <w:r w:rsidR="00D910E7" w:rsidRPr="00941203">
        <w:rPr>
          <w:rFonts w:ascii="Times New Roman" w:hAnsi="Times New Roman"/>
          <w:sz w:val="24"/>
          <w:szCs w:val="24"/>
        </w:rPr>
        <w:t xml:space="preserve">This also requires public bodies working together to address resilience, which has resulted in increasing collaboration and sharing of best practises in the delivery of services to children and young people. </w:t>
      </w:r>
      <w:r w:rsidR="002C34F7" w:rsidRPr="00941203">
        <w:rPr>
          <w:rStyle w:val="s1"/>
          <w:rFonts w:ascii="Times New Roman" w:hAnsi="Times New Roman"/>
          <w:sz w:val="24"/>
          <w:szCs w:val="24"/>
        </w:rPr>
        <w:t>For example, the creation of the Aneurin Bevan University Health Board in 2009, which serves a population of over 600,000 in south-east Wales, was motivated in part by the need to provide integrated health and social care services in line with the WFGA's goals (Fisher et al., 2015).</w:t>
      </w:r>
    </w:p>
    <w:p w14:paraId="0C83F055" w14:textId="77777777" w:rsidR="002C34F7" w:rsidRPr="00941203" w:rsidRDefault="002C34F7" w:rsidP="001B56D1">
      <w:pPr>
        <w:pStyle w:val="p1"/>
        <w:spacing w:line="360" w:lineRule="auto"/>
        <w:jc w:val="both"/>
        <w:rPr>
          <w:rFonts w:ascii="Times New Roman" w:hAnsi="Times New Roman"/>
          <w:sz w:val="24"/>
          <w:szCs w:val="24"/>
        </w:rPr>
      </w:pPr>
    </w:p>
    <w:p w14:paraId="4597E02F" w14:textId="11415529" w:rsidR="003960A1" w:rsidRPr="00941203" w:rsidRDefault="00D910E7" w:rsidP="00EB6FE4">
      <w:pPr>
        <w:pStyle w:val="p1"/>
        <w:spacing w:line="360" w:lineRule="auto"/>
        <w:jc w:val="both"/>
        <w:rPr>
          <w:rFonts w:ascii="Times New Roman" w:hAnsi="Times New Roman"/>
          <w:sz w:val="24"/>
          <w:szCs w:val="24"/>
        </w:rPr>
      </w:pPr>
      <w:r w:rsidRPr="00941203">
        <w:rPr>
          <w:rFonts w:ascii="Times New Roman" w:hAnsi="Times New Roman"/>
          <w:sz w:val="24"/>
          <w:szCs w:val="24"/>
        </w:rPr>
        <w:t>The ecological systems theory, which underlines the role of environmental and social circumstances in determining individual development and well-being (Bronfenbrenner, 2005), is one of the theoretical models that the Well-being of Future Generations (Wales) Act 2015 puts into practise. The legislation understands that children's and young people's well-being is influenced by their social and environmental surroundings, and it intends to enhance well-being by addressing the underlying determinants of health and well-being. Individual, family, community,</w:t>
      </w:r>
      <w:r w:rsidRPr="00941203">
        <w:rPr>
          <w:rFonts w:ascii="Times New Roman" w:hAnsi="Times New Roman"/>
          <w:sz w:val="24"/>
          <w:szCs w:val="24"/>
        </w:rPr>
        <w:t xml:space="preserve"> </w:t>
      </w:r>
      <w:r w:rsidRPr="00941203">
        <w:rPr>
          <w:rFonts w:ascii="Times New Roman" w:hAnsi="Times New Roman"/>
          <w:sz w:val="24"/>
          <w:szCs w:val="24"/>
        </w:rPr>
        <w:t xml:space="preserve">and policy influences on children's development (Bronfenbrenner, 1979). </w:t>
      </w:r>
      <w:r w:rsidR="00637502" w:rsidRPr="00941203">
        <w:rPr>
          <w:rFonts w:ascii="Times New Roman" w:hAnsi="Times New Roman"/>
          <w:sz w:val="24"/>
          <w:szCs w:val="24"/>
        </w:rPr>
        <w:t>Additionally, the Act recognises that broader social determinants such as education, housing, employment, and access to services influence health and well-being (Bambra et al., 2011). The act also incorporates the life course approach, which emphasises the significance of early childhood experiences in developing health and well-being throughout one's life (Morgan et al., 2016).  While the Well-being of Future Generations (Wales) Act 2015 has many beneficial implications, it also has certain limits, and it has been the subject of dispute (Lang, 2017).</w:t>
      </w:r>
      <w:r w:rsidR="00637502" w:rsidRPr="00941203">
        <w:t xml:space="preserve"> </w:t>
      </w:r>
      <w:r w:rsidR="00637502" w:rsidRPr="00941203">
        <w:rPr>
          <w:rFonts w:ascii="Times New Roman" w:hAnsi="Times New Roman"/>
          <w:sz w:val="24"/>
          <w:szCs w:val="24"/>
        </w:rPr>
        <w:t>One Limitation is that the act focuses on future generations' well-being rather on present generations of children and young people (Audit Wales, 2020). Lang (2017) adds to this constraint by claiming that the Act focuses on public organisations too narrowly and does not effectively address the role of the private sector, civil society, or individuals in promoting sustainable development (Lang, 2017). In contrast, the National Assembly of Wales (2015) suggests that the act takes a proactive, rather than a reactive, approach</w:t>
      </w:r>
      <w:r w:rsidR="00637502" w:rsidRPr="00941203">
        <w:rPr>
          <w:rFonts w:ascii="Times New Roman" w:hAnsi="Times New Roman"/>
          <w:sz w:val="24"/>
          <w:szCs w:val="24"/>
        </w:rPr>
        <w:t xml:space="preserve">. </w:t>
      </w:r>
      <w:r w:rsidR="00637502" w:rsidRPr="00941203">
        <w:rPr>
          <w:rFonts w:ascii="Times New Roman" w:hAnsi="Times New Roman"/>
          <w:sz w:val="24"/>
          <w:szCs w:val="24"/>
        </w:rPr>
        <w:t>However, the Act has been criticised for its narrow scope, lack of enforcement measures, and the possibility of unexpected consequences (Stewart et al., 2017). The Act, for example, may have unexpected implications, such as diverting resources away from other critical areas or reinforcing existing power disparities (Hollingworth &amp; Williams, 2018).</w:t>
      </w:r>
      <w:bookmarkEnd w:id="2"/>
      <w:bookmarkEnd w:id="3"/>
      <w:r w:rsidR="00EB6FE4" w:rsidRPr="00941203">
        <w:rPr>
          <w:rFonts w:ascii="Times New Roman" w:hAnsi="Times New Roman"/>
          <w:sz w:val="24"/>
          <w:szCs w:val="24"/>
        </w:rPr>
        <w:t xml:space="preserve"> </w:t>
      </w:r>
      <w:r w:rsidR="00EB6FE4" w:rsidRPr="00941203">
        <w:rPr>
          <w:rFonts w:ascii="Times New Roman" w:hAnsi="Times New Roman"/>
          <w:sz w:val="24"/>
          <w:szCs w:val="24"/>
        </w:rPr>
        <w:t xml:space="preserve">Despite its limitations, the Act represents a </w:t>
      </w:r>
      <w:r w:rsidR="00EB6FE4" w:rsidRPr="00941203">
        <w:rPr>
          <w:rFonts w:ascii="Times New Roman" w:hAnsi="Times New Roman"/>
          <w:sz w:val="24"/>
          <w:szCs w:val="24"/>
        </w:rPr>
        <w:lastRenderedPageBreak/>
        <w:t>significant step forward in prioritising the health, wellbeing, and resilience of young people in Wales by adopting a comprehensive, long-term, and collaborative strategy for sustainable development (Holden et al., 2017).</w:t>
      </w:r>
    </w:p>
    <w:p w14:paraId="3F47F029" w14:textId="77777777" w:rsidR="005E488D" w:rsidRPr="00941203" w:rsidRDefault="005E488D" w:rsidP="00590811">
      <w:pPr>
        <w:spacing w:line="360" w:lineRule="auto"/>
        <w:rPr>
          <w:b/>
          <w:bCs/>
        </w:rPr>
      </w:pPr>
    </w:p>
    <w:p w14:paraId="484A49BA" w14:textId="3B3303AB" w:rsidR="00173D02" w:rsidRPr="00941203" w:rsidRDefault="005E488D" w:rsidP="002237F4">
      <w:pPr>
        <w:spacing w:line="360" w:lineRule="auto"/>
        <w:rPr>
          <w:b/>
          <w:bCs/>
        </w:rPr>
      </w:pPr>
      <w:bookmarkStart w:id="4" w:name="OLE_LINK15"/>
      <w:bookmarkStart w:id="5" w:name="OLE_LINK16"/>
      <w:r w:rsidRPr="00941203">
        <w:rPr>
          <w:b/>
          <w:bCs/>
        </w:rPr>
        <w:t xml:space="preserve">Health and social care act 2012 </w:t>
      </w:r>
    </w:p>
    <w:p w14:paraId="253B4A25" w14:textId="4D032380" w:rsidR="0056493E" w:rsidRPr="00941203" w:rsidRDefault="008C61A7" w:rsidP="0056493E">
      <w:pPr>
        <w:pStyle w:val="p1"/>
        <w:spacing w:line="360" w:lineRule="auto"/>
        <w:rPr>
          <w:rFonts w:ascii="Times New Roman" w:hAnsi="Times New Roman"/>
          <w:sz w:val="24"/>
          <w:szCs w:val="24"/>
        </w:rPr>
      </w:pPr>
      <w:bookmarkStart w:id="6" w:name="OLE_LINK13"/>
      <w:bookmarkStart w:id="7" w:name="OLE_LINK14"/>
      <w:r w:rsidRPr="00941203">
        <w:rPr>
          <w:rFonts w:ascii="Times New Roman" w:hAnsi="Times New Roman"/>
          <w:sz w:val="24"/>
          <w:szCs w:val="24"/>
        </w:rPr>
        <w:t>The health, happiness, and resilience of children and young people in Wales are strongly impacted by the Health and Social Care Act 2012</w:t>
      </w:r>
      <w:r w:rsidR="002237F4" w:rsidRPr="00941203">
        <w:rPr>
          <w:rFonts w:ascii="Times New Roman" w:hAnsi="Times New Roman"/>
          <w:sz w:val="24"/>
          <w:szCs w:val="24"/>
        </w:rPr>
        <w:t xml:space="preserve"> (HSCA 2012</w:t>
      </w:r>
      <w:r w:rsidR="00173D02" w:rsidRPr="00941203">
        <w:rPr>
          <w:rFonts w:ascii="Times New Roman" w:hAnsi="Times New Roman"/>
          <w:sz w:val="24"/>
          <w:szCs w:val="24"/>
        </w:rPr>
        <w:t xml:space="preserve">). </w:t>
      </w:r>
      <w:r w:rsidR="00173D02" w:rsidRPr="00941203">
        <w:rPr>
          <w:rStyle w:val="s1"/>
          <w:rFonts w:ascii="Times New Roman" w:hAnsi="Times New Roman"/>
          <w:sz w:val="24"/>
          <w:szCs w:val="24"/>
        </w:rPr>
        <w:t>The health, happiness, and resilience of children and young people in Wales are strongly impacted by the Health and Social Care Act 2012 (HSCA 2012). Scambler and Speed (2014) propose that the impact of the Health and Social Care Act 2012 on Wales has been complex and multifaceted, with both positive and negative outcomes.</w:t>
      </w:r>
      <w:r w:rsidR="00173D02" w:rsidRPr="00941203">
        <w:rPr>
          <w:rFonts w:ascii="Times New Roman" w:hAnsi="Times New Roman"/>
          <w:sz w:val="24"/>
          <w:szCs w:val="24"/>
        </w:rPr>
        <w:t xml:space="preserve"> </w:t>
      </w:r>
      <w:r w:rsidRPr="00941203">
        <w:rPr>
          <w:rFonts w:ascii="Times New Roman" w:hAnsi="Times New Roman"/>
          <w:sz w:val="24"/>
          <w:szCs w:val="24"/>
        </w:rPr>
        <w:t xml:space="preserve">The Act instituted </w:t>
      </w:r>
      <w:r w:rsidR="00941203" w:rsidRPr="00941203">
        <w:rPr>
          <w:rFonts w:ascii="Times New Roman" w:hAnsi="Times New Roman"/>
          <w:sz w:val="24"/>
          <w:szCs w:val="24"/>
        </w:rPr>
        <w:t>several</w:t>
      </w:r>
      <w:r w:rsidRPr="00941203">
        <w:rPr>
          <w:rFonts w:ascii="Times New Roman" w:hAnsi="Times New Roman"/>
          <w:sz w:val="24"/>
          <w:szCs w:val="24"/>
        </w:rPr>
        <w:t xml:space="preserve"> reforms intended to raise the standard of healthcare, lessen health disparities, and give patients and communities more responsibility over their own health (Department of Health, 2012). </w:t>
      </w:r>
      <w:r w:rsidR="00387DB4" w:rsidRPr="00941203">
        <w:rPr>
          <w:rFonts w:ascii="Times New Roman" w:hAnsi="Times New Roman"/>
          <w:sz w:val="24"/>
          <w:szCs w:val="24"/>
        </w:rPr>
        <w:t>Such reforms and increased responsibility lead to t</w:t>
      </w:r>
      <w:r w:rsidRPr="00941203">
        <w:rPr>
          <w:rFonts w:ascii="Times New Roman" w:hAnsi="Times New Roman"/>
          <w:sz w:val="24"/>
          <w:szCs w:val="24"/>
        </w:rPr>
        <w:t xml:space="preserve">he creation of Health and Wellbeing Boards, which </w:t>
      </w:r>
      <w:r w:rsidR="00941203" w:rsidRPr="00941203">
        <w:rPr>
          <w:rFonts w:ascii="Times New Roman" w:hAnsi="Times New Roman"/>
          <w:sz w:val="24"/>
          <w:szCs w:val="24"/>
        </w:rPr>
        <w:t>oversee</w:t>
      </w:r>
      <w:r w:rsidRPr="00941203">
        <w:rPr>
          <w:rFonts w:ascii="Times New Roman" w:hAnsi="Times New Roman"/>
          <w:sz w:val="24"/>
          <w:szCs w:val="24"/>
        </w:rPr>
        <w:t xml:space="preserve"> creating plans to improve the health and wellbeing of the local community, especially children and young people, was one of the Act's fundamental features</w:t>
      </w:r>
      <w:r w:rsidR="002237F4" w:rsidRPr="00941203">
        <w:rPr>
          <w:rFonts w:ascii="Times New Roman" w:hAnsi="Times New Roman"/>
          <w:sz w:val="24"/>
          <w:szCs w:val="24"/>
        </w:rPr>
        <w:t xml:space="preserve"> (</w:t>
      </w:r>
      <w:r w:rsidR="002237F4" w:rsidRPr="00941203">
        <w:rPr>
          <w:rFonts w:ascii="Times New Roman" w:hAnsi="Times New Roman"/>
          <w:color w:val="222222"/>
          <w:sz w:val="24"/>
          <w:szCs w:val="24"/>
          <w:shd w:val="clear" w:color="auto" w:fill="FFFFFF"/>
        </w:rPr>
        <w:t>Sanderson, Allen, and Osipovic., 2017).</w:t>
      </w:r>
      <w:r w:rsidR="00387DB4" w:rsidRPr="00941203">
        <w:rPr>
          <w:rFonts w:ascii="Times New Roman" w:hAnsi="Times New Roman"/>
          <w:color w:val="222222"/>
          <w:sz w:val="24"/>
          <w:szCs w:val="24"/>
          <w:shd w:val="clear" w:color="auto" w:fill="FFFFFF"/>
        </w:rPr>
        <w:t xml:space="preserve"> This </w:t>
      </w:r>
      <w:r w:rsidR="00387DB4" w:rsidRPr="00941203">
        <w:rPr>
          <w:rStyle w:val="s1"/>
          <w:rFonts w:ascii="Times New Roman" w:hAnsi="Times New Roman"/>
          <w:sz w:val="24"/>
          <w:szCs w:val="24"/>
        </w:rPr>
        <w:t>has played a significant role in addressing key bio-psycho-social and socio-economic factors that affect the health of children and young people in both Wales and the UK</w:t>
      </w:r>
      <w:r w:rsidR="00941203">
        <w:rPr>
          <w:rStyle w:val="s1"/>
          <w:rFonts w:ascii="Times New Roman" w:hAnsi="Times New Roman"/>
          <w:sz w:val="24"/>
          <w:szCs w:val="24"/>
        </w:rPr>
        <w:t xml:space="preserve"> (Adler 2009</w:t>
      </w:r>
      <w:r w:rsidR="00387DB4" w:rsidRPr="00941203">
        <w:rPr>
          <w:rStyle w:val="s1"/>
          <w:rFonts w:ascii="Times New Roman" w:hAnsi="Times New Roman"/>
          <w:sz w:val="24"/>
          <w:szCs w:val="24"/>
        </w:rPr>
        <w:t>).</w:t>
      </w:r>
      <w:r w:rsidR="0056493E" w:rsidRPr="00941203">
        <w:rPr>
          <w:rStyle w:val="s1"/>
          <w:rFonts w:ascii="Times New Roman" w:hAnsi="Times New Roman"/>
          <w:sz w:val="24"/>
          <w:szCs w:val="24"/>
        </w:rPr>
        <w:t xml:space="preserve"> One example of this is the implementation of the Health Child Programme (HCP), which aims to promote good health and development in children aged 0-5 years old. This program focuses on a range of factors such as physical health, mental health, social and emotional well-being, and developmental milestones. In 2019-2020, the HCP was able to reach 94.6% of all children aged 1-4 years old in the UK</w:t>
      </w:r>
      <w:r w:rsidR="0056493E" w:rsidRPr="00941203">
        <w:rPr>
          <w:rStyle w:val="s1"/>
        </w:rPr>
        <w:t>.</w:t>
      </w:r>
    </w:p>
    <w:p w14:paraId="65C299B4" w14:textId="6E9834C5" w:rsidR="00387DB4" w:rsidRPr="00941203" w:rsidRDefault="00387DB4" w:rsidP="00387DB4">
      <w:pPr>
        <w:pStyle w:val="p1"/>
        <w:spacing w:line="360" w:lineRule="auto"/>
        <w:rPr>
          <w:rFonts w:ascii="Times New Roman" w:hAnsi="Times New Roman"/>
          <w:sz w:val="24"/>
          <w:szCs w:val="24"/>
        </w:rPr>
      </w:pPr>
    </w:p>
    <w:p w14:paraId="1F88070D" w14:textId="0034A956" w:rsidR="0056493E" w:rsidRPr="00941203" w:rsidRDefault="005E488D" w:rsidP="00DE73F9">
      <w:pPr>
        <w:pStyle w:val="p1"/>
        <w:spacing w:line="360" w:lineRule="auto"/>
        <w:rPr>
          <w:rFonts w:ascii="Times New Roman" w:hAnsi="Times New Roman"/>
          <w:sz w:val="24"/>
          <w:szCs w:val="24"/>
        </w:rPr>
      </w:pPr>
      <w:r w:rsidRPr="00941203">
        <w:rPr>
          <w:rFonts w:ascii="Times New Roman" w:hAnsi="Times New Roman"/>
          <w:sz w:val="24"/>
          <w:szCs w:val="24"/>
        </w:rPr>
        <w:t>The Act established the Children and Young People's Health Outcomes Forum, which is responsible for monitoring progress on improving the health outcomes of children and young people in England and Wales (Department of Health, 2012).</w:t>
      </w:r>
      <w:r w:rsidR="002237F4" w:rsidRPr="00941203">
        <w:rPr>
          <w:rFonts w:ascii="Times New Roman" w:hAnsi="Times New Roman"/>
          <w:sz w:val="24"/>
          <w:szCs w:val="24"/>
        </w:rPr>
        <w:t xml:space="preserve"> The HSCA 2012 offers a framework for enhancing healthcare services and encourages collaborative working across many sectors, which has the potential to enhance the health, wellbeing, and resilience of children and young people in Wales</w:t>
      </w:r>
      <w:r w:rsidR="00E67397" w:rsidRPr="00941203">
        <w:rPr>
          <w:rFonts w:ascii="Times New Roman" w:hAnsi="Times New Roman"/>
          <w:sz w:val="24"/>
          <w:szCs w:val="24"/>
        </w:rPr>
        <w:t xml:space="preserve"> (</w:t>
      </w:r>
      <w:r w:rsidR="00EB6FE4" w:rsidRPr="00941203">
        <w:rPr>
          <w:rFonts w:ascii="Times New Roman" w:hAnsi="Times New Roman"/>
          <w:sz w:val="24"/>
          <w:szCs w:val="24"/>
        </w:rPr>
        <w:t>Pollock</w:t>
      </w:r>
      <w:r w:rsidR="00730724" w:rsidRPr="00941203">
        <w:rPr>
          <w:rFonts w:ascii="Times New Roman" w:hAnsi="Times New Roman"/>
          <w:sz w:val="24"/>
          <w:szCs w:val="24"/>
        </w:rPr>
        <w:t>,</w:t>
      </w:r>
      <w:r w:rsidR="00EB6FE4" w:rsidRPr="00941203">
        <w:rPr>
          <w:rFonts w:ascii="Times New Roman" w:hAnsi="Times New Roman"/>
          <w:sz w:val="24"/>
          <w:szCs w:val="24"/>
        </w:rPr>
        <w:t xml:space="preserve"> Price and Roderick, 2012</w:t>
      </w:r>
      <w:r w:rsidR="00E67397" w:rsidRPr="00941203">
        <w:rPr>
          <w:rFonts w:ascii="Times New Roman" w:hAnsi="Times New Roman"/>
          <w:sz w:val="24"/>
          <w:szCs w:val="24"/>
        </w:rPr>
        <w:t>)</w:t>
      </w:r>
      <w:r w:rsidR="002237F4" w:rsidRPr="00941203">
        <w:rPr>
          <w:rFonts w:ascii="Times New Roman" w:hAnsi="Times New Roman"/>
          <w:sz w:val="24"/>
          <w:szCs w:val="24"/>
        </w:rPr>
        <w:t>.</w:t>
      </w:r>
      <w:r w:rsidR="0056493E" w:rsidRPr="00941203">
        <w:rPr>
          <w:rFonts w:ascii="Times New Roman" w:hAnsi="Times New Roman"/>
          <w:sz w:val="24"/>
          <w:szCs w:val="24"/>
        </w:rPr>
        <w:t xml:space="preserve"> </w:t>
      </w:r>
      <w:r w:rsidR="00DE73F9" w:rsidRPr="00941203">
        <w:rPr>
          <w:rStyle w:val="s1"/>
          <w:rFonts w:ascii="Times New Roman" w:hAnsi="Times New Roman"/>
          <w:sz w:val="24"/>
          <w:szCs w:val="24"/>
        </w:rPr>
        <w:t>The Children and Young People's Health Outcomes Forum has been successful in driving improvements in child health outcomes in England and Wales. For example, between 2012 and 2018, infant</w:t>
      </w:r>
      <w:r w:rsidR="00363C39" w:rsidRPr="00941203">
        <w:rPr>
          <w:rStyle w:val="s1"/>
          <w:rFonts w:ascii="Times New Roman" w:hAnsi="Times New Roman"/>
          <w:sz w:val="24"/>
          <w:szCs w:val="24"/>
        </w:rPr>
        <w:t xml:space="preserve"> </w:t>
      </w:r>
      <w:r w:rsidR="00DE73F9" w:rsidRPr="00941203">
        <w:rPr>
          <w:rStyle w:val="s1"/>
          <w:rFonts w:ascii="Times New Roman" w:hAnsi="Times New Roman"/>
          <w:sz w:val="24"/>
          <w:szCs w:val="24"/>
        </w:rPr>
        <w:t xml:space="preserve">mortality rates in England and Wales fell from 3.8 to 3.4 deaths per 1,000 live births, and the </w:t>
      </w:r>
      <w:r w:rsidR="00DE73F9" w:rsidRPr="00941203">
        <w:rPr>
          <w:rStyle w:val="s1"/>
          <w:rFonts w:ascii="Times New Roman" w:hAnsi="Times New Roman"/>
          <w:sz w:val="24"/>
          <w:szCs w:val="24"/>
        </w:rPr>
        <w:lastRenderedPageBreak/>
        <w:t xml:space="preserve">percentage of children and young people with a long-term condition who feel supported by their healthcare team increased from 50% to 68%. </w:t>
      </w:r>
      <w:r w:rsidR="00E67397" w:rsidRPr="00941203">
        <w:rPr>
          <w:rFonts w:ascii="Times New Roman" w:hAnsi="Times New Roman"/>
          <w:sz w:val="24"/>
          <w:szCs w:val="24"/>
        </w:rPr>
        <w:t>Nevertheless, c</w:t>
      </w:r>
      <w:r w:rsidR="002237F4" w:rsidRPr="00941203">
        <w:rPr>
          <w:rFonts w:ascii="Times New Roman" w:hAnsi="Times New Roman"/>
          <w:sz w:val="24"/>
          <w:szCs w:val="24"/>
        </w:rPr>
        <w:t xml:space="preserve">oncerns have been raised about the Act's implementation and how some of the reforms may affect the standard of healthcare services, especially for vulnerable populations including children and young adults (The King's Fund, 2015). </w:t>
      </w:r>
      <w:r w:rsidR="00E67397" w:rsidRPr="00941203">
        <w:rPr>
          <w:rFonts w:ascii="Times New Roman" w:hAnsi="Times New Roman"/>
          <w:sz w:val="24"/>
          <w:szCs w:val="24"/>
        </w:rPr>
        <w:t>Despite this</w:t>
      </w:r>
      <w:r w:rsidR="002201AE" w:rsidRPr="00941203">
        <w:rPr>
          <w:rFonts w:ascii="Times New Roman" w:hAnsi="Times New Roman"/>
          <w:sz w:val="24"/>
          <w:szCs w:val="24"/>
        </w:rPr>
        <w:t xml:space="preserve">, the Act introduced </w:t>
      </w:r>
      <w:r w:rsidR="00941203" w:rsidRPr="00941203">
        <w:rPr>
          <w:rFonts w:ascii="Times New Roman" w:hAnsi="Times New Roman"/>
          <w:sz w:val="24"/>
          <w:szCs w:val="24"/>
        </w:rPr>
        <w:t>several</w:t>
      </w:r>
      <w:r w:rsidR="002201AE" w:rsidRPr="00941203">
        <w:rPr>
          <w:rFonts w:ascii="Times New Roman" w:hAnsi="Times New Roman"/>
          <w:sz w:val="24"/>
          <w:szCs w:val="24"/>
        </w:rPr>
        <w:t xml:space="preserve"> measures to improve patient safety, such as the introduction of a duty of candour on healthcare providers to be open and honest about mistakes or errors in care</w:t>
      </w:r>
      <w:r w:rsidR="00C35A84" w:rsidRPr="00941203">
        <w:rPr>
          <w:rFonts w:ascii="Times New Roman" w:hAnsi="Times New Roman"/>
          <w:sz w:val="24"/>
          <w:szCs w:val="24"/>
        </w:rPr>
        <w:t xml:space="preserve"> (</w:t>
      </w:r>
      <w:r w:rsidR="00730724" w:rsidRPr="00941203">
        <w:rPr>
          <w:rFonts w:ascii="Times New Roman" w:hAnsi="Times New Roman"/>
          <w:sz w:val="24"/>
          <w:szCs w:val="24"/>
        </w:rPr>
        <w:t>Phillips 2002</w:t>
      </w:r>
      <w:r w:rsidR="00C35A84" w:rsidRPr="00941203">
        <w:rPr>
          <w:rFonts w:ascii="Times New Roman" w:hAnsi="Times New Roman"/>
          <w:sz w:val="24"/>
          <w:szCs w:val="24"/>
        </w:rPr>
        <w:t>)</w:t>
      </w:r>
      <w:r w:rsidR="002201AE" w:rsidRPr="00941203">
        <w:rPr>
          <w:rFonts w:ascii="Times New Roman" w:hAnsi="Times New Roman"/>
          <w:sz w:val="24"/>
          <w:szCs w:val="24"/>
        </w:rPr>
        <w:t>.</w:t>
      </w:r>
      <w:r w:rsidR="00730724" w:rsidRPr="00941203">
        <w:rPr>
          <w:rFonts w:ascii="Times New Roman" w:hAnsi="Times New Roman"/>
          <w:sz w:val="24"/>
          <w:szCs w:val="24"/>
        </w:rPr>
        <w:t xml:space="preserve"> </w:t>
      </w:r>
      <w:r w:rsidR="00E67397" w:rsidRPr="00941203">
        <w:rPr>
          <w:rFonts w:ascii="Times New Roman" w:hAnsi="Times New Roman"/>
          <w:sz w:val="24"/>
          <w:szCs w:val="24"/>
        </w:rPr>
        <w:t>Pollock (2013) further expands that the</w:t>
      </w:r>
      <w:r w:rsidR="002201AE" w:rsidRPr="00941203">
        <w:rPr>
          <w:rFonts w:ascii="Times New Roman" w:hAnsi="Times New Roman"/>
          <w:sz w:val="24"/>
          <w:szCs w:val="24"/>
        </w:rPr>
        <w:t xml:space="preserve"> emphasis on competition and marketisation within the Act has led to fragmentation and a lack of accountability in the NHS</w:t>
      </w:r>
      <w:r w:rsidR="00E67397" w:rsidRPr="00941203">
        <w:rPr>
          <w:rFonts w:ascii="Times New Roman" w:hAnsi="Times New Roman"/>
          <w:sz w:val="24"/>
          <w:szCs w:val="24"/>
        </w:rPr>
        <w:t xml:space="preserve">. </w:t>
      </w:r>
      <w:r w:rsidR="002C34F7" w:rsidRPr="00941203">
        <w:rPr>
          <w:rFonts w:ascii="Times New Roman" w:hAnsi="Times New Roman"/>
          <w:sz w:val="24"/>
          <w:szCs w:val="24"/>
        </w:rPr>
        <w:t>This could be seen as conflicting with the World Health Organization's (WHO) Health for All strategy, which emphasises universal access to high-quality healthcare services (WHO, 1981).</w:t>
      </w:r>
      <w:r w:rsidR="00DE73F9" w:rsidRPr="00941203">
        <w:rPr>
          <w:rFonts w:ascii="Times New Roman" w:hAnsi="Times New Roman"/>
          <w:sz w:val="24"/>
          <w:szCs w:val="24"/>
        </w:rPr>
        <w:t xml:space="preserve"> </w:t>
      </w:r>
      <w:r w:rsidR="002C34F7" w:rsidRPr="00941203">
        <w:rPr>
          <w:rFonts w:ascii="Times New Roman" w:hAnsi="Times New Roman"/>
          <w:sz w:val="24"/>
          <w:szCs w:val="24"/>
        </w:rPr>
        <w:t>Furthermore, some critics argue that the Act's emphasis on the role of private sector providers in the delivery of health and social care services may lead to a focus on profit rather than the needs of children and young people</w:t>
      </w:r>
      <w:r w:rsidR="0056493E" w:rsidRPr="00941203">
        <w:rPr>
          <w:rFonts w:ascii="Times New Roman" w:hAnsi="Times New Roman"/>
          <w:sz w:val="24"/>
          <w:szCs w:val="24"/>
        </w:rPr>
        <w:t xml:space="preserve"> (</w:t>
      </w:r>
      <w:r w:rsidR="00A965A9" w:rsidRPr="00941203">
        <w:rPr>
          <w:rFonts w:ascii="Times New Roman" w:hAnsi="Times New Roman"/>
          <w:sz w:val="24"/>
          <w:szCs w:val="24"/>
        </w:rPr>
        <w:t>Gilmore et al, 2023</w:t>
      </w:r>
      <w:r w:rsidR="0056493E" w:rsidRPr="00941203">
        <w:rPr>
          <w:rFonts w:ascii="Times New Roman" w:hAnsi="Times New Roman"/>
          <w:sz w:val="24"/>
          <w:szCs w:val="24"/>
        </w:rPr>
        <w:t>)</w:t>
      </w:r>
      <w:r w:rsidR="002C34F7" w:rsidRPr="00941203">
        <w:rPr>
          <w:rFonts w:ascii="Times New Roman" w:hAnsi="Times New Roman"/>
          <w:sz w:val="24"/>
          <w:szCs w:val="24"/>
        </w:rPr>
        <w:t>. This could potentially harm children and young people's health and wellbeing by limiting their access to essential services and interventions.</w:t>
      </w:r>
      <w:r w:rsidR="00DC11BA" w:rsidRPr="00941203">
        <w:rPr>
          <w:rFonts w:ascii="Times New Roman" w:hAnsi="Times New Roman"/>
          <w:sz w:val="24"/>
          <w:szCs w:val="24"/>
        </w:rPr>
        <w:t xml:space="preserve"> </w:t>
      </w:r>
    </w:p>
    <w:bookmarkEnd w:id="4"/>
    <w:bookmarkEnd w:id="5"/>
    <w:bookmarkEnd w:id="6"/>
    <w:bookmarkEnd w:id="7"/>
    <w:p w14:paraId="357A8C54" w14:textId="77777777" w:rsidR="00363C39" w:rsidRPr="00941203" w:rsidRDefault="00363C39" w:rsidP="00363C39">
      <w:pPr>
        <w:spacing w:line="360" w:lineRule="auto"/>
        <w:jc w:val="both"/>
      </w:pPr>
    </w:p>
    <w:p w14:paraId="0F96794D" w14:textId="39663128" w:rsidR="000019DA" w:rsidRPr="00941203" w:rsidRDefault="00590811" w:rsidP="00363C39">
      <w:pPr>
        <w:spacing w:line="360" w:lineRule="auto"/>
        <w:jc w:val="both"/>
      </w:pPr>
      <w:r w:rsidRPr="00941203">
        <w:rPr>
          <w:b/>
          <w:bCs/>
        </w:rPr>
        <w:t xml:space="preserve">Conclusion </w:t>
      </w:r>
    </w:p>
    <w:p w14:paraId="66376B1F" w14:textId="7715697D" w:rsidR="00590811" w:rsidRPr="00941203" w:rsidRDefault="00590811"/>
    <w:p w14:paraId="2B34BFF2" w14:textId="18890923" w:rsidR="00B5324D" w:rsidRPr="007F477D" w:rsidRDefault="00DC7D2A" w:rsidP="00B5324D">
      <w:pPr>
        <w:spacing w:line="360" w:lineRule="auto"/>
        <w:rPr>
          <w:color w:val="222222"/>
          <w:shd w:val="clear" w:color="auto" w:fill="FFFFFF"/>
        </w:rPr>
      </w:pPr>
      <w:r w:rsidRPr="00941203">
        <w:t>In conclusion, despite the critiques and discussions surrounding the Health and Social Care Act 2012, it has had a beneficial influence on the health and wellbeing of children and young people in Wales and the United Kingdom. The establishment of Health and Wellbeing Boards has been critical in addressing critical health issues such as bio-psycho-social and socio-economic determinants. While some researchers believe that the Act improved healthcare provision, patient choice, and local decision-making, others say that it increased health disparities and reduced public health spending (Bambra et al., 2011; Hollingworth &amp; Williams, 2018; Roland, 2012; Ham, 2013). In contrast, the Well-being of Future Generations (Wales) Act 2015 has been praised for its novel approach to fostering long-term development and well-being in Wales.</w:t>
      </w:r>
      <w:r w:rsidR="00CD7F3E" w:rsidRPr="00941203">
        <w:t xml:space="preserve"> </w:t>
      </w:r>
      <w:r w:rsidR="00CD7F3E" w:rsidRPr="00941203">
        <w:t xml:space="preserve">Despite this, it has been criticised for having overly ambitious aims and a lack of clarity on implementation (Williams, 2016). </w:t>
      </w:r>
      <w:r w:rsidR="007F477D" w:rsidRPr="007F477D">
        <w:rPr>
          <w:color w:val="222222"/>
          <w:shd w:val="clear" w:color="auto" w:fill="FFFFFF"/>
        </w:rPr>
        <w:t>The Health and Social Care Act of 2012 and the Well-being of Future Generations (Wales) Act of 2015 have distinct but complementary purposes, with the former focused on increasing healthcare quality and eliminating health inequities and the latter promoting long-term wellbeing through a holistic approach.</w:t>
      </w:r>
      <w:r w:rsidR="007F477D">
        <w:rPr>
          <w:color w:val="222222"/>
          <w:shd w:val="clear" w:color="auto" w:fill="FFFFFF"/>
        </w:rPr>
        <w:t xml:space="preserve"> </w:t>
      </w:r>
      <w:r w:rsidR="007F477D" w:rsidRPr="007F477D">
        <w:rPr>
          <w:color w:val="222222"/>
          <w:shd w:val="clear" w:color="auto" w:fill="FFFFFF"/>
        </w:rPr>
        <w:t xml:space="preserve">Nonetheless, additional study is required to assess the long-term consequences of these Acts on the larger community and to influence future policy decisions. </w:t>
      </w:r>
      <w:r w:rsidR="007F477D" w:rsidRPr="007F477D">
        <w:rPr>
          <w:color w:val="222222"/>
          <w:shd w:val="clear" w:color="auto" w:fill="FFFFFF"/>
        </w:rPr>
        <w:lastRenderedPageBreak/>
        <w:t xml:space="preserve">Overall, </w:t>
      </w:r>
      <w:r w:rsidR="007F477D">
        <w:rPr>
          <w:color w:val="222222"/>
          <w:shd w:val="clear" w:color="auto" w:fill="FFFFFF"/>
        </w:rPr>
        <w:t xml:space="preserve">both policies </w:t>
      </w:r>
      <w:r w:rsidR="00941203" w:rsidRPr="007F477D">
        <w:rPr>
          <w:color w:val="222222"/>
          <w:shd w:val="clear" w:color="auto" w:fill="FFFFFF"/>
        </w:rPr>
        <w:t>have</w:t>
      </w:r>
      <w:r w:rsidR="007F477D" w:rsidRPr="007F477D">
        <w:rPr>
          <w:color w:val="222222"/>
          <w:shd w:val="clear" w:color="auto" w:fill="FFFFFF"/>
        </w:rPr>
        <w:t xml:space="preserve"> had a beneficial influence on children's and young people's health and well-being, and the introduction of Health and Wellbeing Boards has been crucial in tackling critical health issues.</w:t>
      </w:r>
      <w:r w:rsidR="007F477D">
        <w:rPr>
          <w:color w:val="222222"/>
          <w:shd w:val="clear" w:color="auto" w:fill="FFFFFF"/>
        </w:rPr>
        <w:t xml:space="preserve"> </w:t>
      </w:r>
      <w:r w:rsidR="007F477D" w:rsidRPr="00941203">
        <w:t>T</w:t>
      </w:r>
      <w:r w:rsidR="00CD7F3E" w:rsidRPr="00941203">
        <w:t>he two Acts have distinct but complementary purposes, with the Health and Social Care Act 2012 intending to improve healthcare quality and eliminate health inequalities, and the Well-being of Future Generations (Wales) Act 2015 supporting long-term wellbeing through a holistic approach. More research is needed to assess the long-term effects of these Acts on the broader community.</w:t>
      </w:r>
      <w:r w:rsidR="007F477D" w:rsidRPr="007F477D">
        <w:t xml:space="preserve"> </w:t>
      </w:r>
      <w:r w:rsidR="007F477D" w:rsidRPr="007F477D">
        <w:t xml:space="preserve">Although the Health and Social Care Act of 2012 and the Well-being of Future Generations (Wales) Act of 2015 have been in effect for a while, it is still unclear how they will affect society in the long run. More research is needed to determine whether they are beneficial. The Health and Social Care Act of 2012 had a major impact on service delivery and staff composition in England, according to one study (Maarse et al., 2018), although it had not yet produced better patient outcomes. While there was evidence of progress towards some of the Act's goals, </w:t>
      </w:r>
      <w:r w:rsidR="00941203" w:rsidRPr="007F477D">
        <w:t>different research</w:t>
      </w:r>
      <w:r w:rsidR="007F477D" w:rsidRPr="007F477D">
        <w:t xml:space="preserve"> that examined how the Well-being of Future Generations (Wales) Act 2015 was implemented also concluded that there were difficulties in applying the Act's principles across government and engaging with the public (Bell et al., 2020). </w:t>
      </w:r>
      <w:r w:rsidR="00A93231" w:rsidRPr="00A93231">
        <w:t>There is a need for further research to assess the long-term effects of these Acts on reducing health inequalities and improving overall health and well-being outcomes. Such studies would benefit from using rigorous research methods and evaluating a broad range of outcomes, including health outcomes, economic outcomes, and social outcomes. By doing so, policymakers can better understand the impacts of these Acts on the broader community and make informed decisions about future healthcare policies and interventions.</w:t>
      </w:r>
    </w:p>
    <w:p w14:paraId="3AF8683B" w14:textId="77777777" w:rsidR="00961851" w:rsidRDefault="00961851" w:rsidP="00B5324D">
      <w:pPr>
        <w:spacing w:line="360" w:lineRule="auto"/>
        <w:rPr>
          <w:color w:val="222222"/>
          <w:u w:val="single"/>
          <w:shd w:val="clear" w:color="auto" w:fill="FFFFFF"/>
        </w:rPr>
      </w:pPr>
    </w:p>
    <w:p w14:paraId="1FB271D0" w14:textId="77777777" w:rsidR="00941203" w:rsidRDefault="00941203" w:rsidP="00A93231">
      <w:pPr>
        <w:spacing w:line="360" w:lineRule="auto"/>
        <w:rPr>
          <w:color w:val="222222"/>
          <w:u w:val="single"/>
          <w:shd w:val="clear" w:color="auto" w:fill="FFFFFF"/>
        </w:rPr>
      </w:pPr>
    </w:p>
    <w:p w14:paraId="6C5DF047" w14:textId="77777777" w:rsidR="00941203" w:rsidRDefault="00941203" w:rsidP="00A93231">
      <w:pPr>
        <w:spacing w:line="360" w:lineRule="auto"/>
        <w:rPr>
          <w:color w:val="222222"/>
          <w:u w:val="single"/>
          <w:shd w:val="clear" w:color="auto" w:fill="FFFFFF"/>
        </w:rPr>
      </w:pPr>
    </w:p>
    <w:p w14:paraId="71D07347" w14:textId="77777777" w:rsidR="00941203" w:rsidRDefault="00941203" w:rsidP="00A93231">
      <w:pPr>
        <w:spacing w:line="360" w:lineRule="auto"/>
        <w:rPr>
          <w:color w:val="222222"/>
          <w:u w:val="single"/>
          <w:shd w:val="clear" w:color="auto" w:fill="FFFFFF"/>
        </w:rPr>
      </w:pPr>
    </w:p>
    <w:p w14:paraId="042D8325" w14:textId="77777777" w:rsidR="00941203" w:rsidRDefault="00941203" w:rsidP="00A93231">
      <w:pPr>
        <w:spacing w:line="360" w:lineRule="auto"/>
        <w:rPr>
          <w:color w:val="222222"/>
          <w:u w:val="single"/>
          <w:shd w:val="clear" w:color="auto" w:fill="FFFFFF"/>
        </w:rPr>
      </w:pPr>
    </w:p>
    <w:p w14:paraId="455A7FD4" w14:textId="77777777" w:rsidR="00941203" w:rsidRDefault="00941203" w:rsidP="00A93231">
      <w:pPr>
        <w:spacing w:line="360" w:lineRule="auto"/>
        <w:rPr>
          <w:color w:val="222222"/>
          <w:u w:val="single"/>
          <w:shd w:val="clear" w:color="auto" w:fill="FFFFFF"/>
        </w:rPr>
      </w:pPr>
    </w:p>
    <w:p w14:paraId="1BCAC136" w14:textId="77777777" w:rsidR="00941203" w:rsidRDefault="00941203" w:rsidP="00A93231">
      <w:pPr>
        <w:spacing w:line="360" w:lineRule="auto"/>
        <w:rPr>
          <w:color w:val="222222"/>
          <w:u w:val="single"/>
          <w:shd w:val="clear" w:color="auto" w:fill="FFFFFF"/>
        </w:rPr>
      </w:pPr>
    </w:p>
    <w:p w14:paraId="0B9F392D" w14:textId="77777777" w:rsidR="00941203" w:rsidRDefault="00941203" w:rsidP="00A93231">
      <w:pPr>
        <w:spacing w:line="360" w:lineRule="auto"/>
        <w:rPr>
          <w:color w:val="222222"/>
          <w:u w:val="single"/>
          <w:shd w:val="clear" w:color="auto" w:fill="FFFFFF"/>
        </w:rPr>
      </w:pPr>
    </w:p>
    <w:p w14:paraId="08579B9D" w14:textId="77777777" w:rsidR="00941203" w:rsidRDefault="00941203" w:rsidP="00A93231">
      <w:pPr>
        <w:spacing w:line="360" w:lineRule="auto"/>
        <w:rPr>
          <w:color w:val="222222"/>
          <w:u w:val="single"/>
          <w:shd w:val="clear" w:color="auto" w:fill="FFFFFF"/>
        </w:rPr>
      </w:pPr>
    </w:p>
    <w:p w14:paraId="359649DA" w14:textId="77777777" w:rsidR="00941203" w:rsidRDefault="00941203" w:rsidP="00A93231">
      <w:pPr>
        <w:spacing w:line="360" w:lineRule="auto"/>
        <w:rPr>
          <w:color w:val="222222"/>
          <w:u w:val="single"/>
          <w:shd w:val="clear" w:color="auto" w:fill="FFFFFF"/>
        </w:rPr>
      </w:pPr>
    </w:p>
    <w:p w14:paraId="37E9A795" w14:textId="77777777" w:rsidR="00941203" w:rsidRDefault="00941203" w:rsidP="00A93231">
      <w:pPr>
        <w:spacing w:line="360" w:lineRule="auto"/>
        <w:rPr>
          <w:color w:val="222222"/>
          <w:u w:val="single"/>
          <w:shd w:val="clear" w:color="auto" w:fill="FFFFFF"/>
        </w:rPr>
      </w:pPr>
    </w:p>
    <w:p w14:paraId="3012EC02" w14:textId="77777777" w:rsidR="00941203" w:rsidRDefault="00941203" w:rsidP="00A93231">
      <w:pPr>
        <w:spacing w:line="360" w:lineRule="auto"/>
        <w:rPr>
          <w:color w:val="222222"/>
          <w:u w:val="single"/>
          <w:shd w:val="clear" w:color="auto" w:fill="FFFFFF"/>
        </w:rPr>
      </w:pPr>
    </w:p>
    <w:p w14:paraId="27677D25" w14:textId="19CEDD77" w:rsidR="00A93231" w:rsidRPr="00A93231" w:rsidRDefault="00363C39" w:rsidP="00A93231">
      <w:pPr>
        <w:spacing w:line="360" w:lineRule="auto"/>
        <w:rPr>
          <w:color w:val="222222"/>
          <w:u w:val="single"/>
          <w:shd w:val="clear" w:color="auto" w:fill="FFFFFF"/>
        </w:rPr>
      </w:pPr>
      <w:r w:rsidRPr="00363C39">
        <w:rPr>
          <w:color w:val="222222"/>
          <w:u w:val="single"/>
          <w:shd w:val="clear" w:color="auto" w:fill="FFFFFF"/>
        </w:rPr>
        <w:lastRenderedPageBreak/>
        <w:t xml:space="preserve">Reference List </w:t>
      </w:r>
    </w:p>
    <w:p w14:paraId="4838B39B" w14:textId="77777777" w:rsidR="00A93231" w:rsidRPr="00DA3D25" w:rsidRDefault="00A93231" w:rsidP="00363C39">
      <w:pPr>
        <w:rPr>
          <w:color w:val="222222"/>
          <w:shd w:val="clear" w:color="auto" w:fill="FFFFFF"/>
        </w:rPr>
      </w:pPr>
      <w:r w:rsidRPr="00DA3D25">
        <w:rPr>
          <w:color w:val="222222"/>
          <w:shd w:val="clear" w:color="auto" w:fill="FFFFFF"/>
        </w:rPr>
        <w:t>Adler, R.H., (2009). Engel's biopsychosocial model is still relevant today. </w:t>
      </w:r>
      <w:r w:rsidRPr="00DA3D25">
        <w:rPr>
          <w:i/>
          <w:iCs/>
          <w:color w:val="222222"/>
        </w:rPr>
        <w:t>Journal of psychosomatic research</w:t>
      </w:r>
      <w:r w:rsidRPr="00DA3D25">
        <w:rPr>
          <w:color w:val="222222"/>
          <w:shd w:val="clear" w:color="auto" w:fill="FFFFFF"/>
        </w:rPr>
        <w:t>, </w:t>
      </w:r>
      <w:r w:rsidRPr="00DA3D25">
        <w:rPr>
          <w:i/>
          <w:iCs/>
          <w:color w:val="222222"/>
        </w:rPr>
        <w:t>67</w:t>
      </w:r>
      <w:r w:rsidRPr="00DA3D25">
        <w:rPr>
          <w:color w:val="222222"/>
          <w:shd w:val="clear" w:color="auto" w:fill="FFFFFF"/>
        </w:rPr>
        <w:t>(6), pp.607-611.</w:t>
      </w:r>
    </w:p>
    <w:p w14:paraId="0D9362CF" w14:textId="77777777" w:rsidR="00A93231" w:rsidRDefault="00A93231" w:rsidP="00392CAC"/>
    <w:p w14:paraId="424F1FDE" w14:textId="1FD6C6BF" w:rsidR="00A93231" w:rsidRPr="00DA3D25" w:rsidRDefault="00A93231" w:rsidP="00392CAC">
      <w:r w:rsidRPr="00DA3D25">
        <w:t xml:space="preserve">Ambra, C., Gibson, M., Sowden, A., Wright, K., Whitehead, M., &amp; Petticrew, M. (2011). Tackling the wider social determinants of health and health inequalities: Evidence from systematic reviews. Journal of Epidemiology and Community Health, 65(11), 897-902. </w:t>
      </w:r>
    </w:p>
    <w:p w14:paraId="0DD203DE" w14:textId="77777777" w:rsidR="00A93231" w:rsidRDefault="00A93231" w:rsidP="00392CAC"/>
    <w:p w14:paraId="70866A54" w14:textId="6A42555F" w:rsidR="00A93231" w:rsidRPr="00DA3D25" w:rsidRDefault="00A93231" w:rsidP="00392CAC">
      <w:r w:rsidRPr="00DA3D25">
        <w:t>Bandura, A. (1986). Social foundations of thought and action: A social cognitive theory. Prentice-Hall, Inc.</w:t>
      </w:r>
    </w:p>
    <w:p w14:paraId="71624847" w14:textId="77777777" w:rsidR="00A93231" w:rsidRDefault="00A93231" w:rsidP="00A93231"/>
    <w:p w14:paraId="6FA9FAD2" w14:textId="4CEB13C5" w:rsidR="00A93231" w:rsidRDefault="00A93231" w:rsidP="00A93231">
      <w:r>
        <w:t>Bell, R., Williams, R., &amp; Smith, K. (2020). The Well-being of Future Generations (Wales) Act 2015: Progress, challenges, and opportunities for public health. Public Health, 179, 63-67. doi: 10.1016/j.puhe.2019.09.019</w:t>
      </w:r>
    </w:p>
    <w:p w14:paraId="6708301D" w14:textId="627BB238" w:rsidR="00A93231" w:rsidRPr="00DA3D25" w:rsidRDefault="00A93231" w:rsidP="00392CAC">
      <w:r w:rsidRPr="00DA3D25">
        <w:t>BMC Public Health, 18(1), 1275. doi:10.1186/s12889-018-6189-7</w:t>
      </w:r>
    </w:p>
    <w:p w14:paraId="402AC30B" w14:textId="77777777" w:rsidR="00A93231" w:rsidRPr="00DA3D25" w:rsidRDefault="00A93231" w:rsidP="00392CAC">
      <w:r w:rsidRPr="00DA3D25">
        <w:t>Bronfenbrenner, U. (1979). The ecology of human development: Experiments by nature and design. Harvard University Press.</w:t>
      </w:r>
    </w:p>
    <w:p w14:paraId="10DF13B9" w14:textId="77777777" w:rsidR="00A93231" w:rsidRDefault="00A93231" w:rsidP="00363C39">
      <w:pPr>
        <w:rPr>
          <w:color w:val="222222"/>
          <w:shd w:val="clear" w:color="auto" w:fill="FFFFFF"/>
        </w:rPr>
      </w:pPr>
    </w:p>
    <w:p w14:paraId="43895629" w14:textId="33FA1471" w:rsidR="00A93231" w:rsidRPr="00DA3D25" w:rsidRDefault="00A93231" w:rsidP="00363C39">
      <w:r w:rsidRPr="00DA3D25">
        <w:rPr>
          <w:color w:val="222222"/>
          <w:shd w:val="clear" w:color="auto" w:fill="FFFFFF"/>
        </w:rPr>
        <w:t xml:space="preserve">Brunt, </w:t>
      </w:r>
      <w:r w:rsidR="00941203" w:rsidRPr="00DA3D25">
        <w:rPr>
          <w:color w:val="222222"/>
          <w:shd w:val="clear" w:color="auto" w:fill="FFFFFF"/>
        </w:rPr>
        <w:t>H.,</w:t>
      </w:r>
      <w:r w:rsidRPr="00DA3D25">
        <w:rPr>
          <w:color w:val="222222"/>
          <w:shd w:val="clear" w:color="auto" w:fill="FFFFFF"/>
        </w:rPr>
        <w:t xml:space="preserve"> and Jones, S.J., </w:t>
      </w:r>
      <w:r>
        <w:rPr>
          <w:color w:val="222222"/>
          <w:shd w:val="clear" w:color="auto" w:fill="FFFFFF"/>
        </w:rPr>
        <w:t>(</w:t>
      </w:r>
      <w:r w:rsidRPr="00DA3D25">
        <w:rPr>
          <w:color w:val="222222"/>
          <w:shd w:val="clear" w:color="auto" w:fill="FFFFFF"/>
        </w:rPr>
        <w:t>2019</w:t>
      </w:r>
      <w:r>
        <w:rPr>
          <w:color w:val="222222"/>
          <w:shd w:val="clear" w:color="auto" w:fill="FFFFFF"/>
        </w:rPr>
        <w:t>)</w:t>
      </w:r>
      <w:r w:rsidRPr="00DA3D25">
        <w:rPr>
          <w:color w:val="222222"/>
          <w:shd w:val="clear" w:color="auto" w:fill="FFFFFF"/>
        </w:rPr>
        <w:t>. A pragmatic public health-driven approach to enhance local air quality management risk assessment in Wales, UK. </w:t>
      </w:r>
      <w:r w:rsidRPr="00DA3D25">
        <w:rPr>
          <w:i/>
          <w:iCs/>
          <w:color w:val="222222"/>
        </w:rPr>
        <w:t>Environmental Science &amp; Policy</w:t>
      </w:r>
      <w:r w:rsidRPr="00DA3D25">
        <w:rPr>
          <w:color w:val="222222"/>
          <w:shd w:val="clear" w:color="auto" w:fill="FFFFFF"/>
        </w:rPr>
        <w:t>, </w:t>
      </w:r>
      <w:r w:rsidRPr="00DA3D25">
        <w:rPr>
          <w:i/>
          <w:iCs/>
          <w:color w:val="222222"/>
        </w:rPr>
        <w:t>96</w:t>
      </w:r>
      <w:r w:rsidRPr="00DA3D25">
        <w:rPr>
          <w:color w:val="222222"/>
          <w:shd w:val="clear" w:color="auto" w:fill="FFFFFF"/>
        </w:rPr>
        <w:t>, pp.18-26.</w:t>
      </w:r>
    </w:p>
    <w:p w14:paraId="168FFCEF" w14:textId="77777777" w:rsidR="00A93231" w:rsidRDefault="00A93231" w:rsidP="00363C39">
      <w:pPr>
        <w:rPr>
          <w:color w:val="222222"/>
          <w:shd w:val="clear" w:color="auto" w:fill="FFFFFF"/>
        </w:rPr>
      </w:pPr>
    </w:p>
    <w:p w14:paraId="06BB4295" w14:textId="38EA5A51" w:rsidR="00A93231" w:rsidRPr="00DA3D25" w:rsidRDefault="00A93231" w:rsidP="00363C39">
      <w:r w:rsidRPr="00DA3D25">
        <w:rPr>
          <w:color w:val="222222"/>
          <w:shd w:val="clear" w:color="auto" w:fill="FFFFFF"/>
        </w:rPr>
        <w:t xml:space="preserve">Castelnovo, W., Misuraca, G. and Savoldelli, A., </w:t>
      </w:r>
      <w:r>
        <w:rPr>
          <w:color w:val="222222"/>
          <w:shd w:val="clear" w:color="auto" w:fill="FFFFFF"/>
        </w:rPr>
        <w:t>(</w:t>
      </w:r>
      <w:r w:rsidRPr="00DA3D25">
        <w:rPr>
          <w:color w:val="222222"/>
          <w:shd w:val="clear" w:color="auto" w:fill="FFFFFF"/>
        </w:rPr>
        <w:t>2016</w:t>
      </w:r>
      <w:r>
        <w:rPr>
          <w:color w:val="222222"/>
          <w:shd w:val="clear" w:color="auto" w:fill="FFFFFF"/>
        </w:rPr>
        <w:t>)</w:t>
      </w:r>
      <w:r w:rsidRPr="00DA3D25">
        <w:rPr>
          <w:color w:val="222222"/>
          <w:shd w:val="clear" w:color="auto" w:fill="FFFFFF"/>
        </w:rPr>
        <w:t>. Smart cities governance: The need for a holistic approach to assessing urban participatory policy making. </w:t>
      </w:r>
      <w:r w:rsidRPr="00DA3D25">
        <w:rPr>
          <w:i/>
          <w:iCs/>
          <w:color w:val="222222"/>
        </w:rPr>
        <w:t>Social Science Computer Review</w:t>
      </w:r>
      <w:r w:rsidRPr="00DA3D25">
        <w:rPr>
          <w:color w:val="222222"/>
          <w:shd w:val="clear" w:color="auto" w:fill="FFFFFF"/>
        </w:rPr>
        <w:t>, </w:t>
      </w:r>
      <w:r w:rsidRPr="00DA3D25">
        <w:rPr>
          <w:i/>
          <w:iCs/>
          <w:color w:val="222222"/>
        </w:rPr>
        <w:t>34</w:t>
      </w:r>
      <w:r w:rsidRPr="00DA3D25">
        <w:rPr>
          <w:color w:val="222222"/>
          <w:shd w:val="clear" w:color="auto" w:fill="FFFFFF"/>
        </w:rPr>
        <w:t>(6), pp.724-739.</w:t>
      </w:r>
    </w:p>
    <w:p w14:paraId="00D5B047" w14:textId="77777777" w:rsidR="00A93231" w:rsidRDefault="00A93231" w:rsidP="00363C39">
      <w:pPr>
        <w:rPr>
          <w:color w:val="222222"/>
          <w:shd w:val="clear" w:color="auto" w:fill="FFFFFF"/>
        </w:rPr>
      </w:pPr>
    </w:p>
    <w:p w14:paraId="58F5FFE1" w14:textId="11979FAF" w:rsidR="00A93231" w:rsidRPr="00DA3D25" w:rsidRDefault="00A93231" w:rsidP="00363C39">
      <w:pPr>
        <w:rPr>
          <w:color w:val="222222"/>
          <w:shd w:val="clear" w:color="auto" w:fill="FFFFFF"/>
        </w:rPr>
      </w:pPr>
      <w:r w:rsidRPr="00DA3D25">
        <w:rPr>
          <w:color w:val="222222"/>
          <w:shd w:val="clear" w:color="auto" w:fill="FFFFFF"/>
        </w:rPr>
        <w:t>Cattell, V., (2001). Poor people, poor places, and poor health: the mediating role of social networks and social capital. </w:t>
      </w:r>
      <w:r w:rsidRPr="00DA3D25">
        <w:rPr>
          <w:i/>
          <w:iCs/>
          <w:color w:val="222222"/>
        </w:rPr>
        <w:t>Social science &amp; medicine</w:t>
      </w:r>
      <w:r w:rsidRPr="00DA3D25">
        <w:rPr>
          <w:color w:val="222222"/>
          <w:shd w:val="clear" w:color="auto" w:fill="FFFFFF"/>
        </w:rPr>
        <w:t>, </w:t>
      </w:r>
      <w:r w:rsidRPr="00DA3D25">
        <w:rPr>
          <w:i/>
          <w:iCs/>
          <w:color w:val="222222"/>
        </w:rPr>
        <w:t>52</w:t>
      </w:r>
      <w:r w:rsidRPr="00DA3D25">
        <w:rPr>
          <w:color w:val="222222"/>
          <w:shd w:val="clear" w:color="auto" w:fill="FFFFFF"/>
        </w:rPr>
        <w:t>(10), pp.1501-1516.</w:t>
      </w:r>
    </w:p>
    <w:p w14:paraId="261B9DC2" w14:textId="77777777" w:rsidR="00A93231" w:rsidRDefault="00A93231" w:rsidP="00363C39">
      <w:pPr>
        <w:rPr>
          <w:color w:val="222222"/>
          <w:shd w:val="clear" w:color="auto" w:fill="FFFFFF"/>
        </w:rPr>
      </w:pPr>
    </w:p>
    <w:p w14:paraId="70664BF4" w14:textId="5DFD211A" w:rsidR="00A93231" w:rsidRDefault="00A93231" w:rsidP="00363C39">
      <w:pPr>
        <w:rPr>
          <w:color w:val="222222"/>
          <w:shd w:val="clear" w:color="auto" w:fill="FFFFFF"/>
        </w:rPr>
      </w:pPr>
      <w:r w:rsidRPr="00EB4AFB">
        <w:rPr>
          <w:color w:val="222222"/>
          <w:shd w:val="clear" w:color="auto" w:fill="FFFFFF"/>
        </w:rPr>
        <w:t xml:space="preserve">Cloke, P., Goodwin, M., Milbourne, P. and Thomas, C., </w:t>
      </w:r>
      <w:r>
        <w:rPr>
          <w:color w:val="222222"/>
          <w:shd w:val="clear" w:color="auto" w:fill="FFFFFF"/>
        </w:rPr>
        <w:t>(</w:t>
      </w:r>
      <w:r w:rsidRPr="00EB4AFB">
        <w:rPr>
          <w:color w:val="222222"/>
          <w:shd w:val="clear" w:color="auto" w:fill="FFFFFF"/>
        </w:rPr>
        <w:t>1995</w:t>
      </w:r>
      <w:r>
        <w:rPr>
          <w:color w:val="222222"/>
          <w:shd w:val="clear" w:color="auto" w:fill="FFFFFF"/>
        </w:rPr>
        <w:t>)</w:t>
      </w:r>
      <w:r w:rsidRPr="00EB4AFB">
        <w:rPr>
          <w:color w:val="222222"/>
          <w:shd w:val="clear" w:color="auto" w:fill="FFFFFF"/>
        </w:rPr>
        <w:t xml:space="preserve">. Deprivation, poverty and </w:t>
      </w:r>
    </w:p>
    <w:p w14:paraId="1E5A0692" w14:textId="77777777" w:rsidR="00A93231" w:rsidRDefault="00A93231" w:rsidP="00363C39">
      <w:pPr>
        <w:rPr>
          <w:color w:val="222222"/>
          <w:shd w:val="clear" w:color="auto" w:fill="FFFFFF"/>
        </w:rPr>
      </w:pPr>
    </w:p>
    <w:p w14:paraId="1F7CBB17" w14:textId="0C7FCFF8" w:rsidR="00A93231" w:rsidRPr="00DA3D25" w:rsidRDefault="00A93231" w:rsidP="00363C39">
      <w:r w:rsidRPr="00DA3D25">
        <w:rPr>
          <w:color w:val="222222"/>
          <w:shd w:val="clear" w:color="auto" w:fill="FFFFFF"/>
        </w:rPr>
        <w:t>Crosnoe, R. and Cavanagh, S.E., (2010). Families with children and adolescents: A review, critique, and future agenda. </w:t>
      </w:r>
      <w:r w:rsidRPr="00DA3D25">
        <w:rPr>
          <w:i/>
          <w:iCs/>
          <w:color w:val="222222"/>
        </w:rPr>
        <w:t>Journal of Marriage and Family</w:t>
      </w:r>
      <w:r w:rsidRPr="00DA3D25">
        <w:rPr>
          <w:color w:val="222222"/>
          <w:shd w:val="clear" w:color="auto" w:fill="FFFFFF"/>
        </w:rPr>
        <w:t>, </w:t>
      </w:r>
      <w:r w:rsidRPr="00DA3D25">
        <w:rPr>
          <w:i/>
          <w:iCs/>
          <w:color w:val="222222"/>
        </w:rPr>
        <w:t>72</w:t>
      </w:r>
      <w:r w:rsidRPr="00DA3D25">
        <w:rPr>
          <w:color w:val="222222"/>
          <w:shd w:val="clear" w:color="auto" w:fill="FFFFFF"/>
        </w:rPr>
        <w:t>(3), pp.594-611.</w:t>
      </w:r>
    </w:p>
    <w:p w14:paraId="3AE7B411" w14:textId="77777777" w:rsidR="00A93231" w:rsidRDefault="00A93231" w:rsidP="00363C39">
      <w:pPr>
        <w:rPr>
          <w:color w:val="222222"/>
          <w:shd w:val="clear" w:color="auto" w:fill="FFFFFF"/>
        </w:rPr>
      </w:pPr>
    </w:p>
    <w:p w14:paraId="0F22271E" w14:textId="52EBCB6B" w:rsidR="00A93231" w:rsidRPr="00DA3D25" w:rsidRDefault="00A93231" w:rsidP="00363C39">
      <w:pPr>
        <w:rPr>
          <w:color w:val="222222"/>
          <w:shd w:val="clear" w:color="auto" w:fill="FFFFFF"/>
        </w:rPr>
      </w:pPr>
      <w:r w:rsidRPr="00DA3D25">
        <w:rPr>
          <w:color w:val="222222"/>
          <w:shd w:val="clear" w:color="auto" w:fill="FFFFFF"/>
        </w:rPr>
        <w:t>Davies, A.C., (2013). This time, it's for real: the Health and Social Care Act 2012.</w:t>
      </w:r>
    </w:p>
    <w:p w14:paraId="564339FC" w14:textId="77777777" w:rsidR="00A93231" w:rsidRDefault="00A93231" w:rsidP="00363C39">
      <w:pPr>
        <w:rPr>
          <w:color w:val="222222"/>
          <w:shd w:val="clear" w:color="auto" w:fill="FFFFFF"/>
        </w:rPr>
      </w:pPr>
    </w:p>
    <w:p w14:paraId="2C43617F" w14:textId="65F3D51A" w:rsidR="00A93231" w:rsidRPr="00DA3D25" w:rsidRDefault="00A93231" w:rsidP="00363C39">
      <w:pPr>
        <w:rPr>
          <w:color w:val="222222"/>
          <w:shd w:val="clear" w:color="auto" w:fill="FFFFFF"/>
        </w:rPr>
      </w:pPr>
      <w:r w:rsidRPr="00DA3D25">
        <w:rPr>
          <w:color w:val="222222"/>
          <w:shd w:val="clear" w:color="auto" w:fill="FFFFFF"/>
        </w:rPr>
        <w:t>Davies, H., (2016). The well-being of future generations (Wales) act 2015: duties or aspirations?. </w:t>
      </w:r>
      <w:r w:rsidRPr="00DA3D25">
        <w:rPr>
          <w:i/>
          <w:iCs/>
          <w:color w:val="222222"/>
        </w:rPr>
        <w:t>Environmental Law Review</w:t>
      </w:r>
      <w:r w:rsidRPr="00DA3D25">
        <w:rPr>
          <w:color w:val="222222"/>
          <w:shd w:val="clear" w:color="auto" w:fill="FFFFFF"/>
        </w:rPr>
        <w:t>, </w:t>
      </w:r>
      <w:r w:rsidRPr="00DA3D25">
        <w:rPr>
          <w:i/>
          <w:iCs/>
          <w:color w:val="222222"/>
        </w:rPr>
        <w:t>18</w:t>
      </w:r>
      <w:r w:rsidRPr="00DA3D25">
        <w:rPr>
          <w:color w:val="222222"/>
          <w:shd w:val="clear" w:color="auto" w:fill="FFFFFF"/>
        </w:rPr>
        <w:t>(1), pp.41-56.</w:t>
      </w:r>
    </w:p>
    <w:p w14:paraId="632DABB0" w14:textId="77777777" w:rsidR="00A93231" w:rsidRDefault="00A93231" w:rsidP="00363C39">
      <w:pPr>
        <w:rPr>
          <w:color w:val="222222"/>
          <w:shd w:val="clear" w:color="auto" w:fill="FFFFFF"/>
        </w:rPr>
      </w:pPr>
    </w:p>
    <w:p w14:paraId="3000166F" w14:textId="6C1455D5" w:rsidR="00A93231" w:rsidRPr="00DA3D25" w:rsidRDefault="00A93231" w:rsidP="00363C39">
      <w:r w:rsidRPr="00DA3D25">
        <w:rPr>
          <w:color w:val="222222"/>
          <w:shd w:val="clear" w:color="auto" w:fill="FFFFFF"/>
        </w:rPr>
        <w:t>Davies, H., (2017). The Well-being of Future Generations (Wales) Act 2015—A Step Change in the Legal Protection of the Interests of Future Generations?. </w:t>
      </w:r>
      <w:r w:rsidRPr="00DA3D25">
        <w:rPr>
          <w:i/>
          <w:iCs/>
          <w:color w:val="222222"/>
        </w:rPr>
        <w:t>Journal of Environmental Law</w:t>
      </w:r>
      <w:r w:rsidRPr="00DA3D25">
        <w:rPr>
          <w:color w:val="222222"/>
          <w:shd w:val="clear" w:color="auto" w:fill="FFFFFF"/>
        </w:rPr>
        <w:t>, </w:t>
      </w:r>
      <w:r w:rsidRPr="00DA3D25">
        <w:rPr>
          <w:i/>
          <w:iCs/>
          <w:color w:val="222222"/>
        </w:rPr>
        <w:t>29</w:t>
      </w:r>
      <w:r w:rsidRPr="00DA3D25">
        <w:rPr>
          <w:color w:val="222222"/>
          <w:shd w:val="clear" w:color="auto" w:fill="FFFFFF"/>
        </w:rPr>
        <w:t>(1), pp.165-175.</w:t>
      </w:r>
    </w:p>
    <w:p w14:paraId="763F98DC" w14:textId="77777777" w:rsidR="00A93231" w:rsidRDefault="00A93231" w:rsidP="00363C39">
      <w:pPr>
        <w:rPr>
          <w:color w:val="222222"/>
          <w:shd w:val="clear" w:color="auto" w:fill="FFFFFF"/>
        </w:rPr>
      </w:pPr>
    </w:p>
    <w:p w14:paraId="0E697D3D" w14:textId="6A205A93" w:rsidR="00A93231" w:rsidRPr="00DA3D25" w:rsidRDefault="00A93231" w:rsidP="00363C39">
      <w:r w:rsidRPr="00DA3D25">
        <w:rPr>
          <w:color w:val="222222"/>
          <w:shd w:val="clear" w:color="auto" w:fill="FFFFFF"/>
        </w:rPr>
        <w:t>Davies, H., (2018). The legal protection of the well-being of future generations. In </w:t>
      </w:r>
      <w:r w:rsidRPr="00DA3D25">
        <w:rPr>
          <w:i/>
          <w:iCs/>
          <w:color w:val="222222"/>
        </w:rPr>
        <w:t>Pathways to Well-Being in Design</w:t>
      </w:r>
      <w:r w:rsidRPr="00DA3D25">
        <w:rPr>
          <w:color w:val="222222"/>
          <w:shd w:val="clear" w:color="auto" w:fill="FFFFFF"/>
        </w:rPr>
        <w:t> (pp. 159-170). Routledge.</w:t>
      </w:r>
    </w:p>
    <w:p w14:paraId="7D56F46D" w14:textId="77777777" w:rsidR="00A93231" w:rsidRDefault="00A93231" w:rsidP="00363C39">
      <w:pPr>
        <w:rPr>
          <w:color w:val="222222"/>
          <w:shd w:val="clear" w:color="auto" w:fill="FFFFFF"/>
        </w:rPr>
      </w:pPr>
    </w:p>
    <w:p w14:paraId="7FF649A0" w14:textId="32F19F6B" w:rsidR="00A93231" w:rsidRPr="008067D7" w:rsidRDefault="00A93231" w:rsidP="00363C39">
      <w:r w:rsidRPr="008067D7">
        <w:rPr>
          <w:color w:val="222222"/>
          <w:shd w:val="clear" w:color="auto" w:fill="FFFFFF"/>
        </w:rPr>
        <w:t xml:space="preserve">Erzse, A., Freudenberg, N., Friel, S. and Hofman, K.J., </w:t>
      </w:r>
      <w:r>
        <w:rPr>
          <w:color w:val="222222"/>
          <w:shd w:val="clear" w:color="auto" w:fill="FFFFFF"/>
        </w:rPr>
        <w:t>(</w:t>
      </w:r>
      <w:r w:rsidRPr="008067D7">
        <w:rPr>
          <w:color w:val="222222"/>
          <w:shd w:val="clear" w:color="auto" w:fill="FFFFFF"/>
        </w:rPr>
        <w:t>2023</w:t>
      </w:r>
      <w:r>
        <w:rPr>
          <w:color w:val="222222"/>
          <w:shd w:val="clear" w:color="auto" w:fill="FFFFFF"/>
        </w:rPr>
        <w:t>)</w:t>
      </w:r>
      <w:r w:rsidRPr="008067D7">
        <w:rPr>
          <w:color w:val="222222"/>
          <w:shd w:val="clear" w:color="auto" w:fill="FFFFFF"/>
        </w:rPr>
        <w:t>. Defining and conceptualising the commercial determinants of health. </w:t>
      </w:r>
      <w:r w:rsidRPr="008067D7">
        <w:rPr>
          <w:i/>
          <w:iCs/>
          <w:color w:val="222222"/>
        </w:rPr>
        <w:t>The Lancet</w:t>
      </w:r>
      <w:r w:rsidRPr="008067D7">
        <w:rPr>
          <w:color w:val="222222"/>
          <w:shd w:val="clear" w:color="auto" w:fill="FFFFFF"/>
        </w:rPr>
        <w:t>, </w:t>
      </w:r>
      <w:r w:rsidRPr="008067D7">
        <w:rPr>
          <w:i/>
          <w:iCs/>
          <w:color w:val="222222"/>
        </w:rPr>
        <w:t>401</w:t>
      </w:r>
      <w:r w:rsidRPr="008067D7">
        <w:rPr>
          <w:color w:val="222222"/>
          <w:shd w:val="clear" w:color="auto" w:fill="FFFFFF"/>
        </w:rPr>
        <w:t>(10383), pp.1194-1213.</w:t>
      </w:r>
    </w:p>
    <w:p w14:paraId="3DDE503C" w14:textId="77777777" w:rsidR="00A93231" w:rsidRDefault="00A93231" w:rsidP="00392CAC"/>
    <w:p w14:paraId="26736F5F" w14:textId="7A7D8EDB" w:rsidR="00A93231" w:rsidRPr="00DA3D25" w:rsidRDefault="00A93231" w:rsidP="00392CAC">
      <w:r w:rsidRPr="00DA3D25">
        <w:lastRenderedPageBreak/>
        <w:t>Evans, M., Smith, S. J., Banerjee, A. K., Smith, S. M., Poulos, C. J., &amp; Burrell, A. R. (2020). An integrative review of fall risk factors in older adults with cognitive impairment. Journal of Advanced Nursing, 76(7), 1639-1655.</w:t>
      </w:r>
    </w:p>
    <w:p w14:paraId="1330FA2F" w14:textId="77777777" w:rsidR="00A93231" w:rsidRDefault="00A93231" w:rsidP="00392CAC"/>
    <w:p w14:paraId="358446E2" w14:textId="14B8DE33" w:rsidR="00A93231" w:rsidRPr="00DA3D25" w:rsidRDefault="00A93231" w:rsidP="00392CAC">
      <w:r w:rsidRPr="00DA3D25">
        <w:t>Evans, R., Fenton-Jones, A., Powell, K., &amp; Whittingham, M. (2020). Policy enactment and the well-being of future generations act: A case study of Wales. Sustainability, 12(1), 348.</w:t>
      </w:r>
    </w:p>
    <w:p w14:paraId="158E83B4" w14:textId="77777777" w:rsidR="00A93231" w:rsidRDefault="00A93231" w:rsidP="00392CAC"/>
    <w:p w14:paraId="2EA02EDC" w14:textId="40B7DF69" w:rsidR="00A93231" w:rsidRDefault="00A93231" w:rsidP="00392CAC">
      <w:r w:rsidRPr="00DA3D25">
        <w:t xml:space="preserve">Future Generations (Wales) Act </w:t>
      </w:r>
      <w:r>
        <w:t>(</w:t>
      </w:r>
      <w:r w:rsidRPr="00DA3D25">
        <w:t>2015</w:t>
      </w:r>
      <w:r>
        <w:t>)</w:t>
      </w:r>
      <w:r w:rsidRPr="00DA3D25">
        <w:t xml:space="preserve"> on public health policy in Wales: A realist approach. </w:t>
      </w:r>
    </w:p>
    <w:p w14:paraId="22DC36EC" w14:textId="77777777" w:rsidR="00A93231" w:rsidRDefault="00A93231" w:rsidP="00363C39">
      <w:pPr>
        <w:rPr>
          <w:color w:val="222222"/>
          <w:shd w:val="clear" w:color="auto" w:fill="FFFFFF"/>
        </w:rPr>
      </w:pPr>
    </w:p>
    <w:p w14:paraId="523270D5" w14:textId="6902935D" w:rsidR="00A93231" w:rsidRPr="00DA3D25" w:rsidRDefault="00A93231" w:rsidP="00363C39">
      <w:pPr>
        <w:rPr>
          <w:color w:val="222222"/>
          <w:shd w:val="clear" w:color="auto" w:fill="FFFFFF"/>
        </w:rPr>
      </w:pPr>
      <w:r w:rsidRPr="00DA3D25">
        <w:rPr>
          <w:color w:val="222222"/>
          <w:shd w:val="clear" w:color="auto" w:fill="FFFFFF"/>
        </w:rPr>
        <w:t>Garavan, T.N. and McGuire, D., (2010). Human resource development and society: Human resource development’s role in embedding corporate social responsibility, sustainability, and ethics in organizations. </w:t>
      </w:r>
      <w:r w:rsidRPr="00DA3D25">
        <w:rPr>
          <w:i/>
          <w:iCs/>
          <w:color w:val="222222"/>
        </w:rPr>
        <w:t>Advances in Developing Human Resources</w:t>
      </w:r>
      <w:r w:rsidRPr="00DA3D25">
        <w:rPr>
          <w:color w:val="222222"/>
          <w:shd w:val="clear" w:color="auto" w:fill="FFFFFF"/>
        </w:rPr>
        <w:t>, </w:t>
      </w:r>
      <w:r w:rsidRPr="00DA3D25">
        <w:rPr>
          <w:i/>
          <w:iCs/>
          <w:color w:val="222222"/>
        </w:rPr>
        <w:t>12</w:t>
      </w:r>
      <w:r w:rsidRPr="00DA3D25">
        <w:rPr>
          <w:color w:val="222222"/>
          <w:shd w:val="clear" w:color="auto" w:fill="FFFFFF"/>
        </w:rPr>
        <w:t>(5), pp.487-507.</w:t>
      </w:r>
    </w:p>
    <w:p w14:paraId="5B179950" w14:textId="77777777" w:rsidR="00A93231" w:rsidRDefault="00A93231" w:rsidP="00363C39">
      <w:pPr>
        <w:rPr>
          <w:color w:val="222222"/>
          <w:shd w:val="clear" w:color="auto" w:fill="FFFFFF"/>
        </w:rPr>
      </w:pPr>
    </w:p>
    <w:p w14:paraId="741F7D15" w14:textId="7533B0EE" w:rsidR="00A93231" w:rsidRDefault="00A93231" w:rsidP="00363C39">
      <w:pPr>
        <w:rPr>
          <w:color w:val="222222"/>
          <w:shd w:val="clear" w:color="auto" w:fill="FFFFFF"/>
        </w:rPr>
      </w:pPr>
      <w:r w:rsidRPr="008067D7">
        <w:rPr>
          <w:color w:val="222222"/>
          <w:shd w:val="clear" w:color="auto" w:fill="FFFFFF"/>
        </w:rPr>
        <w:t xml:space="preserve">Gilmore, A.B., Fabbri, A., Baum, F., Bertscher, A., Bondy, K., Chang, H.J., Demaio, S., </w:t>
      </w:r>
    </w:p>
    <w:p w14:paraId="5E50A2ED" w14:textId="77777777" w:rsidR="00941203" w:rsidRDefault="00941203" w:rsidP="00363C39">
      <w:pPr>
        <w:rPr>
          <w:color w:val="222222"/>
          <w:shd w:val="clear" w:color="auto" w:fill="FFFFFF"/>
        </w:rPr>
      </w:pPr>
    </w:p>
    <w:p w14:paraId="770E896F" w14:textId="2DFDCCE0" w:rsidR="00A93231" w:rsidRPr="00A21E96" w:rsidRDefault="00A93231" w:rsidP="00363C39">
      <w:r w:rsidRPr="00A21E96">
        <w:rPr>
          <w:color w:val="222222"/>
          <w:shd w:val="clear" w:color="auto" w:fill="FFFFFF"/>
        </w:rPr>
        <w:t xml:space="preserve">Gómez-Baggethun, E. and Naredo, J.M., </w:t>
      </w:r>
      <w:r w:rsidR="00941203">
        <w:rPr>
          <w:color w:val="222222"/>
          <w:shd w:val="clear" w:color="auto" w:fill="FFFFFF"/>
        </w:rPr>
        <w:t>(</w:t>
      </w:r>
      <w:r w:rsidRPr="00A21E96">
        <w:rPr>
          <w:color w:val="222222"/>
          <w:shd w:val="clear" w:color="auto" w:fill="FFFFFF"/>
        </w:rPr>
        <w:t>2015</w:t>
      </w:r>
      <w:r w:rsidR="00941203">
        <w:rPr>
          <w:color w:val="222222"/>
          <w:shd w:val="clear" w:color="auto" w:fill="FFFFFF"/>
        </w:rPr>
        <w:t>)</w:t>
      </w:r>
      <w:r w:rsidRPr="00A21E96">
        <w:rPr>
          <w:color w:val="222222"/>
          <w:shd w:val="clear" w:color="auto" w:fill="FFFFFF"/>
        </w:rPr>
        <w:t>. In search of lost time: the rise and fall of limits to growth in international sustainability policy. </w:t>
      </w:r>
      <w:r w:rsidRPr="00A21E96">
        <w:rPr>
          <w:i/>
          <w:iCs/>
          <w:color w:val="222222"/>
        </w:rPr>
        <w:t>Sustainability Science</w:t>
      </w:r>
      <w:r w:rsidRPr="00A21E96">
        <w:rPr>
          <w:color w:val="222222"/>
          <w:shd w:val="clear" w:color="auto" w:fill="FFFFFF"/>
        </w:rPr>
        <w:t>, </w:t>
      </w:r>
      <w:r w:rsidRPr="00A21E96">
        <w:rPr>
          <w:i/>
          <w:iCs/>
          <w:color w:val="222222"/>
        </w:rPr>
        <w:t>10</w:t>
      </w:r>
      <w:r w:rsidRPr="00A21E96">
        <w:rPr>
          <w:color w:val="222222"/>
          <w:shd w:val="clear" w:color="auto" w:fill="FFFFFF"/>
        </w:rPr>
        <w:t>, pp.385-395.</w:t>
      </w:r>
    </w:p>
    <w:p w14:paraId="1FAA1F22" w14:textId="77777777" w:rsidR="00941203" w:rsidRDefault="00941203" w:rsidP="00363C39">
      <w:pPr>
        <w:rPr>
          <w:color w:val="222222"/>
          <w:shd w:val="clear" w:color="auto" w:fill="FFFFFF"/>
        </w:rPr>
      </w:pPr>
    </w:p>
    <w:p w14:paraId="03BB5C71" w14:textId="5AB469FF" w:rsidR="00A93231" w:rsidRPr="00DA3D25" w:rsidRDefault="00A93231" w:rsidP="00363C39">
      <w:r w:rsidRPr="00DA3D25">
        <w:rPr>
          <w:color w:val="222222"/>
          <w:shd w:val="clear" w:color="auto" w:fill="FFFFFF"/>
        </w:rPr>
        <w:t xml:space="preserve">Green, L., Gray, B.J. and Ashton, K., </w:t>
      </w:r>
      <w:r w:rsidR="00941203">
        <w:rPr>
          <w:color w:val="222222"/>
          <w:shd w:val="clear" w:color="auto" w:fill="FFFFFF"/>
        </w:rPr>
        <w:t>(</w:t>
      </w:r>
      <w:r w:rsidRPr="00DA3D25">
        <w:rPr>
          <w:color w:val="222222"/>
          <w:shd w:val="clear" w:color="auto" w:fill="FFFFFF"/>
        </w:rPr>
        <w:t>2020</w:t>
      </w:r>
      <w:r w:rsidR="00941203">
        <w:rPr>
          <w:color w:val="222222"/>
          <w:shd w:val="clear" w:color="auto" w:fill="FFFFFF"/>
        </w:rPr>
        <w:t>)</w:t>
      </w:r>
      <w:r w:rsidRPr="00DA3D25">
        <w:rPr>
          <w:color w:val="222222"/>
          <w:shd w:val="clear" w:color="auto" w:fill="FFFFFF"/>
        </w:rPr>
        <w:t>. Using health impact assessments to implement the sustainable development goals in practice: A case study in Wales. </w:t>
      </w:r>
      <w:r w:rsidRPr="00DA3D25">
        <w:rPr>
          <w:i/>
          <w:iCs/>
          <w:color w:val="222222"/>
        </w:rPr>
        <w:t>Impact Assessment and Project Appraisal</w:t>
      </w:r>
      <w:r w:rsidRPr="00DA3D25">
        <w:rPr>
          <w:color w:val="222222"/>
          <w:shd w:val="clear" w:color="auto" w:fill="FFFFFF"/>
        </w:rPr>
        <w:t>, </w:t>
      </w:r>
      <w:r w:rsidRPr="00DA3D25">
        <w:rPr>
          <w:i/>
          <w:iCs/>
          <w:color w:val="222222"/>
        </w:rPr>
        <w:t>38</w:t>
      </w:r>
      <w:r w:rsidRPr="00DA3D25">
        <w:rPr>
          <w:color w:val="222222"/>
          <w:shd w:val="clear" w:color="auto" w:fill="FFFFFF"/>
        </w:rPr>
        <w:t>(3), pp.214-224.</w:t>
      </w:r>
    </w:p>
    <w:p w14:paraId="0C3137A0" w14:textId="77777777" w:rsidR="00941203" w:rsidRDefault="00941203" w:rsidP="00363C39">
      <w:pPr>
        <w:rPr>
          <w:color w:val="222222"/>
          <w:shd w:val="clear" w:color="auto" w:fill="FFFFFF"/>
        </w:rPr>
      </w:pPr>
    </w:p>
    <w:p w14:paraId="45D60AEE" w14:textId="7CA9766D" w:rsidR="00A93231" w:rsidRPr="00DA3D25" w:rsidRDefault="00A93231" w:rsidP="00363C39">
      <w:r w:rsidRPr="00DA3D25">
        <w:rPr>
          <w:color w:val="222222"/>
          <w:shd w:val="clear" w:color="auto" w:fill="FFFFFF"/>
        </w:rPr>
        <w:t>Guy-Evans, O., (2020). Bronfenbrenner's ecological systems theory. </w:t>
      </w:r>
      <w:r w:rsidRPr="00DA3D25">
        <w:rPr>
          <w:i/>
          <w:iCs/>
          <w:color w:val="222222"/>
        </w:rPr>
        <w:t>https://www. simplypsychology. org/Bronfenbrenner. html</w:t>
      </w:r>
      <w:r w:rsidRPr="00DA3D25">
        <w:rPr>
          <w:color w:val="222222"/>
          <w:shd w:val="clear" w:color="auto" w:fill="FFFFFF"/>
        </w:rPr>
        <w:t>.</w:t>
      </w:r>
    </w:p>
    <w:p w14:paraId="511A9C49" w14:textId="77777777" w:rsidR="00941203" w:rsidRDefault="00941203" w:rsidP="00392CAC"/>
    <w:p w14:paraId="3F6E28EC" w14:textId="565334BA" w:rsidR="00A93231" w:rsidRDefault="00A93231" w:rsidP="00392CAC">
      <w:r w:rsidRPr="00DA3D25">
        <w:t xml:space="preserve">Hollingworth, S. A., &amp; Williams, A. (2018). Evaluating the impact of the Well-being of </w:t>
      </w:r>
    </w:p>
    <w:p w14:paraId="322774F5" w14:textId="77777777" w:rsidR="00941203" w:rsidRDefault="00941203" w:rsidP="00363C39">
      <w:pPr>
        <w:rPr>
          <w:color w:val="222222"/>
          <w:shd w:val="clear" w:color="auto" w:fill="FFFFFF"/>
        </w:rPr>
      </w:pPr>
    </w:p>
    <w:p w14:paraId="0024C51F" w14:textId="04EA78C3" w:rsidR="00A93231" w:rsidRPr="00DA3D25" w:rsidRDefault="00A93231" w:rsidP="00363C39">
      <w:r w:rsidRPr="00DA3D25">
        <w:rPr>
          <w:color w:val="222222"/>
          <w:shd w:val="clear" w:color="auto" w:fill="FFFFFF"/>
        </w:rPr>
        <w:t>Huppert, F.A. and Cooper, C. eds., (2014). </w:t>
      </w:r>
      <w:r w:rsidRPr="00DA3D25">
        <w:rPr>
          <w:i/>
          <w:iCs/>
          <w:color w:val="222222"/>
        </w:rPr>
        <w:t>Wellbeing: A Complete Reference Guide, Interventions and Policies to Enhance Wellbeing</w:t>
      </w:r>
      <w:r w:rsidRPr="00DA3D25">
        <w:rPr>
          <w:color w:val="222222"/>
          <w:shd w:val="clear" w:color="auto" w:fill="FFFFFF"/>
        </w:rPr>
        <w:t>. John Wiley &amp; Sons.</w:t>
      </w:r>
    </w:p>
    <w:p w14:paraId="629771E2" w14:textId="77777777" w:rsidR="00941203" w:rsidRDefault="00941203" w:rsidP="00363C39">
      <w:pPr>
        <w:rPr>
          <w:color w:val="222222"/>
          <w:shd w:val="clear" w:color="auto" w:fill="FFFFFF"/>
        </w:rPr>
      </w:pPr>
    </w:p>
    <w:p w14:paraId="1DAAF282" w14:textId="2EBEA39C" w:rsidR="00A93231" w:rsidRPr="00DA3D25" w:rsidRDefault="00A93231" w:rsidP="00363C39">
      <w:pPr>
        <w:rPr>
          <w:color w:val="222222"/>
          <w:shd w:val="clear" w:color="auto" w:fill="FFFFFF"/>
        </w:rPr>
      </w:pPr>
      <w:r w:rsidRPr="00DA3D25">
        <w:rPr>
          <w:color w:val="222222"/>
          <w:shd w:val="clear" w:color="auto" w:fill="FFFFFF"/>
        </w:rPr>
        <w:t>Jones, R., (2019). Governing the future and the search for spatial justice: Wales' Well-being of Future Generations Act. </w:t>
      </w:r>
      <w:r w:rsidRPr="00DA3D25">
        <w:rPr>
          <w:i/>
          <w:iCs/>
          <w:color w:val="222222"/>
        </w:rPr>
        <w:t>Fennia: International Journal of Geography</w:t>
      </w:r>
      <w:r w:rsidRPr="00DA3D25">
        <w:rPr>
          <w:color w:val="222222"/>
          <w:shd w:val="clear" w:color="auto" w:fill="FFFFFF"/>
        </w:rPr>
        <w:t>, </w:t>
      </w:r>
      <w:r w:rsidRPr="00DA3D25">
        <w:rPr>
          <w:i/>
          <w:iCs/>
          <w:color w:val="222222"/>
        </w:rPr>
        <w:t>197</w:t>
      </w:r>
      <w:r w:rsidRPr="00DA3D25">
        <w:rPr>
          <w:color w:val="222222"/>
          <w:shd w:val="clear" w:color="auto" w:fill="FFFFFF"/>
        </w:rPr>
        <w:t>(1), pp.7-23.</w:t>
      </w:r>
    </w:p>
    <w:p w14:paraId="74A7752E" w14:textId="77777777" w:rsidR="00941203" w:rsidRDefault="00941203" w:rsidP="00363C39">
      <w:pPr>
        <w:rPr>
          <w:color w:val="222222"/>
          <w:shd w:val="clear" w:color="auto" w:fill="FFFFFF"/>
        </w:rPr>
      </w:pPr>
    </w:p>
    <w:p w14:paraId="42261A34" w14:textId="66F8DF9D" w:rsidR="00A93231" w:rsidRPr="00DA3D25" w:rsidRDefault="00A93231" w:rsidP="00363C39">
      <w:r w:rsidRPr="00DA3D25">
        <w:rPr>
          <w:color w:val="222222"/>
          <w:shd w:val="clear" w:color="auto" w:fill="FFFFFF"/>
        </w:rPr>
        <w:t>Knapp, M., McDaid, D. and Parsonage, M., (2011). Mental health promotion and mental illness prevention: The economic case.</w:t>
      </w:r>
    </w:p>
    <w:p w14:paraId="67A7E491" w14:textId="77777777" w:rsidR="00941203" w:rsidRDefault="00941203" w:rsidP="00392CAC"/>
    <w:p w14:paraId="4AC80EDD" w14:textId="57475C2C" w:rsidR="00A93231" w:rsidRPr="00DA3D25" w:rsidRDefault="00A93231" w:rsidP="00392CAC">
      <w:r w:rsidRPr="00DA3D25">
        <w:t>Lang, J. (2017). The role of emotional intelligence in effective leadership. Journal of Leadership and Management, 1(1), 12-23.</w:t>
      </w:r>
    </w:p>
    <w:p w14:paraId="0B94B8B4" w14:textId="77777777" w:rsidR="00941203" w:rsidRDefault="00941203" w:rsidP="00392CAC"/>
    <w:p w14:paraId="77EF032E" w14:textId="2EF86DB0" w:rsidR="00A93231" w:rsidRPr="00DA3D25" w:rsidRDefault="00A93231" w:rsidP="00392CAC">
      <w:r w:rsidRPr="00DA3D25">
        <w:t>Lang, T. (2017). Is the UK Well-being of Future Generations Act really fit for the future? The Lancet Planetary Health, 1(6), e209-e210. doi:10.1016/S2542-5196(17)30115-6</w:t>
      </w:r>
    </w:p>
    <w:p w14:paraId="0B0C042C" w14:textId="77777777" w:rsidR="00941203" w:rsidRDefault="00941203" w:rsidP="00363C39">
      <w:pPr>
        <w:rPr>
          <w:color w:val="222222"/>
          <w:shd w:val="clear" w:color="auto" w:fill="FFFFFF"/>
        </w:rPr>
      </w:pPr>
    </w:p>
    <w:p w14:paraId="275A062E" w14:textId="637E9AF8" w:rsidR="00A93231" w:rsidRPr="00DA3D25" w:rsidRDefault="00A93231" w:rsidP="00363C39">
      <w:r w:rsidRPr="00DA3D25">
        <w:rPr>
          <w:color w:val="222222"/>
          <w:shd w:val="clear" w:color="auto" w:fill="FFFFFF"/>
        </w:rPr>
        <w:t>Lent, R.W. and Brown, S.D., (1996). Social cognitive approach to career development: An overview. </w:t>
      </w:r>
      <w:r w:rsidRPr="00DA3D25">
        <w:rPr>
          <w:i/>
          <w:iCs/>
          <w:color w:val="222222"/>
        </w:rPr>
        <w:t>The career development quarterly</w:t>
      </w:r>
      <w:r w:rsidRPr="00DA3D25">
        <w:rPr>
          <w:color w:val="222222"/>
          <w:shd w:val="clear" w:color="auto" w:fill="FFFFFF"/>
        </w:rPr>
        <w:t>, </w:t>
      </w:r>
      <w:r w:rsidRPr="00DA3D25">
        <w:rPr>
          <w:i/>
          <w:iCs/>
          <w:color w:val="222222"/>
        </w:rPr>
        <w:t>44</w:t>
      </w:r>
      <w:r w:rsidRPr="00DA3D25">
        <w:rPr>
          <w:color w:val="222222"/>
          <w:shd w:val="clear" w:color="auto" w:fill="FFFFFF"/>
        </w:rPr>
        <w:t>(4), pp.310-321.</w:t>
      </w:r>
    </w:p>
    <w:p w14:paraId="575DAFC0" w14:textId="77777777" w:rsidR="00941203" w:rsidRDefault="00941203" w:rsidP="00363C39">
      <w:pPr>
        <w:rPr>
          <w:color w:val="222222"/>
          <w:shd w:val="clear" w:color="auto" w:fill="FFFFFF"/>
        </w:rPr>
      </w:pPr>
    </w:p>
    <w:p w14:paraId="43ABDFF6" w14:textId="6708CAEC" w:rsidR="00A93231" w:rsidRPr="00DA3D25" w:rsidRDefault="00A93231" w:rsidP="00363C39">
      <w:pPr>
        <w:rPr>
          <w:color w:val="222222"/>
          <w:shd w:val="clear" w:color="auto" w:fill="FFFFFF"/>
        </w:rPr>
      </w:pPr>
      <w:r w:rsidRPr="00DA3D25">
        <w:rPr>
          <w:color w:val="222222"/>
          <w:shd w:val="clear" w:color="auto" w:fill="FFFFFF"/>
        </w:rPr>
        <w:t>Lent, R.W., Brown, S.D. and Hackett, G., (1994). Toward a unifying social cognitive theory of career and academic interest, choice, and performance. </w:t>
      </w:r>
      <w:r w:rsidRPr="00DA3D25">
        <w:rPr>
          <w:i/>
          <w:iCs/>
          <w:color w:val="222222"/>
        </w:rPr>
        <w:t>Journal of vocational behavior</w:t>
      </w:r>
      <w:r w:rsidRPr="00DA3D25">
        <w:rPr>
          <w:color w:val="222222"/>
          <w:shd w:val="clear" w:color="auto" w:fill="FFFFFF"/>
        </w:rPr>
        <w:t>, </w:t>
      </w:r>
      <w:r w:rsidRPr="00DA3D25">
        <w:rPr>
          <w:i/>
          <w:iCs/>
          <w:color w:val="222222"/>
        </w:rPr>
        <w:t>45</w:t>
      </w:r>
      <w:r w:rsidRPr="00DA3D25">
        <w:rPr>
          <w:color w:val="222222"/>
          <w:shd w:val="clear" w:color="auto" w:fill="FFFFFF"/>
        </w:rPr>
        <w:t>(1), pp.79-122.</w:t>
      </w:r>
    </w:p>
    <w:p w14:paraId="7DCB17ED" w14:textId="77777777" w:rsidR="00941203" w:rsidRDefault="00941203" w:rsidP="00363C39">
      <w:pPr>
        <w:rPr>
          <w:color w:val="222222"/>
          <w:shd w:val="clear" w:color="auto" w:fill="FFFFFF"/>
        </w:rPr>
      </w:pPr>
    </w:p>
    <w:p w14:paraId="33BBC49F" w14:textId="402C47CB" w:rsidR="00A93231" w:rsidRPr="00DA3D25" w:rsidRDefault="00A93231" w:rsidP="00363C39">
      <w:r w:rsidRPr="00DA3D25">
        <w:rPr>
          <w:color w:val="222222"/>
          <w:shd w:val="clear" w:color="auto" w:fill="FFFFFF"/>
        </w:rPr>
        <w:lastRenderedPageBreak/>
        <w:t>Llewellyn, D.H., Rohse, M., Day, R. and Fyfe, H., 2017. Evolving energy landscapes in the South Wales Valleys: Exploring community perception and participation. </w:t>
      </w:r>
      <w:r w:rsidRPr="00DA3D25">
        <w:rPr>
          <w:i/>
          <w:iCs/>
          <w:color w:val="222222"/>
        </w:rPr>
        <w:t>Energy Policy</w:t>
      </w:r>
      <w:r w:rsidRPr="00DA3D25">
        <w:rPr>
          <w:color w:val="222222"/>
          <w:shd w:val="clear" w:color="auto" w:fill="FFFFFF"/>
        </w:rPr>
        <w:t>, </w:t>
      </w:r>
      <w:r w:rsidRPr="00DA3D25">
        <w:rPr>
          <w:i/>
          <w:iCs/>
          <w:color w:val="222222"/>
        </w:rPr>
        <w:t>108</w:t>
      </w:r>
      <w:r w:rsidRPr="00DA3D25">
        <w:rPr>
          <w:color w:val="222222"/>
          <w:shd w:val="clear" w:color="auto" w:fill="FFFFFF"/>
        </w:rPr>
        <w:t>, pp.818-828.</w:t>
      </w:r>
    </w:p>
    <w:p w14:paraId="0A61D9F0" w14:textId="77777777" w:rsidR="00941203" w:rsidRDefault="00941203" w:rsidP="00A93231"/>
    <w:p w14:paraId="4572E2F3" w14:textId="7361CF7D" w:rsidR="00A93231" w:rsidRDefault="00A93231" w:rsidP="00A93231">
      <w:r>
        <w:t>Maarse, H., Jeurissen, P., Ruwaard, D., &amp; Groenewegen, P. (2018). The changing face of primary care in Europe: A perspective on the Health and Social Care Act 2012. Health Policy, 122(1), 45-50. doi: 10.1016/j.healthpol.2017.08.013</w:t>
      </w:r>
    </w:p>
    <w:p w14:paraId="7E1E8530" w14:textId="77777777" w:rsidR="00941203" w:rsidRDefault="00941203" w:rsidP="00363C39">
      <w:pPr>
        <w:rPr>
          <w:color w:val="222222"/>
          <w:shd w:val="clear" w:color="auto" w:fill="FFFFFF"/>
        </w:rPr>
      </w:pPr>
    </w:p>
    <w:p w14:paraId="6379604A" w14:textId="1F6FC2AD" w:rsidR="00A93231" w:rsidRPr="00EB4AFB" w:rsidRDefault="00A93231" w:rsidP="00363C39">
      <w:r w:rsidRPr="00EB4AFB">
        <w:rPr>
          <w:color w:val="222222"/>
          <w:shd w:val="clear" w:color="auto" w:fill="FFFFFF"/>
        </w:rPr>
        <w:t xml:space="preserve">Maggi, S., Irwin, L.J., Siddiqi, A. and Hertzman, C., </w:t>
      </w:r>
      <w:r w:rsidR="00941203">
        <w:rPr>
          <w:color w:val="222222"/>
          <w:shd w:val="clear" w:color="auto" w:fill="FFFFFF"/>
        </w:rPr>
        <w:t>(</w:t>
      </w:r>
      <w:r w:rsidRPr="00EB4AFB">
        <w:rPr>
          <w:color w:val="222222"/>
          <w:shd w:val="clear" w:color="auto" w:fill="FFFFFF"/>
        </w:rPr>
        <w:t>2010</w:t>
      </w:r>
      <w:r w:rsidR="00941203">
        <w:rPr>
          <w:color w:val="222222"/>
          <w:shd w:val="clear" w:color="auto" w:fill="FFFFFF"/>
        </w:rPr>
        <w:t>)</w:t>
      </w:r>
      <w:r w:rsidRPr="00EB4AFB">
        <w:rPr>
          <w:color w:val="222222"/>
          <w:shd w:val="clear" w:color="auto" w:fill="FFFFFF"/>
        </w:rPr>
        <w:t>. The social determinants of early child development: an overview. </w:t>
      </w:r>
      <w:r w:rsidRPr="00EB4AFB">
        <w:rPr>
          <w:i/>
          <w:iCs/>
          <w:color w:val="222222"/>
        </w:rPr>
        <w:t>Journal of paediatrics and child health</w:t>
      </w:r>
      <w:r w:rsidRPr="00EB4AFB">
        <w:rPr>
          <w:color w:val="222222"/>
          <w:shd w:val="clear" w:color="auto" w:fill="FFFFFF"/>
        </w:rPr>
        <w:t>, </w:t>
      </w:r>
      <w:r w:rsidRPr="00EB4AFB">
        <w:rPr>
          <w:i/>
          <w:iCs/>
          <w:color w:val="222222"/>
        </w:rPr>
        <w:t>46</w:t>
      </w:r>
      <w:r w:rsidRPr="00EB4AFB">
        <w:rPr>
          <w:color w:val="222222"/>
          <w:shd w:val="clear" w:color="auto" w:fill="FFFFFF"/>
        </w:rPr>
        <w:t>(11), pp.627-635.</w:t>
      </w:r>
    </w:p>
    <w:p w14:paraId="426FD2D2" w14:textId="77777777" w:rsidR="00A93231" w:rsidRPr="00EB4AFB" w:rsidRDefault="00A93231" w:rsidP="00363C39">
      <w:r w:rsidRPr="00EB4AFB">
        <w:rPr>
          <w:color w:val="222222"/>
          <w:shd w:val="clear" w:color="auto" w:fill="FFFFFF"/>
        </w:rPr>
        <w:t>marginalization in rural lifestyles in England and Wales. </w:t>
      </w:r>
      <w:r w:rsidRPr="00EB4AFB">
        <w:rPr>
          <w:i/>
          <w:iCs/>
          <w:color w:val="222222"/>
        </w:rPr>
        <w:t>Journal of Rural Studies</w:t>
      </w:r>
      <w:r w:rsidRPr="00EB4AFB">
        <w:rPr>
          <w:color w:val="222222"/>
          <w:shd w:val="clear" w:color="auto" w:fill="FFFFFF"/>
        </w:rPr>
        <w:t>, </w:t>
      </w:r>
      <w:r w:rsidRPr="00EB4AFB">
        <w:rPr>
          <w:i/>
          <w:iCs/>
          <w:color w:val="222222"/>
        </w:rPr>
        <w:t>11</w:t>
      </w:r>
      <w:r w:rsidRPr="00EB4AFB">
        <w:rPr>
          <w:color w:val="222222"/>
          <w:shd w:val="clear" w:color="auto" w:fill="FFFFFF"/>
        </w:rPr>
        <w:t>(4), pp.351-365.</w:t>
      </w:r>
    </w:p>
    <w:p w14:paraId="394D664F" w14:textId="77777777" w:rsidR="00941203" w:rsidRDefault="00941203" w:rsidP="00392CAC"/>
    <w:p w14:paraId="73729810" w14:textId="23BA159D" w:rsidR="00A93231" w:rsidRDefault="00A93231" w:rsidP="00392CAC">
      <w:r w:rsidRPr="00DA3D25">
        <w:t>Marmot</w:t>
      </w:r>
      <w:r w:rsidR="00941203" w:rsidRPr="00941203">
        <w:t xml:space="preserve"> </w:t>
      </w:r>
      <w:r w:rsidRPr="00DA3D25">
        <w:t xml:space="preserve">, M., Allen, J., Goldblatt, P., &amp; Boyce, T. (2020). Build back fairer: The COVID-19 </w:t>
      </w:r>
      <w:r w:rsidR="00941203" w:rsidRPr="00DA3D25">
        <w:t>Marmot Review. The Institute of Health Equity, UCL.</w:t>
      </w:r>
    </w:p>
    <w:p w14:paraId="0E409CE5" w14:textId="2BC5EE70" w:rsidR="00A93231" w:rsidRPr="00DA3D25" w:rsidRDefault="00A93231" w:rsidP="00363C39">
      <w:r w:rsidRPr="00DA3D25">
        <w:rPr>
          <w:color w:val="222222"/>
          <w:shd w:val="clear" w:color="auto" w:fill="FFFFFF"/>
        </w:rPr>
        <w:t xml:space="preserve">McLellan, S.E., Mann, M.Y., Scott, </w:t>
      </w:r>
      <w:r w:rsidR="00941203" w:rsidRPr="00DA3D25">
        <w:rPr>
          <w:color w:val="222222"/>
          <w:shd w:val="clear" w:color="auto" w:fill="FFFFFF"/>
        </w:rPr>
        <w:t>J.A.,</w:t>
      </w:r>
      <w:r w:rsidRPr="00DA3D25">
        <w:rPr>
          <w:color w:val="222222"/>
          <w:shd w:val="clear" w:color="auto" w:fill="FFFFFF"/>
        </w:rPr>
        <w:t xml:space="preserve"> and Brown, T.W., 2022. A blueprint for change: guiding principles for a system of services for children and youth with special health care needs and their families. </w:t>
      </w:r>
      <w:r w:rsidRPr="00DA3D25">
        <w:rPr>
          <w:i/>
          <w:iCs/>
          <w:color w:val="222222"/>
        </w:rPr>
        <w:t>Pediatrics</w:t>
      </w:r>
      <w:r w:rsidRPr="00DA3D25">
        <w:rPr>
          <w:color w:val="222222"/>
          <w:shd w:val="clear" w:color="auto" w:fill="FFFFFF"/>
        </w:rPr>
        <w:t>, </w:t>
      </w:r>
      <w:r w:rsidRPr="00DA3D25">
        <w:rPr>
          <w:i/>
          <w:iCs/>
          <w:color w:val="222222"/>
        </w:rPr>
        <w:t>149</w:t>
      </w:r>
      <w:r w:rsidRPr="00DA3D25">
        <w:rPr>
          <w:color w:val="222222"/>
          <w:shd w:val="clear" w:color="auto" w:fill="FFFFFF"/>
        </w:rPr>
        <w:t>(Supplement 7).</w:t>
      </w:r>
    </w:p>
    <w:p w14:paraId="763B2BD0" w14:textId="77777777" w:rsidR="00941203" w:rsidRDefault="00941203" w:rsidP="00392CAC"/>
    <w:p w14:paraId="5FCFB310" w14:textId="34DBFB0F" w:rsidR="00A93231" w:rsidRPr="00DA3D25" w:rsidRDefault="00A93231" w:rsidP="00392CAC">
      <w:r w:rsidRPr="00DA3D25">
        <w:t>Morgan, A., Davies, M., Ziglio, E., &amp; Mindell, J. (2016). The new public health. Oxford University Press.</w:t>
      </w:r>
    </w:p>
    <w:p w14:paraId="24DD3CAD" w14:textId="77777777" w:rsidR="00941203" w:rsidRDefault="00941203" w:rsidP="00363C39">
      <w:pPr>
        <w:rPr>
          <w:color w:val="222222"/>
          <w:shd w:val="clear" w:color="auto" w:fill="FFFFFF"/>
        </w:rPr>
      </w:pPr>
    </w:p>
    <w:p w14:paraId="3E155DA8" w14:textId="1D8C27BD" w:rsidR="00A93231" w:rsidRPr="00DA3D25" w:rsidRDefault="00A93231" w:rsidP="00363C39">
      <w:r w:rsidRPr="00DA3D25">
        <w:rPr>
          <w:color w:val="222222"/>
          <w:shd w:val="clear" w:color="auto" w:fill="FFFFFF"/>
        </w:rPr>
        <w:t>Nastasi, B.K., (2000). School psychologists as health-care providers in the 21st century: Conceptual framework, professional identity, and professional practice. </w:t>
      </w:r>
      <w:r w:rsidRPr="00DA3D25">
        <w:rPr>
          <w:i/>
          <w:iCs/>
          <w:color w:val="222222"/>
        </w:rPr>
        <w:t>School Psychology Review</w:t>
      </w:r>
      <w:r w:rsidRPr="00DA3D25">
        <w:rPr>
          <w:color w:val="222222"/>
          <w:shd w:val="clear" w:color="auto" w:fill="FFFFFF"/>
        </w:rPr>
        <w:t>, </w:t>
      </w:r>
      <w:r w:rsidRPr="00DA3D25">
        <w:rPr>
          <w:i/>
          <w:iCs/>
          <w:color w:val="222222"/>
        </w:rPr>
        <w:t>29</w:t>
      </w:r>
      <w:r w:rsidRPr="00DA3D25">
        <w:rPr>
          <w:color w:val="222222"/>
          <w:shd w:val="clear" w:color="auto" w:fill="FFFFFF"/>
        </w:rPr>
        <w:t>(4), pp.540-554.</w:t>
      </w:r>
    </w:p>
    <w:p w14:paraId="433FAB84" w14:textId="77777777" w:rsidR="00941203" w:rsidRDefault="00941203" w:rsidP="00363C39">
      <w:pPr>
        <w:rPr>
          <w:color w:val="222222"/>
          <w:shd w:val="clear" w:color="auto" w:fill="FFFFFF"/>
        </w:rPr>
      </w:pPr>
    </w:p>
    <w:p w14:paraId="54B6BEA3" w14:textId="566D8978" w:rsidR="00A93231" w:rsidRPr="00DA3D25" w:rsidRDefault="00A93231" w:rsidP="00363C39">
      <w:r w:rsidRPr="00DA3D25">
        <w:rPr>
          <w:color w:val="222222"/>
          <w:shd w:val="clear" w:color="auto" w:fill="FFFFFF"/>
        </w:rPr>
        <w:t>Onwuegbuzie, A.J., Collins, K.M. and Frels, R.K., (2013). Foreword: Using Bronfenbrenner’s ecological systems theory to frame quantitative, qualitative, and mixed research. </w:t>
      </w:r>
      <w:r w:rsidRPr="00DA3D25">
        <w:rPr>
          <w:i/>
          <w:iCs/>
          <w:color w:val="222222"/>
        </w:rPr>
        <w:t>International journal of multiple research approaches</w:t>
      </w:r>
      <w:r w:rsidRPr="00DA3D25">
        <w:rPr>
          <w:color w:val="222222"/>
          <w:shd w:val="clear" w:color="auto" w:fill="FFFFFF"/>
        </w:rPr>
        <w:t>, </w:t>
      </w:r>
      <w:r w:rsidRPr="00DA3D25">
        <w:rPr>
          <w:i/>
          <w:iCs/>
          <w:color w:val="222222"/>
        </w:rPr>
        <w:t>7</w:t>
      </w:r>
      <w:r w:rsidRPr="00DA3D25">
        <w:rPr>
          <w:color w:val="222222"/>
          <w:shd w:val="clear" w:color="auto" w:fill="FFFFFF"/>
        </w:rPr>
        <w:t>(1), pp.2-8.</w:t>
      </w:r>
    </w:p>
    <w:p w14:paraId="32501019" w14:textId="77777777" w:rsidR="00941203" w:rsidRDefault="00941203" w:rsidP="00363C39">
      <w:pPr>
        <w:rPr>
          <w:color w:val="222222"/>
          <w:shd w:val="clear" w:color="auto" w:fill="FFFFFF"/>
        </w:rPr>
      </w:pPr>
    </w:p>
    <w:p w14:paraId="01BC4D6F" w14:textId="7CA3C882" w:rsidR="00A93231" w:rsidRPr="00DA3D25" w:rsidRDefault="00A93231" w:rsidP="00363C39">
      <w:r w:rsidRPr="00DA3D25">
        <w:rPr>
          <w:color w:val="222222"/>
          <w:shd w:val="clear" w:color="auto" w:fill="FFFFFF"/>
        </w:rPr>
        <w:t>Phillips, P., (2002). The rising cost of health care: can demand be reduced through more effective health promotion?. </w:t>
      </w:r>
      <w:r w:rsidRPr="00DA3D25">
        <w:rPr>
          <w:i/>
          <w:iCs/>
          <w:color w:val="222222"/>
        </w:rPr>
        <w:t>Journal of evaluation in clinical practice</w:t>
      </w:r>
      <w:r w:rsidRPr="00DA3D25">
        <w:rPr>
          <w:color w:val="222222"/>
          <w:shd w:val="clear" w:color="auto" w:fill="FFFFFF"/>
        </w:rPr>
        <w:t>, </w:t>
      </w:r>
      <w:r w:rsidRPr="00DA3D25">
        <w:rPr>
          <w:i/>
          <w:iCs/>
          <w:color w:val="222222"/>
        </w:rPr>
        <w:t>8</w:t>
      </w:r>
      <w:r w:rsidRPr="00DA3D25">
        <w:rPr>
          <w:color w:val="222222"/>
          <w:shd w:val="clear" w:color="auto" w:fill="FFFFFF"/>
        </w:rPr>
        <w:t>(4), pp.415-419.</w:t>
      </w:r>
    </w:p>
    <w:p w14:paraId="7306BC51" w14:textId="77777777" w:rsidR="00941203" w:rsidRDefault="00941203" w:rsidP="00363C39">
      <w:pPr>
        <w:rPr>
          <w:color w:val="222222"/>
          <w:shd w:val="clear" w:color="auto" w:fill="FFFFFF"/>
        </w:rPr>
      </w:pPr>
    </w:p>
    <w:p w14:paraId="2FF3431D" w14:textId="44866613" w:rsidR="00A93231" w:rsidRPr="00DA3D25" w:rsidRDefault="00A93231" w:rsidP="00363C39">
      <w:r w:rsidRPr="00DA3D25">
        <w:rPr>
          <w:color w:val="222222"/>
          <w:shd w:val="clear" w:color="auto" w:fill="FFFFFF"/>
        </w:rPr>
        <w:t>Pollock, A.M., Price, D. and Roderick, P., (2012). Health and Social Care Bill 2011: a legal basis for charging and providing fewer health services to people in England. </w:t>
      </w:r>
      <w:r w:rsidRPr="00DA3D25">
        <w:rPr>
          <w:i/>
          <w:iCs/>
          <w:color w:val="222222"/>
        </w:rPr>
        <w:t>BMJ</w:t>
      </w:r>
      <w:r w:rsidRPr="00DA3D25">
        <w:rPr>
          <w:color w:val="222222"/>
          <w:shd w:val="clear" w:color="auto" w:fill="FFFFFF"/>
        </w:rPr>
        <w:t>, </w:t>
      </w:r>
      <w:r w:rsidRPr="00DA3D25">
        <w:rPr>
          <w:i/>
          <w:iCs/>
          <w:color w:val="222222"/>
        </w:rPr>
        <w:t>344</w:t>
      </w:r>
      <w:r w:rsidRPr="00DA3D25">
        <w:rPr>
          <w:color w:val="222222"/>
          <w:shd w:val="clear" w:color="auto" w:fill="FFFFFF"/>
        </w:rPr>
        <w:t>.</w:t>
      </w:r>
    </w:p>
    <w:p w14:paraId="22627453" w14:textId="77777777" w:rsidR="00A93231" w:rsidRPr="00DA3D25" w:rsidRDefault="00A93231">
      <w:pPr>
        <w:rPr>
          <w:color w:val="222222"/>
          <w:shd w:val="clear" w:color="auto" w:fill="FFFFFF"/>
        </w:rPr>
      </w:pPr>
      <w:r w:rsidRPr="00DA3D25">
        <w:rPr>
          <w:color w:val="222222"/>
          <w:shd w:val="clear" w:color="auto" w:fill="FFFFFF"/>
        </w:rPr>
        <w:t>r health psychology. </w:t>
      </w:r>
      <w:r w:rsidRPr="00DA3D25">
        <w:rPr>
          <w:i/>
          <w:iCs/>
          <w:color w:val="222222"/>
        </w:rPr>
        <w:t>Health psychology</w:t>
      </w:r>
      <w:r w:rsidRPr="00DA3D25">
        <w:rPr>
          <w:color w:val="222222"/>
          <w:shd w:val="clear" w:color="auto" w:fill="FFFFFF"/>
        </w:rPr>
        <w:t>, </w:t>
      </w:r>
      <w:r w:rsidRPr="00DA3D25">
        <w:rPr>
          <w:i/>
          <w:iCs/>
          <w:color w:val="222222"/>
        </w:rPr>
        <w:t>23</w:t>
      </w:r>
      <w:r w:rsidRPr="00DA3D25">
        <w:rPr>
          <w:color w:val="222222"/>
          <w:shd w:val="clear" w:color="auto" w:fill="FFFFFF"/>
        </w:rPr>
        <w:t>(2), p.119.</w:t>
      </w:r>
    </w:p>
    <w:p w14:paraId="3BF5C094" w14:textId="77777777" w:rsidR="00941203" w:rsidRDefault="00941203" w:rsidP="00392CAC"/>
    <w:p w14:paraId="361554E4" w14:textId="64737253" w:rsidR="00A93231" w:rsidRPr="00DA3D25" w:rsidRDefault="00A93231" w:rsidP="00392CAC">
      <w:r w:rsidRPr="00DA3D25">
        <w:t>Sen, A. (1999). Development as freedom. Oxford University Press.</w:t>
      </w:r>
    </w:p>
    <w:p w14:paraId="6E58E2EF" w14:textId="77777777" w:rsidR="00941203" w:rsidRDefault="00941203" w:rsidP="00363C39">
      <w:pPr>
        <w:rPr>
          <w:color w:val="222222"/>
          <w:shd w:val="clear" w:color="auto" w:fill="FFFFFF"/>
        </w:rPr>
      </w:pPr>
    </w:p>
    <w:p w14:paraId="6B668644" w14:textId="5DE9D338" w:rsidR="00A93231" w:rsidRPr="00DA3D25" w:rsidRDefault="00A93231" w:rsidP="00363C39">
      <w:r w:rsidRPr="00DA3D25">
        <w:rPr>
          <w:color w:val="222222"/>
          <w:shd w:val="clear" w:color="auto" w:fill="FFFFFF"/>
        </w:rPr>
        <w:t>Shaw, R.B., Sweet, S.N., McBride, C.B., Adair, W.K. and Martin Ginis, K.A., (2019). Operationalizing the reach, effectiveness, adoption, implementation, maintenance (RE-AIM) framework to evaluate the collective impact of autonomous community programs that promote health and well-being. </w:t>
      </w:r>
      <w:r w:rsidRPr="00DA3D25">
        <w:rPr>
          <w:i/>
          <w:iCs/>
          <w:color w:val="222222"/>
        </w:rPr>
        <w:t>BMC public health</w:t>
      </w:r>
      <w:r w:rsidRPr="00DA3D25">
        <w:rPr>
          <w:color w:val="222222"/>
          <w:shd w:val="clear" w:color="auto" w:fill="FFFFFF"/>
        </w:rPr>
        <w:t>, </w:t>
      </w:r>
      <w:r w:rsidRPr="00DA3D25">
        <w:rPr>
          <w:i/>
          <w:iCs/>
          <w:color w:val="222222"/>
        </w:rPr>
        <w:t>19</w:t>
      </w:r>
      <w:r w:rsidRPr="00DA3D25">
        <w:rPr>
          <w:color w:val="222222"/>
          <w:shd w:val="clear" w:color="auto" w:fill="FFFFFF"/>
        </w:rPr>
        <w:t>, pp.1-14.</w:t>
      </w:r>
    </w:p>
    <w:p w14:paraId="17A4C90F" w14:textId="77777777" w:rsidR="00941203" w:rsidRDefault="00941203" w:rsidP="00363C39">
      <w:pPr>
        <w:rPr>
          <w:color w:val="222222"/>
          <w:shd w:val="clear" w:color="auto" w:fill="FFFFFF"/>
        </w:rPr>
      </w:pPr>
    </w:p>
    <w:p w14:paraId="5739DDEE" w14:textId="6306D1A0" w:rsidR="00A93231" w:rsidRPr="00DA3D25" w:rsidRDefault="00A93231" w:rsidP="00363C39">
      <w:r w:rsidRPr="00DA3D25">
        <w:rPr>
          <w:color w:val="222222"/>
          <w:shd w:val="clear" w:color="auto" w:fill="FFFFFF"/>
        </w:rPr>
        <w:t>Stokols, D., (1992). Establishing and maintaining healthy environments: Toward a social ecology of health promotion. </w:t>
      </w:r>
      <w:r w:rsidRPr="00DA3D25">
        <w:rPr>
          <w:i/>
          <w:iCs/>
          <w:color w:val="222222"/>
        </w:rPr>
        <w:t>American psychologist</w:t>
      </w:r>
      <w:r w:rsidRPr="00DA3D25">
        <w:rPr>
          <w:color w:val="222222"/>
          <w:shd w:val="clear" w:color="auto" w:fill="FFFFFF"/>
        </w:rPr>
        <w:t>, </w:t>
      </w:r>
      <w:r w:rsidRPr="00DA3D25">
        <w:rPr>
          <w:i/>
          <w:iCs/>
          <w:color w:val="222222"/>
        </w:rPr>
        <w:t>47</w:t>
      </w:r>
      <w:r w:rsidRPr="00DA3D25">
        <w:rPr>
          <w:color w:val="222222"/>
          <w:shd w:val="clear" w:color="auto" w:fill="FFFFFF"/>
        </w:rPr>
        <w:t>(1), p.6.</w:t>
      </w:r>
    </w:p>
    <w:p w14:paraId="59A415FF" w14:textId="77777777" w:rsidR="00941203" w:rsidRDefault="00941203" w:rsidP="00363C39">
      <w:pPr>
        <w:rPr>
          <w:color w:val="222222"/>
          <w:shd w:val="clear" w:color="auto" w:fill="FFFFFF"/>
        </w:rPr>
      </w:pPr>
    </w:p>
    <w:p w14:paraId="6203DDC8" w14:textId="27C20770" w:rsidR="00A93231" w:rsidRPr="00DA3D25" w:rsidRDefault="00A93231" w:rsidP="00363C39">
      <w:r w:rsidRPr="00DA3D25">
        <w:rPr>
          <w:color w:val="222222"/>
          <w:shd w:val="clear" w:color="auto" w:fill="FFFFFF"/>
        </w:rPr>
        <w:t xml:space="preserve">Suls, J. and Rothman, A., (2004). Evolution of the biopsychosocial model: prospects and challenges fo Sideli, L., Murray, R.M., Schimmenti, A., Corso, M., La Barbera, D., Trotta, A. </w:t>
      </w:r>
      <w:r w:rsidRPr="00DA3D25">
        <w:rPr>
          <w:color w:val="222222"/>
          <w:shd w:val="clear" w:color="auto" w:fill="FFFFFF"/>
        </w:rPr>
        <w:lastRenderedPageBreak/>
        <w:t>and Fisher, H.L., 2020. Childhood adversity and psychosis: a systematic review of bio-psycho-social mediators and moderators. </w:t>
      </w:r>
      <w:r w:rsidRPr="00DA3D25">
        <w:rPr>
          <w:i/>
          <w:iCs/>
          <w:color w:val="222222"/>
        </w:rPr>
        <w:t>Psychological medicine</w:t>
      </w:r>
      <w:r w:rsidRPr="00DA3D25">
        <w:rPr>
          <w:color w:val="222222"/>
          <w:shd w:val="clear" w:color="auto" w:fill="FFFFFF"/>
        </w:rPr>
        <w:t>, </w:t>
      </w:r>
      <w:r w:rsidRPr="00DA3D25">
        <w:rPr>
          <w:i/>
          <w:iCs/>
          <w:color w:val="222222"/>
        </w:rPr>
        <w:t>50</w:t>
      </w:r>
      <w:r w:rsidRPr="00DA3D25">
        <w:rPr>
          <w:color w:val="222222"/>
          <w:shd w:val="clear" w:color="auto" w:fill="FFFFFF"/>
        </w:rPr>
        <w:t>(11), pp.1761-1782.</w:t>
      </w:r>
    </w:p>
    <w:p w14:paraId="45B41534" w14:textId="77777777" w:rsidR="00941203" w:rsidRDefault="00941203" w:rsidP="00392CAC"/>
    <w:p w14:paraId="49603831" w14:textId="06ECCE54" w:rsidR="00A93231" w:rsidRPr="00DA3D25" w:rsidRDefault="00A93231" w:rsidP="00392CAC">
      <w:r w:rsidRPr="00DA3D25">
        <w:t>The King's Fund. (2015). Closing the gap: Key areas for action on the health and care workforce.</w:t>
      </w:r>
    </w:p>
    <w:p w14:paraId="58C6A10C" w14:textId="77777777" w:rsidR="00941203" w:rsidRDefault="00941203" w:rsidP="00392CAC"/>
    <w:p w14:paraId="0B589748" w14:textId="289E3792" w:rsidR="00A93231" w:rsidRPr="00DA3D25" w:rsidRDefault="00A93231" w:rsidP="00392CAC">
      <w:r w:rsidRPr="00DA3D25">
        <w:t>Welsh Government. (2012). Health and social care act. Welsh Government.</w:t>
      </w:r>
    </w:p>
    <w:p w14:paraId="158879EF" w14:textId="77777777" w:rsidR="00941203" w:rsidRDefault="00941203" w:rsidP="00392CAC"/>
    <w:p w14:paraId="60B052B6" w14:textId="571D2E5D" w:rsidR="00A93231" w:rsidRPr="00363C39" w:rsidRDefault="00A93231" w:rsidP="00392CAC">
      <w:r w:rsidRPr="00DA3D25">
        <w:t>Welsh Government. (2015). Well-being of future generations (Wales) act. Welsh Government.</w:t>
      </w:r>
    </w:p>
    <w:sectPr w:rsidR="00A93231" w:rsidRPr="00363C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6878BB"/>
    <w:multiLevelType w:val="hybridMultilevel"/>
    <w:tmpl w:val="F14C8A20"/>
    <w:lvl w:ilvl="0" w:tplc="6EE48766">
      <w:numFmt w:val="bullet"/>
      <w:lvlText w:val=""/>
      <w:lvlJc w:val="left"/>
      <w:pPr>
        <w:ind w:left="940" w:hanging="361"/>
      </w:pPr>
      <w:rPr>
        <w:rFonts w:ascii="Symbol" w:eastAsia="Symbol" w:hAnsi="Symbol" w:cs="Symbol" w:hint="default"/>
        <w:b w:val="0"/>
        <w:bCs w:val="0"/>
        <w:i w:val="0"/>
        <w:iCs w:val="0"/>
        <w:w w:val="100"/>
        <w:sz w:val="22"/>
        <w:szCs w:val="22"/>
        <w:lang w:val="en-US" w:eastAsia="en-US" w:bidi="ar-SA"/>
      </w:rPr>
    </w:lvl>
    <w:lvl w:ilvl="1" w:tplc="E7DC9050">
      <w:numFmt w:val="bullet"/>
      <w:lvlText w:val="•"/>
      <w:lvlJc w:val="left"/>
      <w:pPr>
        <w:ind w:left="1935" w:hanging="361"/>
      </w:pPr>
      <w:rPr>
        <w:rFonts w:hint="default"/>
        <w:lang w:val="en-US" w:eastAsia="en-US" w:bidi="ar-SA"/>
      </w:rPr>
    </w:lvl>
    <w:lvl w:ilvl="2" w:tplc="B08A33B6">
      <w:numFmt w:val="bullet"/>
      <w:lvlText w:val="•"/>
      <w:lvlJc w:val="left"/>
      <w:pPr>
        <w:ind w:left="2930" w:hanging="361"/>
      </w:pPr>
      <w:rPr>
        <w:rFonts w:hint="default"/>
        <w:lang w:val="en-US" w:eastAsia="en-US" w:bidi="ar-SA"/>
      </w:rPr>
    </w:lvl>
    <w:lvl w:ilvl="3" w:tplc="470E32F8">
      <w:numFmt w:val="bullet"/>
      <w:lvlText w:val="•"/>
      <w:lvlJc w:val="left"/>
      <w:pPr>
        <w:ind w:left="3926" w:hanging="361"/>
      </w:pPr>
      <w:rPr>
        <w:rFonts w:hint="default"/>
        <w:lang w:val="en-US" w:eastAsia="en-US" w:bidi="ar-SA"/>
      </w:rPr>
    </w:lvl>
    <w:lvl w:ilvl="4" w:tplc="D5FCC804">
      <w:numFmt w:val="bullet"/>
      <w:lvlText w:val="•"/>
      <w:lvlJc w:val="left"/>
      <w:pPr>
        <w:ind w:left="4921" w:hanging="361"/>
      </w:pPr>
      <w:rPr>
        <w:rFonts w:hint="default"/>
        <w:lang w:val="en-US" w:eastAsia="en-US" w:bidi="ar-SA"/>
      </w:rPr>
    </w:lvl>
    <w:lvl w:ilvl="5" w:tplc="FF7CDF14">
      <w:numFmt w:val="bullet"/>
      <w:lvlText w:val="•"/>
      <w:lvlJc w:val="left"/>
      <w:pPr>
        <w:ind w:left="5917" w:hanging="361"/>
      </w:pPr>
      <w:rPr>
        <w:rFonts w:hint="default"/>
        <w:lang w:val="en-US" w:eastAsia="en-US" w:bidi="ar-SA"/>
      </w:rPr>
    </w:lvl>
    <w:lvl w:ilvl="6" w:tplc="A9E4330C">
      <w:numFmt w:val="bullet"/>
      <w:lvlText w:val="•"/>
      <w:lvlJc w:val="left"/>
      <w:pPr>
        <w:ind w:left="6912" w:hanging="361"/>
      </w:pPr>
      <w:rPr>
        <w:rFonts w:hint="default"/>
        <w:lang w:val="en-US" w:eastAsia="en-US" w:bidi="ar-SA"/>
      </w:rPr>
    </w:lvl>
    <w:lvl w:ilvl="7" w:tplc="9A60EB4E">
      <w:numFmt w:val="bullet"/>
      <w:lvlText w:val="•"/>
      <w:lvlJc w:val="left"/>
      <w:pPr>
        <w:ind w:left="7908" w:hanging="361"/>
      </w:pPr>
      <w:rPr>
        <w:rFonts w:hint="default"/>
        <w:lang w:val="en-US" w:eastAsia="en-US" w:bidi="ar-SA"/>
      </w:rPr>
    </w:lvl>
    <w:lvl w:ilvl="8" w:tplc="A878B56A">
      <w:numFmt w:val="bullet"/>
      <w:lvlText w:val="•"/>
      <w:lvlJc w:val="left"/>
      <w:pPr>
        <w:ind w:left="8903" w:hanging="361"/>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88D"/>
    <w:rsid w:val="000019DA"/>
    <w:rsid w:val="00022B27"/>
    <w:rsid w:val="000F2534"/>
    <w:rsid w:val="00173D02"/>
    <w:rsid w:val="001B56D1"/>
    <w:rsid w:val="002201AE"/>
    <w:rsid w:val="002237F4"/>
    <w:rsid w:val="0023170D"/>
    <w:rsid w:val="002A336C"/>
    <w:rsid w:val="002C34F7"/>
    <w:rsid w:val="002C4FD5"/>
    <w:rsid w:val="003627BD"/>
    <w:rsid w:val="00363C39"/>
    <w:rsid w:val="003710BA"/>
    <w:rsid w:val="00387DB4"/>
    <w:rsid w:val="00392CAC"/>
    <w:rsid w:val="003960A1"/>
    <w:rsid w:val="003D3163"/>
    <w:rsid w:val="00450EFD"/>
    <w:rsid w:val="00482F74"/>
    <w:rsid w:val="005013A0"/>
    <w:rsid w:val="0056493E"/>
    <w:rsid w:val="00583B2A"/>
    <w:rsid w:val="00590811"/>
    <w:rsid w:val="005E488D"/>
    <w:rsid w:val="0060600C"/>
    <w:rsid w:val="00637502"/>
    <w:rsid w:val="0067178C"/>
    <w:rsid w:val="006C60DA"/>
    <w:rsid w:val="00730724"/>
    <w:rsid w:val="00747A48"/>
    <w:rsid w:val="0077575C"/>
    <w:rsid w:val="007B2ADE"/>
    <w:rsid w:val="007F477D"/>
    <w:rsid w:val="008C61A7"/>
    <w:rsid w:val="008E0CE3"/>
    <w:rsid w:val="00903672"/>
    <w:rsid w:val="00941203"/>
    <w:rsid w:val="00961851"/>
    <w:rsid w:val="0097328E"/>
    <w:rsid w:val="009825CD"/>
    <w:rsid w:val="009A4266"/>
    <w:rsid w:val="009F12D9"/>
    <w:rsid w:val="00A20C4E"/>
    <w:rsid w:val="00A2150D"/>
    <w:rsid w:val="00A4389B"/>
    <w:rsid w:val="00A545DC"/>
    <w:rsid w:val="00A93231"/>
    <w:rsid w:val="00A965A9"/>
    <w:rsid w:val="00AB0287"/>
    <w:rsid w:val="00AD6C3E"/>
    <w:rsid w:val="00B42AAA"/>
    <w:rsid w:val="00B5324D"/>
    <w:rsid w:val="00B61391"/>
    <w:rsid w:val="00B83933"/>
    <w:rsid w:val="00BD5820"/>
    <w:rsid w:val="00BD6D44"/>
    <w:rsid w:val="00C35A84"/>
    <w:rsid w:val="00C71673"/>
    <w:rsid w:val="00CD4256"/>
    <w:rsid w:val="00CD7F3E"/>
    <w:rsid w:val="00CE4D24"/>
    <w:rsid w:val="00D01BCD"/>
    <w:rsid w:val="00D02B73"/>
    <w:rsid w:val="00D910E7"/>
    <w:rsid w:val="00DA11D2"/>
    <w:rsid w:val="00DA3D25"/>
    <w:rsid w:val="00DA51ED"/>
    <w:rsid w:val="00DC11BA"/>
    <w:rsid w:val="00DC7D2A"/>
    <w:rsid w:val="00DE73F9"/>
    <w:rsid w:val="00E67397"/>
    <w:rsid w:val="00EB6FE4"/>
    <w:rsid w:val="00EE104D"/>
    <w:rsid w:val="00F07201"/>
    <w:rsid w:val="00F169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39F9D"/>
  <w15:chartTrackingRefBased/>
  <w15:docId w15:val="{C080937D-FACD-8549-998B-CD2AF1B3F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5A9"/>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01BCD"/>
    <w:pPr>
      <w:spacing w:before="100" w:beforeAutospacing="1" w:after="100" w:afterAutospacing="1"/>
    </w:pPr>
  </w:style>
  <w:style w:type="paragraph" w:customStyle="1" w:styleId="p1">
    <w:name w:val="p1"/>
    <w:basedOn w:val="Normal"/>
    <w:rsid w:val="00B42AAA"/>
    <w:rPr>
      <w:rFonts w:ascii=".AppleSystemUIFont" w:hAnsi=".AppleSystemUIFont"/>
      <w:sz w:val="26"/>
      <w:szCs w:val="26"/>
    </w:rPr>
  </w:style>
  <w:style w:type="character" w:customStyle="1" w:styleId="s1">
    <w:name w:val="s1"/>
    <w:basedOn w:val="DefaultParagraphFont"/>
    <w:rsid w:val="00B42AAA"/>
    <w:rPr>
      <w:rFonts w:ascii="UICTFontTextStyleBody" w:hAnsi="UICTFontTextStyleBody" w:hint="default"/>
      <w:b w:val="0"/>
      <w:bCs w:val="0"/>
      <w:i w:val="0"/>
      <w:iCs w:val="0"/>
      <w:sz w:val="26"/>
      <w:szCs w:val="26"/>
    </w:rPr>
  </w:style>
  <w:style w:type="paragraph" w:customStyle="1" w:styleId="p2">
    <w:name w:val="p2"/>
    <w:basedOn w:val="Normal"/>
    <w:rsid w:val="002C34F7"/>
    <w:rPr>
      <w:rFonts w:ascii=".AppleSystemUIFont" w:hAnsi=".AppleSystemUIFont"/>
      <w:sz w:val="26"/>
      <w:szCs w:val="26"/>
    </w:rPr>
  </w:style>
  <w:style w:type="character" w:customStyle="1" w:styleId="apple-converted-space">
    <w:name w:val="apple-converted-space"/>
    <w:basedOn w:val="DefaultParagraphFont"/>
    <w:rsid w:val="00387DB4"/>
  </w:style>
  <w:style w:type="paragraph" w:styleId="ListParagraph">
    <w:name w:val="List Paragraph"/>
    <w:basedOn w:val="Normal"/>
    <w:uiPriority w:val="1"/>
    <w:qFormat/>
    <w:rsid w:val="00363C39"/>
    <w:pPr>
      <w:widowControl w:val="0"/>
      <w:autoSpaceDE w:val="0"/>
      <w:autoSpaceDN w:val="0"/>
      <w:ind w:left="580" w:hanging="361"/>
    </w:pPr>
    <w:rPr>
      <w:rFonts w:ascii="Calibri" w:eastAsia="Calibri" w:hAnsi="Calibri" w:cs="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67035">
      <w:bodyDiv w:val="1"/>
      <w:marLeft w:val="0"/>
      <w:marRight w:val="0"/>
      <w:marTop w:val="0"/>
      <w:marBottom w:val="0"/>
      <w:divBdr>
        <w:top w:val="none" w:sz="0" w:space="0" w:color="auto"/>
        <w:left w:val="none" w:sz="0" w:space="0" w:color="auto"/>
        <w:bottom w:val="none" w:sz="0" w:space="0" w:color="auto"/>
        <w:right w:val="none" w:sz="0" w:space="0" w:color="auto"/>
      </w:divBdr>
    </w:div>
    <w:div w:id="89932595">
      <w:bodyDiv w:val="1"/>
      <w:marLeft w:val="0"/>
      <w:marRight w:val="0"/>
      <w:marTop w:val="0"/>
      <w:marBottom w:val="0"/>
      <w:divBdr>
        <w:top w:val="none" w:sz="0" w:space="0" w:color="auto"/>
        <w:left w:val="none" w:sz="0" w:space="0" w:color="auto"/>
        <w:bottom w:val="none" w:sz="0" w:space="0" w:color="auto"/>
        <w:right w:val="none" w:sz="0" w:space="0" w:color="auto"/>
      </w:divBdr>
    </w:div>
    <w:div w:id="163131901">
      <w:bodyDiv w:val="1"/>
      <w:marLeft w:val="0"/>
      <w:marRight w:val="0"/>
      <w:marTop w:val="0"/>
      <w:marBottom w:val="0"/>
      <w:divBdr>
        <w:top w:val="none" w:sz="0" w:space="0" w:color="auto"/>
        <w:left w:val="none" w:sz="0" w:space="0" w:color="auto"/>
        <w:bottom w:val="none" w:sz="0" w:space="0" w:color="auto"/>
        <w:right w:val="none" w:sz="0" w:space="0" w:color="auto"/>
      </w:divBdr>
    </w:div>
    <w:div w:id="200168939">
      <w:bodyDiv w:val="1"/>
      <w:marLeft w:val="0"/>
      <w:marRight w:val="0"/>
      <w:marTop w:val="0"/>
      <w:marBottom w:val="0"/>
      <w:divBdr>
        <w:top w:val="none" w:sz="0" w:space="0" w:color="auto"/>
        <w:left w:val="none" w:sz="0" w:space="0" w:color="auto"/>
        <w:bottom w:val="none" w:sz="0" w:space="0" w:color="auto"/>
        <w:right w:val="none" w:sz="0" w:space="0" w:color="auto"/>
      </w:divBdr>
    </w:div>
    <w:div w:id="262299019">
      <w:bodyDiv w:val="1"/>
      <w:marLeft w:val="0"/>
      <w:marRight w:val="0"/>
      <w:marTop w:val="0"/>
      <w:marBottom w:val="0"/>
      <w:divBdr>
        <w:top w:val="none" w:sz="0" w:space="0" w:color="auto"/>
        <w:left w:val="none" w:sz="0" w:space="0" w:color="auto"/>
        <w:bottom w:val="none" w:sz="0" w:space="0" w:color="auto"/>
        <w:right w:val="none" w:sz="0" w:space="0" w:color="auto"/>
      </w:divBdr>
    </w:div>
    <w:div w:id="517932115">
      <w:bodyDiv w:val="1"/>
      <w:marLeft w:val="0"/>
      <w:marRight w:val="0"/>
      <w:marTop w:val="0"/>
      <w:marBottom w:val="0"/>
      <w:divBdr>
        <w:top w:val="none" w:sz="0" w:space="0" w:color="auto"/>
        <w:left w:val="none" w:sz="0" w:space="0" w:color="auto"/>
        <w:bottom w:val="none" w:sz="0" w:space="0" w:color="auto"/>
        <w:right w:val="none" w:sz="0" w:space="0" w:color="auto"/>
      </w:divBdr>
    </w:div>
    <w:div w:id="580215130">
      <w:bodyDiv w:val="1"/>
      <w:marLeft w:val="0"/>
      <w:marRight w:val="0"/>
      <w:marTop w:val="0"/>
      <w:marBottom w:val="0"/>
      <w:divBdr>
        <w:top w:val="none" w:sz="0" w:space="0" w:color="auto"/>
        <w:left w:val="none" w:sz="0" w:space="0" w:color="auto"/>
        <w:bottom w:val="none" w:sz="0" w:space="0" w:color="auto"/>
        <w:right w:val="none" w:sz="0" w:space="0" w:color="auto"/>
      </w:divBdr>
    </w:div>
    <w:div w:id="670378800">
      <w:bodyDiv w:val="1"/>
      <w:marLeft w:val="0"/>
      <w:marRight w:val="0"/>
      <w:marTop w:val="0"/>
      <w:marBottom w:val="0"/>
      <w:divBdr>
        <w:top w:val="none" w:sz="0" w:space="0" w:color="auto"/>
        <w:left w:val="none" w:sz="0" w:space="0" w:color="auto"/>
        <w:bottom w:val="none" w:sz="0" w:space="0" w:color="auto"/>
        <w:right w:val="none" w:sz="0" w:space="0" w:color="auto"/>
      </w:divBdr>
    </w:div>
    <w:div w:id="679161825">
      <w:bodyDiv w:val="1"/>
      <w:marLeft w:val="0"/>
      <w:marRight w:val="0"/>
      <w:marTop w:val="0"/>
      <w:marBottom w:val="0"/>
      <w:divBdr>
        <w:top w:val="none" w:sz="0" w:space="0" w:color="auto"/>
        <w:left w:val="none" w:sz="0" w:space="0" w:color="auto"/>
        <w:bottom w:val="none" w:sz="0" w:space="0" w:color="auto"/>
        <w:right w:val="none" w:sz="0" w:space="0" w:color="auto"/>
      </w:divBdr>
    </w:div>
    <w:div w:id="733041012">
      <w:bodyDiv w:val="1"/>
      <w:marLeft w:val="0"/>
      <w:marRight w:val="0"/>
      <w:marTop w:val="0"/>
      <w:marBottom w:val="0"/>
      <w:divBdr>
        <w:top w:val="none" w:sz="0" w:space="0" w:color="auto"/>
        <w:left w:val="none" w:sz="0" w:space="0" w:color="auto"/>
        <w:bottom w:val="none" w:sz="0" w:space="0" w:color="auto"/>
        <w:right w:val="none" w:sz="0" w:space="0" w:color="auto"/>
      </w:divBdr>
    </w:div>
    <w:div w:id="757019794">
      <w:bodyDiv w:val="1"/>
      <w:marLeft w:val="0"/>
      <w:marRight w:val="0"/>
      <w:marTop w:val="0"/>
      <w:marBottom w:val="0"/>
      <w:divBdr>
        <w:top w:val="none" w:sz="0" w:space="0" w:color="auto"/>
        <w:left w:val="none" w:sz="0" w:space="0" w:color="auto"/>
        <w:bottom w:val="none" w:sz="0" w:space="0" w:color="auto"/>
        <w:right w:val="none" w:sz="0" w:space="0" w:color="auto"/>
      </w:divBdr>
    </w:div>
    <w:div w:id="818763334">
      <w:bodyDiv w:val="1"/>
      <w:marLeft w:val="0"/>
      <w:marRight w:val="0"/>
      <w:marTop w:val="0"/>
      <w:marBottom w:val="0"/>
      <w:divBdr>
        <w:top w:val="none" w:sz="0" w:space="0" w:color="auto"/>
        <w:left w:val="none" w:sz="0" w:space="0" w:color="auto"/>
        <w:bottom w:val="none" w:sz="0" w:space="0" w:color="auto"/>
        <w:right w:val="none" w:sz="0" w:space="0" w:color="auto"/>
      </w:divBdr>
    </w:div>
    <w:div w:id="940795949">
      <w:bodyDiv w:val="1"/>
      <w:marLeft w:val="0"/>
      <w:marRight w:val="0"/>
      <w:marTop w:val="0"/>
      <w:marBottom w:val="0"/>
      <w:divBdr>
        <w:top w:val="none" w:sz="0" w:space="0" w:color="auto"/>
        <w:left w:val="none" w:sz="0" w:space="0" w:color="auto"/>
        <w:bottom w:val="none" w:sz="0" w:space="0" w:color="auto"/>
        <w:right w:val="none" w:sz="0" w:space="0" w:color="auto"/>
      </w:divBdr>
    </w:div>
    <w:div w:id="979991408">
      <w:bodyDiv w:val="1"/>
      <w:marLeft w:val="0"/>
      <w:marRight w:val="0"/>
      <w:marTop w:val="0"/>
      <w:marBottom w:val="0"/>
      <w:divBdr>
        <w:top w:val="none" w:sz="0" w:space="0" w:color="auto"/>
        <w:left w:val="none" w:sz="0" w:space="0" w:color="auto"/>
        <w:bottom w:val="none" w:sz="0" w:space="0" w:color="auto"/>
        <w:right w:val="none" w:sz="0" w:space="0" w:color="auto"/>
      </w:divBdr>
    </w:div>
    <w:div w:id="1017731261">
      <w:bodyDiv w:val="1"/>
      <w:marLeft w:val="0"/>
      <w:marRight w:val="0"/>
      <w:marTop w:val="0"/>
      <w:marBottom w:val="0"/>
      <w:divBdr>
        <w:top w:val="none" w:sz="0" w:space="0" w:color="auto"/>
        <w:left w:val="none" w:sz="0" w:space="0" w:color="auto"/>
        <w:bottom w:val="none" w:sz="0" w:space="0" w:color="auto"/>
        <w:right w:val="none" w:sz="0" w:space="0" w:color="auto"/>
      </w:divBdr>
    </w:div>
    <w:div w:id="1072890484">
      <w:bodyDiv w:val="1"/>
      <w:marLeft w:val="0"/>
      <w:marRight w:val="0"/>
      <w:marTop w:val="0"/>
      <w:marBottom w:val="0"/>
      <w:divBdr>
        <w:top w:val="none" w:sz="0" w:space="0" w:color="auto"/>
        <w:left w:val="none" w:sz="0" w:space="0" w:color="auto"/>
        <w:bottom w:val="none" w:sz="0" w:space="0" w:color="auto"/>
        <w:right w:val="none" w:sz="0" w:space="0" w:color="auto"/>
      </w:divBdr>
      <w:divsChild>
        <w:div w:id="1419137381">
          <w:marLeft w:val="0"/>
          <w:marRight w:val="0"/>
          <w:marTop w:val="0"/>
          <w:marBottom w:val="0"/>
          <w:divBdr>
            <w:top w:val="none" w:sz="0" w:space="0" w:color="auto"/>
            <w:left w:val="none" w:sz="0" w:space="0" w:color="auto"/>
            <w:bottom w:val="none" w:sz="0" w:space="0" w:color="auto"/>
            <w:right w:val="none" w:sz="0" w:space="0" w:color="auto"/>
          </w:divBdr>
          <w:divsChild>
            <w:div w:id="1337655318">
              <w:marLeft w:val="0"/>
              <w:marRight w:val="0"/>
              <w:marTop w:val="0"/>
              <w:marBottom w:val="0"/>
              <w:divBdr>
                <w:top w:val="none" w:sz="0" w:space="0" w:color="auto"/>
                <w:left w:val="none" w:sz="0" w:space="0" w:color="auto"/>
                <w:bottom w:val="none" w:sz="0" w:space="0" w:color="auto"/>
                <w:right w:val="none" w:sz="0" w:space="0" w:color="auto"/>
              </w:divBdr>
              <w:divsChild>
                <w:div w:id="1387800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547496">
      <w:bodyDiv w:val="1"/>
      <w:marLeft w:val="0"/>
      <w:marRight w:val="0"/>
      <w:marTop w:val="0"/>
      <w:marBottom w:val="0"/>
      <w:divBdr>
        <w:top w:val="none" w:sz="0" w:space="0" w:color="auto"/>
        <w:left w:val="none" w:sz="0" w:space="0" w:color="auto"/>
        <w:bottom w:val="none" w:sz="0" w:space="0" w:color="auto"/>
        <w:right w:val="none" w:sz="0" w:space="0" w:color="auto"/>
      </w:divBdr>
    </w:div>
    <w:div w:id="1179613062">
      <w:bodyDiv w:val="1"/>
      <w:marLeft w:val="0"/>
      <w:marRight w:val="0"/>
      <w:marTop w:val="0"/>
      <w:marBottom w:val="0"/>
      <w:divBdr>
        <w:top w:val="none" w:sz="0" w:space="0" w:color="auto"/>
        <w:left w:val="none" w:sz="0" w:space="0" w:color="auto"/>
        <w:bottom w:val="none" w:sz="0" w:space="0" w:color="auto"/>
        <w:right w:val="none" w:sz="0" w:space="0" w:color="auto"/>
      </w:divBdr>
      <w:divsChild>
        <w:div w:id="1527136626">
          <w:marLeft w:val="0"/>
          <w:marRight w:val="0"/>
          <w:marTop w:val="0"/>
          <w:marBottom w:val="0"/>
          <w:divBdr>
            <w:top w:val="none" w:sz="0" w:space="0" w:color="auto"/>
            <w:left w:val="none" w:sz="0" w:space="0" w:color="auto"/>
            <w:bottom w:val="none" w:sz="0" w:space="0" w:color="auto"/>
            <w:right w:val="none" w:sz="0" w:space="0" w:color="auto"/>
          </w:divBdr>
          <w:divsChild>
            <w:div w:id="1206873415">
              <w:marLeft w:val="0"/>
              <w:marRight w:val="0"/>
              <w:marTop w:val="0"/>
              <w:marBottom w:val="0"/>
              <w:divBdr>
                <w:top w:val="none" w:sz="0" w:space="0" w:color="auto"/>
                <w:left w:val="none" w:sz="0" w:space="0" w:color="auto"/>
                <w:bottom w:val="none" w:sz="0" w:space="0" w:color="auto"/>
                <w:right w:val="none" w:sz="0" w:space="0" w:color="auto"/>
              </w:divBdr>
              <w:divsChild>
                <w:div w:id="15214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419909">
      <w:bodyDiv w:val="1"/>
      <w:marLeft w:val="0"/>
      <w:marRight w:val="0"/>
      <w:marTop w:val="0"/>
      <w:marBottom w:val="0"/>
      <w:divBdr>
        <w:top w:val="none" w:sz="0" w:space="0" w:color="auto"/>
        <w:left w:val="none" w:sz="0" w:space="0" w:color="auto"/>
        <w:bottom w:val="none" w:sz="0" w:space="0" w:color="auto"/>
        <w:right w:val="none" w:sz="0" w:space="0" w:color="auto"/>
      </w:divBdr>
    </w:div>
    <w:div w:id="1825312915">
      <w:bodyDiv w:val="1"/>
      <w:marLeft w:val="0"/>
      <w:marRight w:val="0"/>
      <w:marTop w:val="0"/>
      <w:marBottom w:val="0"/>
      <w:divBdr>
        <w:top w:val="none" w:sz="0" w:space="0" w:color="auto"/>
        <w:left w:val="none" w:sz="0" w:space="0" w:color="auto"/>
        <w:bottom w:val="none" w:sz="0" w:space="0" w:color="auto"/>
        <w:right w:val="none" w:sz="0" w:space="0" w:color="auto"/>
      </w:divBdr>
    </w:div>
    <w:div w:id="1861695208">
      <w:bodyDiv w:val="1"/>
      <w:marLeft w:val="0"/>
      <w:marRight w:val="0"/>
      <w:marTop w:val="0"/>
      <w:marBottom w:val="0"/>
      <w:divBdr>
        <w:top w:val="none" w:sz="0" w:space="0" w:color="auto"/>
        <w:left w:val="none" w:sz="0" w:space="0" w:color="auto"/>
        <w:bottom w:val="none" w:sz="0" w:space="0" w:color="auto"/>
        <w:right w:val="none" w:sz="0" w:space="0" w:color="auto"/>
      </w:divBdr>
    </w:div>
    <w:div w:id="1956909193">
      <w:bodyDiv w:val="1"/>
      <w:marLeft w:val="0"/>
      <w:marRight w:val="0"/>
      <w:marTop w:val="0"/>
      <w:marBottom w:val="0"/>
      <w:divBdr>
        <w:top w:val="none" w:sz="0" w:space="0" w:color="auto"/>
        <w:left w:val="none" w:sz="0" w:space="0" w:color="auto"/>
        <w:bottom w:val="none" w:sz="0" w:space="0" w:color="auto"/>
        <w:right w:val="none" w:sz="0" w:space="0" w:color="auto"/>
      </w:divBdr>
    </w:div>
    <w:div w:id="1962295181">
      <w:bodyDiv w:val="1"/>
      <w:marLeft w:val="0"/>
      <w:marRight w:val="0"/>
      <w:marTop w:val="0"/>
      <w:marBottom w:val="0"/>
      <w:divBdr>
        <w:top w:val="none" w:sz="0" w:space="0" w:color="auto"/>
        <w:left w:val="none" w:sz="0" w:space="0" w:color="auto"/>
        <w:bottom w:val="none" w:sz="0" w:space="0" w:color="auto"/>
        <w:right w:val="none" w:sz="0" w:space="0" w:color="auto"/>
      </w:divBdr>
    </w:div>
    <w:div w:id="211104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10</Pages>
  <Words>3632</Words>
  <Characters>20707</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Bradley flay</dc:creator>
  <cp:keywords/>
  <dc:description/>
  <cp:lastModifiedBy>Ashley Jones (2109767)</cp:lastModifiedBy>
  <cp:revision>5</cp:revision>
  <dcterms:created xsi:type="dcterms:W3CDTF">2023-05-12T12:18:00Z</dcterms:created>
  <dcterms:modified xsi:type="dcterms:W3CDTF">2023-05-12T14:22:00Z</dcterms:modified>
</cp:coreProperties>
</file>