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A16CC5" w14:textId="64592820" w:rsidR="00F27243" w:rsidRPr="00BB32E3" w:rsidRDefault="00FC3416" w:rsidP="00BB32E3">
      <w:pPr>
        <w:pStyle w:val="Title"/>
        <w:spacing w:line="360" w:lineRule="auto"/>
        <w:rPr>
          <w:sz w:val="36"/>
          <w:szCs w:val="44"/>
        </w:rPr>
      </w:pPr>
      <w:bookmarkStart w:id="0" w:name="_GoBack"/>
      <w:bookmarkEnd w:id="0"/>
      <w:r w:rsidRPr="00BB32E3">
        <w:rPr>
          <w:b/>
          <w:bCs/>
          <w:sz w:val="36"/>
          <w:szCs w:val="44"/>
        </w:rPr>
        <w:t>Programme:</w:t>
      </w:r>
      <w:r w:rsidRPr="00BB32E3">
        <w:rPr>
          <w:sz w:val="36"/>
          <w:szCs w:val="44"/>
        </w:rPr>
        <w:t xml:space="preserve"> BA in Business Management</w:t>
      </w:r>
    </w:p>
    <w:p w14:paraId="05964880" w14:textId="472B1D66" w:rsidR="00FC3416" w:rsidRPr="00BB32E3" w:rsidRDefault="00FC3416" w:rsidP="00BB32E3">
      <w:pPr>
        <w:pStyle w:val="Title"/>
        <w:spacing w:line="360" w:lineRule="auto"/>
        <w:rPr>
          <w:sz w:val="36"/>
          <w:szCs w:val="44"/>
        </w:rPr>
      </w:pPr>
      <w:r w:rsidRPr="00BB32E3">
        <w:rPr>
          <w:b/>
          <w:bCs/>
          <w:sz w:val="36"/>
          <w:szCs w:val="44"/>
        </w:rPr>
        <w:t>Module:</w:t>
      </w:r>
      <w:r w:rsidRPr="00BB32E3">
        <w:rPr>
          <w:sz w:val="36"/>
          <w:szCs w:val="44"/>
        </w:rPr>
        <w:t xml:space="preserve"> Project Management</w:t>
      </w:r>
    </w:p>
    <w:p w14:paraId="7A545ABF" w14:textId="6A9F5FD2" w:rsidR="00FC3416" w:rsidRDefault="00FC3416" w:rsidP="00BB32E3">
      <w:pPr>
        <w:pStyle w:val="Title"/>
        <w:spacing w:line="360" w:lineRule="auto"/>
        <w:rPr>
          <w:sz w:val="36"/>
          <w:szCs w:val="44"/>
        </w:rPr>
      </w:pPr>
      <w:r w:rsidRPr="00BB32E3">
        <w:rPr>
          <w:b/>
          <w:bCs/>
          <w:sz w:val="36"/>
          <w:szCs w:val="44"/>
        </w:rPr>
        <w:t>Module code</w:t>
      </w:r>
      <w:r w:rsidRPr="00BB32E3">
        <w:rPr>
          <w:sz w:val="36"/>
          <w:szCs w:val="44"/>
        </w:rPr>
        <w:t>: LCBB5005</w:t>
      </w:r>
    </w:p>
    <w:p w14:paraId="7E3BD0D9" w14:textId="77777777" w:rsidR="00BB32E3" w:rsidRPr="00BB32E3" w:rsidRDefault="00BB32E3" w:rsidP="00BB32E3"/>
    <w:p w14:paraId="0E498B22" w14:textId="6DDE94BC" w:rsidR="00FC3416" w:rsidRPr="00BB32E3" w:rsidRDefault="00FC3416" w:rsidP="00BB32E3">
      <w:pPr>
        <w:pStyle w:val="Title"/>
        <w:spacing w:line="360" w:lineRule="auto"/>
        <w:rPr>
          <w:b/>
          <w:bCs/>
          <w:sz w:val="28"/>
          <w:szCs w:val="28"/>
        </w:rPr>
      </w:pPr>
      <w:r w:rsidRPr="00BB32E3">
        <w:rPr>
          <w:b/>
          <w:bCs/>
          <w:sz w:val="28"/>
          <w:szCs w:val="28"/>
        </w:rPr>
        <w:t>Assignment Title:</w:t>
      </w:r>
      <w:r w:rsidR="006E7FFA" w:rsidRPr="00BB32E3">
        <w:rPr>
          <w:b/>
          <w:bCs/>
          <w:sz w:val="28"/>
          <w:szCs w:val="28"/>
        </w:rPr>
        <w:t xml:space="preserve"> </w:t>
      </w:r>
      <w:r w:rsidRPr="00BB32E3">
        <w:rPr>
          <w:sz w:val="28"/>
          <w:szCs w:val="28"/>
        </w:rPr>
        <w:t>Coursework: Essay (Project Plan)</w:t>
      </w:r>
    </w:p>
    <w:p w14:paraId="7B7414B6" w14:textId="77777777" w:rsidR="00F27243" w:rsidRDefault="00F27243" w:rsidP="00080526">
      <w:pPr>
        <w:pStyle w:val="Title"/>
        <w:spacing w:line="360" w:lineRule="auto"/>
      </w:pPr>
    </w:p>
    <w:p w14:paraId="00BE4C31" w14:textId="77777777" w:rsidR="00F27243" w:rsidRDefault="00F27243" w:rsidP="00080526">
      <w:pPr>
        <w:pStyle w:val="Title"/>
        <w:spacing w:line="360" w:lineRule="auto"/>
      </w:pPr>
    </w:p>
    <w:p w14:paraId="31D2089D" w14:textId="77777777" w:rsidR="00F27243" w:rsidRDefault="00F27243" w:rsidP="00080526">
      <w:pPr>
        <w:pStyle w:val="Title"/>
        <w:spacing w:line="360" w:lineRule="auto"/>
      </w:pPr>
    </w:p>
    <w:p w14:paraId="03C7775D" w14:textId="77777777" w:rsidR="00F27243" w:rsidRDefault="00F27243" w:rsidP="00080526">
      <w:pPr>
        <w:pStyle w:val="Title"/>
        <w:spacing w:line="360" w:lineRule="auto"/>
      </w:pPr>
    </w:p>
    <w:p w14:paraId="0EA2BB37" w14:textId="4562BA4A" w:rsidR="00F27243" w:rsidRPr="00F27243" w:rsidRDefault="00F27243" w:rsidP="00080526">
      <w:pPr>
        <w:spacing w:before="0" w:after="160" w:line="360" w:lineRule="auto"/>
        <w:jc w:val="left"/>
        <w:rPr>
          <w:rFonts w:eastAsiaTheme="majorEastAsia" w:cstheme="majorBidi"/>
          <w:spacing w:val="-10"/>
          <w:kern w:val="28"/>
          <w:sz w:val="72"/>
          <w:szCs w:val="71"/>
        </w:rPr>
      </w:pPr>
      <w:r>
        <w:br w:type="page"/>
      </w:r>
    </w:p>
    <w:p w14:paraId="4565721F" w14:textId="1B076DEA" w:rsidR="009E3549" w:rsidRDefault="009E3549" w:rsidP="00080526">
      <w:pPr>
        <w:pStyle w:val="Heading1"/>
        <w:spacing w:line="360" w:lineRule="auto"/>
        <w:jc w:val="left"/>
      </w:pPr>
      <w:r>
        <w:lastRenderedPageBreak/>
        <w:t>Introduction</w:t>
      </w:r>
    </w:p>
    <w:p w14:paraId="5DF51A87" w14:textId="1AFB1138" w:rsidR="009E3549" w:rsidRDefault="009E3549" w:rsidP="00080526">
      <w:pPr>
        <w:spacing w:line="360" w:lineRule="auto"/>
        <w:rPr>
          <w:rFonts w:eastAsiaTheme="majorEastAsia"/>
        </w:rPr>
      </w:pPr>
      <w:r w:rsidRPr="009E3549">
        <w:t>The Hinkley Point C nuclear power plant, located in Somerset, United Kingdom, aims to contribute significantly to the UK's future of low carbon energy. The ambitious objective of the project is to provide around 6 million homes with low carbon electricity, generate several thousand jobs and foster long term economic benefits for the United Kingdom.</w:t>
      </w:r>
      <w:r>
        <w:t xml:space="preserve"> </w:t>
      </w:r>
      <w:r w:rsidR="00EF1CBB" w:rsidRPr="00EF1CBB">
        <w:t>The plant is expected to offset a staggering 9 million tons of carbon dioxide emissions each year or 600 million tonnes over its remaining 60 years using two State</w:t>
      </w:r>
      <w:r w:rsidR="00EF1CBB">
        <w:t xml:space="preserve"> </w:t>
      </w:r>
      <w:r w:rsidR="00EF1CBB" w:rsidRPr="00EF1CBB">
        <w:t>of</w:t>
      </w:r>
      <w:r w:rsidR="00EF1CBB">
        <w:t xml:space="preserve"> </w:t>
      </w:r>
      <w:r w:rsidR="00EF1CBB" w:rsidRPr="00EF1CBB">
        <w:t>the</w:t>
      </w:r>
      <w:r w:rsidR="00EF1CBB">
        <w:t xml:space="preserve"> </w:t>
      </w:r>
      <w:r w:rsidR="00EF1CBB" w:rsidRPr="00EF1CBB">
        <w:t>Art EPR reactors</w:t>
      </w:r>
      <w:r w:rsidR="00AD6208">
        <w:t xml:space="preserve"> </w:t>
      </w:r>
      <w:r w:rsidR="007D5643">
        <w:t>(Jones, 2017)</w:t>
      </w:r>
      <w:r w:rsidR="00EF1CBB" w:rsidRPr="00EF1CBB">
        <w:t>. Managing the budget, timing and quality of this project remains a major challenge in terms of effective engagement with stakeholders and risk mitigation as it progresses.</w:t>
      </w:r>
      <w:r w:rsidR="00EF1CBB">
        <w:t xml:space="preserve"> </w:t>
      </w:r>
      <w:r w:rsidR="00EF1CBB" w:rsidRPr="00EF1CBB">
        <w:t>We are going to examine the core elements of Hinkley Point C, looking at factors likely to have led to large overruns and delays. In order to have a meaningful view of areas where improvements can be made and recommendations for the achievement of this challenging project, we will carry out a critical review of the first project plan as well as examine what has happened</w:t>
      </w:r>
      <w:r w:rsidR="00AD6208">
        <w:t xml:space="preserve"> </w:t>
      </w:r>
      <w:r w:rsidR="007D5643">
        <w:t>(Jones, 2017)</w:t>
      </w:r>
      <w:r w:rsidR="00EF1CBB" w:rsidRPr="00EF1CBB">
        <w:t>.</w:t>
      </w:r>
      <w:r w:rsidR="00EF1CBB">
        <w:t xml:space="preserve"> </w:t>
      </w:r>
      <w:r w:rsidR="00EF1CBB" w:rsidRPr="00EF1CBB">
        <w:t>Nevertheless, Hinkley Point C is still the UK's flagship project that demonstrates its commitment to green energy solutions and carbon reduction. In order to ensure that Hinkley Point C achieves its ambitious objectives, paves the way for a clean, greener and more sustainable energy future in the UK and beyond, continuous innovation, strong project governance and constant focus on stakeholder involvement will be required as the project progresses.</w:t>
      </w:r>
      <w:r>
        <w:br w:type="page"/>
      </w:r>
    </w:p>
    <w:p w14:paraId="46434B67" w14:textId="01E58A3E" w:rsidR="00204C6F" w:rsidRDefault="0092053B" w:rsidP="00080526">
      <w:pPr>
        <w:pStyle w:val="Heading1"/>
        <w:spacing w:line="360" w:lineRule="auto"/>
      </w:pPr>
      <w:r>
        <w:lastRenderedPageBreak/>
        <w:t>Project management methodology for Hinkley Point C</w:t>
      </w:r>
    </w:p>
    <w:p w14:paraId="579FDD07" w14:textId="6C71D2DF" w:rsidR="00BB32E3" w:rsidRDefault="00BB32E3" w:rsidP="00BB32E3">
      <w:pPr>
        <w:spacing w:line="360" w:lineRule="auto"/>
      </w:pPr>
      <w:r w:rsidRPr="00BB32E3">
        <w:rPr>
          <w:b/>
          <w:bCs/>
        </w:rPr>
        <w:t>Project Initiation and Planning:</w:t>
      </w:r>
      <w:r>
        <w:t xml:space="preserve"> A thorough project management method starts with a thorough feasibility assessment examining the project's viability and potential hazards in order to ensure the effective execution of the Hinkley Point C Project. Defining the project's goals, parameters, and success standards comes next (Jones, 2017). Through a thorough stakeholder analysis, it is essential to comprehend the interests and concerns of stakeholders. The project schedule is created using tools like Gantt charts and the Critical Path Method (CPM), and it includes a thorough Work Breakdown Structure (WBS). Within the project governance structure, distinct roles, duties, and decision-making authority are formed.</w:t>
      </w:r>
    </w:p>
    <w:p w14:paraId="391884D0" w14:textId="65B3B882" w:rsidR="00BB32E3" w:rsidRDefault="00BB32E3" w:rsidP="00BB32E3">
      <w:pPr>
        <w:spacing w:line="360" w:lineRule="auto"/>
      </w:pPr>
      <w:r w:rsidRPr="00BB32E3">
        <w:rPr>
          <w:b/>
          <w:bCs/>
        </w:rPr>
        <w:t>Risk and quality management:</w:t>
      </w:r>
      <w:r>
        <w:t xml:space="preserve"> To discover potential risks and opportunities, a thorough risk assessment is the first step in risk management. Next, a risk management plan is developed to help reduce the identified risks. Throughout the course of a project's lifecycle, risk must be continuously monitored and addressed. Setting up quality standards and criteria is a part of quality management. Regular quality audits are conducted in addition to the quality control procedures and inspections that are carried out during the building and commissioning phases (Jones, 2017).</w:t>
      </w:r>
    </w:p>
    <w:p w14:paraId="6A0AB2ED" w14:textId="3ABA4B0A" w:rsidR="00BB32E3" w:rsidRDefault="00BB32E3" w:rsidP="00BB32E3">
      <w:pPr>
        <w:spacing w:line="360" w:lineRule="auto"/>
      </w:pPr>
      <w:r w:rsidRPr="00BB32E3">
        <w:rPr>
          <w:b/>
          <w:bCs/>
        </w:rPr>
        <w:t>Procurement, Contract, and Resource Management:</w:t>
      </w:r>
      <w:r>
        <w:t xml:space="preserve"> Choosing reputable suppliers and contractors requires careful consideration of the procurement strategy. Contracts with specific deadlines, deliverables, and performance metrics are drafted (Jones, 2017). Contract amendments are successfully managed while contractor performance is continuously tracked. The best possible utilization of labor, supplies, and equipment is guaranteed by efficient resource management, which also includes regular monitoring to avoid delays or overruns.</w:t>
      </w:r>
    </w:p>
    <w:p w14:paraId="4A9E2B64" w14:textId="0726B453" w:rsidR="00BB32E3" w:rsidRDefault="00BB32E3" w:rsidP="00BB32E3">
      <w:pPr>
        <w:spacing w:line="360" w:lineRule="auto"/>
      </w:pPr>
      <w:r w:rsidRPr="00BB32E3">
        <w:rPr>
          <w:b/>
          <w:bCs/>
        </w:rPr>
        <w:t>Environment, health, and change management:</w:t>
      </w:r>
      <w:r>
        <w:t xml:space="preserve"> Strict HSE regulations protect employees and the general public, and HSE performance is continuously monitored. The project's ecological impact is minimized by following environmental regulations and putting eco-friendly practices into practice. To handle any changes to the project's scope, design, or regulatory requirements, a change control procedure is established. Each change is carefully reviewed, approved, and documented.</w:t>
      </w:r>
    </w:p>
    <w:p w14:paraId="394F17B6" w14:textId="291C500B" w:rsidR="00EE5398" w:rsidRDefault="00BB32E3" w:rsidP="00BB32E3">
      <w:pPr>
        <w:spacing w:line="360" w:lineRule="auto"/>
      </w:pPr>
      <w:r w:rsidRPr="00BB32E3">
        <w:rPr>
          <w:b/>
          <w:bCs/>
        </w:rPr>
        <w:lastRenderedPageBreak/>
        <w:t>Contact, Monitoring, Control, and Continuous Improvement</w:t>
      </w:r>
      <w:r>
        <w:t>: Open and transparent contact with stakeholders is upheld, supported by a strong communication plan for frequent project updates (Jones, 2017). This includes government agencies as well as local communities. Stakeholders are kept up to date on the project's status through the use of performance indicators, Earned Value Management (EVM), and an efficient reporting system. Regular evaluations help to capture lessons learnt, and these implementations are used to maintain projects' effectiveness and efficiency.</w:t>
      </w:r>
    </w:p>
    <w:p w14:paraId="500AB9EE" w14:textId="3704FDB3" w:rsidR="00080C99" w:rsidRDefault="00080C99" w:rsidP="00080526">
      <w:pPr>
        <w:pStyle w:val="Heading1"/>
        <w:spacing w:line="360" w:lineRule="auto"/>
      </w:pPr>
      <w:r w:rsidRPr="00080C99">
        <w:t>Potential reasons for the budget overruns and delays</w:t>
      </w:r>
    </w:p>
    <w:p w14:paraId="7C19175B" w14:textId="26D48412" w:rsidR="00843D9C" w:rsidRPr="00843D9C" w:rsidRDefault="00843D9C" w:rsidP="00080526">
      <w:pPr>
        <w:spacing w:line="360" w:lineRule="auto"/>
      </w:pPr>
      <w:r w:rsidRPr="00843D9C">
        <w:t>Hinkley Point C had been envisaged as an important project with many possible benefits to the UK, for example production of lower carbon energy, creation of employment and economic support. Nevertheless, significant budgetary overruns and delays have been encountered in the project. Possible reasons for budget overruns or delays could be as follows:</w:t>
      </w:r>
    </w:p>
    <w:p w14:paraId="61E18122" w14:textId="76CE648B" w:rsidR="002617BA" w:rsidRDefault="002617BA" w:rsidP="00080526">
      <w:pPr>
        <w:spacing w:line="360" w:lineRule="auto"/>
      </w:pPr>
      <w:r w:rsidRPr="00070A14">
        <w:rPr>
          <w:b/>
          <w:bCs/>
        </w:rPr>
        <w:t>Complex Engineering-</w:t>
      </w:r>
      <w:r>
        <w:t xml:space="preserve"> </w:t>
      </w:r>
      <w:r w:rsidR="00070A14" w:rsidRPr="00070A14">
        <w:t>Cutting edge technologies and complex systems are involved in complicated engineering projects. As the engineers and project teams work on finding solutions, unexpected technological difficulties can arise in design, construction or commissioning phases which lead to delays and increased costs</w:t>
      </w:r>
      <w:r w:rsidR="005D6A78">
        <w:t xml:space="preserve"> (Holmes, 2008)</w:t>
      </w:r>
      <w:r w:rsidR="00070A14" w:rsidRPr="00070A14">
        <w:t>. It may be necessary to change and modify the design of complex projects in order to improve their performance, comply with safety standards or address regulatory requirements.</w:t>
      </w:r>
      <w:r w:rsidR="00070A14">
        <w:t xml:space="preserve"> </w:t>
      </w:r>
      <w:r w:rsidR="00070A14" w:rsidRPr="00070A14">
        <w:t>A large number of contractors and suppliers are often relied upon for complex engineering projects</w:t>
      </w:r>
      <w:r w:rsidR="00AD6208">
        <w:t xml:space="preserve"> (Hutchinson, 2013).</w:t>
      </w:r>
      <w:r w:rsidR="00070A14" w:rsidRPr="00070A14">
        <w:t xml:space="preserve"> Delays and higher costs may arise due to any disruption of supply chains, e.g. delays in the delivery of essential goods or lack of specialised equipment. It is necessary to ensure a seamless coordination among different teams and disciplines when integrating various components and subsystems into complex engineering projects. Delays and additional expenditure may arise from any miscommunication or irregularity in this process.</w:t>
      </w:r>
      <w:r w:rsidR="00070A14">
        <w:t xml:space="preserve"> </w:t>
      </w:r>
      <w:r w:rsidR="00070A14" w:rsidRPr="00070A14">
        <w:t>There is an urgent need for a skilled and qualified staff to carry out complicated engineering projects</w:t>
      </w:r>
      <w:r w:rsidR="00AD6208">
        <w:t xml:space="preserve"> </w:t>
      </w:r>
      <w:r w:rsidR="003D092F">
        <w:t>(Ni Shou-dong et al., 2010)</w:t>
      </w:r>
      <w:r w:rsidR="00070A14" w:rsidRPr="00070A14">
        <w:t>. It may be difficult to recruit and retain skilled staff, or the development can be slowed down by any shortage or turnover. Strict regulatory requirements apply to large scale engineering projects. It may be a time consuming problem to ensure consistency with different safety, environmental and building standards that can demand more resources.</w:t>
      </w:r>
      <w:r w:rsidR="00070A14">
        <w:t xml:space="preserve"> </w:t>
      </w:r>
      <w:r w:rsidR="00070A14" w:rsidRPr="00070A14">
        <w:t xml:space="preserve">To guarantee the reliability and safety of sophisticated engineering systems, </w:t>
      </w:r>
      <w:r w:rsidR="00070A14" w:rsidRPr="00070A14">
        <w:lastRenderedPageBreak/>
        <w:t>rigorous tests and verifications are essential. The project's time frame may be extended by multiple testing periods, leading to additional costs. Unprecedented geotechnical and environmental challenges may arise from the location of large infrastructure projects. To address these issues, costly mitigation measures or modifications to the design may be required. Weather conditions, particularly in outdoor works, can have a significant impact on the progress of construction.</w:t>
      </w:r>
    </w:p>
    <w:p w14:paraId="16E5F4DE" w14:textId="2A2AED45" w:rsidR="00070A14" w:rsidRPr="002617BA" w:rsidRDefault="00070A14" w:rsidP="00080526">
      <w:pPr>
        <w:spacing w:line="360" w:lineRule="auto"/>
      </w:pPr>
      <w:r w:rsidRPr="00070A14">
        <w:rPr>
          <w:b/>
          <w:bCs/>
        </w:rPr>
        <w:t>Initial cost underestimation</w:t>
      </w:r>
      <w:r>
        <w:t xml:space="preserve">- </w:t>
      </w:r>
      <w:r w:rsidR="00B949A6" w:rsidRPr="00B949A6">
        <w:t>The scope of work cannot be entirely determined or understood at the outset of a project. As a result, some aspects or requirements of projects may not be taken into account and this will lead to insufficient cost estimates. Historical information on comparable projects may be limited or unintelligible in the case of rare and complicated projects such as nuclear power plants. The accuracy of cost estimates based on past experience is hampered by the lack of relevant data</w:t>
      </w:r>
      <w:r w:rsidR="00AD6208">
        <w:t xml:space="preserve"> </w:t>
      </w:r>
      <w:r w:rsidR="003D092F">
        <w:t>(Ni Shou-dong et al., 2010)</w:t>
      </w:r>
      <w:r w:rsidR="00B949A6" w:rsidRPr="00B949A6">
        <w:t>.</w:t>
      </w:r>
      <w:r w:rsidR="00B949A6">
        <w:t xml:space="preserve"> </w:t>
      </w:r>
      <w:r w:rsidR="00B949A6" w:rsidRPr="00B949A6">
        <w:t>Insufficient research in relation to the current market prices of materials, equipment and labour may lead to underestimation. The cost estimates may be significantly influenced by volatility on the market</w:t>
      </w:r>
      <w:r w:rsidR="00AD6208">
        <w:t xml:space="preserve"> </w:t>
      </w:r>
      <w:r w:rsidR="003D092F">
        <w:t>(Ni Shou-dong et al., 2010)</w:t>
      </w:r>
      <w:r w:rsidR="00B949A6" w:rsidRPr="00B949A6">
        <w:t>. The costs may be underestimated due to an optimistic attitude or overly positive assumptions on the implementation of projects. The time needed for completion of tasks or potential risks may be underestimated by project teams.</w:t>
      </w:r>
      <w:r w:rsidR="00B949A6">
        <w:t xml:space="preserve"> </w:t>
      </w:r>
      <w:r w:rsidR="00B949A6" w:rsidRPr="00B949A6">
        <w:t>It can lead to unforeseen costs during implementation of projects when potential risks are not identified and assessed at the planning stage. Additional costs and delays may be incurred as a result of unforeseen risks</w:t>
      </w:r>
      <w:r w:rsidR="00AD6208">
        <w:t xml:space="preserve"> </w:t>
      </w:r>
      <w:r w:rsidR="003D092F">
        <w:t>(Moylan, 2016)</w:t>
      </w:r>
      <w:r w:rsidR="00B949A6" w:rsidRPr="00B949A6">
        <w:t>. Technological problems that were not foreseen in the project cost estimate may arise for complicated engineering projects such as Hinkley Point C. Further resources and impact on the budget can be needed to address these challenges.</w:t>
      </w:r>
      <w:r w:rsidR="00B949A6">
        <w:t xml:space="preserve"> </w:t>
      </w:r>
      <w:r w:rsidR="00B949A6" w:rsidRPr="00B949A6">
        <w:t>Costly adaptations that have not been considered in the original estimation of costs may be required as a result of changes to legislation or compliance requirements following the project's start</w:t>
      </w:r>
      <w:r w:rsidR="005D6A78">
        <w:t xml:space="preserve"> (Holmes, 2008)</w:t>
      </w:r>
      <w:r w:rsidR="00B949A6" w:rsidRPr="00B949A6">
        <w:t>. Unpredictable costs that are not initially taken into account can arise as a result of disputes or changes in contractual arrangements with suppliers, contractors and interested parties. The price of imported material and equipment may be affected by currency fluctuations, which can lead to cost overruns for International Projects.</w:t>
      </w:r>
    </w:p>
    <w:p w14:paraId="7FD42CE9" w14:textId="525BB0C0" w:rsidR="00EE5398" w:rsidRDefault="00080C99" w:rsidP="00080526">
      <w:pPr>
        <w:spacing w:line="360" w:lineRule="auto"/>
      </w:pPr>
      <w:r w:rsidRPr="00080C99">
        <w:rPr>
          <w:b/>
          <w:bCs/>
        </w:rPr>
        <w:t>Regulatory approval-</w:t>
      </w:r>
      <w:r>
        <w:t xml:space="preserve"> </w:t>
      </w:r>
      <w:r w:rsidRPr="00080C99">
        <w:t>It can take a long, complicated process to obtain the necessary approvals for nuclear power plants. Delays of obtaining authorisation and clearance from different regulatory bodies may result in extended time lines leading to delays on schedules, which can lead to increased project costs</w:t>
      </w:r>
      <w:r w:rsidR="00AD6208">
        <w:t xml:space="preserve"> </w:t>
      </w:r>
      <w:r w:rsidR="003D092F">
        <w:t>(Moylan, 2016)</w:t>
      </w:r>
      <w:r w:rsidRPr="00080C99">
        <w:t xml:space="preserve">. Additional costs such as the carrying out of environmental </w:t>
      </w:r>
      <w:r w:rsidRPr="00080C99">
        <w:lastRenderedPageBreak/>
        <w:t>impact assessments, security studies and compliance audits are often involved in complying with stringent regulatory requirements.</w:t>
      </w:r>
      <w:r>
        <w:t xml:space="preserve"> </w:t>
      </w:r>
      <w:r w:rsidRPr="00080C99">
        <w:t>In the project budget, such costs would not be initially included and could have led to overruns. During the project, amendments or adaptations may be necessary to meet these new standards due to changes in legal requirements</w:t>
      </w:r>
      <w:r w:rsidR="005D6A78">
        <w:t xml:space="preserve"> (Holmes, 2008)</w:t>
      </w:r>
      <w:r w:rsidRPr="00080C99">
        <w:t>. Such changes may lead to additional costs and delays unless adequate plans are in place. Legal challenges and opposition from different stakeholders, such as communities and the environment organisations, are frequently encountered for projects of this size.</w:t>
      </w:r>
    </w:p>
    <w:p w14:paraId="0349105A" w14:textId="0E0497B9" w:rsidR="002617BA" w:rsidRPr="002617BA" w:rsidRDefault="002617BA" w:rsidP="00080526">
      <w:pPr>
        <w:spacing w:line="360" w:lineRule="auto"/>
      </w:pPr>
      <w:r w:rsidRPr="002617BA">
        <w:rPr>
          <w:b/>
          <w:bCs/>
        </w:rPr>
        <w:t>Construction difficulties</w:t>
      </w:r>
      <w:r w:rsidRPr="002617BA">
        <w:t>-</w:t>
      </w:r>
      <w:r>
        <w:t xml:space="preserve"> </w:t>
      </w:r>
      <w:r w:rsidRPr="002617BA">
        <w:t>Cutting edge technology and complex engineering are involved in nuclear power plants. In the course of construction, unexpected technical difficulties can arise which require additional resources and time. There is a significant workforce and an adequate supply of materials and equipment needed for large scale projects such as Hinkley Point C</w:t>
      </w:r>
      <w:r w:rsidR="00AD6208">
        <w:t xml:space="preserve"> </w:t>
      </w:r>
      <w:r w:rsidR="003D092F">
        <w:t>(Marret, 2000)</w:t>
      </w:r>
      <w:r w:rsidRPr="002617BA">
        <w:t>. Delays and rising costs may be caused by a shortage of workers or material shortages.</w:t>
      </w:r>
      <w:r>
        <w:t xml:space="preserve"> </w:t>
      </w:r>
      <w:r w:rsidRPr="002617BA">
        <w:t>Construction activities may be interrupted or project schedules lengthened due to unfavourable weather conditions, e.g. extreme temperatures, thunderstorms and floods. During construction, unexpected difficulties may arise due to the geology and soil conditions of the site. Changes to the construction plan and additional resources may be necessary to mitigate the geotechnical problems</w:t>
      </w:r>
      <w:r w:rsidR="00AD6208">
        <w:t xml:space="preserve"> </w:t>
      </w:r>
      <w:r w:rsidR="003D092F">
        <w:t>(Marret, 2000)</w:t>
      </w:r>
      <w:r w:rsidRPr="002617BA">
        <w:t>. A complex network of contractors and suppliers is relied upon for construction projects.</w:t>
      </w:r>
    </w:p>
    <w:p w14:paraId="1E290024" w14:textId="480C4A58" w:rsidR="00E06912" w:rsidRDefault="00B949A6" w:rsidP="00080526">
      <w:pPr>
        <w:spacing w:before="0" w:after="160" w:line="360" w:lineRule="auto"/>
      </w:pPr>
      <w:r w:rsidRPr="00E06912">
        <w:rPr>
          <w:b/>
          <w:bCs/>
        </w:rPr>
        <w:t>Finance and funding</w:t>
      </w:r>
      <w:r>
        <w:t xml:space="preserve">: </w:t>
      </w:r>
      <w:r w:rsidRPr="00B949A6">
        <w:t>Budget shortfalls may occur at the time of project execution, due to inadequate cost estimates or overestimating available funds. Delays can occur if the actual project costs exceed available financial resources until further funding is secured</w:t>
      </w:r>
      <w:r w:rsidR="005D6A78">
        <w:t xml:space="preserve"> (Holmes, 2008)</w:t>
      </w:r>
      <w:r w:rsidRPr="00B949A6">
        <w:t>. It can be a time-consuming process to secure funding for a project of this size</w:t>
      </w:r>
      <w:r w:rsidR="00AD6208">
        <w:t xml:space="preserve"> </w:t>
      </w:r>
      <w:r w:rsidR="003D092F">
        <w:t>(Holmes, 2008)</w:t>
      </w:r>
      <w:r w:rsidRPr="00B949A6">
        <w:t>. Projects can be slowed down due to delays in obtaining funding commitments from investors or financing institutions.</w:t>
      </w:r>
      <w:r>
        <w:t xml:space="preserve"> </w:t>
      </w:r>
      <w:r w:rsidR="00E06912" w:rsidRPr="00E06912">
        <w:t xml:space="preserve">The volatility of the financial markets and interest rates may have an impact on borrowing costs or investment returns, which can affect project viability and ability to obtain funding. A fluctuation in exchange rates may result in cost variations affecting the budget when a project is covered by international financing or procurement. </w:t>
      </w:r>
    </w:p>
    <w:p w14:paraId="3D3DBD89" w14:textId="08B8728E" w:rsidR="00E06912" w:rsidRDefault="00E06912" w:rsidP="00080526">
      <w:pPr>
        <w:spacing w:before="0" w:after="160" w:line="360" w:lineRule="auto"/>
      </w:pPr>
      <w:r w:rsidRPr="00E06912">
        <w:rPr>
          <w:b/>
          <w:bCs/>
        </w:rPr>
        <w:t>Geopolitical Factor</w:t>
      </w:r>
      <w:r>
        <w:t xml:space="preserve">: </w:t>
      </w:r>
      <w:r w:rsidRPr="00E06912">
        <w:t>The timetable of the projects may be interrupted by geographical uncertainties or changes in government policies, which can result in regulatory barriers that delay permits and approvals</w:t>
      </w:r>
      <w:r w:rsidR="00C25729">
        <w:t xml:space="preserve"> (Holmes, 2008)</w:t>
      </w:r>
      <w:r w:rsidRPr="00E06912">
        <w:t xml:space="preserve">. International cooperation and investment is part of the </w:t>
      </w:r>
      <w:r w:rsidRPr="00E06912">
        <w:lastRenderedPageBreak/>
        <w:t>Hinkley Point C project. Financing commitments as well as implementation of projects may be affected by geopolitical tensions between the countries concerned</w:t>
      </w:r>
      <w:r w:rsidR="00AD6208">
        <w:t xml:space="preserve"> (Callaghan, 2017)</w:t>
      </w:r>
      <w:r w:rsidRPr="00E06912">
        <w:t>. Imports of materials and equipment may be negatively affected by disputes or changes in bilateral trade agreements, which are likely to result in procurement delays and higher costs. The availability or cost of critical resources, as well as the costs and schedules for projects may be affected by international sanctions or embargoes.</w:t>
      </w:r>
    </w:p>
    <w:p w14:paraId="261D5E5F" w14:textId="3E37833F" w:rsidR="00843D9C" w:rsidRDefault="00410775" w:rsidP="00080526">
      <w:pPr>
        <w:spacing w:before="0" w:after="160" w:line="360" w:lineRule="auto"/>
      </w:pPr>
      <w:r w:rsidRPr="00410775">
        <w:rPr>
          <w:b/>
          <w:bCs/>
        </w:rPr>
        <w:t>Socio-economic factor</w:t>
      </w:r>
      <w:r>
        <w:t xml:space="preserve">: </w:t>
      </w:r>
      <w:r w:rsidRPr="00410775">
        <w:t>Work availability and productivity can be influenced by social economic factors such as labour market conditions or labor dispute, which affect construction schedules and costs</w:t>
      </w:r>
      <w:r w:rsidR="00AD6208">
        <w:t xml:space="preserve"> </w:t>
      </w:r>
      <w:r w:rsidR="003D092F">
        <w:t>(Goldemberg, 2012)</w:t>
      </w:r>
      <w:r w:rsidRPr="00410775">
        <w:t>. Local opposition and public protests from local communities due to social concerns can cause legal battles or regulatory delay which may affect the implementation of projects. Delays and higher costs may arise from insufficient infrastructure and logistic challenges in carrying out transport and construction activities.</w:t>
      </w:r>
    </w:p>
    <w:p w14:paraId="1010997B" w14:textId="62C56049" w:rsidR="001B6851" w:rsidRDefault="00843D9C" w:rsidP="00080526">
      <w:pPr>
        <w:spacing w:before="0" w:after="160" w:line="360" w:lineRule="auto"/>
      </w:pPr>
      <w:r w:rsidRPr="00843D9C">
        <w:t>Project managers and interested parties may have to revise their project plan, identifying the specific problems which lead to these difficulties, in order to solve this current situation as well as avoid additional overruns and delays</w:t>
      </w:r>
      <w:r w:rsidR="00AD6208">
        <w:t xml:space="preserve"> </w:t>
      </w:r>
      <w:r w:rsidR="003D092F">
        <w:t>(Goldemberg, 2012)</w:t>
      </w:r>
      <w:r w:rsidRPr="00843D9C">
        <w:t>. In order to mitigate future risks and ensure the successful completion of Hinkley Point C, it is necessary to undertake a thorough risk evaluation, improve project management practices, enhance communication and collaboration between stakeholders, learning from past mistakes in other large nuclear projects.</w:t>
      </w:r>
    </w:p>
    <w:p w14:paraId="1816DE57" w14:textId="376AD903" w:rsidR="001B6851" w:rsidRDefault="00DD796E" w:rsidP="00080526">
      <w:pPr>
        <w:pStyle w:val="Heading1"/>
        <w:spacing w:line="360" w:lineRule="auto"/>
      </w:pPr>
      <w:r>
        <w:t>Conclusion</w:t>
      </w:r>
    </w:p>
    <w:p w14:paraId="4D665522" w14:textId="064DF915" w:rsidR="009E3549" w:rsidRDefault="00EE5398" w:rsidP="00080526">
      <w:pPr>
        <w:spacing w:line="360" w:lineRule="auto"/>
      </w:pPr>
      <w:r w:rsidRPr="00EE5398">
        <w:t>The Hinkley Point C project, which has the potential to change the energy landscape of the UK and play an essential role in fighting climate change worldwide, is a transformational project. The objective of providing low carbon electricity to millions of homes and making significant reductions in greenhouse gas emissions remains intact despite budgetary overruns and delays.</w:t>
      </w:r>
      <w:r>
        <w:t xml:space="preserve"> </w:t>
      </w:r>
      <w:r w:rsidRPr="00EE5398">
        <w:t>The United Kingdom is committed to a sustainable, secure future of energy and has been determined to revive the UK's nuclear power industry while taking advantage of advances in nuclear technology. It is important, however, for stakeholders to learn from the challenges they faced in implementing a project and focus on addressing these factors that have contributed to cost overruns and delays</w:t>
      </w:r>
      <w:r w:rsidR="003D092F">
        <w:t xml:space="preserve"> (Carpenter, 2016)</w:t>
      </w:r>
      <w:r w:rsidRPr="00EE5398">
        <w:t>.</w:t>
      </w:r>
      <w:r>
        <w:t xml:space="preserve"> </w:t>
      </w:r>
      <w:r w:rsidRPr="00EE5398">
        <w:t xml:space="preserve">In order to realise the potential of Hinkley Point C, and become a model for other major high profile infrastructure projects, an active risk management approach, </w:t>
      </w:r>
      <w:r w:rsidRPr="00EE5398">
        <w:lastRenderedPageBreak/>
        <w:t>efficient stakeholder engagement as well as constant project supervision and monitoring will be essential</w:t>
      </w:r>
      <w:r w:rsidR="003D092F">
        <w:t xml:space="preserve"> (Clark, 2023)</w:t>
      </w:r>
      <w:r w:rsidRPr="00EE5398">
        <w:t>.</w:t>
      </w:r>
      <w:r>
        <w:t xml:space="preserve"> </w:t>
      </w:r>
      <w:r w:rsidRPr="00EE5398">
        <w:t>Hinkley Point C can overcome its obstacles and become a beacon of success, paving the way for a cleaner, greener, and more resilient energy sector for generations to come, by using valuable lessons from past experience and best project management practices.</w:t>
      </w:r>
      <w:r>
        <w:t xml:space="preserve"> </w:t>
      </w:r>
      <w:r w:rsidRPr="00EE5398">
        <w:t xml:space="preserve">Several main recommendations are presented to maximise the performance of Hinkley Point C and secure its </w:t>
      </w:r>
      <w:r w:rsidR="003D092F" w:rsidRPr="00EE5398">
        <w:t>long-term</w:t>
      </w:r>
      <w:r w:rsidRPr="00EE5398">
        <w:t xml:space="preserve"> impact. Firstly, identifying and mitigating any potential problems that may have an impact on costs and schedules must be the first priority of implementing a comprehensive strategy for risk management from project inception.</w:t>
      </w:r>
      <w:r>
        <w:t xml:space="preserve"> </w:t>
      </w:r>
      <w:r w:rsidRPr="00EE5398">
        <w:t>In order to promote support, address concerns and preserve transparency throughout the project's life cycle, an emphasis should be placed on engagement with key stakeholders, including local communities, government bodies and international partners</w:t>
      </w:r>
      <w:r w:rsidR="00AD6208">
        <w:t xml:space="preserve"> </w:t>
      </w:r>
      <w:r w:rsidR="003D092F">
        <w:t>(Clark, 2023)</w:t>
      </w:r>
      <w:r w:rsidRPr="00EE5398">
        <w:t>. The quality of construction and its adherence to deadlines can be ensured by cooperation with experienced and reliable contractors. Monitoring progress and making appropriate decisions as soon as possible should be done regularly through periodic reviews and evaluations in combination with robust reporting mechanisms.</w:t>
      </w:r>
      <w:r>
        <w:t xml:space="preserve"> </w:t>
      </w:r>
    </w:p>
    <w:p w14:paraId="6F50BCE7" w14:textId="2E021474" w:rsidR="00DF2063" w:rsidRDefault="00DF2063" w:rsidP="00080526">
      <w:pPr>
        <w:spacing w:before="0" w:after="160" w:line="360" w:lineRule="auto"/>
      </w:pPr>
      <w:r>
        <w:br w:type="page"/>
      </w:r>
    </w:p>
    <w:p w14:paraId="20D76349" w14:textId="7A9519D1" w:rsidR="00A330AE" w:rsidRDefault="00DF2063" w:rsidP="00080526">
      <w:pPr>
        <w:pStyle w:val="Heading1"/>
        <w:spacing w:line="360" w:lineRule="auto"/>
      </w:pPr>
      <w:r>
        <w:lastRenderedPageBreak/>
        <w:t>References</w:t>
      </w:r>
    </w:p>
    <w:p w14:paraId="449EC81F" w14:textId="7EA436D0" w:rsidR="0099734F" w:rsidRDefault="0099734F" w:rsidP="00080526">
      <w:pPr>
        <w:spacing w:line="360" w:lineRule="auto"/>
        <w:rPr>
          <w:rFonts w:eastAsia="Times New Roman"/>
          <w:lang w:bidi="ar-SA"/>
        </w:rPr>
      </w:pPr>
      <w:r w:rsidRPr="0099734F">
        <w:rPr>
          <w:rFonts w:eastAsia="Times New Roman"/>
          <w:lang w:bidi="ar-SA"/>
        </w:rPr>
        <w:t xml:space="preserve">Carpenter (2016) ‘UK support for Hinkley Point is likely to continue’, </w:t>
      </w:r>
      <w:r w:rsidRPr="0099734F">
        <w:rPr>
          <w:rFonts w:eastAsia="Times New Roman"/>
          <w:i/>
          <w:iCs/>
          <w:lang w:bidi="ar-SA"/>
        </w:rPr>
        <w:t>Emerald Expert Briefings</w:t>
      </w:r>
      <w:r w:rsidRPr="0099734F">
        <w:rPr>
          <w:rFonts w:eastAsia="Times New Roman"/>
          <w:lang w:bidi="ar-SA"/>
        </w:rPr>
        <w:t xml:space="preserve">[Preprint]. doi:10.1108/oxan-db210470. </w:t>
      </w:r>
    </w:p>
    <w:p w14:paraId="2C373F26" w14:textId="5C737C85" w:rsidR="0099734F" w:rsidRDefault="0099734F" w:rsidP="00080526">
      <w:pPr>
        <w:spacing w:line="360" w:lineRule="auto"/>
        <w:rPr>
          <w:rFonts w:eastAsia="Times New Roman"/>
          <w:lang w:bidi="ar-SA"/>
        </w:rPr>
      </w:pPr>
      <w:r w:rsidRPr="0099734F">
        <w:rPr>
          <w:rFonts w:eastAsia="Times New Roman"/>
          <w:lang w:bidi="ar-SA"/>
        </w:rPr>
        <w:t xml:space="preserve">Clark, G. (2023) </w:t>
      </w:r>
      <w:r w:rsidRPr="0099734F">
        <w:rPr>
          <w:rFonts w:eastAsia="Times New Roman"/>
          <w:i/>
          <w:iCs/>
          <w:lang w:bidi="ar-SA"/>
        </w:rPr>
        <w:t>Ambition alone will not build UK Nuclear Power</w:t>
      </w:r>
      <w:r w:rsidRPr="0099734F">
        <w:rPr>
          <w:rFonts w:eastAsia="Times New Roman"/>
          <w:lang w:bidi="ar-SA"/>
        </w:rPr>
        <w:t xml:space="preserve">, </w:t>
      </w:r>
      <w:r w:rsidRPr="0099734F">
        <w:rPr>
          <w:rFonts w:eastAsia="Times New Roman"/>
          <w:i/>
          <w:iCs/>
          <w:lang w:bidi="ar-SA"/>
        </w:rPr>
        <w:t>Subscribe to read | Financial Times</w:t>
      </w:r>
      <w:r w:rsidRPr="0099734F">
        <w:rPr>
          <w:rFonts w:eastAsia="Times New Roman"/>
          <w:lang w:bidi="ar-SA"/>
        </w:rPr>
        <w:t xml:space="preserve">. Available at: https://www.ft.com/content/7499350a-2a4c-430d-a23f-415f3780e0aa (Accessed: 03 August 2023). </w:t>
      </w:r>
    </w:p>
    <w:p w14:paraId="41A9D7B7" w14:textId="019823B7" w:rsidR="00A41AAE" w:rsidRPr="00A41AAE" w:rsidRDefault="00A41AAE" w:rsidP="00080526">
      <w:pPr>
        <w:spacing w:line="360" w:lineRule="auto"/>
        <w:rPr>
          <w:rFonts w:eastAsia="Times New Roman"/>
          <w:lang w:bidi="ar-SA"/>
        </w:rPr>
      </w:pPr>
      <w:r w:rsidRPr="00A41AAE">
        <w:rPr>
          <w:rFonts w:eastAsia="Times New Roman"/>
          <w:lang w:bidi="ar-SA"/>
        </w:rPr>
        <w:t xml:space="preserve">Goldemberg, J. (2012) ‘Nuclear power’, </w:t>
      </w:r>
      <w:r w:rsidRPr="00A41AAE">
        <w:rPr>
          <w:rFonts w:eastAsia="Times New Roman"/>
          <w:i/>
          <w:iCs/>
          <w:lang w:bidi="ar-SA"/>
        </w:rPr>
        <w:t>Energy</w:t>
      </w:r>
      <w:r w:rsidRPr="00A41AAE">
        <w:rPr>
          <w:rFonts w:eastAsia="Times New Roman"/>
          <w:lang w:bidi="ar-SA"/>
        </w:rPr>
        <w:t xml:space="preserve"> [Preprint]. doi:10.1093/wentk/9780199812905.003.0006. </w:t>
      </w:r>
    </w:p>
    <w:p w14:paraId="2BC56824" w14:textId="77777777" w:rsidR="00A41AAE" w:rsidRPr="00A41AAE" w:rsidRDefault="00A41AAE" w:rsidP="00080526">
      <w:pPr>
        <w:spacing w:line="360" w:lineRule="auto"/>
        <w:rPr>
          <w:rFonts w:eastAsia="Times New Roman"/>
          <w:lang w:bidi="ar-SA"/>
        </w:rPr>
      </w:pPr>
      <w:r w:rsidRPr="00A41AAE">
        <w:rPr>
          <w:rFonts w:eastAsia="Times New Roman"/>
          <w:lang w:bidi="ar-SA"/>
        </w:rPr>
        <w:t xml:space="preserve">Holmes, S. (2008) ‘Project X facility description and plan’, </w:t>
      </w:r>
      <w:r w:rsidRPr="00A41AAE">
        <w:rPr>
          <w:rFonts w:eastAsia="Times New Roman"/>
          <w:i/>
          <w:iCs/>
          <w:lang w:bidi="ar-SA"/>
        </w:rPr>
        <w:t>Project X Facility Description and Plan</w:t>
      </w:r>
      <w:r w:rsidRPr="00A41AAE">
        <w:rPr>
          <w:rFonts w:eastAsia="Times New Roman"/>
          <w:lang w:bidi="ar-SA"/>
        </w:rPr>
        <w:t xml:space="preserve"> [Preprint]. doi:10.2172/1967457. </w:t>
      </w:r>
    </w:p>
    <w:p w14:paraId="4F38ECB1" w14:textId="77777777" w:rsidR="00A41AAE" w:rsidRPr="00A41AAE" w:rsidRDefault="00A41AAE" w:rsidP="00080526">
      <w:pPr>
        <w:spacing w:line="360" w:lineRule="auto"/>
        <w:rPr>
          <w:rFonts w:eastAsia="Times New Roman"/>
          <w:lang w:bidi="ar-SA"/>
        </w:rPr>
      </w:pPr>
      <w:r w:rsidRPr="00A41AAE">
        <w:rPr>
          <w:rFonts w:eastAsia="Times New Roman"/>
          <w:lang w:bidi="ar-SA"/>
        </w:rPr>
        <w:t xml:space="preserve">Hutchinson, T. (2013) </w:t>
      </w:r>
      <w:r w:rsidRPr="00A41AAE">
        <w:rPr>
          <w:rFonts w:eastAsia="Times New Roman"/>
          <w:i/>
          <w:iCs/>
          <w:lang w:bidi="ar-SA"/>
        </w:rPr>
        <w:t>Project</w:t>
      </w:r>
      <w:r w:rsidRPr="00A41AAE">
        <w:rPr>
          <w:rFonts w:eastAsia="Times New Roman"/>
          <w:lang w:bidi="ar-SA"/>
        </w:rPr>
        <w:t xml:space="preserve">. Oxford: Oxford University Press. </w:t>
      </w:r>
    </w:p>
    <w:p w14:paraId="55DD244E" w14:textId="77777777" w:rsidR="00A41AAE" w:rsidRDefault="00A41AAE" w:rsidP="00080526">
      <w:pPr>
        <w:spacing w:line="360" w:lineRule="auto"/>
        <w:rPr>
          <w:rFonts w:eastAsia="Times New Roman"/>
          <w:lang w:bidi="ar-SA"/>
        </w:rPr>
      </w:pPr>
      <w:r w:rsidRPr="00A41AAE">
        <w:rPr>
          <w:rFonts w:eastAsia="Times New Roman"/>
          <w:lang w:bidi="ar-SA"/>
        </w:rPr>
        <w:t xml:space="preserve">John, D. and Oliver, I. (2015) ‘4 project risks’, </w:t>
      </w:r>
      <w:r w:rsidRPr="00A41AAE">
        <w:rPr>
          <w:rFonts w:eastAsia="Times New Roman"/>
          <w:i/>
          <w:iCs/>
          <w:lang w:bidi="ar-SA"/>
        </w:rPr>
        <w:t>International Project Finance</w:t>
      </w:r>
      <w:r w:rsidRPr="00A41AAE">
        <w:rPr>
          <w:rFonts w:eastAsia="Times New Roman"/>
          <w:lang w:bidi="ar-SA"/>
        </w:rPr>
        <w:t xml:space="preserve"> [Preprint]. doi:10.1093/law/9780198715559.003.0005. </w:t>
      </w:r>
    </w:p>
    <w:p w14:paraId="2F14966E" w14:textId="11F3A7C8" w:rsidR="007D5643" w:rsidRPr="00A41AAE" w:rsidRDefault="007D5643" w:rsidP="00080526">
      <w:pPr>
        <w:spacing w:line="360" w:lineRule="auto"/>
        <w:rPr>
          <w:rFonts w:eastAsia="Times New Roman"/>
          <w:lang w:bidi="ar-SA"/>
        </w:rPr>
      </w:pPr>
      <w:r w:rsidRPr="007D5643">
        <w:rPr>
          <w:rFonts w:eastAsia="Times New Roman"/>
          <w:lang w:bidi="ar-SA"/>
        </w:rPr>
        <w:t>Jones, L. (2017) ‘Nuclear family [hinkley point C power station construction]’, Engineering &amp; Technology, 12(3), pp. 58–61. doi:10.1049/et.2017.0305.</w:t>
      </w:r>
    </w:p>
    <w:p w14:paraId="1FC6B4A8" w14:textId="77777777" w:rsidR="00A41AAE" w:rsidRDefault="00A41AAE" w:rsidP="00080526">
      <w:pPr>
        <w:spacing w:line="360" w:lineRule="auto"/>
        <w:rPr>
          <w:rFonts w:eastAsia="Times New Roman"/>
          <w:lang w:bidi="ar-SA"/>
        </w:rPr>
      </w:pPr>
      <w:r w:rsidRPr="00A41AAE">
        <w:rPr>
          <w:rFonts w:eastAsia="Times New Roman"/>
          <w:lang w:bidi="ar-SA"/>
        </w:rPr>
        <w:t xml:space="preserve">Marret, J.P. (2000) ‘The megajoule Project Power Conditioning Cea-project’, </w:t>
      </w:r>
      <w:r w:rsidRPr="00A41AAE">
        <w:rPr>
          <w:rFonts w:eastAsia="Times New Roman"/>
          <w:i/>
          <w:iCs/>
          <w:lang w:bidi="ar-SA"/>
        </w:rPr>
        <w:t>IEE Symposium Pulsed Power 2000</w:t>
      </w:r>
      <w:r w:rsidRPr="00A41AAE">
        <w:rPr>
          <w:rFonts w:eastAsia="Times New Roman"/>
          <w:lang w:bidi="ar-SA"/>
        </w:rPr>
        <w:t xml:space="preserve"> [Preprint]. doi:10.1049/ic:20000280. </w:t>
      </w:r>
    </w:p>
    <w:p w14:paraId="5A7CE155" w14:textId="206FAE5E" w:rsidR="0099734F" w:rsidRPr="00A41AAE" w:rsidRDefault="0099734F" w:rsidP="00080526">
      <w:pPr>
        <w:spacing w:line="360" w:lineRule="auto"/>
        <w:rPr>
          <w:rFonts w:eastAsia="Times New Roman"/>
          <w:lang w:bidi="ar-SA"/>
        </w:rPr>
      </w:pPr>
      <w:r w:rsidRPr="0099734F">
        <w:rPr>
          <w:rFonts w:eastAsia="Times New Roman"/>
          <w:lang w:bidi="ar-SA"/>
        </w:rPr>
        <w:t xml:space="preserve">Moylan, J. (2016) </w:t>
      </w:r>
      <w:r w:rsidRPr="0099734F">
        <w:rPr>
          <w:rFonts w:eastAsia="Times New Roman"/>
          <w:i/>
          <w:iCs/>
          <w:lang w:bidi="ar-SA"/>
        </w:rPr>
        <w:t>Hinkley Point: What is it and why is it important?</w:t>
      </w:r>
      <w:r w:rsidRPr="0099734F">
        <w:rPr>
          <w:rFonts w:eastAsia="Times New Roman"/>
          <w:lang w:bidi="ar-SA"/>
        </w:rPr>
        <w:t xml:space="preserve">, </w:t>
      </w:r>
      <w:r w:rsidRPr="0099734F">
        <w:rPr>
          <w:rFonts w:eastAsia="Times New Roman"/>
          <w:i/>
          <w:iCs/>
          <w:lang w:bidi="ar-SA"/>
        </w:rPr>
        <w:t>BBC News</w:t>
      </w:r>
      <w:r w:rsidRPr="0099734F">
        <w:rPr>
          <w:rFonts w:eastAsia="Times New Roman"/>
          <w:lang w:bidi="ar-SA"/>
        </w:rPr>
        <w:t xml:space="preserve">. Available at: https://www.bbc.co.uk/news/business-36897180 (Accessed: 03 August 2023). </w:t>
      </w:r>
    </w:p>
    <w:p w14:paraId="250D4F39" w14:textId="77777777" w:rsidR="00A41AAE" w:rsidRDefault="00A41AAE" w:rsidP="00080526">
      <w:pPr>
        <w:spacing w:line="360" w:lineRule="auto"/>
        <w:rPr>
          <w:rFonts w:eastAsia="Times New Roman"/>
          <w:lang w:bidi="ar-SA"/>
        </w:rPr>
      </w:pPr>
      <w:r w:rsidRPr="00A41AAE">
        <w:rPr>
          <w:rFonts w:eastAsia="Times New Roman"/>
          <w:lang w:bidi="ar-SA"/>
        </w:rPr>
        <w:t xml:space="preserve">Ni Shou-dong, Yuan Zu-qiang and Wang teng (2010) ‘The simulation analysis and research of the Planet Wheel Gear deceleration box used in Neuclear Power Station’, </w:t>
      </w:r>
      <w:r w:rsidRPr="00A41AAE">
        <w:rPr>
          <w:rFonts w:eastAsia="Times New Roman"/>
          <w:i/>
          <w:iCs/>
          <w:lang w:bidi="ar-SA"/>
        </w:rPr>
        <w:t>2010 International Conference on Mechanic Automation and Control Engineering</w:t>
      </w:r>
      <w:r w:rsidRPr="00A41AAE">
        <w:rPr>
          <w:rFonts w:eastAsia="Times New Roman"/>
          <w:lang w:bidi="ar-SA"/>
        </w:rPr>
        <w:t xml:space="preserve"> [Preprint]. doi:10.1109/mace.2010.5536680. </w:t>
      </w:r>
    </w:p>
    <w:p w14:paraId="33FB22F5" w14:textId="342F3074" w:rsidR="003D092F" w:rsidRPr="00A41AAE" w:rsidRDefault="003D092F" w:rsidP="00080526">
      <w:pPr>
        <w:spacing w:line="360" w:lineRule="auto"/>
        <w:rPr>
          <w:rFonts w:eastAsia="Times New Roman"/>
          <w:lang w:bidi="ar-SA"/>
        </w:rPr>
      </w:pPr>
      <w:r w:rsidRPr="003D092F">
        <w:rPr>
          <w:rFonts w:eastAsia="Times New Roman"/>
          <w:lang w:bidi="ar-SA"/>
        </w:rPr>
        <w:t>Williams (2000) ‘FDA clarifies Neuclear Medicine Scanner recall’, Biomedical Safety &amp;; Standards, 29(17), p. 134. doi:10.1097/00149078-199910010-00014.</w:t>
      </w:r>
    </w:p>
    <w:p w14:paraId="7926774E" w14:textId="77777777" w:rsidR="00A41AAE" w:rsidRPr="00A41AAE" w:rsidRDefault="00A41AAE" w:rsidP="00080526">
      <w:pPr>
        <w:spacing w:line="360" w:lineRule="auto"/>
        <w:rPr>
          <w:rFonts w:eastAsia="Times New Roman"/>
          <w:lang w:bidi="ar-SA"/>
        </w:rPr>
      </w:pPr>
      <w:r w:rsidRPr="00A41AAE">
        <w:rPr>
          <w:rFonts w:eastAsia="Times New Roman"/>
          <w:lang w:bidi="ar-SA"/>
        </w:rPr>
        <w:lastRenderedPageBreak/>
        <w:t xml:space="preserve">Yamazaki, M. (1970) ‘The cyclic utilization of Neuclear fuels’, </w:t>
      </w:r>
      <w:r w:rsidRPr="00A41AAE">
        <w:rPr>
          <w:rFonts w:eastAsia="Times New Roman"/>
          <w:i/>
          <w:iCs/>
          <w:lang w:bidi="ar-SA"/>
        </w:rPr>
        <w:t>Journal of the Fuel Society of Japan</w:t>
      </w:r>
      <w:r w:rsidRPr="00A41AAE">
        <w:rPr>
          <w:rFonts w:eastAsia="Times New Roman"/>
          <w:lang w:bidi="ar-SA"/>
        </w:rPr>
        <w:t xml:space="preserve">, 49(8), pp. 592–602. doi:10.3775/jie.49.8_592. </w:t>
      </w:r>
    </w:p>
    <w:p w14:paraId="06871E0E" w14:textId="77777777" w:rsidR="00DF2063" w:rsidRPr="00DF2063" w:rsidRDefault="00DF2063" w:rsidP="003D092F"/>
    <w:sectPr w:rsidR="00DF2063" w:rsidRPr="00DF206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38AC76" w14:textId="77777777" w:rsidR="009A0CF6" w:rsidRDefault="009A0CF6" w:rsidP="00F27243">
      <w:pPr>
        <w:spacing w:before="0" w:after="0" w:line="240" w:lineRule="auto"/>
      </w:pPr>
      <w:r>
        <w:separator/>
      </w:r>
    </w:p>
  </w:endnote>
  <w:endnote w:type="continuationSeparator" w:id="0">
    <w:p w14:paraId="6DC5329D" w14:textId="77777777" w:rsidR="009A0CF6" w:rsidRDefault="009A0CF6" w:rsidP="00F2724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D32D53" w14:textId="77777777" w:rsidR="009A0CF6" w:rsidRDefault="009A0CF6" w:rsidP="00F27243">
      <w:pPr>
        <w:spacing w:before="0" w:after="0" w:line="240" w:lineRule="auto"/>
      </w:pPr>
      <w:r>
        <w:separator/>
      </w:r>
    </w:p>
  </w:footnote>
  <w:footnote w:type="continuationSeparator" w:id="0">
    <w:p w14:paraId="13E5F1EB" w14:textId="77777777" w:rsidR="009A0CF6" w:rsidRDefault="009A0CF6" w:rsidP="00F27243">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1875963"/>
      <w:docPartObj>
        <w:docPartGallery w:val="Page Numbers (Top of Page)"/>
        <w:docPartUnique/>
      </w:docPartObj>
    </w:sdtPr>
    <w:sdtEndPr>
      <w:rPr>
        <w:noProof/>
      </w:rPr>
    </w:sdtEndPr>
    <w:sdtContent>
      <w:p w14:paraId="4DB8F721" w14:textId="662D10A3" w:rsidR="00F27243" w:rsidRDefault="00F27243">
        <w:pPr>
          <w:pStyle w:val="Header"/>
        </w:pPr>
        <w:r>
          <w:fldChar w:fldCharType="begin"/>
        </w:r>
        <w:r>
          <w:instrText xml:space="preserve"> PAGE   \* MERGEFORMAT </w:instrText>
        </w:r>
        <w:r>
          <w:fldChar w:fldCharType="separate"/>
        </w:r>
        <w:r w:rsidR="00E95D76">
          <w:rPr>
            <w:noProof/>
          </w:rPr>
          <w:t>4</w:t>
        </w:r>
        <w:r>
          <w:rPr>
            <w:noProof/>
          </w:rPr>
          <w:fldChar w:fldCharType="end"/>
        </w:r>
      </w:p>
    </w:sdtContent>
  </w:sdt>
  <w:p w14:paraId="69A72D7B" w14:textId="77777777" w:rsidR="00F27243" w:rsidRDefault="00F2724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F00146"/>
    <w:multiLevelType w:val="hybridMultilevel"/>
    <w:tmpl w:val="03C01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AB3C16"/>
    <w:multiLevelType w:val="hybridMultilevel"/>
    <w:tmpl w:val="CB18E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BE6D1C"/>
    <w:multiLevelType w:val="hybridMultilevel"/>
    <w:tmpl w:val="19F66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845789"/>
    <w:multiLevelType w:val="hybridMultilevel"/>
    <w:tmpl w:val="B0E0F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5515B5"/>
    <w:multiLevelType w:val="hybridMultilevel"/>
    <w:tmpl w:val="EEEEA9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750813B4"/>
    <w:multiLevelType w:val="hybridMultilevel"/>
    <w:tmpl w:val="4386F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BE300A"/>
    <w:multiLevelType w:val="hybridMultilevel"/>
    <w:tmpl w:val="746CB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FE4B83"/>
    <w:multiLevelType w:val="hybridMultilevel"/>
    <w:tmpl w:val="66A8DA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 w:numId="4">
    <w:abstractNumId w:val="5"/>
  </w:num>
  <w:num w:numId="5">
    <w:abstractNumId w:val="7"/>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53B"/>
    <w:rsid w:val="00070A14"/>
    <w:rsid w:val="00080526"/>
    <w:rsid w:val="00080C99"/>
    <w:rsid w:val="00183038"/>
    <w:rsid w:val="001B6851"/>
    <w:rsid w:val="00204C6F"/>
    <w:rsid w:val="002617BA"/>
    <w:rsid w:val="003D092F"/>
    <w:rsid w:val="00410775"/>
    <w:rsid w:val="005D6A78"/>
    <w:rsid w:val="00647A96"/>
    <w:rsid w:val="006D04AE"/>
    <w:rsid w:val="006E7FFA"/>
    <w:rsid w:val="0073574B"/>
    <w:rsid w:val="007D5643"/>
    <w:rsid w:val="00843D9C"/>
    <w:rsid w:val="0092053B"/>
    <w:rsid w:val="00920633"/>
    <w:rsid w:val="00945E53"/>
    <w:rsid w:val="0099734F"/>
    <w:rsid w:val="009A0CF6"/>
    <w:rsid w:val="009E3549"/>
    <w:rsid w:val="00A330AE"/>
    <w:rsid w:val="00A41AAE"/>
    <w:rsid w:val="00A85602"/>
    <w:rsid w:val="00AD6208"/>
    <w:rsid w:val="00B949A6"/>
    <w:rsid w:val="00BA2CE6"/>
    <w:rsid w:val="00BB32E3"/>
    <w:rsid w:val="00C25729"/>
    <w:rsid w:val="00C7615E"/>
    <w:rsid w:val="00D1069F"/>
    <w:rsid w:val="00DD796E"/>
    <w:rsid w:val="00DF2063"/>
    <w:rsid w:val="00E06912"/>
    <w:rsid w:val="00E32AB3"/>
    <w:rsid w:val="00E35B85"/>
    <w:rsid w:val="00E36055"/>
    <w:rsid w:val="00E95D76"/>
    <w:rsid w:val="00EE5398"/>
    <w:rsid w:val="00EF1CBB"/>
    <w:rsid w:val="00F27243"/>
    <w:rsid w:val="00F80B7F"/>
    <w:rsid w:val="00FC341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2EAD6"/>
  <w15:chartTrackingRefBased/>
  <w15:docId w15:val="{C87D86B9-B57B-46C4-80FD-5FA4B59A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5602"/>
    <w:pPr>
      <w:spacing w:before="200" w:after="200" w:line="276" w:lineRule="auto"/>
      <w:jc w:val="both"/>
    </w:pPr>
    <w:rPr>
      <w:rFonts w:ascii="Times New Roman" w:eastAsiaTheme="minorEastAsia" w:hAnsi="Times New Roman"/>
      <w:sz w:val="24"/>
      <w:szCs w:val="20"/>
      <w:lang w:bidi="bn-IN"/>
    </w:rPr>
  </w:style>
  <w:style w:type="paragraph" w:styleId="Heading1">
    <w:name w:val="heading 1"/>
    <w:basedOn w:val="Normal"/>
    <w:next w:val="Normal"/>
    <w:link w:val="Heading1Char"/>
    <w:uiPriority w:val="9"/>
    <w:qFormat/>
    <w:rsid w:val="0073574B"/>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73574B"/>
    <w:pPr>
      <w:keepNext/>
      <w:keepLines/>
      <w:spacing w:before="40" w:after="0"/>
      <w:outlineLvl w:val="1"/>
    </w:pPr>
    <w:rPr>
      <w:rFonts w:eastAsiaTheme="majorEastAsia" w:cstheme="majorBidi"/>
      <w:b/>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3574B"/>
    <w:rPr>
      <w:rFonts w:ascii="Times New Roman" w:eastAsiaTheme="majorEastAsia" w:hAnsi="Times New Roman" w:cstheme="majorBidi"/>
      <w:b/>
      <w:color w:val="2F5496" w:themeColor="accent1" w:themeShade="BF"/>
      <w:sz w:val="26"/>
      <w:szCs w:val="33"/>
      <w:lang w:bidi="bn-IN"/>
    </w:rPr>
  </w:style>
  <w:style w:type="character" w:customStyle="1" w:styleId="Heading1Char">
    <w:name w:val="Heading 1 Char"/>
    <w:basedOn w:val="DefaultParagraphFont"/>
    <w:link w:val="Heading1"/>
    <w:uiPriority w:val="9"/>
    <w:rsid w:val="0073574B"/>
    <w:rPr>
      <w:rFonts w:ascii="Times New Roman" w:eastAsiaTheme="majorEastAsia" w:hAnsi="Times New Roman" w:cstheme="majorBidi"/>
      <w:b/>
      <w:color w:val="2F5496" w:themeColor="accent1" w:themeShade="BF"/>
      <w:sz w:val="32"/>
      <w:szCs w:val="40"/>
      <w:lang w:bidi="bn-IN"/>
    </w:rPr>
  </w:style>
  <w:style w:type="paragraph" w:styleId="Title">
    <w:name w:val="Title"/>
    <w:basedOn w:val="Normal"/>
    <w:next w:val="Normal"/>
    <w:link w:val="TitleChar"/>
    <w:uiPriority w:val="10"/>
    <w:qFormat/>
    <w:rsid w:val="00FC3416"/>
    <w:pPr>
      <w:spacing w:before="0" w:after="0" w:line="240" w:lineRule="auto"/>
      <w:contextualSpacing/>
      <w:jc w:val="center"/>
    </w:pPr>
    <w:rPr>
      <w:rFonts w:eastAsiaTheme="majorEastAsia" w:cstheme="majorBidi"/>
      <w:spacing w:val="-10"/>
      <w:kern w:val="28"/>
      <w:sz w:val="52"/>
      <w:szCs w:val="71"/>
    </w:rPr>
  </w:style>
  <w:style w:type="character" w:customStyle="1" w:styleId="TitleChar">
    <w:name w:val="Title Char"/>
    <w:basedOn w:val="DefaultParagraphFont"/>
    <w:link w:val="Title"/>
    <w:uiPriority w:val="10"/>
    <w:rsid w:val="00FC3416"/>
    <w:rPr>
      <w:rFonts w:ascii="Times New Roman" w:eastAsiaTheme="majorEastAsia" w:hAnsi="Times New Roman" w:cstheme="majorBidi"/>
      <w:spacing w:val="-10"/>
      <w:kern w:val="28"/>
      <w:sz w:val="52"/>
      <w:szCs w:val="71"/>
      <w:lang w:bidi="bn-IN"/>
    </w:rPr>
  </w:style>
  <w:style w:type="paragraph" w:styleId="ListParagraph">
    <w:name w:val="List Paragraph"/>
    <w:basedOn w:val="Normal"/>
    <w:uiPriority w:val="34"/>
    <w:qFormat/>
    <w:rsid w:val="0092053B"/>
    <w:pPr>
      <w:ind w:left="720"/>
      <w:contextualSpacing/>
    </w:pPr>
  </w:style>
  <w:style w:type="paragraph" w:styleId="NormalWeb">
    <w:name w:val="Normal (Web)"/>
    <w:basedOn w:val="Normal"/>
    <w:uiPriority w:val="99"/>
    <w:semiHidden/>
    <w:unhideWhenUsed/>
    <w:rsid w:val="00DF2063"/>
    <w:pPr>
      <w:spacing w:before="100" w:beforeAutospacing="1" w:after="100" w:afterAutospacing="1" w:line="240" w:lineRule="auto"/>
      <w:jc w:val="left"/>
    </w:pPr>
    <w:rPr>
      <w:rFonts w:eastAsia="Times New Roman" w:cs="Times New Roman"/>
      <w:kern w:val="0"/>
      <w:szCs w:val="24"/>
      <w:lang w:bidi="ar-SA"/>
    </w:rPr>
  </w:style>
  <w:style w:type="paragraph" w:styleId="Header">
    <w:name w:val="header"/>
    <w:basedOn w:val="Normal"/>
    <w:link w:val="HeaderChar"/>
    <w:uiPriority w:val="99"/>
    <w:unhideWhenUsed/>
    <w:rsid w:val="00F2724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27243"/>
    <w:rPr>
      <w:rFonts w:ascii="Times New Roman" w:eastAsiaTheme="minorEastAsia" w:hAnsi="Times New Roman"/>
      <w:sz w:val="24"/>
      <w:szCs w:val="20"/>
      <w:lang w:bidi="bn-IN"/>
    </w:rPr>
  </w:style>
  <w:style w:type="paragraph" w:styleId="Footer">
    <w:name w:val="footer"/>
    <w:basedOn w:val="Normal"/>
    <w:link w:val="FooterChar"/>
    <w:uiPriority w:val="99"/>
    <w:unhideWhenUsed/>
    <w:rsid w:val="00F2724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27243"/>
    <w:rPr>
      <w:rFonts w:ascii="Times New Roman" w:eastAsiaTheme="minorEastAsia" w:hAnsi="Times New Roman"/>
      <w:sz w:val="24"/>
      <w:szCs w:val="20"/>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184670">
      <w:bodyDiv w:val="1"/>
      <w:marLeft w:val="0"/>
      <w:marRight w:val="0"/>
      <w:marTop w:val="0"/>
      <w:marBottom w:val="0"/>
      <w:divBdr>
        <w:top w:val="none" w:sz="0" w:space="0" w:color="auto"/>
        <w:left w:val="none" w:sz="0" w:space="0" w:color="auto"/>
        <w:bottom w:val="none" w:sz="0" w:space="0" w:color="auto"/>
        <w:right w:val="none" w:sz="0" w:space="0" w:color="auto"/>
      </w:divBdr>
    </w:div>
    <w:div w:id="384840294">
      <w:bodyDiv w:val="1"/>
      <w:marLeft w:val="0"/>
      <w:marRight w:val="0"/>
      <w:marTop w:val="0"/>
      <w:marBottom w:val="0"/>
      <w:divBdr>
        <w:top w:val="none" w:sz="0" w:space="0" w:color="auto"/>
        <w:left w:val="none" w:sz="0" w:space="0" w:color="auto"/>
        <w:bottom w:val="none" w:sz="0" w:space="0" w:color="auto"/>
        <w:right w:val="none" w:sz="0" w:space="0" w:color="auto"/>
      </w:divBdr>
    </w:div>
    <w:div w:id="431244192">
      <w:bodyDiv w:val="1"/>
      <w:marLeft w:val="0"/>
      <w:marRight w:val="0"/>
      <w:marTop w:val="0"/>
      <w:marBottom w:val="0"/>
      <w:divBdr>
        <w:top w:val="none" w:sz="0" w:space="0" w:color="auto"/>
        <w:left w:val="none" w:sz="0" w:space="0" w:color="auto"/>
        <w:bottom w:val="none" w:sz="0" w:space="0" w:color="auto"/>
        <w:right w:val="none" w:sz="0" w:space="0" w:color="auto"/>
      </w:divBdr>
    </w:div>
    <w:div w:id="497303865">
      <w:bodyDiv w:val="1"/>
      <w:marLeft w:val="0"/>
      <w:marRight w:val="0"/>
      <w:marTop w:val="0"/>
      <w:marBottom w:val="0"/>
      <w:divBdr>
        <w:top w:val="none" w:sz="0" w:space="0" w:color="auto"/>
        <w:left w:val="none" w:sz="0" w:space="0" w:color="auto"/>
        <w:bottom w:val="none" w:sz="0" w:space="0" w:color="auto"/>
        <w:right w:val="none" w:sz="0" w:space="0" w:color="auto"/>
      </w:divBdr>
    </w:div>
    <w:div w:id="513810879">
      <w:bodyDiv w:val="1"/>
      <w:marLeft w:val="0"/>
      <w:marRight w:val="0"/>
      <w:marTop w:val="0"/>
      <w:marBottom w:val="0"/>
      <w:divBdr>
        <w:top w:val="none" w:sz="0" w:space="0" w:color="auto"/>
        <w:left w:val="none" w:sz="0" w:space="0" w:color="auto"/>
        <w:bottom w:val="none" w:sz="0" w:space="0" w:color="auto"/>
        <w:right w:val="none" w:sz="0" w:space="0" w:color="auto"/>
      </w:divBdr>
    </w:div>
    <w:div w:id="595864582">
      <w:bodyDiv w:val="1"/>
      <w:marLeft w:val="0"/>
      <w:marRight w:val="0"/>
      <w:marTop w:val="0"/>
      <w:marBottom w:val="0"/>
      <w:divBdr>
        <w:top w:val="none" w:sz="0" w:space="0" w:color="auto"/>
        <w:left w:val="none" w:sz="0" w:space="0" w:color="auto"/>
        <w:bottom w:val="none" w:sz="0" w:space="0" w:color="auto"/>
        <w:right w:val="none" w:sz="0" w:space="0" w:color="auto"/>
      </w:divBdr>
    </w:div>
    <w:div w:id="859974319">
      <w:bodyDiv w:val="1"/>
      <w:marLeft w:val="0"/>
      <w:marRight w:val="0"/>
      <w:marTop w:val="0"/>
      <w:marBottom w:val="0"/>
      <w:divBdr>
        <w:top w:val="none" w:sz="0" w:space="0" w:color="auto"/>
        <w:left w:val="none" w:sz="0" w:space="0" w:color="auto"/>
        <w:bottom w:val="none" w:sz="0" w:space="0" w:color="auto"/>
        <w:right w:val="none" w:sz="0" w:space="0" w:color="auto"/>
      </w:divBdr>
    </w:div>
    <w:div w:id="935674372">
      <w:bodyDiv w:val="1"/>
      <w:marLeft w:val="0"/>
      <w:marRight w:val="0"/>
      <w:marTop w:val="0"/>
      <w:marBottom w:val="0"/>
      <w:divBdr>
        <w:top w:val="none" w:sz="0" w:space="0" w:color="auto"/>
        <w:left w:val="none" w:sz="0" w:space="0" w:color="auto"/>
        <w:bottom w:val="none" w:sz="0" w:space="0" w:color="auto"/>
        <w:right w:val="none" w:sz="0" w:space="0" w:color="auto"/>
      </w:divBdr>
    </w:div>
    <w:div w:id="1128163198">
      <w:bodyDiv w:val="1"/>
      <w:marLeft w:val="0"/>
      <w:marRight w:val="0"/>
      <w:marTop w:val="0"/>
      <w:marBottom w:val="0"/>
      <w:divBdr>
        <w:top w:val="none" w:sz="0" w:space="0" w:color="auto"/>
        <w:left w:val="none" w:sz="0" w:space="0" w:color="auto"/>
        <w:bottom w:val="none" w:sz="0" w:space="0" w:color="auto"/>
        <w:right w:val="none" w:sz="0" w:space="0" w:color="auto"/>
      </w:divBdr>
    </w:div>
    <w:div w:id="1397632665">
      <w:bodyDiv w:val="1"/>
      <w:marLeft w:val="0"/>
      <w:marRight w:val="0"/>
      <w:marTop w:val="0"/>
      <w:marBottom w:val="0"/>
      <w:divBdr>
        <w:top w:val="none" w:sz="0" w:space="0" w:color="auto"/>
        <w:left w:val="none" w:sz="0" w:space="0" w:color="auto"/>
        <w:bottom w:val="none" w:sz="0" w:space="0" w:color="auto"/>
        <w:right w:val="none" w:sz="0" w:space="0" w:color="auto"/>
      </w:divBdr>
    </w:div>
    <w:div w:id="1853757726">
      <w:bodyDiv w:val="1"/>
      <w:marLeft w:val="0"/>
      <w:marRight w:val="0"/>
      <w:marTop w:val="0"/>
      <w:marBottom w:val="0"/>
      <w:divBdr>
        <w:top w:val="none" w:sz="0" w:space="0" w:color="auto"/>
        <w:left w:val="none" w:sz="0" w:space="0" w:color="auto"/>
        <w:bottom w:val="none" w:sz="0" w:space="0" w:color="auto"/>
        <w:right w:val="none" w:sz="0" w:space="0" w:color="auto"/>
      </w:divBdr>
    </w:div>
    <w:div w:id="209565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2683</Words>
  <Characters>15298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islammdnurul227@gmail.com</dc:creator>
  <cp:keywords/>
  <dc:description/>
  <cp:lastModifiedBy>MSI</cp:lastModifiedBy>
  <cp:revision>2</cp:revision>
  <dcterms:created xsi:type="dcterms:W3CDTF">2023-08-04T19:38:00Z</dcterms:created>
  <dcterms:modified xsi:type="dcterms:W3CDTF">2023-08-04T19:38:00Z</dcterms:modified>
</cp:coreProperties>
</file>