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063EF8E" w14:textId="77777777" w:rsidR="004725F0" w:rsidRPr="004725F0" w:rsidRDefault="004725F0" w:rsidP="004725F0">
      <w:pPr>
        <w:spacing w:line="360" w:lineRule="auto"/>
        <w:rPr>
          <w:rFonts w:ascii="Arial" w:hAnsi="Arial" w:cs="Arial"/>
          <w:sz w:val="22"/>
          <w:szCs w:val="22"/>
          <w:lang w:eastAsia="zh-CN"/>
        </w:rPr>
      </w:pPr>
    </w:p>
    <w:p w14:paraId="54E9E2D1" w14:textId="77777777" w:rsidR="004725F0" w:rsidRPr="004725F0" w:rsidRDefault="004725F0" w:rsidP="004725F0">
      <w:pPr>
        <w:keepNext/>
        <w:keepLines/>
        <w:spacing w:before="360" w:after="80" w:line="360" w:lineRule="auto"/>
        <w:outlineLvl w:val="0"/>
        <w:rPr>
          <w:rFonts w:ascii="Arial" w:eastAsia="Times New Roman" w:hAnsi="Arial" w:cs="Arial"/>
          <w:color w:val="0F4761" w:themeColor="accent1" w:themeShade="BF"/>
          <w:sz w:val="22"/>
          <w:szCs w:val="22"/>
          <w:lang w:eastAsia="zh-CN"/>
        </w:rPr>
      </w:pPr>
      <w:bookmarkStart w:id="0" w:name="_Toc243562461"/>
      <w:r w:rsidRPr="004725F0">
        <w:rPr>
          <w:rFonts w:ascii="Arial" w:eastAsia="Times New Roman" w:hAnsi="Arial" w:cs="Arial"/>
          <w:color w:val="0F4761" w:themeColor="accent1" w:themeShade="BF"/>
          <w:sz w:val="22"/>
          <w:szCs w:val="22"/>
          <w:lang w:eastAsia="zh-CN"/>
        </w:rPr>
        <w:t>Introduction (describing what diabetes is and what the risk factors are).</w:t>
      </w:r>
      <w:bookmarkEnd w:id="0"/>
    </w:p>
    <w:p w14:paraId="2BAF49AA"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r w:rsidRPr="004725F0">
        <w:rPr>
          <w:rFonts w:ascii="Arial" w:hAnsi="Arial" w:cs="Arial"/>
          <w:kern w:val="0"/>
          <w:sz w:val="22"/>
          <w:szCs w:val="22"/>
          <w14:ligatures w14:val="none"/>
        </w:rPr>
        <w:t xml:space="preserve">Diabetes is a long-term condition that affects the way the body regulates blood glucose levels and uses glucose to produce energy. Maintaining blood glucose within a healthy range is essential for normal body functioning, as glucose provides energy for cellular activities. This assignment will explain how blood glucose levels </w:t>
      </w:r>
      <w:bookmarkStart w:id="1" w:name="_Int_ShlSlffS"/>
      <w:r w:rsidRPr="004725F0">
        <w:rPr>
          <w:rFonts w:ascii="Arial" w:hAnsi="Arial" w:cs="Arial"/>
          <w:kern w:val="0"/>
          <w:sz w:val="22"/>
          <w:szCs w:val="22"/>
          <w14:ligatures w14:val="none"/>
        </w:rPr>
        <w:t>are regulated</w:t>
      </w:r>
      <w:bookmarkEnd w:id="1"/>
      <w:r w:rsidRPr="004725F0">
        <w:rPr>
          <w:rFonts w:ascii="Arial" w:hAnsi="Arial" w:cs="Arial"/>
          <w:kern w:val="0"/>
          <w:sz w:val="22"/>
          <w:szCs w:val="22"/>
          <w14:ligatures w14:val="none"/>
        </w:rPr>
        <w:t xml:space="preserve"> through homeostasis, including the roles of insulin and glucagon, and how glucose and oxygen </w:t>
      </w:r>
      <w:bookmarkStart w:id="2" w:name="_Int_q06S1m1W"/>
      <w:r w:rsidRPr="004725F0">
        <w:rPr>
          <w:rFonts w:ascii="Arial" w:hAnsi="Arial" w:cs="Arial"/>
          <w:kern w:val="0"/>
          <w:sz w:val="22"/>
          <w:szCs w:val="22"/>
          <w14:ligatures w14:val="none"/>
        </w:rPr>
        <w:t>are used</w:t>
      </w:r>
      <w:bookmarkEnd w:id="2"/>
      <w:r w:rsidRPr="004725F0">
        <w:rPr>
          <w:rFonts w:ascii="Arial" w:hAnsi="Arial" w:cs="Arial"/>
          <w:kern w:val="0"/>
          <w:sz w:val="22"/>
          <w:szCs w:val="22"/>
          <w14:ligatures w14:val="none"/>
        </w:rPr>
        <w:t xml:space="preserve"> during cellular respiration to produce energy. It will also explore the importance of recording and monitoring blood glucose levels in helping individuals with Type 2 diabetes manage their condition safely and effectively. In addition, the assignment will examine evidence-based lifestyle recommendations, including healthy eating, regular physical activity, weight management, and smoking cessation, to improve blood glucose control and reduce the risk of long-term complications. The role of healthcare professionals, particularly practice nurses, in providing education, encouraging positive lifestyle changes, and supporting individualised diabetes management will also </w:t>
      </w:r>
      <w:bookmarkStart w:id="3" w:name="_Int_kU1njmqP"/>
      <w:r w:rsidRPr="004725F0">
        <w:rPr>
          <w:rFonts w:ascii="Arial" w:hAnsi="Arial" w:cs="Arial"/>
          <w:kern w:val="0"/>
          <w:sz w:val="22"/>
          <w:szCs w:val="22"/>
          <w14:ligatures w14:val="none"/>
        </w:rPr>
        <w:t>be considered</w:t>
      </w:r>
      <w:bookmarkEnd w:id="3"/>
      <w:r w:rsidRPr="004725F0">
        <w:rPr>
          <w:rFonts w:ascii="Arial" w:hAnsi="Arial" w:cs="Arial"/>
          <w:kern w:val="0"/>
          <w:sz w:val="22"/>
          <w:szCs w:val="22"/>
          <w14:ligatures w14:val="none"/>
        </w:rPr>
        <w:t>. Overall, understanding these processes and adopting right management strategies can help individuals with Type 2 diabetes improve their health, support their quality of life, and reduce the risk of diabetes-related complications (NICE, 2022; Diabetes UK, 2026).</w:t>
      </w:r>
    </w:p>
    <w:p w14:paraId="7EA9BB26" w14:textId="77777777" w:rsidR="004725F0" w:rsidRPr="004725F0" w:rsidRDefault="004725F0" w:rsidP="004725F0">
      <w:pPr>
        <w:spacing w:line="360" w:lineRule="auto"/>
        <w:rPr>
          <w:rFonts w:ascii="Arial" w:hAnsi="Arial" w:cs="Arial"/>
          <w:sz w:val="22"/>
          <w:szCs w:val="22"/>
          <w:lang w:eastAsia="zh-CN"/>
        </w:rPr>
      </w:pPr>
    </w:p>
    <w:p w14:paraId="507D8A14" w14:textId="77777777" w:rsidR="004725F0" w:rsidRPr="004725F0" w:rsidRDefault="004725F0" w:rsidP="004725F0">
      <w:pPr>
        <w:spacing w:before="100" w:beforeAutospacing="1" w:after="100" w:afterAutospacing="1" w:line="360" w:lineRule="auto"/>
        <w:contextualSpacing/>
        <w:rPr>
          <w:rFonts w:ascii="Arial" w:eastAsia="Times New Roman" w:hAnsi="Arial" w:cs="Arial"/>
          <w:color w:val="000000"/>
          <w:kern w:val="0"/>
          <w:sz w:val="22"/>
          <w:szCs w:val="22"/>
          <w:lang w:eastAsia="zh-CN"/>
          <w14:ligatures w14:val="none"/>
        </w:rPr>
      </w:pPr>
      <w:bookmarkStart w:id="4" w:name="_Toc243562462"/>
      <w:r w:rsidRPr="004725F0">
        <w:rPr>
          <w:rFonts w:ascii="Arial" w:eastAsiaTheme="majorEastAsia" w:hAnsi="Arial" w:cs="Arial"/>
          <w:color w:val="0F4761" w:themeColor="accent1" w:themeShade="BF"/>
          <w:sz w:val="22"/>
          <w:szCs w:val="22"/>
          <w:lang w:eastAsia="zh-CN"/>
        </w:rPr>
        <w:t xml:space="preserve">Explain how blood sugar levels </w:t>
      </w:r>
      <w:bookmarkStart w:id="5" w:name="_Int_2pLS6iYD"/>
      <w:r w:rsidRPr="004725F0">
        <w:rPr>
          <w:rFonts w:ascii="Arial" w:eastAsiaTheme="majorEastAsia" w:hAnsi="Arial" w:cs="Arial"/>
          <w:color w:val="0F4761" w:themeColor="accent1" w:themeShade="BF"/>
          <w:sz w:val="22"/>
          <w:szCs w:val="22"/>
          <w:lang w:eastAsia="zh-CN"/>
        </w:rPr>
        <w:t>are kept</w:t>
      </w:r>
      <w:bookmarkEnd w:id="5"/>
      <w:r w:rsidRPr="004725F0">
        <w:rPr>
          <w:rFonts w:ascii="Arial" w:eastAsiaTheme="majorEastAsia" w:hAnsi="Arial" w:cs="Arial"/>
          <w:color w:val="0F4761" w:themeColor="accent1" w:themeShade="BF"/>
          <w:sz w:val="22"/>
          <w:szCs w:val="22"/>
          <w:lang w:eastAsia="zh-CN"/>
        </w:rPr>
        <w:t xml:space="preserve"> at a safe and effective level for the body’s needs</w:t>
      </w:r>
      <w:bookmarkEnd w:id="4"/>
      <w:r w:rsidRPr="004725F0">
        <w:rPr>
          <w:rFonts w:ascii="Arial" w:eastAsia="Times New Roman" w:hAnsi="Arial" w:cs="Arial"/>
          <w:color w:val="000000" w:themeColor="text1"/>
          <w:kern w:val="0"/>
          <w:sz w:val="22"/>
          <w:szCs w:val="22"/>
          <w:lang w:eastAsia="zh-CN"/>
          <w14:ligatures w14:val="none"/>
        </w:rPr>
        <w:t>.</w:t>
      </w:r>
      <w:r w:rsidRPr="004725F0">
        <w:rPr>
          <w:rFonts w:ascii="Arial" w:eastAsia="Times New Roman" w:hAnsi="Arial" w:cs="Arial"/>
          <w:color w:val="000000"/>
          <w:kern w:val="0"/>
          <w:sz w:val="22"/>
          <w:szCs w:val="22"/>
          <w:lang w:eastAsia="zh-CN"/>
          <w14:ligatures w14:val="none"/>
        </w:rPr>
        <w:t xml:space="preserve"> </w:t>
      </w:r>
    </w:p>
    <w:p w14:paraId="7B27030B" w14:textId="77777777" w:rsidR="004725F0" w:rsidRPr="004725F0" w:rsidRDefault="004725F0" w:rsidP="004725F0">
      <w:pPr>
        <w:spacing w:after="0" w:line="360" w:lineRule="auto"/>
        <w:rPr>
          <w:rFonts w:ascii="Arial" w:hAnsi="Arial" w:cs="Arial"/>
          <w:kern w:val="0"/>
          <w:sz w:val="22"/>
          <w:szCs w:val="22"/>
          <w14:ligatures w14:val="none"/>
        </w:rPr>
      </w:pPr>
      <w:r w:rsidRPr="004725F0">
        <w:rPr>
          <w:rFonts w:ascii="Arial" w:hAnsi="Arial" w:cs="Arial"/>
          <w:kern w:val="0"/>
          <w:sz w:val="22"/>
          <w:szCs w:val="22"/>
          <w14:ligatures w14:val="none"/>
        </w:rPr>
        <w:t xml:space="preserve">There are several factors that can increase a person’s risk of developing diabetes, particularly type 2 diabetes. These include being overweight or living with obesity, having a large waist measurement, being physically inactive, having high blood pressure, getting older and having a close family member with type 2 diabetes (Diabetes UK, 2026). Ethnicity is also an important risk factor in the UK, with people from South Asian, Black African, and African-Caribbean backgrounds having a higher risk of developing type 2 diabetes and often developing it at a younger age (Diabetes UK, 2026). Having had gestational diabetes can also increase a woman’s risk of developing type 2 diabetes in the future. Some risk factors, such as age, family history and ethnicity, cannot </w:t>
      </w:r>
      <w:bookmarkStart w:id="6" w:name="_Int_NlCjG0L0"/>
      <w:r w:rsidRPr="004725F0">
        <w:rPr>
          <w:rFonts w:ascii="Arial" w:hAnsi="Arial" w:cs="Arial"/>
          <w:kern w:val="0"/>
          <w:sz w:val="22"/>
          <w:szCs w:val="22"/>
          <w14:ligatures w14:val="none"/>
        </w:rPr>
        <w:t>be changed</w:t>
      </w:r>
      <w:bookmarkEnd w:id="6"/>
      <w:r w:rsidRPr="004725F0">
        <w:rPr>
          <w:rFonts w:ascii="Arial" w:hAnsi="Arial" w:cs="Arial"/>
          <w:kern w:val="0"/>
          <w:sz w:val="22"/>
          <w:szCs w:val="22"/>
          <w14:ligatures w14:val="none"/>
        </w:rPr>
        <w:t xml:space="preserve">, while factors such as physical activity, weight and diet can </w:t>
      </w:r>
      <w:bookmarkStart w:id="7" w:name="_Int_ed1bL7Jq"/>
      <w:r w:rsidRPr="004725F0">
        <w:rPr>
          <w:rFonts w:ascii="Arial" w:hAnsi="Arial" w:cs="Arial"/>
          <w:kern w:val="0"/>
          <w:sz w:val="22"/>
          <w:szCs w:val="22"/>
          <w14:ligatures w14:val="none"/>
        </w:rPr>
        <w:t>be changed</w:t>
      </w:r>
      <w:bookmarkEnd w:id="7"/>
      <w:r w:rsidRPr="004725F0">
        <w:rPr>
          <w:rFonts w:ascii="Arial" w:hAnsi="Arial" w:cs="Arial"/>
          <w:kern w:val="0"/>
          <w:sz w:val="22"/>
          <w:szCs w:val="22"/>
          <w14:ligatures w14:val="none"/>
        </w:rPr>
        <w:t xml:space="preserve"> to help reduce the risk (Diabetes UK, 2026). However, having one or more risk factors does not mean that a person will develop diabetes.</w:t>
      </w:r>
    </w:p>
    <w:p w14:paraId="22ACBEC6" w14:textId="77777777" w:rsidR="004725F0" w:rsidRPr="004725F0" w:rsidRDefault="004725F0" w:rsidP="004725F0">
      <w:pPr>
        <w:spacing w:after="0" w:line="360" w:lineRule="auto"/>
        <w:rPr>
          <w:rFonts w:ascii="Arial" w:hAnsi="Arial" w:cs="Arial"/>
          <w:kern w:val="0"/>
          <w:sz w:val="22"/>
          <w:szCs w:val="22"/>
          <w14:ligatures w14:val="none"/>
        </w:rPr>
      </w:pPr>
    </w:p>
    <w:p w14:paraId="581F7C7B" w14:textId="77777777" w:rsidR="004725F0" w:rsidRPr="004725F0" w:rsidRDefault="004725F0" w:rsidP="004725F0">
      <w:pPr>
        <w:spacing w:after="0" w:line="360" w:lineRule="auto"/>
        <w:rPr>
          <w:rFonts w:ascii="Arial" w:hAnsi="Arial" w:cs="Arial"/>
          <w:kern w:val="0"/>
          <w:sz w:val="22"/>
          <w:szCs w:val="22"/>
          <w14:ligatures w14:val="none"/>
        </w:rPr>
      </w:pPr>
      <w:r w:rsidRPr="004725F0">
        <w:rPr>
          <w:rFonts w:ascii="Arial" w:hAnsi="Arial" w:cs="Arial"/>
          <w:kern w:val="0"/>
          <w:sz w:val="22"/>
          <w:szCs w:val="22"/>
          <w14:ligatures w14:val="none"/>
        </w:rPr>
        <w:t xml:space="preserve">Blood glucose levels </w:t>
      </w:r>
      <w:bookmarkStart w:id="8" w:name="_Int_Y36LeJGQ"/>
      <w:r w:rsidRPr="004725F0">
        <w:rPr>
          <w:rFonts w:ascii="Arial" w:hAnsi="Arial" w:cs="Arial"/>
          <w:kern w:val="0"/>
          <w:sz w:val="22"/>
          <w:szCs w:val="22"/>
          <w14:ligatures w14:val="none"/>
        </w:rPr>
        <w:t>are supported</w:t>
      </w:r>
      <w:bookmarkEnd w:id="8"/>
      <w:r w:rsidRPr="004725F0">
        <w:rPr>
          <w:rFonts w:ascii="Arial" w:hAnsi="Arial" w:cs="Arial"/>
          <w:kern w:val="0"/>
          <w:sz w:val="22"/>
          <w:szCs w:val="22"/>
          <w14:ligatures w14:val="none"/>
        </w:rPr>
        <w:t xml:space="preserve"> through homeostasis, which keeps the concentration of glucose in the blood within a suitable range for the body’s needs. The pancreas plays a key </w:t>
      </w:r>
      <w:r w:rsidRPr="004725F0">
        <w:rPr>
          <w:rFonts w:ascii="Arial" w:hAnsi="Arial" w:cs="Arial"/>
          <w:kern w:val="0"/>
          <w:sz w:val="22"/>
          <w:szCs w:val="22"/>
          <w14:ligatures w14:val="none"/>
        </w:rPr>
        <w:lastRenderedPageBreak/>
        <w:t xml:space="preserve">role in this process by producing the hormones insulin and glucagon, which have opposite effects on blood glucose levels (South Tees Hospitals NHS Foundation Trust, 2026). </w:t>
      </w:r>
    </w:p>
    <w:p w14:paraId="4AF7709F"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bookmarkStart w:id="9" w:name="_Int_8P5AkpO6"/>
      <w:r w:rsidRPr="004725F0">
        <w:rPr>
          <w:rFonts w:ascii="Arial" w:hAnsi="Arial" w:cs="Arial"/>
          <w:kern w:val="0"/>
          <w:sz w:val="22"/>
          <w:szCs w:val="22"/>
          <w14:ligatures w14:val="none"/>
        </w:rPr>
        <w:t>After eating, carbohydrates</w:t>
      </w:r>
      <w:bookmarkEnd w:id="9"/>
      <w:r w:rsidRPr="004725F0">
        <w:rPr>
          <w:rFonts w:ascii="Arial" w:hAnsi="Arial" w:cs="Arial"/>
          <w:kern w:val="0"/>
          <w:sz w:val="22"/>
          <w:szCs w:val="22"/>
          <w14:ligatures w14:val="none"/>
        </w:rPr>
        <w:t xml:space="preserve"> </w:t>
      </w:r>
      <w:bookmarkStart w:id="10" w:name="_Int_EkPeNZnQ"/>
      <w:r w:rsidRPr="004725F0">
        <w:rPr>
          <w:rFonts w:ascii="Arial" w:hAnsi="Arial" w:cs="Arial"/>
          <w:kern w:val="0"/>
          <w:sz w:val="22"/>
          <w:szCs w:val="22"/>
          <w14:ligatures w14:val="none"/>
        </w:rPr>
        <w:t>are broken</w:t>
      </w:r>
      <w:bookmarkEnd w:id="10"/>
      <w:r w:rsidRPr="004725F0">
        <w:rPr>
          <w:rFonts w:ascii="Arial" w:hAnsi="Arial" w:cs="Arial"/>
          <w:kern w:val="0"/>
          <w:sz w:val="22"/>
          <w:szCs w:val="22"/>
          <w14:ligatures w14:val="none"/>
        </w:rPr>
        <w:t xml:space="preserve"> down into glucose, causing blood glucose levels to increase. In response, the beta cells of the pancreas release insulin. Insulin encourages body cells, particularly muscle cells, to take up glucose from the blood. It also stimulates the liver and muscles to convert excess glucose into glycogen for storage. As a result, the amount of glucose in the blood decreases towards the normal level (Ashford and St Peter’s Hospitals NHS Foundation Trust, 2026). </w:t>
      </w:r>
    </w:p>
    <w:p w14:paraId="11A859DC"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r w:rsidRPr="004725F0">
        <w:rPr>
          <w:rFonts w:ascii="Arial" w:hAnsi="Arial" w:cs="Arial"/>
          <w:kern w:val="0"/>
          <w:sz w:val="22"/>
          <w:szCs w:val="22"/>
          <w14:ligatures w14:val="none"/>
        </w:rPr>
        <w:t>When blood glucose levels fall, such as between meals or during periods of increased physical activity, the alpha cells of the pancreas release glucagon. Glucagon stimulates the liver to break down stored glycogen and release glucose into the bloodstream. This increases blood glucose levels and helps ensure that cells continue to have glucose available for energy (South Tees Hospitals NHS Foundation Trust, 2026).</w:t>
      </w:r>
    </w:p>
    <w:p w14:paraId="028BF516"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r w:rsidRPr="004725F0">
        <w:rPr>
          <w:rFonts w:ascii="Arial" w:hAnsi="Arial" w:cs="Arial"/>
          <w:kern w:val="0"/>
          <w:sz w:val="22"/>
          <w:szCs w:val="22"/>
          <w14:ligatures w14:val="none"/>
        </w:rPr>
        <w:t xml:space="preserve">This process is an example of negative feedback, because the body responds to changes in blood glucose by producing hormones that bring the glucose concentration back towards its normal range. Insulin lowers blood glucose when it becomes too high, while glucagon raises it when it becomes too low. This helps support a stable internal environment and provides the body with a reliable supply of glucose for cellular respiration (Lancashire Teaching Hospitals NHS Foundation Trust, 2024). </w:t>
      </w:r>
    </w:p>
    <w:p w14:paraId="4E460E41" w14:textId="77777777" w:rsidR="004725F0" w:rsidRPr="004725F0" w:rsidRDefault="004725F0" w:rsidP="004725F0">
      <w:pPr>
        <w:keepNext/>
        <w:keepLines/>
        <w:spacing w:before="360" w:after="80" w:line="360" w:lineRule="auto"/>
        <w:outlineLvl w:val="0"/>
        <w:rPr>
          <w:rFonts w:ascii="Arial" w:eastAsia="Times New Roman" w:hAnsi="Arial" w:cs="Arial"/>
          <w:color w:val="0F4761" w:themeColor="accent1" w:themeShade="BF"/>
          <w:sz w:val="22"/>
          <w:szCs w:val="22"/>
          <w:lang w:eastAsia="zh-CN"/>
        </w:rPr>
      </w:pPr>
      <w:bookmarkStart w:id="11" w:name="_Toc243562463"/>
      <w:r w:rsidRPr="004725F0">
        <w:rPr>
          <w:rFonts w:ascii="Arial" w:eastAsia="Times New Roman" w:hAnsi="Arial" w:cs="Arial"/>
          <w:color w:val="0F4761" w:themeColor="accent1" w:themeShade="BF"/>
          <w:sz w:val="22"/>
          <w:szCs w:val="22"/>
          <w:lang w:eastAsia="zh-CN"/>
        </w:rPr>
        <w:t xml:space="preserve">Show how oxygen and glucose </w:t>
      </w:r>
      <w:bookmarkStart w:id="12" w:name="_Int_BG1HfpSq"/>
      <w:r w:rsidRPr="004725F0">
        <w:rPr>
          <w:rFonts w:ascii="Arial" w:eastAsia="Times New Roman" w:hAnsi="Arial" w:cs="Arial"/>
          <w:color w:val="0F4761" w:themeColor="accent1" w:themeShade="BF"/>
          <w:sz w:val="22"/>
          <w:szCs w:val="22"/>
          <w:lang w:eastAsia="zh-CN"/>
        </w:rPr>
        <w:t>are used</w:t>
      </w:r>
      <w:bookmarkEnd w:id="12"/>
      <w:r w:rsidRPr="004725F0">
        <w:rPr>
          <w:rFonts w:ascii="Arial" w:eastAsia="Times New Roman" w:hAnsi="Arial" w:cs="Arial"/>
          <w:color w:val="0F4761" w:themeColor="accent1" w:themeShade="BF"/>
          <w:sz w:val="22"/>
          <w:szCs w:val="22"/>
          <w:lang w:eastAsia="zh-CN"/>
        </w:rPr>
        <w:t xml:space="preserve"> to produce energy through cell metabolism.</w:t>
      </w:r>
      <w:bookmarkEnd w:id="11"/>
      <w:r w:rsidRPr="004725F0">
        <w:rPr>
          <w:rFonts w:ascii="Arial" w:eastAsia="Times New Roman" w:hAnsi="Arial" w:cs="Arial"/>
          <w:color w:val="0F4761" w:themeColor="accent1" w:themeShade="BF"/>
          <w:sz w:val="22"/>
          <w:szCs w:val="22"/>
          <w:lang w:eastAsia="zh-CN"/>
        </w:rPr>
        <w:t xml:space="preserve"> </w:t>
      </w:r>
    </w:p>
    <w:p w14:paraId="709DB578"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r w:rsidRPr="004725F0">
        <w:rPr>
          <w:rFonts w:ascii="Arial" w:hAnsi="Arial" w:cs="Arial"/>
          <w:kern w:val="0"/>
          <w:sz w:val="22"/>
          <w:szCs w:val="22"/>
          <w14:ligatures w14:val="none"/>
        </w:rPr>
        <w:t xml:space="preserve">Cellular metabolism involves a series of biochemical reactions that enable cells to obtain and use energy. One of the most important metabolic processes is aerobic cellular respiration, in which glucose </w:t>
      </w:r>
      <w:bookmarkStart w:id="13" w:name="_Int_WAGG4jR4"/>
      <w:r w:rsidRPr="004725F0">
        <w:rPr>
          <w:rFonts w:ascii="Arial" w:hAnsi="Arial" w:cs="Arial"/>
          <w:kern w:val="0"/>
          <w:sz w:val="22"/>
          <w:szCs w:val="22"/>
          <w14:ligatures w14:val="none"/>
        </w:rPr>
        <w:t>is broken</w:t>
      </w:r>
      <w:bookmarkEnd w:id="13"/>
      <w:r w:rsidRPr="004725F0">
        <w:rPr>
          <w:rFonts w:ascii="Arial" w:hAnsi="Arial" w:cs="Arial"/>
          <w:kern w:val="0"/>
          <w:sz w:val="22"/>
          <w:szCs w:val="22"/>
          <w14:ligatures w14:val="none"/>
        </w:rPr>
        <w:t xml:space="preserve"> down in the presence of oxygen to release energy. The energy released from glucose </w:t>
      </w:r>
      <w:bookmarkStart w:id="14" w:name="_Int_PlF6LlKa"/>
      <w:r w:rsidRPr="004725F0">
        <w:rPr>
          <w:rFonts w:ascii="Arial" w:hAnsi="Arial" w:cs="Arial"/>
          <w:kern w:val="0"/>
          <w:sz w:val="22"/>
          <w:szCs w:val="22"/>
          <w14:ligatures w14:val="none"/>
        </w:rPr>
        <w:t>is captured</w:t>
      </w:r>
      <w:bookmarkEnd w:id="14"/>
      <w:r w:rsidRPr="004725F0">
        <w:rPr>
          <w:rFonts w:ascii="Arial" w:hAnsi="Arial" w:cs="Arial"/>
          <w:kern w:val="0"/>
          <w:sz w:val="22"/>
          <w:szCs w:val="22"/>
          <w14:ligatures w14:val="none"/>
        </w:rPr>
        <w:t xml:space="preserve"> primarily in the form of adenosine triphosphate (ATP), which </w:t>
      </w:r>
      <w:bookmarkStart w:id="15" w:name="_Int_2eTSuq82"/>
      <w:r w:rsidRPr="004725F0">
        <w:rPr>
          <w:rFonts w:ascii="Arial" w:hAnsi="Arial" w:cs="Arial"/>
          <w:kern w:val="0"/>
          <w:sz w:val="22"/>
          <w:szCs w:val="22"/>
          <w14:ligatures w14:val="none"/>
        </w:rPr>
        <w:t>is needed</w:t>
      </w:r>
      <w:bookmarkEnd w:id="15"/>
      <w:r w:rsidRPr="004725F0">
        <w:rPr>
          <w:rFonts w:ascii="Arial" w:hAnsi="Arial" w:cs="Arial"/>
          <w:kern w:val="0"/>
          <w:sz w:val="22"/>
          <w:szCs w:val="22"/>
          <w14:ligatures w14:val="none"/>
        </w:rPr>
        <w:t xml:space="preserve"> to support essential cellular activities, including active transport, muscle contraction, cellular growth, and tissue repair (Clark, Douglas, and Choi, 2018).</w:t>
      </w:r>
    </w:p>
    <w:p w14:paraId="6D47B5FA"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r w:rsidRPr="004725F0">
        <w:rPr>
          <w:rFonts w:ascii="Arial" w:hAnsi="Arial" w:cs="Arial"/>
          <w:kern w:val="0"/>
          <w:sz w:val="22"/>
          <w:szCs w:val="22"/>
          <w14:ligatures w14:val="none"/>
        </w:rPr>
        <w:t xml:space="preserve">The process begins with glycolysis, which occurs in the cytoplasm of the cell. During glycolysis, a single molecule of glucose </w:t>
      </w:r>
      <w:bookmarkStart w:id="16" w:name="_Int_OIpZisur"/>
      <w:r w:rsidRPr="004725F0">
        <w:rPr>
          <w:rFonts w:ascii="Arial" w:hAnsi="Arial" w:cs="Arial"/>
          <w:kern w:val="0"/>
          <w:sz w:val="22"/>
          <w:szCs w:val="22"/>
          <w14:ligatures w14:val="none"/>
        </w:rPr>
        <w:t>is converted</w:t>
      </w:r>
      <w:bookmarkEnd w:id="16"/>
      <w:r w:rsidRPr="004725F0">
        <w:rPr>
          <w:rFonts w:ascii="Arial" w:hAnsi="Arial" w:cs="Arial"/>
          <w:kern w:val="0"/>
          <w:sz w:val="22"/>
          <w:szCs w:val="22"/>
          <w14:ligatures w14:val="none"/>
        </w:rPr>
        <w:t xml:space="preserve"> into two molecules of pyruvate. Although glycolysis produces only a small amount of ATP directly, it also generates reduced electron carriers, particularly NADH. These carriers transfer high-energy electrons to the mitochondria, where they contribute to the later stages of aerobic respiration (Clark, Douglas, and Choi, 2018).</w:t>
      </w:r>
    </w:p>
    <w:p w14:paraId="731D1B8C"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r w:rsidRPr="004725F0">
        <w:rPr>
          <w:rFonts w:ascii="Arial" w:hAnsi="Arial" w:cs="Arial"/>
          <w:kern w:val="0"/>
          <w:sz w:val="22"/>
          <w:szCs w:val="22"/>
          <w14:ligatures w14:val="none"/>
        </w:rPr>
        <w:lastRenderedPageBreak/>
        <w:t xml:space="preserve">When oxygen is available, pyruvate enters the mitochondria and is further metabolised through the citric acid cycle, also known as the Krebs cycle. During this stage, carbon dioxide </w:t>
      </w:r>
      <w:bookmarkStart w:id="17" w:name="_Int_uUb9UPp9"/>
      <w:r w:rsidRPr="004725F0">
        <w:rPr>
          <w:rFonts w:ascii="Arial" w:hAnsi="Arial" w:cs="Arial"/>
          <w:kern w:val="0"/>
          <w:sz w:val="22"/>
          <w:szCs w:val="22"/>
          <w14:ligatures w14:val="none"/>
        </w:rPr>
        <w:t>is produced</w:t>
      </w:r>
      <w:bookmarkEnd w:id="17"/>
      <w:r w:rsidRPr="004725F0">
        <w:rPr>
          <w:rFonts w:ascii="Arial" w:hAnsi="Arial" w:cs="Arial"/>
          <w:kern w:val="0"/>
          <w:sz w:val="22"/>
          <w:szCs w:val="22"/>
          <w14:ligatures w14:val="none"/>
        </w:rPr>
        <w:t xml:space="preserve"> as a waste product, while more NADH and FADH</w:t>
      </w:r>
      <w:r w:rsidRPr="004725F0">
        <w:rPr>
          <w:rFonts w:ascii="Cambria Math" w:hAnsi="Cambria Math" w:cs="Cambria Math"/>
          <w:kern w:val="0"/>
          <w:sz w:val="22"/>
          <w:szCs w:val="22"/>
          <w14:ligatures w14:val="none"/>
        </w:rPr>
        <w:t>₂</w:t>
      </w:r>
      <w:r w:rsidRPr="004725F0">
        <w:rPr>
          <w:rFonts w:ascii="Arial" w:hAnsi="Arial" w:cs="Arial"/>
          <w:kern w:val="0"/>
          <w:sz w:val="22"/>
          <w:szCs w:val="22"/>
          <w14:ligatures w14:val="none"/>
        </w:rPr>
        <w:t xml:space="preserve"> </w:t>
      </w:r>
      <w:bookmarkStart w:id="18" w:name="_Int_tQYxyGnH"/>
      <w:r w:rsidRPr="004725F0">
        <w:rPr>
          <w:rFonts w:ascii="Arial" w:hAnsi="Arial" w:cs="Arial"/>
          <w:kern w:val="0"/>
          <w:sz w:val="22"/>
          <w:szCs w:val="22"/>
          <w14:ligatures w14:val="none"/>
        </w:rPr>
        <w:t>are generated</w:t>
      </w:r>
      <w:bookmarkEnd w:id="18"/>
      <w:r w:rsidRPr="004725F0">
        <w:rPr>
          <w:rFonts w:ascii="Arial" w:hAnsi="Arial" w:cs="Arial"/>
          <w:kern w:val="0"/>
          <w:sz w:val="22"/>
          <w:szCs w:val="22"/>
          <w14:ligatures w14:val="none"/>
        </w:rPr>
        <w:t xml:space="preserve">. These molecules carry high-energy electrons to the electron transport chain, which </w:t>
      </w:r>
      <w:bookmarkStart w:id="19" w:name="_Int_FNopsZ03"/>
      <w:r w:rsidRPr="004725F0">
        <w:rPr>
          <w:rFonts w:ascii="Arial" w:hAnsi="Arial" w:cs="Arial"/>
          <w:kern w:val="0"/>
          <w:sz w:val="22"/>
          <w:szCs w:val="22"/>
          <w14:ligatures w14:val="none"/>
        </w:rPr>
        <w:t>is found</w:t>
      </w:r>
      <w:bookmarkEnd w:id="19"/>
      <w:r w:rsidRPr="004725F0">
        <w:rPr>
          <w:rFonts w:ascii="Arial" w:hAnsi="Arial" w:cs="Arial"/>
          <w:kern w:val="0"/>
          <w:sz w:val="22"/>
          <w:szCs w:val="22"/>
          <w14:ligatures w14:val="none"/>
        </w:rPr>
        <w:t xml:space="preserve"> within the inner mitochondrial membrane (Clark, Douglas, and Choi, 2018).</w:t>
      </w:r>
    </w:p>
    <w:p w14:paraId="3EB6C112"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r w:rsidRPr="004725F0">
        <w:rPr>
          <w:rFonts w:ascii="Arial" w:hAnsi="Arial" w:cs="Arial"/>
          <w:kern w:val="0"/>
          <w:sz w:val="22"/>
          <w:szCs w:val="22"/>
          <w14:ligatures w14:val="none"/>
        </w:rPr>
        <w:t xml:space="preserve">Oxygen has an essential role in the final stage of aerobic respiration. It acts as the final electron acceptor in the electron transport chain. The transfer of electrons through this chain helps show a proton gradient across the inner mitochondrial membrane. This gradient provides the energy required by the enzyme ATP synthase to produce substantial amounts of ATP from ADP and inorganic phosphate. Oxygen </w:t>
      </w:r>
      <w:bookmarkStart w:id="20" w:name="_Int_nisIF1HI"/>
      <w:r w:rsidRPr="004725F0">
        <w:rPr>
          <w:rFonts w:ascii="Arial" w:hAnsi="Arial" w:cs="Arial"/>
          <w:kern w:val="0"/>
          <w:sz w:val="22"/>
          <w:szCs w:val="22"/>
          <w14:ligatures w14:val="none"/>
        </w:rPr>
        <w:t>subsequently</w:t>
      </w:r>
      <w:bookmarkEnd w:id="20"/>
      <w:r w:rsidRPr="004725F0">
        <w:rPr>
          <w:rFonts w:ascii="Arial" w:hAnsi="Arial" w:cs="Arial"/>
          <w:kern w:val="0"/>
          <w:sz w:val="22"/>
          <w:szCs w:val="22"/>
          <w14:ligatures w14:val="none"/>
        </w:rPr>
        <w:t xml:space="preserve"> combines with electrons and hydrogen ions to form water (Clark, Douglas, and Choi, 2018).</w:t>
      </w:r>
    </w:p>
    <w:p w14:paraId="0419A915" w14:textId="77777777" w:rsidR="004725F0" w:rsidRPr="004725F0" w:rsidRDefault="004725F0" w:rsidP="004725F0">
      <w:pPr>
        <w:spacing w:before="100" w:beforeAutospacing="1" w:after="100" w:afterAutospacing="1" w:line="360" w:lineRule="auto"/>
        <w:rPr>
          <w:rFonts w:ascii="Arial" w:eastAsia="Times New Roman" w:hAnsi="Arial" w:cs="Arial"/>
          <w:color w:val="000000" w:themeColor="text1"/>
          <w:kern w:val="0"/>
          <w:sz w:val="22"/>
          <w:szCs w:val="22"/>
          <w:lang w:eastAsia="zh-CN"/>
          <w14:ligatures w14:val="none"/>
        </w:rPr>
      </w:pPr>
      <w:r w:rsidRPr="004725F0">
        <w:rPr>
          <w:rFonts w:ascii="Arial" w:hAnsi="Arial" w:cs="Arial"/>
          <w:kern w:val="0"/>
          <w:sz w:val="22"/>
          <w:szCs w:val="22"/>
          <w14:ligatures w14:val="none"/>
        </w:rPr>
        <w:t xml:space="preserve">Therefore, glucose and oxygen have complementary roles in energy metabolism. Glucose provides the chemical energy that </w:t>
      </w:r>
      <w:bookmarkStart w:id="21" w:name="_Int_J9a5NJKa"/>
      <w:r w:rsidRPr="004725F0">
        <w:rPr>
          <w:rFonts w:ascii="Arial" w:hAnsi="Arial" w:cs="Arial"/>
          <w:kern w:val="0"/>
          <w:sz w:val="22"/>
          <w:szCs w:val="22"/>
          <w14:ligatures w14:val="none"/>
        </w:rPr>
        <w:t>is gradually released</w:t>
      </w:r>
      <w:bookmarkEnd w:id="21"/>
      <w:r w:rsidRPr="004725F0">
        <w:rPr>
          <w:rFonts w:ascii="Arial" w:hAnsi="Arial" w:cs="Arial"/>
          <w:kern w:val="0"/>
          <w:sz w:val="22"/>
          <w:szCs w:val="22"/>
          <w14:ligatures w14:val="none"/>
        </w:rPr>
        <w:t xml:space="preserve"> through metabolic reactions, while oxygen enables the efficient transfer of electrons during oxidative phosphorylation. The majority of ATP generated during aerobic respiration </w:t>
      </w:r>
      <w:bookmarkStart w:id="22" w:name="_Int_cYZE0fyF"/>
      <w:r w:rsidRPr="004725F0">
        <w:rPr>
          <w:rFonts w:ascii="Arial" w:hAnsi="Arial" w:cs="Arial"/>
          <w:kern w:val="0"/>
          <w:sz w:val="22"/>
          <w:szCs w:val="22"/>
          <w14:ligatures w14:val="none"/>
        </w:rPr>
        <w:t>is produced</w:t>
      </w:r>
      <w:bookmarkEnd w:id="22"/>
      <w:r w:rsidRPr="004725F0">
        <w:rPr>
          <w:rFonts w:ascii="Arial" w:hAnsi="Arial" w:cs="Arial"/>
          <w:kern w:val="0"/>
          <w:sz w:val="22"/>
          <w:szCs w:val="22"/>
          <w14:ligatures w14:val="none"/>
        </w:rPr>
        <w:t xml:space="preserve"> during oxidative phosphorylation, allowing cells to meet the energy demands of their normal functions (Clark, Douglas, and Choi, 2018).</w:t>
      </w:r>
      <w:r w:rsidRPr="004725F0">
        <w:rPr>
          <w:rFonts w:ascii="Arial" w:eastAsia="Times New Roman" w:hAnsi="Arial" w:cs="Arial"/>
          <w:color w:val="000000" w:themeColor="text1"/>
          <w:kern w:val="0"/>
          <w:sz w:val="22"/>
          <w:szCs w:val="22"/>
          <w:lang w:eastAsia="zh-CN"/>
          <w14:ligatures w14:val="none"/>
        </w:rPr>
        <w:t xml:space="preserve"> </w:t>
      </w:r>
    </w:p>
    <w:p w14:paraId="6778406D" w14:textId="77777777" w:rsidR="004725F0" w:rsidRPr="004725F0" w:rsidRDefault="004725F0" w:rsidP="004725F0">
      <w:pPr>
        <w:keepNext/>
        <w:keepLines/>
        <w:spacing w:before="360" w:after="80" w:line="360" w:lineRule="auto"/>
        <w:outlineLvl w:val="0"/>
        <w:rPr>
          <w:rFonts w:ascii="Arial" w:eastAsia="Times New Roman" w:hAnsi="Arial" w:cs="Arial"/>
          <w:color w:val="000000"/>
          <w:sz w:val="22"/>
          <w:szCs w:val="22"/>
          <w:lang w:eastAsia="zh-CN"/>
        </w:rPr>
      </w:pPr>
      <w:bookmarkStart w:id="23" w:name="_Toc243562464"/>
      <w:r w:rsidRPr="004725F0">
        <w:rPr>
          <w:rFonts w:ascii="Arial" w:eastAsia="Times New Roman" w:hAnsi="Arial" w:cs="Arial"/>
          <w:color w:val="0F4761" w:themeColor="accent1" w:themeShade="BF"/>
          <w:sz w:val="22"/>
          <w:szCs w:val="22"/>
          <w:lang w:eastAsia="zh-CN"/>
        </w:rPr>
        <w:t>Briefly examine how recording and tracking blood sugar levels helps individuals with Type 2 diabetes to safely manage their condition.</w:t>
      </w:r>
      <w:bookmarkEnd w:id="23"/>
    </w:p>
    <w:p w14:paraId="0B4C7F7A"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r w:rsidRPr="004725F0">
        <w:rPr>
          <w:rFonts w:ascii="Arial" w:hAnsi="Arial" w:cs="Arial"/>
          <w:kern w:val="0"/>
          <w:sz w:val="22"/>
          <w:szCs w:val="22"/>
          <w14:ligatures w14:val="none"/>
        </w:rPr>
        <w:t>Type 2 diabetes is a long-term metabolic condition in which the body does not use insulin effectively, resulting in elevated blood glucose levels. Recording and monitoring blood glucose can help individuals understand how factors such as food intake, physical activity, medication, and illness affect their blood glucose. This information can support individuals and healthcare professionals in making informed decisions about diabetes management and reducing the risk of complications associated with prolonged high blood glucose levels (NICE, 2022).</w:t>
      </w:r>
    </w:p>
    <w:p w14:paraId="10C311B0"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r w:rsidRPr="004725F0">
        <w:rPr>
          <w:rFonts w:ascii="Arial" w:hAnsi="Arial" w:cs="Arial"/>
          <w:kern w:val="0"/>
          <w:sz w:val="22"/>
          <w:szCs w:val="22"/>
          <w14:ligatures w14:val="none"/>
        </w:rPr>
        <w:t xml:space="preserve">Regular monitoring can help individuals find patterns and changes in their blood glucose levels. For example, recording glucose readings alongside meals and physical activity may help an individual recognise that certain foods or periods of inactivity are associated with higher glucose levels. This can encourage more informed lifestyle choices and support the individual in working towards their agreed blood glucose targets. NICE (2022) recommends that self-monitoring should </w:t>
      </w:r>
      <w:bookmarkStart w:id="24" w:name="_Int_Vpi9Q0le"/>
      <w:r w:rsidRPr="004725F0">
        <w:rPr>
          <w:rFonts w:ascii="Arial" w:hAnsi="Arial" w:cs="Arial"/>
          <w:kern w:val="0"/>
          <w:sz w:val="22"/>
          <w:szCs w:val="22"/>
          <w14:ligatures w14:val="none"/>
        </w:rPr>
        <w:t>be considered</w:t>
      </w:r>
      <w:bookmarkEnd w:id="24"/>
      <w:r w:rsidRPr="004725F0">
        <w:rPr>
          <w:rFonts w:ascii="Arial" w:hAnsi="Arial" w:cs="Arial"/>
          <w:kern w:val="0"/>
          <w:sz w:val="22"/>
          <w:szCs w:val="22"/>
          <w14:ligatures w14:val="none"/>
        </w:rPr>
        <w:t xml:space="preserve"> where it is likely to provide other information that supports an individual’s self-management.</w:t>
      </w:r>
    </w:p>
    <w:p w14:paraId="268A406A"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r w:rsidRPr="004725F0">
        <w:rPr>
          <w:rFonts w:ascii="Arial" w:hAnsi="Arial" w:cs="Arial"/>
          <w:kern w:val="0"/>
          <w:sz w:val="22"/>
          <w:szCs w:val="22"/>
          <w14:ligatures w14:val="none"/>
        </w:rPr>
        <w:lastRenderedPageBreak/>
        <w:t>Blood glucose records can also provide useful information about the effectiveness of medication and treatment plans. Where an individual is taking medicines that can cause hypoglycaemia, such as insulin or certain sulfonylureas, monitoring blood glucose can help show unusually low readings and support action. Hypoglycaemia can cause symptoms including sweating, shaking, confusion, and weakness and, if severe, can result in loss of consciousness. Therefore, recognising abnormal readings can contribute to safer diabetes management (NHS, 2024).</w:t>
      </w:r>
    </w:p>
    <w:p w14:paraId="20D5F42F"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r w:rsidRPr="004725F0">
        <w:rPr>
          <w:rFonts w:ascii="Arial" w:hAnsi="Arial" w:cs="Arial"/>
          <w:kern w:val="0"/>
          <w:sz w:val="22"/>
          <w:szCs w:val="22"/>
          <w14:ligatures w14:val="none"/>
        </w:rPr>
        <w:t>In addition, keeping an exact record of blood glucose readings can improve communication between the individual and healthcare professionals. Reviewing trends over time can help healthcare professionals assess whether the current management plan is achieving the desired level of glucose control and whether adjustments may be necessary. Blood glucose monitoring can therefore contribute to a more individualised approach to diabetes care rather than relying on isolated readings (NICE, 2022).</w:t>
      </w:r>
    </w:p>
    <w:p w14:paraId="4B05621A"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r w:rsidRPr="004725F0">
        <w:rPr>
          <w:rFonts w:ascii="Arial" w:hAnsi="Arial" w:cs="Arial"/>
          <w:kern w:val="0"/>
          <w:sz w:val="22"/>
          <w:szCs w:val="22"/>
          <w14:ligatures w14:val="none"/>
        </w:rPr>
        <w:t xml:space="preserve">However, blood glucose monitoring should not </w:t>
      </w:r>
      <w:bookmarkStart w:id="25" w:name="_Int_6VJ0LETU"/>
      <w:r w:rsidRPr="004725F0">
        <w:rPr>
          <w:rFonts w:ascii="Arial" w:hAnsi="Arial" w:cs="Arial"/>
          <w:kern w:val="0"/>
          <w:sz w:val="22"/>
          <w:szCs w:val="22"/>
          <w14:ligatures w14:val="none"/>
        </w:rPr>
        <w:t>be viewed</w:t>
      </w:r>
      <w:bookmarkEnd w:id="25"/>
      <w:r w:rsidRPr="004725F0">
        <w:rPr>
          <w:rFonts w:ascii="Arial" w:hAnsi="Arial" w:cs="Arial"/>
          <w:kern w:val="0"/>
          <w:sz w:val="22"/>
          <w:szCs w:val="22"/>
          <w14:ligatures w14:val="none"/>
        </w:rPr>
        <w:t xml:space="preserve"> as the only method of assessing diabetes control. HbA1c testing provides a sign of average blood glucose levels over the earlier two to three months and </w:t>
      </w:r>
      <w:bookmarkStart w:id="26" w:name="_Int_gKlqup1J"/>
      <w:r w:rsidRPr="004725F0">
        <w:rPr>
          <w:rFonts w:ascii="Arial" w:hAnsi="Arial" w:cs="Arial"/>
          <w:kern w:val="0"/>
          <w:sz w:val="22"/>
          <w:szCs w:val="22"/>
          <w14:ligatures w14:val="none"/>
        </w:rPr>
        <w:t>is routinely used</w:t>
      </w:r>
      <w:bookmarkEnd w:id="26"/>
      <w:r w:rsidRPr="004725F0">
        <w:rPr>
          <w:rFonts w:ascii="Arial" w:hAnsi="Arial" w:cs="Arial"/>
          <w:kern w:val="0"/>
          <w:sz w:val="22"/>
          <w:szCs w:val="22"/>
          <w14:ligatures w14:val="none"/>
        </w:rPr>
        <w:t xml:space="preserve"> to assess longer-term glycemic control. Consequently, combining </w:t>
      </w:r>
      <w:bookmarkStart w:id="27" w:name="_Int_paPx92cJ"/>
      <w:r w:rsidRPr="004725F0">
        <w:rPr>
          <w:rFonts w:ascii="Arial" w:hAnsi="Arial" w:cs="Arial"/>
          <w:kern w:val="0"/>
          <w:sz w:val="22"/>
          <w:szCs w:val="22"/>
          <w14:ligatures w14:val="none"/>
        </w:rPr>
        <w:t>appropriate self-</w:t>
      </w:r>
      <w:bookmarkEnd w:id="27"/>
      <w:r w:rsidRPr="004725F0">
        <w:rPr>
          <w:rFonts w:ascii="Arial" w:hAnsi="Arial" w:cs="Arial"/>
          <w:kern w:val="0"/>
          <w:sz w:val="22"/>
          <w:szCs w:val="22"/>
          <w14:ligatures w14:val="none"/>
        </w:rPr>
        <w:t>monitoring with regular clinical reviews and HbA1c testing can provide a more comprehensive understanding of an individual’s diabetes management (NICE, 2022).</w:t>
      </w:r>
    </w:p>
    <w:p w14:paraId="28914DAC"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r w:rsidRPr="004725F0">
        <w:rPr>
          <w:rFonts w:ascii="Arial" w:hAnsi="Arial" w:cs="Arial"/>
          <w:kern w:val="0"/>
          <w:sz w:val="22"/>
          <w:szCs w:val="22"/>
          <w14:ligatures w14:val="none"/>
        </w:rPr>
        <w:t>Overall, recording and tracking blood glucose levels can support individuals with Type 2 diabetes by helping them recognise patterns, understand the effects of lifestyle and treatment, show potentially unsafe glucose levels, and communicate more effectively with healthcare professionals. Used appropriately alongside lifestyle management, medication and routine clinical monitoring, blood glucose records can contribute to safer and more effective long-term management of Type 2 diabetes (NICE, 2022).</w:t>
      </w:r>
    </w:p>
    <w:p w14:paraId="695D8B3C" w14:textId="77777777" w:rsidR="004725F0" w:rsidRPr="004725F0" w:rsidRDefault="004725F0" w:rsidP="004725F0">
      <w:pPr>
        <w:keepNext/>
        <w:keepLines/>
        <w:spacing w:before="360" w:after="80" w:line="360" w:lineRule="auto"/>
        <w:outlineLvl w:val="0"/>
        <w:rPr>
          <w:rFonts w:ascii="Arial" w:eastAsia="Times New Roman" w:hAnsi="Arial" w:cs="Arial"/>
          <w:color w:val="0F4761" w:themeColor="accent1" w:themeShade="BF"/>
          <w:sz w:val="22"/>
          <w:szCs w:val="22"/>
          <w:lang w:eastAsia="zh-CN"/>
        </w:rPr>
      </w:pPr>
      <w:bookmarkStart w:id="28" w:name="_Toc243562465"/>
      <w:r w:rsidRPr="004725F0">
        <w:rPr>
          <w:rFonts w:ascii="Arial" w:eastAsia="Times New Roman" w:hAnsi="Arial" w:cs="Arial"/>
          <w:color w:val="0F4761" w:themeColor="accent1" w:themeShade="BF"/>
          <w:sz w:val="22"/>
          <w:szCs w:val="22"/>
          <w:lang w:eastAsia="zh-CN"/>
        </w:rPr>
        <w:t>Include evidence-based recommendations on how lifestyle changes could help improve their condition.</w:t>
      </w:r>
      <w:bookmarkEnd w:id="28"/>
    </w:p>
    <w:p w14:paraId="44B36F23"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r w:rsidRPr="004725F0">
        <w:rPr>
          <w:rFonts w:ascii="Arial" w:hAnsi="Arial" w:cs="Arial"/>
          <w:kern w:val="0"/>
          <w:sz w:val="22"/>
          <w:szCs w:val="22"/>
          <w14:ligatures w14:val="none"/>
        </w:rPr>
        <w:t xml:space="preserve">Lifestyle modifications play a key role in managing Type 2 diabetes because they can improve blood glucose control, support insulin sensitivity and reduce the risk of long-term complications. The National Institute for Health and Care Excellence (NICE, 2026) recommends that lifestyle advice should be personalised according to the individual’s health needs, preferences, and circumstances. Important interventions include healthy eating, regular physical activity, weight management, and smoking cessation. However, the </w:t>
      </w:r>
      <w:r w:rsidRPr="004725F0">
        <w:rPr>
          <w:rFonts w:ascii="Arial" w:hAnsi="Arial" w:cs="Arial"/>
          <w:kern w:val="0"/>
          <w:sz w:val="22"/>
          <w:szCs w:val="22"/>
          <w14:ligatures w14:val="none"/>
        </w:rPr>
        <w:lastRenderedPageBreak/>
        <w:t xml:space="preserve">effectiveness of these changes varies between individuals, and lifestyle modifications may need to </w:t>
      </w:r>
      <w:bookmarkStart w:id="29" w:name="_Int_oPCBoeHe"/>
      <w:r w:rsidRPr="004725F0">
        <w:rPr>
          <w:rFonts w:ascii="Arial" w:hAnsi="Arial" w:cs="Arial"/>
          <w:kern w:val="0"/>
          <w:sz w:val="22"/>
          <w:szCs w:val="22"/>
          <w14:ligatures w14:val="none"/>
        </w:rPr>
        <w:t>be combined</w:t>
      </w:r>
      <w:bookmarkEnd w:id="29"/>
      <w:r w:rsidRPr="004725F0">
        <w:rPr>
          <w:rFonts w:ascii="Arial" w:hAnsi="Arial" w:cs="Arial"/>
          <w:kern w:val="0"/>
          <w:sz w:val="22"/>
          <w:szCs w:val="22"/>
          <w14:ligatures w14:val="none"/>
        </w:rPr>
        <w:t xml:space="preserve"> with prescribed medication.</w:t>
      </w:r>
    </w:p>
    <w:p w14:paraId="32BB7299"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r w:rsidRPr="004725F0">
        <w:rPr>
          <w:rFonts w:ascii="Arial" w:hAnsi="Arial" w:cs="Arial"/>
          <w:kern w:val="0"/>
          <w:sz w:val="22"/>
          <w:szCs w:val="22"/>
          <w14:ligatures w14:val="none"/>
        </w:rPr>
        <w:t xml:space="preserve">Individuals with Type 2 diabetes should </w:t>
      </w:r>
      <w:bookmarkStart w:id="30" w:name="_Int_dFYFaxML"/>
      <w:r w:rsidRPr="004725F0">
        <w:rPr>
          <w:rFonts w:ascii="Arial" w:hAnsi="Arial" w:cs="Arial"/>
          <w:kern w:val="0"/>
          <w:sz w:val="22"/>
          <w:szCs w:val="22"/>
          <w14:ligatures w14:val="none"/>
        </w:rPr>
        <w:t>be encouraged</w:t>
      </w:r>
      <w:bookmarkEnd w:id="30"/>
      <w:r w:rsidRPr="004725F0">
        <w:rPr>
          <w:rFonts w:ascii="Arial" w:hAnsi="Arial" w:cs="Arial"/>
          <w:kern w:val="0"/>
          <w:sz w:val="22"/>
          <w:szCs w:val="22"/>
          <w14:ligatures w14:val="none"/>
        </w:rPr>
        <w:t xml:space="preserve"> to adopt a balanced diet that includes vegetables, fruit, wholegrain, pulses, and other fibre-rich foods. Reducing sugary drinks, refined carbohydrates and processed foods can support blood glucose management and improve overall dietary quality. Diabetes UK (2018) recommends an individualised dietary approach that considers personal preferences and cultural requirements. This can make dietary changes more achievable and sustainable. A balanced diet should focus on the quality and part size of carbohydrates rather than unnecessarily cutting entire food groups. Therefore, nutritional advice from a qualified healthcare professional can help individuals develop a suitable eating plan that supports diabetes management (Diabetes UK, 2018).</w:t>
      </w:r>
    </w:p>
    <w:p w14:paraId="5C282C1A"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r w:rsidRPr="004725F0">
        <w:rPr>
          <w:rFonts w:ascii="Arial" w:hAnsi="Arial" w:cs="Arial"/>
          <w:kern w:val="0"/>
          <w:sz w:val="22"/>
          <w:szCs w:val="22"/>
          <w14:ligatures w14:val="none"/>
        </w:rPr>
        <w:t xml:space="preserve">Regular exercise is another important recommendation because physical activity helps muscles use glucose for energy and can improve the body’s response to insulin. The NHS (2024) recommends that adults aim for at least 150 minutes of moderate-intensity activity per week, such as brisk walking, cycling, or swimming, where right. Activity can </w:t>
      </w:r>
      <w:bookmarkStart w:id="31" w:name="_Int_CJZGYhnS"/>
      <w:r w:rsidRPr="004725F0">
        <w:rPr>
          <w:rFonts w:ascii="Arial" w:hAnsi="Arial" w:cs="Arial"/>
          <w:kern w:val="0"/>
          <w:sz w:val="22"/>
          <w:szCs w:val="22"/>
          <w14:ligatures w14:val="none"/>
        </w:rPr>
        <w:t>be divided</w:t>
      </w:r>
      <w:bookmarkEnd w:id="31"/>
      <w:r w:rsidRPr="004725F0">
        <w:rPr>
          <w:rFonts w:ascii="Arial" w:hAnsi="Arial" w:cs="Arial"/>
          <w:kern w:val="0"/>
          <w:sz w:val="22"/>
          <w:szCs w:val="22"/>
          <w14:ligatures w14:val="none"/>
        </w:rPr>
        <w:t xml:space="preserve"> into shorter sessions to make it easier to incorporate into everyday life. Reducing prolonged sitting may also support overall health. However, exercise plans should reflect the individual’s fitness, mobility, and existing health conditions. People taking insulin or certain glucose-lowering medicines should seek advice about preventing hypoglycaemia, as physical activity can sometimes cause blood glucose to fall excessively (Diabetes UK, n.d.).</w:t>
      </w:r>
    </w:p>
    <w:p w14:paraId="0C30B718"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r w:rsidRPr="004725F0">
        <w:rPr>
          <w:rFonts w:ascii="Arial" w:hAnsi="Arial" w:cs="Arial"/>
          <w:kern w:val="0"/>
          <w:sz w:val="22"/>
          <w:szCs w:val="22"/>
          <w14:ligatures w14:val="none"/>
        </w:rPr>
        <w:t xml:space="preserve">For individuals who are overweight or living with obesity, gradual and sustained weight loss can improve insulin sensitivity and blood glucose regulation. The NHS (n.d.) explains that some people with Type 2 diabetes may achieve remission following significant weight loss. Remission means that blood glucose levels return below the diabetes threshold without glucose-lowering medication for a sustained period; it does not mean the condition has </w:t>
      </w:r>
      <w:bookmarkStart w:id="32" w:name="_Int_Z9Vl1HpD"/>
      <w:r w:rsidRPr="004725F0">
        <w:rPr>
          <w:rFonts w:ascii="Arial" w:hAnsi="Arial" w:cs="Arial"/>
          <w:kern w:val="0"/>
          <w:sz w:val="22"/>
          <w:szCs w:val="22"/>
          <w14:ligatures w14:val="none"/>
        </w:rPr>
        <w:t>been permanently cured</w:t>
      </w:r>
      <w:bookmarkEnd w:id="32"/>
      <w:r w:rsidRPr="004725F0">
        <w:rPr>
          <w:rFonts w:ascii="Arial" w:hAnsi="Arial" w:cs="Arial"/>
          <w:kern w:val="0"/>
          <w:sz w:val="22"/>
          <w:szCs w:val="22"/>
          <w14:ligatures w14:val="none"/>
        </w:rPr>
        <w:t xml:space="preserve">. The likelihood of remission varies according to factors such as the duration of diabetes and the amount of weight lost. Consequently, an individualised weight-management programme, supported by healthcare professionals, may improve metabolic health, although remission cannot </w:t>
      </w:r>
      <w:bookmarkStart w:id="33" w:name="_Int_xko07987"/>
      <w:r w:rsidRPr="004725F0">
        <w:rPr>
          <w:rFonts w:ascii="Arial" w:hAnsi="Arial" w:cs="Arial"/>
          <w:kern w:val="0"/>
          <w:sz w:val="22"/>
          <w:szCs w:val="22"/>
          <w14:ligatures w14:val="none"/>
        </w:rPr>
        <w:t>be guaranteed (NHS, n.d.)</w:t>
      </w:r>
      <w:bookmarkEnd w:id="33"/>
      <w:r w:rsidRPr="004725F0">
        <w:rPr>
          <w:rFonts w:ascii="Arial" w:hAnsi="Arial" w:cs="Arial"/>
          <w:kern w:val="0"/>
          <w:sz w:val="22"/>
          <w:szCs w:val="22"/>
          <w14:ligatures w14:val="none"/>
        </w:rPr>
        <w:t>.</w:t>
      </w:r>
    </w:p>
    <w:p w14:paraId="43ECB86F"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r w:rsidRPr="004725F0">
        <w:rPr>
          <w:rFonts w:ascii="Arial" w:hAnsi="Arial" w:cs="Arial"/>
          <w:kern w:val="0"/>
          <w:sz w:val="22"/>
          <w:szCs w:val="22"/>
          <w14:ligatures w14:val="none"/>
        </w:rPr>
        <w:t xml:space="preserve">Stopping smoking is particularly important because Type 2 diabetes is associated with an increased risk of cardiovascular disease. Smoking adds to this risk, so quitting can improve overall cardiovascular health. Individuals who struggle to stop smoking should </w:t>
      </w:r>
      <w:bookmarkStart w:id="34" w:name="_Int_0zDu4IwC"/>
      <w:r w:rsidRPr="004725F0">
        <w:rPr>
          <w:rFonts w:ascii="Arial" w:hAnsi="Arial" w:cs="Arial"/>
          <w:kern w:val="0"/>
          <w:sz w:val="22"/>
          <w:szCs w:val="22"/>
          <w14:ligatures w14:val="none"/>
        </w:rPr>
        <w:t>be offered</w:t>
      </w:r>
      <w:bookmarkEnd w:id="34"/>
      <w:r w:rsidRPr="004725F0">
        <w:rPr>
          <w:rFonts w:ascii="Arial" w:hAnsi="Arial" w:cs="Arial"/>
          <w:kern w:val="0"/>
          <w:sz w:val="22"/>
          <w:szCs w:val="22"/>
          <w14:ligatures w14:val="none"/>
        </w:rPr>
        <w:t xml:space="preserve"> right professional support. Alcohol consumption should also </w:t>
      </w:r>
      <w:bookmarkStart w:id="35" w:name="_Int_UXHV4L8G"/>
      <w:r w:rsidRPr="004725F0">
        <w:rPr>
          <w:rFonts w:ascii="Arial" w:hAnsi="Arial" w:cs="Arial"/>
          <w:kern w:val="0"/>
          <w:sz w:val="22"/>
          <w:szCs w:val="22"/>
          <w14:ligatures w14:val="none"/>
        </w:rPr>
        <w:t>be discussed</w:t>
      </w:r>
      <w:bookmarkEnd w:id="35"/>
      <w:r w:rsidRPr="004725F0">
        <w:rPr>
          <w:rFonts w:ascii="Arial" w:hAnsi="Arial" w:cs="Arial"/>
          <w:kern w:val="0"/>
          <w:sz w:val="22"/>
          <w:szCs w:val="22"/>
          <w14:ligatures w14:val="none"/>
        </w:rPr>
        <w:t xml:space="preserve"> during diabetes </w:t>
      </w:r>
      <w:r w:rsidRPr="004725F0">
        <w:rPr>
          <w:rFonts w:ascii="Arial" w:hAnsi="Arial" w:cs="Arial"/>
          <w:kern w:val="0"/>
          <w:sz w:val="22"/>
          <w:szCs w:val="22"/>
          <w14:ligatures w14:val="none"/>
        </w:rPr>
        <w:lastRenderedPageBreak/>
        <w:t>reviews because alcohol can affect blood glucose levels, particularly in people taking insulin or medicines that can cause hypoglycaemia. Moderating alcohol intake and following personalised healthcare advice can therefore help reduce avoidable risks (NICE, 2026; NHS, 2024).</w:t>
      </w:r>
    </w:p>
    <w:p w14:paraId="6B6C5450"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r w:rsidRPr="004725F0">
        <w:rPr>
          <w:rFonts w:ascii="Arial" w:hAnsi="Arial" w:cs="Arial"/>
          <w:kern w:val="0"/>
          <w:sz w:val="22"/>
          <w:szCs w:val="22"/>
          <w14:ligatures w14:val="none"/>
        </w:rPr>
        <w:t>Lifestyle changes are more likely to be effective when individuals receive ongoing support and regularly review their progress. Keeping track of physical activity, dietary habits and weight can help find improvements and areas requiring further attention. Healthcare professionals can assess longer-term blood glucose control using HbA1c testing and review other risk factors, including blood pressure and cholesterol. NICE (2026) recommends individualised treatment targets and regular assessment to figure out whether the management plan stays proper. If lifestyle changes alone do not achieve adequate glucose control, medication may still be necessary. Individuals should not stop or adjust prescribed treatment without consulting their healthcare professional.</w:t>
      </w:r>
    </w:p>
    <w:p w14:paraId="35EB60AC" w14:textId="77777777" w:rsidR="004725F0" w:rsidRPr="004725F0" w:rsidRDefault="004725F0" w:rsidP="004725F0">
      <w:pPr>
        <w:keepNext/>
        <w:keepLines/>
        <w:spacing w:before="360" w:after="80" w:line="360" w:lineRule="auto"/>
        <w:outlineLvl w:val="0"/>
        <w:rPr>
          <w:rFonts w:ascii="Arial" w:eastAsia="Times New Roman" w:hAnsi="Arial" w:cs="Arial"/>
          <w:color w:val="0F4761" w:themeColor="accent1" w:themeShade="BF"/>
          <w:sz w:val="22"/>
          <w:szCs w:val="22"/>
          <w:lang w:eastAsia="zh-CN"/>
        </w:rPr>
      </w:pPr>
      <w:bookmarkStart w:id="36" w:name="_Toc243562466"/>
      <w:r w:rsidRPr="004725F0">
        <w:rPr>
          <w:rFonts w:ascii="Arial" w:eastAsia="Times New Roman" w:hAnsi="Arial" w:cs="Arial"/>
          <w:color w:val="0F4761" w:themeColor="accent1" w:themeShade="BF"/>
          <w:sz w:val="22"/>
          <w:szCs w:val="22"/>
          <w:lang w:eastAsia="zh-CN"/>
        </w:rPr>
        <w:t>Conclusion</w:t>
      </w:r>
      <w:bookmarkEnd w:id="36"/>
    </w:p>
    <w:p w14:paraId="21E877A2" w14:textId="77777777" w:rsidR="004725F0" w:rsidRPr="004725F0" w:rsidRDefault="004725F0" w:rsidP="004725F0">
      <w:pPr>
        <w:spacing w:before="100" w:beforeAutospacing="1" w:after="100" w:afterAutospacing="1" w:line="360" w:lineRule="auto"/>
        <w:rPr>
          <w:rFonts w:ascii="Arial" w:hAnsi="Arial" w:cs="Arial"/>
          <w:kern w:val="0"/>
          <w:sz w:val="22"/>
          <w:szCs w:val="22"/>
          <w14:ligatures w14:val="none"/>
        </w:rPr>
      </w:pPr>
      <w:r w:rsidRPr="004725F0">
        <w:rPr>
          <w:rFonts w:ascii="Arial" w:hAnsi="Arial" w:cs="Arial"/>
          <w:kern w:val="0"/>
          <w:sz w:val="22"/>
          <w:szCs w:val="22"/>
          <w14:ligatures w14:val="none"/>
        </w:rPr>
        <w:t>In conclusion, understanding diabetes and how the body regulates and uses glucose is important for effective Type 2 diabetes management. Recording blood glucose when clinically can help patients show patterns, recognise potentially unsafe levels and discuss treatment with healthcare professionals. Healthy eating, regular physical activity, weight management, and smoking cessation can improve glucose control and reduce cardiovascular risk. As a practice nurse, providing clear education, setting achievable goals, and offering individualised support can help patients take part more confidently in their care. Combining monitoring, lifestyle changes, prescribed treatment, and regular reviews supports safer, more effective long-term diabetes management.</w:t>
      </w:r>
    </w:p>
    <w:p w14:paraId="09B204A7" w14:textId="77777777" w:rsidR="004725F0" w:rsidRPr="00317D0F" w:rsidRDefault="004725F0" w:rsidP="00317D0F"/>
    <w:sectPr w:rsidR="004725F0" w:rsidRPr="00317D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91749AC" w14:textId="77777777" w:rsidR="00B74E50" w:rsidRDefault="00B74E50" w:rsidP="00C80FCF">
      <w:pPr>
        <w:spacing w:after="0" w:line="240" w:lineRule="auto"/>
      </w:pPr>
      <w:r>
        <w:separator/>
      </w:r>
    </w:p>
  </w:endnote>
  <w:endnote w:type="continuationSeparator" w:id="0">
    <w:p w14:paraId="0999B1AE" w14:textId="77777777" w:rsidR="00B74E50" w:rsidRDefault="00B74E50" w:rsidP="00C80F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58D5F6E" w14:textId="77777777" w:rsidR="00B74E50" w:rsidRDefault="00B74E50" w:rsidP="00C80FCF">
      <w:pPr>
        <w:spacing w:after="0" w:line="240" w:lineRule="auto"/>
      </w:pPr>
      <w:r>
        <w:separator/>
      </w:r>
    </w:p>
  </w:footnote>
  <w:footnote w:type="continuationSeparator" w:id="0">
    <w:p w14:paraId="0897648D" w14:textId="77777777" w:rsidR="00B74E50" w:rsidRDefault="00B74E50" w:rsidP="00C80FC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A59"/>
    <w:rsid w:val="00084ACA"/>
    <w:rsid w:val="001C384D"/>
    <w:rsid w:val="00317D0F"/>
    <w:rsid w:val="003A56FD"/>
    <w:rsid w:val="004725F0"/>
    <w:rsid w:val="00541A59"/>
    <w:rsid w:val="006F5294"/>
    <w:rsid w:val="00915D02"/>
    <w:rsid w:val="00B74E50"/>
    <w:rsid w:val="00C80FCF"/>
    <w:rsid w:val="00F75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92DA2D"/>
  <w15:chartTrackingRefBased/>
  <w15:docId w15:val="{82438E16-D9E2-3340-A821-A85148EB6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1A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1A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41A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1A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1A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1A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1A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1A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1A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A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1A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41A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1A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1A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1A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1A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1A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1A59"/>
    <w:rPr>
      <w:rFonts w:eastAsiaTheme="majorEastAsia" w:cstheme="majorBidi"/>
      <w:color w:val="272727" w:themeColor="text1" w:themeTint="D8"/>
    </w:rPr>
  </w:style>
  <w:style w:type="paragraph" w:styleId="Title">
    <w:name w:val="Title"/>
    <w:basedOn w:val="Normal"/>
    <w:next w:val="Normal"/>
    <w:link w:val="TitleChar"/>
    <w:uiPriority w:val="10"/>
    <w:qFormat/>
    <w:rsid w:val="00541A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1A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1A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1A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1A59"/>
    <w:pPr>
      <w:spacing w:before="160"/>
      <w:jc w:val="center"/>
    </w:pPr>
    <w:rPr>
      <w:i/>
      <w:iCs/>
      <w:color w:val="404040" w:themeColor="text1" w:themeTint="BF"/>
    </w:rPr>
  </w:style>
  <w:style w:type="character" w:customStyle="1" w:styleId="QuoteChar">
    <w:name w:val="Quote Char"/>
    <w:basedOn w:val="DefaultParagraphFont"/>
    <w:link w:val="Quote"/>
    <w:uiPriority w:val="29"/>
    <w:rsid w:val="00541A59"/>
    <w:rPr>
      <w:i/>
      <w:iCs/>
      <w:color w:val="404040" w:themeColor="text1" w:themeTint="BF"/>
    </w:rPr>
  </w:style>
  <w:style w:type="paragraph" w:styleId="ListParagraph">
    <w:name w:val="List Paragraph"/>
    <w:basedOn w:val="Normal"/>
    <w:uiPriority w:val="34"/>
    <w:qFormat/>
    <w:rsid w:val="00541A59"/>
    <w:pPr>
      <w:ind w:left="720"/>
      <w:contextualSpacing/>
    </w:pPr>
  </w:style>
  <w:style w:type="character" w:styleId="IntenseEmphasis">
    <w:name w:val="Intense Emphasis"/>
    <w:basedOn w:val="DefaultParagraphFont"/>
    <w:uiPriority w:val="21"/>
    <w:qFormat/>
    <w:rsid w:val="00541A59"/>
    <w:rPr>
      <w:i/>
      <w:iCs/>
      <w:color w:val="0F4761" w:themeColor="accent1" w:themeShade="BF"/>
    </w:rPr>
  </w:style>
  <w:style w:type="paragraph" w:styleId="IntenseQuote">
    <w:name w:val="Intense Quote"/>
    <w:basedOn w:val="Normal"/>
    <w:next w:val="Normal"/>
    <w:link w:val="IntenseQuoteChar"/>
    <w:uiPriority w:val="30"/>
    <w:qFormat/>
    <w:rsid w:val="00541A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1A59"/>
    <w:rPr>
      <w:i/>
      <w:iCs/>
      <w:color w:val="0F4761" w:themeColor="accent1" w:themeShade="BF"/>
    </w:rPr>
  </w:style>
  <w:style w:type="character" w:styleId="IntenseReference">
    <w:name w:val="Intense Reference"/>
    <w:basedOn w:val="DefaultParagraphFont"/>
    <w:uiPriority w:val="32"/>
    <w:qFormat/>
    <w:rsid w:val="00541A59"/>
    <w:rPr>
      <w:b/>
      <w:bCs/>
      <w:smallCaps/>
      <w:color w:val="0F4761" w:themeColor="accent1" w:themeShade="BF"/>
      <w:spacing w:val="5"/>
    </w:rPr>
  </w:style>
  <w:style w:type="paragraph" w:customStyle="1" w:styleId="p1">
    <w:name w:val="p1"/>
    <w:basedOn w:val="Normal"/>
    <w:rsid w:val="00541A59"/>
    <w:pPr>
      <w:spacing w:after="0" w:line="240" w:lineRule="auto"/>
    </w:pPr>
    <w:rPr>
      <w:rFonts w:ascii=".AppleSystemUIFont" w:hAnsi=".AppleSystemUIFont" w:cs="Times New Roman"/>
      <w:kern w:val="0"/>
      <w:sz w:val="23"/>
      <w:szCs w:val="23"/>
      <w14:ligatures w14:val="none"/>
    </w:rPr>
  </w:style>
  <w:style w:type="character" w:customStyle="1" w:styleId="s1">
    <w:name w:val="s1"/>
    <w:basedOn w:val="DefaultParagraphFont"/>
    <w:rsid w:val="00541A59"/>
    <w:rPr>
      <w:rFonts w:ascii="UICTFontTextStyleBody" w:hAnsi="UICTFontTextStyleBody" w:hint="default"/>
      <w:b w:val="0"/>
      <w:bCs w:val="0"/>
      <w:i w:val="0"/>
      <w:iCs w:val="0"/>
      <w:sz w:val="23"/>
      <w:szCs w:val="23"/>
    </w:rPr>
  </w:style>
  <w:style w:type="paragraph" w:styleId="Header">
    <w:name w:val="header"/>
    <w:basedOn w:val="Normal"/>
    <w:link w:val="HeaderChar"/>
    <w:uiPriority w:val="99"/>
    <w:unhideWhenUsed/>
    <w:rsid w:val="00C80F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FCF"/>
  </w:style>
  <w:style w:type="paragraph" w:styleId="Footer">
    <w:name w:val="footer"/>
    <w:basedOn w:val="Normal"/>
    <w:link w:val="FooterChar"/>
    <w:uiPriority w:val="99"/>
    <w:unhideWhenUsed/>
    <w:rsid w:val="00C80F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F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6</Pages>
  <Words>2297</Words>
  <Characters>13096</Characters>
  <Application>Microsoft Office Word</Application>
  <DocSecurity>0</DocSecurity>
  <Lines>109</Lines>
  <Paragraphs>30</Paragraphs>
  <ScaleCrop>false</ScaleCrop>
  <Company/>
  <LinksUpToDate>false</LinksUpToDate>
  <CharactersWithSpaces>15363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Mariyaa Iqbal (2506503)</dc:creator>
  <cp:keywords/>
  <dc:description/>
  <cp:lastModifiedBy>Mariyaa Iqbal (2506503)</cp:lastModifiedBy>
  <cp:revision>7</cp:revision>
  <dcterms:created xsi:type="dcterms:W3CDTF">2026-10-09T09:39:00Z</dcterms:created>
  <dcterms:modified xsi:type="dcterms:W3CDTF">2026-10-22T11:00:00Z</dcterms:modified>
</cp:coreProperties>
</file>