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7FA47" w14:textId="77777777" w:rsidR="00822F48" w:rsidRPr="00822F48" w:rsidRDefault="00822F48" w:rsidP="00FB7C6A">
      <w:pPr>
        <w:spacing w:line="360" w:lineRule="auto"/>
        <w:jc w:val="center"/>
        <w:rPr>
          <w:rFonts w:ascii="Arial" w:hAnsi="Arial" w:cs="Arial"/>
          <w:b/>
          <w:bCs/>
          <w:sz w:val="44"/>
          <w:szCs w:val="44"/>
        </w:rPr>
      </w:pPr>
      <w:r w:rsidRPr="00822F48">
        <w:rPr>
          <w:rFonts w:ascii="Arial" w:hAnsi="Arial" w:cs="Arial"/>
          <w:b/>
          <w:bCs/>
          <w:sz w:val="44"/>
          <w:szCs w:val="44"/>
        </w:rPr>
        <w:t>Written Report</w:t>
      </w:r>
    </w:p>
    <w:p w14:paraId="329CB77A" w14:textId="77777777" w:rsidR="00FB7C6A" w:rsidRDefault="00FB7C6A" w:rsidP="00FB7C6A">
      <w:pPr>
        <w:spacing w:line="360" w:lineRule="auto"/>
        <w:jc w:val="center"/>
        <w:rPr>
          <w:rFonts w:ascii="Arial" w:hAnsi="Arial" w:cs="Arial"/>
          <w:b/>
          <w:bCs/>
          <w:sz w:val="24"/>
          <w:szCs w:val="24"/>
        </w:rPr>
      </w:pPr>
    </w:p>
    <w:p w14:paraId="0CDFE7B8" w14:textId="77777777" w:rsidR="00FB7C6A" w:rsidRDefault="00FB7C6A" w:rsidP="00FB7C6A">
      <w:pPr>
        <w:spacing w:line="360" w:lineRule="auto"/>
        <w:jc w:val="center"/>
        <w:rPr>
          <w:rFonts w:ascii="Arial" w:hAnsi="Arial" w:cs="Arial"/>
          <w:b/>
          <w:bCs/>
          <w:sz w:val="24"/>
          <w:szCs w:val="24"/>
        </w:rPr>
      </w:pPr>
    </w:p>
    <w:p w14:paraId="340E98A1" w14:textId="77777777" w:rsidR="00FB7C6A" w:rsidRDefault="00FB7C6A" w:rsidP="00FB7C6A">
      <w:pPr>
        <w:spacing w:line="360" w:lineRule="auto"/>
        <w:jc w:val="center"/>
        <w:rPr>
          <w:rFonts w:ascii="Arial" w:hAnsi="Arial" w:cs="Arial"/>
          <w:b/>
          <w:bCs/>
          <w:sz w:val="24"/>
          <w:szCs w:val="24"/>
        </w:rPr>
      </w:pPr>
    </w:p>
    <w:p w14:paraId="7EF618DA" w14:textId="77777777" w:rsidR="00FB7C6A" w:rsidRDefault="00FB7C6A" w:rsidP="00FB7C6A">
      <w:pPr>
        <w:spacing w:line="360" w:lineRule="auto"/>
        <w:jc w:val="center"/>
        <w:rPr>
          <w:rFonts w:ascii="Arial" w:hAnsi="Arial" w:cs="Arial"/>
          <w:b/>
          <w:bCs/>
          <w:sz w:val="24"/>
          <w:szCs w:val="24"/>
        </w:rPr>
      </w:pPr>
    </w:p>
    <w:p w14:paraId="09A42AC4" w14:textId="77777777" w:rsidR="00FB7C6A" w:rsidRDefault="00FB7C6A" w:rsidP="00FB7C6A">
      <w:pPr>
        <w:spacing w:line="360" w:lineRule="auto"/>
        <w:jc w:val="center"/>
        <w:rPr>
          <w:rFonts w:ascii="Arial" w:hAnsi="Arial" w:cs="Arial"/>
          <w:b/>
          <w:bCs/>
          <w:sz w:val="24"/>
          <w:szCs w:val="24"/>
        </w:rPr>
      </w:pPr>
    </w:p>
    <w:p w14:paraId="558EEB86" w14:textId="77777777" w:rsidR="00FB7C6A" w:rsidRDefault="00FB7C6A" w:rsidP="00FB7C6A">
      <w:pPr>
        <w:spacing w:line="360" w:lineRule="auto"/>
        <w:jc w:val="center"/>
        <w:rPr>
          <w:rFonts w:ascii="Arial" w:hAnsi="Arial" w:cs="Arial"/>
          <w:b/>
          <w:bCs/>
          <w:sz w:val="24"/>
          <w:szCs w:val="24"/>
        </w:rPr>
      </w:pPr>
    </w:p>
    <w:p w14:paraId="629BD0E5" w14:textId="77777777" w:rsidR="00FB7C6A" w:rsidRDefault="00FB7C6A" w:rsidP="00FB7C6A">
      <w:pPr>
        <w:spacing w:line="360" w:lineRule="auto"/>
        <w:jc w:val="center"/>
        <w:rPr>
          <w:rFonts w:ascii="Arial" w:hAnsi="Arial" w:cs="Arial"/>
          <w:b/>
          <w:bCs/>
          <w:sz w:val="24"/>
          <w:szCs w:val="24"/>
        </w:rPr>
      </w:pPr>
    </w:p>
    <w:p w14:paraId="246CC60F" w14:textId="77777777" w:rsidR="00FB7C6A" w:rsidRDefault="00FB7C6A" w:rsidP="00FB7C6A">
      <w:pPr>
        <w:spacing w:line="360" w:lineRule="auto"/>
        <w:jc w:val="center"/>
        <w:rPr>
          <w:rFonts w:ascii="Arial" w:hAnsi="Arial" w:cs="Arial"/>
          <w:b/>
          <w:bCs/>
          <w:sz w:val="24"/>
          <w:szCs w:val="24"/>
        </w:rPr>
      </w:pPr>
    </w:p>
    <w:p w14:paraId="62A75B81" w14:textId="77777777" w:rsidR="00FB7C6A" w:rsidRPr="00822F48" w:rsidRDefault="00FB7C6A" w:rsidP="00FB7C6A">
      <w:pPr>
        <w:spacing w:line="360" w:lineRule="auto"/>
        <w:jc w:val="center"/>
        <w:rPr>
          <w:rFonts w:ascii="Arial" w:hAnsi="Arial" w:cs="Arial"/>
          <w:b/>
          <w:bCs/>
          <w:sz w:val="28"/>
          <w:szCs w:val="28"/>
        </w:rPr>
      </w:pPr>
      <w:r w:rsidRPr="00822F48">
        <w:rPr>
          <w:rFonts w:ascii="Arial" w:hAnsi="Arial" w:cs="Arial"/>
          <w:b/>
          <w:bCs/>
          <w:sz w:val="28"/>
          <w:szCs w:val="28"/>
        </w:rPr>
        <w:t>Management &amp; Organisational Behaviour</w:t>
      </w:r>
    </w:p>
    <w:p w14:paraId="496E41F9" w14:textId="3B1603E2" w:rsidR="00FB7C6A" w:rsidRPr="00822F48" w:rsidRDefault="00FB7C6A" w:rsidP="00FB7C6A">
      <w:pPr>
        <w:spacing w:line="360" w:lineRule="auto"/>
        <w:jc w:val="center"/>
        <w:rPr>
          <w:rFonts w:ascii="Arial" w:hAnsi="Arial" w:cs="Arial"/>
          <w:b/>
          <w:bCs/>
          <w:sz w:val="28"/>
          <w:szCs w:val="28"/>
        </w:rPr>
      </w:pPr>
      <w:r w:rsidRPr="00822F48">
        <w:rPr>
          <w:rFonts w:ascii="Arial" w:hAnsi="Arial" w:cs="Arial"/>
          <w:b/>
          <w:bCs/>
          <w:sz w:val="28"/>
          <w:szCs w:val="28"/>
        </w:rPr>
        <w:t>BMIH5004</w:t>
      </w:r>
    </w:p>
    <w:p w14:paraId="25E5CCB1" w14:textId="77777777" w:rsidR="00FB7C6A" w:rsidRPr="007B1D3B" w:rsidRDefault="00FB7C6A" w:rsidP="00FB7C6A">
      <w:pPr>
        <w:spacing w:line="360" w:lineRule="auto"/>
        <w:jc w:val="center"/>
        <w:rPr>
          <w:rFonts w:ascii="Arial" w:hAnsi="Arial" w:cs="Arial"/>
          <w:b/>
          <w:bCs/>
          <w:sz w:val="24"/>
          <w:szCs w:val="24"/>
        </w:rPr>
      </w:pPr>
      <w:r w:rsidRPr="00822F48">
        <w:rPr>
          <w:rFonts w:ascii="Arial" w:hAnsi="Arial" w:cs="Arial"/>
          <w:b/>
          <w:bCs/>
          <w:sz w:val="28"/>
          <w:szCs w:val="28"/>
        </w:rPr>
        <w:t>Julia Ault</w:t>
      </w:r>
    </w:p>
    <w:p w14:paraId="4A226A21" w14:textId="77777777" w:rsidR="00FB7C6A" w:rsidRDefault="00FB7C6A" w:rsidP="00FB7C6A">
      <w:pPr>
        <w:spacing w:line="360" w:lineRule="auto"/>
        <w:jc w:val="center"/>
        <w:rPr>
          <w:rFonts w:ascii="Arial" w:hAnsi="Arial" w:cs="Arial"/>
          <w:b/>
          <w:bCs/>
          <w:sz w:val="24"/>
          <w:szCs w:val="24"/>
        </w:rPr>
      </w:pPr>
    </w:p>
    <w:p w14:paraId="49E3FA7A" w14:textId="77777777" w:rsidR="00FB7C6A" w:rsidRDefault="00FB7C6A" w:rsidP="00FB7C6A">
      <w:pPr>
        <w:spacing w:line="360" w:lineRule="auto"/>
        <w:jc w:val="center"/>
        <w:rPr>
          <w:rFonts w:ascii="Arial" w:hAnsi="Arial" w:cs="Arial"/>
          <w:b/>
          <w:bCs/>
          <w:sz w:val="24"/>
          <w:szCs w:val="24"/>
        </w:rPr>
      </w:pPr>
    </w:p>
    <w:p w14:paraId="7021C1FE" w14:textId="77777777" w:rsidR="00FB7C6A" w:rsidRDefault="00FB7C6A" w:rsidP="00FB7C6A">
      <w:pPr>
        <w:spacing w:line="360" w:lineRule="auto"/>
        <w:jc w:val="center"/>
        <w:rPr>
          <w:rFonts w:ascii="Arial" w:hAnsi="Arial" w:cs="Arial"/>
          <w:b/>
          <w:bCs/>
          <w:sz w:val="24"/>
          <w:szCs w:val="24"/>
        </w:rPr>
      </w:pPr>
    </w:p>
    <w:p w14:paraId="039C8F01" w14:textId="77777777" w:rsidR="00FB7C6A" w:rsidRDefault="00FB7C6A" w:rsidP="00FB7C6A">
      <w:pPr>
        <w:spacing w:line="360" w:lineRule="auto"/>
        <w:jc w:val="center"/>
        <w:rPr>
          <w:rFonts w:ascii="Arial" w:hAnsi="Arial" w:cs="Arial"/>
          <w:b/>
          <w:bCs/>
          <w:sz w:val="24"/>
          <w:szCs w:val="24"/>
        </w:rPr>
      </w:pPr>
    </w:p>
    <w:p w14:paraId="75B22D13" w14:textId="77777777" w:rsidR="00FB7C6A" w:rsidRDefault="00FB7C6A" w:rsidP="00FB7C6A">
      <w:pPr>
        <w:spacing w:line="360" w:lineRule="auto"/>
        <w:jc w:val="center"/>
        <w:rPr>
          <w:rFonts w:ascii="Arial" w:hAnsi="Arial" w:cs="Arial"/>
          <w:b/>
          <w:bCs/>
          <w:sz w:val="24"/>
          <w:szCs w:val="24"/>
        </w:rPr>
      </w:pPr>
    </w:p>
    <w:p w14:paraId="4E1C0A87" w14:textId="77777777" w:rsidR="00FB7C6A" w:rsidRDefault="00FB7C6A" w:rsidP="00FB7C6A">
      <w:pPr>
        <w:spacing w:line="360" w:lineRule="auto"/>
        <w:jc w:val="center"/>
        <w:rPr>
          <w:rFonts w:ascii="Arial" w:hAnsi="Arial" w:cs="Arial"/>
          <w:b/>
          <w:bCs/>
          <w:sz w:val="24"/>
          <w:szCs w:val="24"/>
        </w:rPr>
      </w:pPr>
    </w:p>
    <w:p w14:paraId="5D23672D" w14:textId="77777777" w:rsidR="00FB7C6A" w:rsidRDefault="00FB7C6A" w:rsidP="00FB7C6A">
      <w:pPr>
        <w:spacing w:line="360" w:lineRule="auto"/>
        <w:jc w:val="center"/>
        <w:rPr>
          <w:rFonts w:ascii="Arial" w:hAnsi="Arial" w:cs="Arial"/>
          <w:b/>
          <w:bCs/>
          <w:sz w:val="24"/>
          <w:szCs w:val="24"/>
        </w:rPr>
      </w:pPr>
    </w:p>
    <w:p w14:paraId="747B766E" w14:textId="24CCBAB5" w:rsidR="007B1D3B" w:rsidRPr="007B1D3B" w:rsidRDefault="007B1D3B" w:rsidP="00FB7C6A">
      <w:pPr>
        <w:spacing w:line="360" w:lineRule="auto"/>
        <w:jc w:val="center"/>
        <w:rPr>
          <w:rFonts w:ascii="Arial" w:hAnsi="Arial" w:cs="Arial"/>
          <w:b/>
          <w:bCs/>
          <w:sz w:val="24"/>
          <w:szCs w:val="24"/>
        </w:rPr>
      </w:pPr>
      <w:r w:rsidRPr="007B1D3B">
        <w:rPr>
          <w:rFonts w:ascii="Arial" w:hAnsi="Arial" w:cs="Arial"/>
          <w:b/>
          <w:bCs/>
          <w:sz w:val="24"/>
          <w:szCs w:val="24"/>
        </w:rPr>
        <w:t>Alina Cristina Pruteanu</w:t>
      </w:r>
    </w:p>
    <w:p w14:paraId="6E36BC63" w14:textId="5143C0EC" w:rsidR="007E53B1" w:rsidRDefault="007B1D3B" w:rsidP="00FB7C6A">
      <w:pPr>
        <w:spacing w:line="360" w:lineRule="auto"/>
        <w:jc w:val="center"/>
        <w:rPr>
          <w:rFonts w:ascii="Arial" w:hAnsi="Arial" w:cs="Arial"/>
          <w:b/>
          <w:bCs/>
          <w:sz w:val="24"/>
          <w:szCs w:val="24"/>
        </w:rPr>
      </w:pPr>
      <w:r w:rsidRPr="007B1D3B">
        <w:rPr>
          <w:rFonts w:ascii="Arial" w:hAnsi="Arial" w:cs="Arial"/>
          <w:b/>
          <w:bCs/>
          <w:sz w:val="24"/>
          <w:szCs w:val="24"/>
        </w:rPr>
        <w:t>2209886</w:t>
      </w:r>
    </w:p>
    <w:p w14:paraId="473EB0E5" w14:textId="77777777" w:rsidR="007E53B1" w:rsidRDefault="007E53B1" w:rsidP="00163527">
      <w:pPr>
        <w:spacing w:line="360" w:lineRule="auto"/>
        <w:jc w:val="both"/>
        <w:rPr>
          <w:rFonts w:ascii="Arial" w:hAnsi="Arial" w:cs="Arial"/>
          <w:b/>
          <w:bCs/>
          <w:sz w:val="24"/>
          <w:szCs w:val="24"/>
        </w:rPr>
      </w:pPr>
    </w:p>
    <w:p w14:paraId="4ADCE0CF" w14:textId="44E60445"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lastRenderedPageBreak/>
        <w:t>Executive Summary</w:t>
      </w:r>
    </w:p>
    <w:p w14:paraId="16A93932" w14:textId="3ABB50B2"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This report comprehensively analyses Hilton Hotel Group, focusing on its organisational structure, culture, goals, strategic direction, and recent change initiatives. Hilton operates a hierarchical structure with a blend of centralisation and decentralisation, allowing for effective strategic oversight and operational flexibility. The company’s culture emphasises hospitality, sustainability, and diversity and drives performance and innovation. Key strategic initiatives include global expansion, technological advancements, and rigorous sustainability efforts. The report also compares Hilton with </w:t>
      </w:r>
      <w:r w:rsidR="004137E4" w:rsidRPr="00163527">
        <w:rPr>
          <w:rFonts w:ascii="Arial" w:hAnsi="Arial" w:cs="Arial"/>
          <w:sz w:val="24"/>
          <w:szCs w:val="24"/>
        </w:rPr>
        <w:t>significant</w:t>
      </w:r>
      <w:r w:rsidRPr="00163527">
        <w:rPr>
          <w:rFonts w:ascii="Arial" w:hAnsi="Arial" w:cs="Arial"/>
          <w:sz w:val="24"/>
          <w:szCs w:val="24"/>
        </w:rPr>
        <w:t xml:space="preserve"> competitors, highlighting its strengths in brand recognition and customer loyalty programs. Recommendations include enhancing technological integration, expanding sustainability initiatives, and strengthening diversity programs to maintain Hilton’s competitive edge. Hilton's strategic initiatives and </w:t>
      </w:r>
      <w:r w:rsidR="007E53B1">
        <w:rPr>
          <w:rFonts w:ascii="Arial" w:hAnsi="Arial" w:cs="Arial"/>
          <w:sz w:val="24"/>
          <w:szCs w:val="24"/>
        </w:rPr>
        <w:t>solid organisational</w:t>
      </w:r>
      <w:r w:rsidRPr="00163527">
        <w:rPr>
          <w:rFonts w:ascii="Arial" w:hAnsi="Arial" w:cs="Arial"/>
          <w:sz w:val="24"/>
          <w:szCs w:val="24"/>
        </w:rPr>
        <w:t xml:space="preserve"> culture position it well for future success.</w:t>
      </w:r>
    </w:p>
    <w:p w14:paraId="7503FE64" w14:textId="77777777" w:rsidR="00213E64" w:rsidRPr="00163527" w:rsidRDefault="00213E64" w:rsidP="00163527">
      <w:pPr>
        <w:spacing w:line="360" w:lineRule="auto"/>
        <w:jc w:val="both"/>
        <w:rPr>
          <w:rFonts w:ascii="Arial" w:hAnsi="Arial" w:cs="Arial"/>
          <w:sz w:val="24"/>
          <w:szCs w:val="24"/>
        </w:rPr>
      </w:pPr>
    </w:p>
    <w:p w14:paraId="35432A41" w14:textId="77777777" w:rsidR="00213E64" w:rsidRPr="00163527" w:rsidRDefault="00213E64" w:rsidP="00163527">
      <w:pPr>
        <w:spacing w:line="360" w:lineRule="auto"/>
        <w:jc w:val="both"/>
        <w:rPr>
          <w:rFonts w:ascii="Arial" w:hAnsi="Arial" w:cs="Arial"/>
          <w:sz w:val="24"/>
          <w:szCs w:val="24"/>
        </w:rPr>
      </w:pPr>
    </w:p>
    <w:p w14:paraId="6CB8D70D" w14:textId="77777777" w:rsidR="00213E64" w:rsidRPr="00163527" w:rsidRDefault="00213E64" w:rsidP="00163527">
      <w:pPr>
        <w:spacing w:line="360" w:lineRule="auto"/>
        <w:jc w:val="both"/>
        <w:rPr>
          <w:rFonts w:ascii="Arial" w:hAnsi="Arial" w:cs="Arial"/>
          <w:b/>
          <w:bCs/>
          <w:sz w:val="24"/>
          <w:szCs w:val="24"/>
        </w:rPr>
      </w:pPr>
    </w:p>
    <w:p w14:paraId="0A1F0CF4" w14:textId="77777777" w:rsidR="00213E64" w:rsidRPr="00163527" w:rsidRDefault="00213E64" w:rsidP="00163527">
      <w:pPr>
        <w:spacing w:line="360" w:lineRule="auto"/>
        <w:jc w:val="both"/>
        <w:rPr>
          <w:rFonts w:ascii="Arial" w:hAnsi="Arial" w:cs="Arial"/>
          <w:b/>
          <w:bCs/>
          <w:sz w:val="24"/>
          <w:szCs w:val="24"/>
        </w:rPr>
      </w:pPr>
    </w:p>
    <w:p w14:paraId="6440B099" w14:textId="77777777" w:rsidR="00213E64" w:rsidRPr="00163527" w:rsidRDefault="00213E64" w:rsidP="00163527">
      <w:pPr>
        <w:spacing w:line="360" w:lineRule="auto"/>
        <w:jc w:val="both"/>
        <w:rPr>
          <w:rFonts w:ascii="Arial" w:hAnsi="Arial" w:cs="Arial"/>
          <w:b/>
          <w:bCs/>
          <w:sz w:val="24"/>
          <w:szCs w:val="24"/>
        </w:rPr>
      </w:pPr>
    </w:p>
    <w:p w14:paraId="20C3D41F" w14:textId="77777777" w:rsidR="00213E64" w:rsidRPr="00163527" w:rsidRDefault="00213E64" w:rsidP="00163527">
      <w:pPr>
        <w:spacing w:line="360" w:lineRule="auto"/>
        <w:jc w:val="both"/>
        <w:rPr>
          <w:rFonts w:ascii="Arial" w:hAnsi="Arial" w:cs="Arial"/>
          <w:b/>
          <w:bCs/>
          <w:sz w:val="24"/>
          <w:szCs w:val="24"/>
        </w:rPr>
      </w:pPr>
    </w:p>
    <w:p w14:paraId="13AD6A61" w14:textId="77777777" w:rsidR="00213E64" w:rsidRPr="00163527" w:rsidRDefault="00213E64" w:rsidP="00163527">
      <w:pPr>
        <w:spacing w:line="360" w:lineRule="auto"/>
        <w:jc w:val="both"/>
        <w:rPr>
          <w:rFonts w:ascii="Arial" w:hAnsi="Arial" w:cs="Arial"/>
          <w:b/>
          <w:bCs/>
          <w:sz w:val="24"/>
          <w:szCs w:val="24"/>
        </w:rPr>
      </w:pPr>
    </w:p>
    <w:p w14:paraId="7ED6B8CB" w14:textId="77777777" w:rsidR="00213E64" w:rsidRPr="00163527" w:rsidRDefault="00213E64" w:rsidP="00163527">
      <w:pPr>
        <w:spacing w:line="360" w:lineRule="auto"/>
        <w:jc w:val="both"/>
        <w:rPr>
          <w:rFonts w:ascii="Arial" w:hAnsi="Arial" w:cs="Arial"/>
          <w:b/>
          <w:bCs/>
          <w:sz w:val="24"/>
          <w:szCs w:val="24"/>
        </w:rPr>
      </w:pPr>
    </w:p>
    <w:p w14:paraId="0E7C2E5F" w14:textId="77777777" w:rsidR="00213E64" w:rsidRPr="00163527" w:rsidRDefault="00213E64" w:rsidP="00163527">
      <w:pPr>
        <w:spacing w:line="360" w:lineRule="auto"/>
        <w:jc w:val="both"/>
        <w:rPr>
          <w:rFonts w:ascii="Arial" w:hAnsi="Arial" w:cs="Arial"/>
          <w:b/>
          <w:bCs/>
          <w:sz w:val="24"/>
          <w:szCs w:val="24"/>
        </w:rPr>
      </w:pPr>
    </w:p>
    <w:p w14:paraId="4D0BB845" w14:textId="77777777" w:rsidR="00213E64" w:rsidRPr="00163527" w:rsidRDefault="00213E64" w:rsidP="00163527">
      <w:pPr>
        <w:spacing w:line="360" w:lineRule="auto"/>
        <w:jc w:val="both"/>
        <w:rPr>
          <w:rFonts w:ascii="Arial" w:hAnsi="Arial" w:cs="Arial"/>
          <w:b/>
          <w:bCs/>
          <w:sz w:val="24"/>
          <w:szCs w:val="24"/>
        </w:rPr>
      </w:pPr>
    </w:p>
    <w:p w14:paraId="55A90D07" w14:textId="77777777" w:rsidR="00213E64" w:rsidRPr="00163527" w:rsidRDefault="00213E64" w:rsidP="00163527">
      <w:pPr>
        <w:spacing w:line="360" w:lineRule="auto"/>
        <w:jc w:val="both"/>
        <w:rPr>
          <w:rFonts w:ascii="Arial" w:hAnsi="Arial" w:cs="Arial"/>
          <w:b/>
          <w:bCs/>
          <w:sz w:val="24"/>
          <w:szCs w:val="24"/>
        </w:rPr>
      </w:pPr>
    </w:p>
    <w:p w14:paraId="516596D7" w14:textId="77777777" w:rsidR="00213E64" w:rsidRPr="00163527" w:rsidRDefault="00213E64" w:rsidP="00163527">
      <w:pPr>
        <w:spacing w:line="360" w:lineRule="auto"/>
        <w:jc w:val="both"/>
        <w:rPr>
          <w:rFonts w:ascii="Arial" w:hAnsi="Arial" w:cs="Arial"/>
          <w:b/>
          <w:bCs/>
          <w:sz w:val="24"/>
          <w:szCs w:val="24"/>
        </w:rPr>
      </w:pPr>
    </w:p>
    <w:p w14:paraId="41589304" w14:textId="77777777" w:rsidR="00213E64" w:rsidRPr="00163527" w:rsidRDefault="00213E64" w:rsidP="00163527">
      <w:pPr>
        <w:spacing w:line="360" w:lineRule="auto"/>
        <w:jc w:val="both"/>
        <w:rPr>
          <w:rFonts w:ascii="Arial" w:hAnsi="Arial" w:cs="Arial"/>
          <w:b/>
          <w:bCs/>
          <w:sz w:val="24"/>
          <w:szCs w:val="24"/>
        </w:rPr>
      </w:pPr>
    </w:p>
    <w:p w14:paraId="1100CF26"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lastRenderedPageBreak/>
        <w:t>Table of Contents</w:t>
      </w:r>
    </w:p>
    <w:p w14:paraId="67178DA3"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Executive Summary </w:t>
      </w:r>
    </w:p>
    <w:p w14:paraId="0DA1A632"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Table of Contents </w:t>
      </w:r>
    </w:p>
    <w:p w14:paraId="0D7188EF"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Introduction </w:t>
      </w:r>
    </w:p>
    <w:p w14:paraId="579EF836"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Organisation Structure </w:t>
      </w:r>
    </w:p>
    <w:p w14:paraId="08A52316"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Organisational Culture </w:t>
      </w:r>
    </w:p>
    <w:p w14:paraId="423FB2F2"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Goals and Strategic Direction </w:t>
      </w:r>
    </w:p>
    <w:p w14:paraId="20C0D159"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Recent Change Initiatives </w:t>
      </w:r>
    </w:p>
    <w:p w14:paraId="202BF83C"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Competitor Analysis </w:t>
      </w:r>
    </w:p>
    <w:p w14:paraId="51DED26A"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Recommendations </w:t>
      </w:r>
    </w:p>
    <w:p w14:paraId="6C3B0452"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Conclusion </w:t>
      </w:r>
    </w:p>
    <w:p w14:paraId="2F21B97F" w14:textId="77777777" w:rsidR="00213E64" w:rsidRPr="00163527" w:rsidRDefault="00213E64" w:rsidP="00163527">
      <w:pPr>
        <w:numPr>
          <w:ilvl w:val="0"/>
          <w:numId w:val="4"/>
        </w:numPr>
        <w:spacing w:line="360" w:lineRule="auto"/>
        <w:jc w:val="both"/>
        <w:rPr>
          <w:rFonts w:ascii="Arial" w:hAnsi="Arial" w:cs="Arial"/>
          <w:sz w:val="24"/>
          <w:szCs w:val="24"/>
        </w:rPr>
      </w:pPr>
      <w:r w:rsidRPr="00163527">
        <w:rPr>
          <w:rFonts w:ascii="Arial" w:hAnsi="Arial" w:cs="Arial"/>
          <w:sz w:val="24"/>
          <w:szCs w:val="24"/>
        </w:rPr>
        <w:t xml:space="preserve">References </w:t>
      </w:r>
    </w:p>
    <w:p w14:paraId="3BD612C8" w14:textId="77777777" w:rsidR="00213E64" w:rsidRPr="00163527" w:rsidRDefault="00213E64" w:rsidP="00163527">
      <w:pPr>
        <w:spacing w:line="360" w:lineRule="auto"/>
        <w:jc w:val="both"/>
        <w:rPr>
          <w:rFonts w:ascii="Arial" w:hAnsi="Arial" w:cs="Arial"/>
          <w:sz w:val="24"/>
          <w:szCs w:val="24"/>
        </w:rPr>
      </w:pPr>
    </w:p>
    <w:p w14:paraId="1E9B4DBD" w14:textId="77777777" w:rsidR="00213E64" w:rsidRPr="00163527" w:rsidRDefault="00213E64" w:rsidP="00163527">
      <w:pPr>
        <w:spacing w:line="360" w:lineRule="auto"/>
        <w:jc w:val="both"/>
        <w:rPr>
          <w:rFonts w:ascii="Arial" w:hAnsi="Arial" w:cs="Arial"/>
          <w:sz w:val="24"/>
          <w:szCs w:val="24"/>
        </w:rPr>
      </w:pPr>
    </w:p>
    <w:p w14:paraId="4701FF49" w14:textId="77777777" w:rsidR="00213E64" w:rsidRPr="00163527" w:rsidRDefault="00213E64" w:rsidP="00163527">
      <w:pPr>
        <w:spacing w:line="360" w:lineRule="auto"/>
        <w:jc w:val="both"/>
        <w:rPr>
          <w:rFonts w:ascii="Arial" w:hAnsi="Arial" w:cs="Arial"/>
          <w:sz w:val="24"/>
          <w:szCs w:val="24"/>
        </w:rPr>
      </w:pPr>
    </w:p>
    <w:p w14:paraId="32AB7321" w14:textId="77777777" w:rsidR="00213E64" w:rsidRPr="00163527" w:rsidRDefault="00213E64" w:rsidP="00163527">
      <w:pPr>
        <w:spacing w:line="360" w:lineRule="auto"/>
        <w:jc w:val="both"/>
        <w:rPr>
          <w:rFonts w:ascii="Arial" w:hAnsi="Arial" w:cs="Arial"/>
          <w:sz w:val="24"/>
          <w:szCs w:val="24"/>
        </w:rPr>
      </w:pPr>
    </w:p>
    <w:p w14:paraId="766C8A22" w14:textId="77777777" w:rsidR="00213E64" w:rsidRPr="00163527" w:rsidRDefault="00213E64" w:rsidP="00163527">
      <w:pPr>
        <w:spacing w:line="360" w:lineRule="auto"/>
        <w:jc w:val="both"/>
        <w:rPr>
          <w:rFonts w:ascii="Arial" w:hAnsi="Arial" w:cs="Arial"/>
          <w:sz w:val="24"/>
          <w:szCs w:val="24"/>
        </w:rPr>
      </w:pPr>
    </w:p>
    <w:p w14:paraId="3CFC2FB1" w14:textId="77777777" w:rsidR="00213E64" w:rsidRPr="00163527" w:rsidRDefault="00213E64" w:rsidP="00163527">
      <w:pPr>
        <w:spacing w:line="360" w:lineRule="auto"/>
        <w:jc w:val="both"/>
        <w:rPr>
          <w:rFonts w:ascii="Arial" w:hAnsi="Arial" w:cs="Arial"/>
          <w:sz w:val="24"/>
          <w:szCs w:val="24"/>
        </w:rPr>
      </w:pPr>
    </w:p>
    <w:p w14:paraId="31BE5E29" w14:textId="77777777" w:rsidR="00213E64" w:rsidRPr="00163527" w:rsidRDefault="00213E64" w:rsidP="00163527">
      <w:pPr>
        <w:spacing w:line="360" w:lineRule="auto"/>
        <w:jc w:val="both"/>
        <w:rPr>
          <w:rFonts w:ascii="Arial" w:hAnsi="Arial" w:cs="Arial"/>
          <w:sz w:val="24"/>
          <w:szCs w:val="24"/>
        </w:rPr>
      </w:pPr>
    </w:p>
    <w:p w14:paraId="6F2F21F5" w14:textId="77777777" w:rsidR="00213E64" w:rsidRPr="00163527" w:rsidRDefault="00213E64" w:rsidP="00163527">
      <w:pPr>
        <w:spacing w:line="360" w:lineRule="auto"/>
        <w:jc w:val="both"/>
        <w:rPr>
          <w:rFonts w:ascii="Arial" w:hAnsi="Arial" w:cs="Arial"/>
          <w:sz w:val="24"/>
          <w:szCs w:val="24"/>
        </w:rPr>
      </w:pPr>
    </w:p>
    <w:p w14:paraId="7E36B6C0" w14:textId="77777777" w:rsidR="00213E64" w:rsidRPr="00163527" w:rsidRDefault="00213E64" w:rsidP="00163527">
      <w:pPr>
        <w:spacing w:line="360" w:lineRule="auto"/>
        <w:jc w:val="both"/>
        <w:rPr>
          <w:rFonts w:ascii="Arial" w:hAnsi="Arial" w:cs="Arial"/>
          <w:sz w:val="24"/>
          <w:szCs w:val="24"/>
        </w:rPr>
      </w:pPr>
    </w:p>
    <w:p w14:paraId="2CF0AC30" w14:textId="77777777" w:rsidR="00163527" w:rsidRDefault="00163527" w:rsidP="00163527">
      <w:pPr>
        <w:spacing w:line="360" w:lineRule="auto"/>
        <w:jc w:val="both"/>
        <w:rPr>
          <w:rFonts w:ascii="Arial" w:hAnsi="Arial" w:cs="Arial"/>
          <w:sz w:val="24"/>
          <w:szCs w:val="24"/>
        </w:rPr>
      </w:pPr>
    </w:p>
    <w:p w14:paraId="3484BC88" w14:textId="77777777" w:rsidR="00163527" w:rsidRDefault="00163527" w:rsidP="00163527">
      <w:pPr>
        <w:spacing w:line="360" w:lineRule="auto"/>
        <w:jc w:val="both"/>
        <w:rPr>
          <w:rFonts w:ascii="Arial" w:hAnsi="Arial" w:cs="Arial"/>
          <w:sz w:val="24"/>
          <w:szCs w:val="24"/>
        </w:rPr>
      </w:pPr>
    </w:p>
    <w:p w14:paraId="06A91077" w14:textId="280A7705"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lastRenderedPageBreak/>
        <w:t>Introduction</w:t>
      </w:r>
    </w:p>
    <w:p w14:paraId="1EE95543"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The Hilton Hotel Group, established by Conrad Hilton in 1919, is a prominent player in the hospitality industry, operating more than 6,500 properties in 119 countries worldwide. Known for its dedication to providing outstanding guest experiences and embracing innovation, Hilton consistently adapts to meet the market's evolving needs. This report examines Hilton's organisational framework, culture, objectives, strategic direction, and recent change efforts, offering insights and suggestions for strengthening its competitive position. It delves into a comprehensive analysis of Hilton's hierarchical setup, cultural dynamics, strategic endeavours, recent developments, and a comparative assessment of competitors and strategic recommendations for future expansion.</w:t>
      </w:r>
    </w:p>
    <w:p w14:paraId="7878AF5F" w14:textId="77777777" w:rsidR="00213E64" w:rsidRPr="00163527" w:rsidRDefault="00213E64" w:rsidP="00163527">
      <w:pPr>
        <w:spacing w:line="360" w:lineRule="auto"/>
        <w:jc w:val="both"/>
        <w:rPr>
          <w:rFonts w:ascii="Arial" w:hAnsi="Arial" w:cs="Arial"/>
          <w:b/>
          <w:bCs/>
          <w:sz w:val="24"/>
          <w:szCs w:val="24"/>
        </w:rPr>
      </w:pPr>
    </w:p>
    <w:p w14:paraId="48ECCD04"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t>Organisation Structure</w:t>
      </w:r>
    </w:p>
    <w:p w14:paraId="3F81F5E2"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Description of Hilton’s Organisational Structure</w:t>
      </w:r>
    </w:p>
    <w:p w14:paraId="77C2BA5C"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The Hilton Hotel Group has a hierarchical organisational structure with multiple layers of management and a transparent chain of command. At the top level is an executive team led by CEO Christopher J. </w:t>
      </w:r>
      <w:proofErr w:type="spellStart"/>
      <w:r w:rsidRPr="00163527">
        <w:rPr>
          <w:rFonts w:ascii="Arial" w:hAnsi="Arial" w:cs="Arial"/>
          <w:sz w:val="24"/>
          <w:szCs w:val="24"/>
        </w:rPr>
        <w:t>Nassetta</w:t>
      </w:r>
      <w:proofErr w:type="spellEnd"/>
      <w:r w:rsidRPr="00163527">
        <w:rPr>
          <w:rFonts w:ascii="Arial" w:hAnsi="Arial" w:cs="Arial"/>
          <w:sz w:val="24"/>
          <w:szCs w:val="24"/>
        </w:rPr>
        <w:t xml:space="preserve"> and other senior executives like the CFO, General Counsel, and Senior Vice Presidents who oversee global operations and functions (Hilton, 2023). Regional vice presidents manage the performance of hotels in their respective regions, allowing for effective oversight and strategic decision-making at the highest levels while maintaining operational efficiency at the ground level.</w:t>
      </w:r>
    </w:p>
    <w:p w14:paraId="047464C5"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Hierarchical Structure with Key Roles and Responsibilities</w:t>
      </w:r>
    </w:p>
    <w:p w14:paraId="004A8B19"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The hierarchical framework at Hilton is intended to streamline operations and provide clarity regarding roles and responsibilities throughout the organisation. At the corporate level, essential positions such as the CEO, CFO, and senior vice presidents oversee corporate strategy, financial management, and global operations. Regional vice presidents manage specific geographic areas and ensure they align with corporate objectives. At the same time, hotel general managers oversee the day-to-day operations at individual hotel properties (Hilton, 2022). This hierarchical structure allows for a </w:t>
      </w:r>
      <w:r w:rsidRPr="00163527">
        <w:rPr>
          <w:rFonts w:ascii="Arial" w:hAnsi="Arial" w:cs="Arial"/>
          <w:sz w:val="24"/>
          <w:szCs w:val="24"/>
        </w:rPr>
        <w:lastRenderedPageBreak/>
        <w:t>transparent allocation of responsibilities, enabling effective management at various levels of the organisation (Jones &amp; George, 2019; Mintzberg, 1979).</w:t>
      </w:r>
    </w:p>
    <w:p w14:paraId="46C6F408"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Analysis of Centralisation vs Decentralisation in Hilton’s Operations</w:t>
      </w:r>
    </w:p>
    <w:p w14:paraId="04237DEF" w14:textId="205527A5"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Hilton's organisational structure incorporates a combination of centralisation and decentralisation. Critical strategic decisions, including corporate policies, branding, and significant financial investments, are </w:t>
      </w:r>
      <w:proofErr w:type="gramStart"/>
      <w:r w:rsidRPr="00163527">
        <w:rPr>
          <w:rFonts w:ascii="Arial" w:hAnsi="Arial" w:cs="Arial"/>
          <w:sz w:val="24"/>
          <w:szCs w:val="24"/>
        </w:rPr>
        <w:t>centralised</w:t>
      </w:r>
      <w:proofErr w:type="gramEnd"/>
      <w:r w:rsidRPr="00163527">
        <w:rPr>
          <w:rFonts w:ascii="Arial" w:hAnsi="Arial" w:cs="Arial"/>
          <w:sz w:val="24"/>
          <w:szCs w:val="24"/>
        </w:rPr>
        <w:t xml:space="preserve"> and made at the corporate headquarters. This centralised approach aims to maintain brand consistency and strategic alignment across all locations (Daft, 2015). On the other hand, operational decisions, such as day-to-day management and customer service initiatives, are decentralised and managed by regional and local managers. This decentralised model enables Hilton to adapt quickly to local market dynamics and meet customer demands (Hill &amp; Jones, 2017).</w:t>
      </w:r>
    </w:p>
    <w:p w14:paraId="60A2E941"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Alignment with Organisational Goals</w:t>
      </w:r>
    </w:p>
    <w:p w14:paraId="64DB3BA0"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Hilton’s organisational structure is intricately designed to support its growth, innovation, and sustainability objectives. The hierarchical model facilitates streamlined decision-making and accountability, which is essential for successfully implementing Hilton's expansion and sustainability efforts (Hilton, 2023). Additionally, the regional management structure enables Hilton to adapt its operations to the unique requirements of various markets, ultimately enhancing customer satisfaction and operational effectiveness (Robbins &amp; Coulter, 2018).</w:t>
      </w:r>
    </w:p>
    <w:p w14:paraId="498B613C"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Comparison with Theoretical Models</w:t>
      </w:r>
    </w:p>
    <w:p w14:paraId="031E1B29"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When examining Hilton's organisational structure compared to theoretical models, it closely resembles the traditional hierarchical model outlined by Max Weber, which emphasises a clearly defined chain of command and distinct lines of authority (Weber, 1947). In contrast, a flat organisational structure with fewer management layers may not be suitable for Hilton's large-scale operations, which require extensive oversight and coordination (Burns &amp; Stalker, 1961). The combination of centralisation and decentralisation at Hilton reflects elements of Mintzberg's organisational configurations, where strategic apex and middle-line management are crucial for organisational effectiveness (Mintzberg, 1979).</w:t>
      </w:r>
    </w:p>
    <w:p w14:paraId="0C3A1459"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lastRenderedPageBreak/>
        <w:t>Goals and Strategic Direction</w:t>
      </w:r>
    </w:p>
    <w:p w14:paraId="2B2B536E"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Analysis of Hilton’s Vision and Mission</w:t>
      </w:r>
    </w:p>
    <w:p w14:paraId="382C662C"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Hilton’s vision is “to fill the earth with the light and warmth of hospitality,” which emphasises its commitment to delivering exceptional guest experiences and creating a positive impact on communities around the globe (Hilton, 2023). The mission statement, “to be the most hospitable company in the world by creating heartfelt experiences for Guests, meaningful opportunities for Team Members, high value for Owners, and a positive impact in our communities,” underscores the company’s dedication to hospitality, employee satisfaction, and community engagement (Hilton, 2022).</w:t>
      </w:r>
    </w:p>
    <w:p w14:paraId="1A587D34"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Alignment with Strategic Objectives</w:t>
      </w:r>
    </w:p>
    <w:p w14:paraId="4FC7F7DA"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Hilton's vision and mission statements are in harmony with its strategic objectives, placing a strong emphasis on customer satisfaction, operational excellence, and sustainable growth. The company's dedication to providing genuine hospitality and heartfelt experiences </w:t>
      </w:r>
      <w:proofErr w:type="gramStart"/>
      <w:r w:rsidRPr="00163527">
        <w:rPr>
          <w:rFonts w:ascii="Arial" w:hAnsi="Arial" w:cs="Arial"/>
          <w:sz w:val="24"/>
          <w:szCs w:val="24"/>
        </w:rPr>
        <w:t>drives</w:t>
      </w:r>
      <w:proofErr w:type="gramEnd"/>
      <w:r w:rsidRPr="00163527">
        <w:rPr>
          <w:rFonts w:ascii="Arial" w:hAnsi="Arial" w:cs="Arial"/>
          <w:sz w:val="24"/>
          <w:szCs w:val="24"/>
        </w:rPr>
        <w:t xml:space="preserve"> its service strategies. At the same time, its commitment to its team members and communities aligns with its efforts in diversity, inclusion, and corporate social responsibility (Grant, 2016). These objectives are reinforced by Hilton's operational strategies, which prioritise efficiency, innovation, and market expansion (Pearce &amp; Robinson, 2013).</w:t>
      </w:r>
    </w:p>
    <w:p w14:paraId="457C365E"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Growth Strategies</w:t>
      </w:r>
    </w:p>
    <w:p w14:paraId="493E9BA0"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Hilton has implemented several growth strategies to expand its market presence and enhance its brand portfolio. One significant initiative is the launch of new brands such as Spark by Hilton, aimed at providing unique experiences and catering to diverse customer segments (Hilton, 2023). Additionally, Hilton continues to open new properties globally, focusing on high-growth markets in Asia and Europe (Thompson et al., 2018).</w:t>
      </w:r>
    </w:p>
    <w:p w14:paraId="01E51D0C"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Sustainability Goals and Initiatives</w:t>
      </w:r>
    </w:p>
    <w:p w14:paraId="4D98199E"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Hilton’s strategic direction prioritises sustainability as a fundamental element. The organisation has established formidable targets to diminish its environmental impact, aiming to decrease carbon emissions by 61% and water consumption by 50% by 2030 </w:t>
      </w:r>
      <w:r w:rsidRPr="00163527">
        <w:rPr>
          <w:rFonts w:ascii="Arial" w:hAnsi="Arial" w:cs="Arial"/>
          <w:sz w:val="24"/>
          <w:szCs w:val="24"/>
        </w:rPr>
        <w:lastRenderedPageBreak/>
        <w:t xml:space="preserve">(Hilton, 2022). Hilton's dedication to sustainability is evident through initiatives like the </w:t>
      </w:r>
      <w:proofErr w:type="spellStart"/>
      <w:r w:rsidRPr="00163527">
        <w:rPr>
          <w:rFonts w:ascii="Arial" w:hAnsi="Arial" w:cs="Arial"/>
          <w:sz w:val="24"/>
          <w:szCs w:val="24"/>
        </w:rPr>
        <w:t>LightStay</w:t>
      </w:r>
      <w:proofErr w:type="spellEnd"/>
      <w:r w:rsidRPr="00163527">
        <w:rPr>
          <w:rFonts w:ascii="Arial" w:hAnsi="Arial" w:cs="Arial"/>
          <w:sz w:val="24"/>
          <w:szCs w:val="24"/>
        </w:rPr>
        <w:t xml:space="preserve"> program, which monitors and oversees environmental and social effects (Epstein &amp; </w:t>
      </w:r>
      <w:proofErr w:type="spellStart"/>
      <w:r w:rsidRPr="00163527">
        <w:rPr>
          <w:rFonts w:ascii="Arial" w:hAnsi="Arial" w:cs="Arial"/>
          <w:sz w:val="24"/>
          <w:szCs w:val="24"/>
        </w:rPr>
        <w:t>Buhovac</w:t>
      </w:r>
      <w:proofErr w:type="spellEnd"/>
      <w:r w:rsidRPr="00163527">
        <w:rPr>
          <w:rFonts w:ascii="Arial" w:hAnsi="Arial" w:cs="Arial"/>
          <w:sz w:val="24"/>
          <w:szCs w:val="24"/>
        </w:rPr>
        <w:t>, 2014).</w:t>
      </w:r>
    </w:p>
    <w:p w14:paraId="5F1BAE72"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i/>
          <w:iCs/>
          <w:sz w:val="24"/>
          <w:szCs w:val="24"/>
          <w:u w:val="single"/>
        </w:rPr>
        <w:t>Technological Advancements and Innovations</w:t>
      </w:r>
    </w:p>
    <w:p w14:paraId="44003969"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Hilton's strategy heavily focuses on technological innovation, introducing several digital advancements to enhance guest experiences. For example, the Hilton Honors mobile app allows for digital check-in and room selection. At the same time, the implementation of Connected Room technology enables guests to control their room environment through their mobile devices (Hilton, 2023). These innovations not only improve customer convenience but also contribute to operational efficiency (Laudon &amp; Traver, 2019).</w:t>
      </w:r>
    </w:p>
    <w:p w14:paraId="57A73D7F"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Application of Strategic Management Theories</w:t>
      </w:r>
    </w:p>
    <w:p w14:paraId="45EF0E7F" w14:textId="77777777" w:rsidR="00213E64" w:rsidRPr="00163527" w:rsidRDefault="00213E64" w:rsidP="00163527">
      <w:pPr>
        <w:spacing w:line="360" w:lineRule="auto"/>
        <w:jc w:val="both"/>
        <w:rPr>
          <w:rFonts w:ascii="Arial" w:hAnsi="Arial" w:cs="Arial"/>
          <w:sz w:val="24"/>
          <w:szCs w:val="24"/>
          <w:u w:val="single"/>
        </w:rPr>
      </w:pPr>
      <w:r w:rsidRPr="00163527">
        <w:rPr>
          <w:rFonts w:ascii="Arial" w:hAnsi="Arial" w:cs="Arial"/>
          <w:sz w:val="24"/>
          <w:szCs w:val="24"/>
          <w:u w:val="single"/>
        </w:rPr>
        <w:t>SWOT Analysis</w:t>
      </w:r>
    </w:p>
    <w:p w14:paraId="7F0C0469" w14:textId="77777777" w:rsidR="00213E64" w:rsidRPr="00163527" w:rsidRDefault="00213E64" w:rsidP="00163527">
      <w:pPr>
        <w:numPr>
          <w:ilvl w:val="0"/>
          <w:numId w:val="1"/>
        </w:numPr>
        <w:spacing w:line="360" w:lineRule="auto"/>
        <w:jc w:val="both"/>
        <w:rPr>
          <w:rFonts w:ascii="Arial" w:hAnsi="Arial" w:cs="Arial"/>
          <w:sz w:val="24"/>
          <w:szCs w:val="24"/>
        </w:rPr>
      </w:pPr>
      <w:r w:rsidRPr="00163527">
        <w:rPr>
          <w:rFonts w:ascii="Arial" w:hAnsi="Arial" w:cs="Arial"/>
          <w:sz w:val="24"/>
          <w:szCs w:val="24"/>
          <w:u w:val="single"/>
        </w:rPr>
        <w:t>Strengths</w:t>
      </w:r>
      <w:r w:rsidRPr="00163527">
        <w:rPr>
          <w:rFonts w:ascii="Arial" w:hAnsi="Arial" w:cs="Arial"/>
          <w:sz w:val="24"/>
          <w:szCs w:val="24"/>
        </w:rPr>
        <w:t>: Strong brand recognition, extensive global presence, robust loyalty program (Hilton Honors).</w:t>
      </w:r>
    </w:p>
    <w:p w14:paraId="0B122E07" w14:textId="77777777" w:rsidR="00213E64" w:rsidRPr="00163527" w:rsidRDefault="00213E64" w:rsidP="00163527">
      <w:pPr>
        <w:numPr>
          <w:ilvl w:val="0"/>
          <w:numId w:val="1"/>
        </w:numPr>
        <w:spacing w:line="360" w:lineRule="auto"/>
        <w:jc w:val="both"/>
        <w:rPr>
          <w:rFonts w:ascii="Arial" w:hAnsi="Arial" w:cs="Arial"/>
          <w:sz w:val="24"/>
          <w:szCs w:val="24"/>
        </w:rPr>
      </w:pPr>
      <w:r w:rsidRPr="00163527">
        <w:rPr>
          <w:rFonts w:ascii="Arial" w:hAnsi="Arial" w:cs="Arial"/>
          <w:sz w:val="24"/>
          <w:szCs w:val="24"/>
          <w:u w:val="single"/>
        </w:rPr>
        <w:t>Weaknesses:</w:t>
      </w:r>
      <w:r w:rsidRPr="00163527">
        <w:rPr>
          <w:rFonts w:ascii="Arial" w:hAnsi="Arial" w:cs="Arial"/>
          <w:sz w:val="24"/>
          <w:szCs w:val="24"/>
        </w:rPr>
        <w:t xml:space="preserve"> High operational costs and dependency on the global travel market.</w:t>
      </w:r>
    </w:p>
    <w:p w14:paraId="537C7C03" w14:textId="77777777" w:rsidR="00213E64" w:rsidRPr="00163527" w:rsidRDefault="00213E64" w:rsidP="00163527">
      <w:pPr>
        <w:numPr>
          <w:ilvl w:val="0"/>
          <w:numId w:val="1"/>
        </w:numPr>
        <w:spacing w:line="360" w:lineRule="auto"/>
        <w:jc w:val="both"/>
        <w:rPr>
          <w:rFonts w:ascii="Arial" w:hAnsi="Arial" w:cs="Arial"/>
          <w:sz w:val="24"/>
          <w:szCs w:val="24"/>
        </w:rPr>
      </w:pPr>
      <w:r w:rsidRPr="00163527">
        <w:rPr>
          <w:rFonts w:ascii="Arial" w:hAnsi="Arial" w:cs="Arial"/>
          <w:sz w:val="24"/>
          <w:szCs w:val="24"/>
          <w:u w:val="single"/>
        </w:rPr>
        <w:t>Opportunities</w:t>
      </w:r>
      <w:r w:rsidRPr="00163527">
        <w:rPr>
          <w:rFonts w:ascii="Arial" w:hAnsi="Arial" w:cs="Arial"/>
          <w:sz w:val="24"/>
          <w:szCs w:val="24"/>
        </w:rPr>
        <w:t>: Expansion into emerging markets, increased focus on sustainability and technology.</w:t>
      </w:r>
    </w:p>
    <w:p w14:paraId="69AE6524" w14:textId="77777777" w:rsidR="00213E64" w:rsidRPr="00163527" w:rsidRDefault="00213E64" w:rsidP="00163527">
      <w:pPr>
        <w:numPr>
          <w:ilvl w:val="0"/>
          <w:numId w:val="1"/>
        </w:numPr>
        <w:spacing w:line="360" w:lineRule="auto"/>
        <w:jc w:val="both"/>
        <w:rPr>
          <w:rFonts w:ascii="Arial" w:hAnsi="Arial" w:cs="Arial"/>
          <w:sz w:val="24"/>
          <w:szCs w:val="24"/>
        </w:rPr>
      </w:pPr>
      <w:r w:rsidRPr="00163527">
        <w:rPr>
          <w:rFonts w:ascii="Arial" w:hAnsi="Arial" w:cs="Arial"/>
          <w:sz w:val="24"/>
          <w:szCs w:val="24"/>
          <w:u w:val="single"/>
        </w:rPr>
        <w:t>Threats</w:t>
      </w:r>
      <w:r w:rsidRPr="00163527">
        <w:rPr>
          <w:rFonts w:ascii="Arial" w:hAnsi="Arial" w:cs="Arial"/>
          <w:sz w:val="24"/>
          <w:szCs w:val="24"/>
        </w:rPr>
        <w:t>: Economic downturns, competition from other hotel chains and alternative accommodation providers like Airbnb (Gretzky, 2019).</w:t>
      </w:r>
    </w:p>
    <w:p w14:paraId="626AFF0D" w14:textId="77777777" w:rsidR="00213E64" w:rsidRPr="00163527" w:rsidRDefault="00213E64" w:rsidP="00163527">
      <w:pPr>
        <w:spacing w:line="360" w:lineRule="auto"/>
        <w:jc w:val="both"/>
        <w:rPr>
          <w:rFonts w:ascii="Arial" w:hAnsi="Arial" w:cs="Arial"/>
          <w:sz w:val="24"/>
          <w:szCs w:val="24"/>
          <w:u w:val="single"/>
        </w:rPr>
      </w:pPr>
      <w:r w:rsidRPr="00163527">
        <w:rPr>
          <w:rFonts w:ascii="Arial" w:hAnsi="Arial" w:cs="Arial"/>
          <w:sz w:val="24"/>
          <w:szCs w:val="24"/>
          <w:u w:val="single"/>
        </w:rPr>
        <w:t>Porter’s Five Forces Analysis</w:t>
      </w:r>
    </w:p>
    <w:p w14:paraId="3DC781EB" w14:textId="77777777" w:rsidR="00213E64" w:rsidRPr="00163527" w:rsidRDefault="00213E64" w:rsidP="00163527">
      <w:pPr>
        <w:numPr>
          <w:ilvl w:val="0"/>
          <w:numId w:val="2"/>
        </w:numPr>
        <w:spacing w:line="360" w:lineRule="auto"/>
        <w:jc w:val="both"/>
        <w:rPr>
          <w:rFonts w:ascii="Arial" w:hAnsi="Arial" w:cs="Arial"/>
          <w:sz w:val="24"/>
          <w:szCs w:val="24"/>
        </w:rPr>
      </w:pPr>
      <w:r w:rsidRPr="00163527">
        <w:rPr>
          <w:rFonts w:ascii="Arial" w:hAnsi="Arial" w:cs="Arial"/>
          <w:sz w:val="24"/>
          <w:szCs w:val="24"/>
          <w:u w:val="single"/>
        </w:rPr>
        <w:t>Threat of New Entrants</w:t>
      </w:r>
      <w:r w:rsidRPr="00163527">
        <w:rPr>
          <w:rFonts w:ascii="Arial" w:hAnsi="Arial" w:cs="Arial"/>
          <w:sz w:val="24"/>
          <w:szCs w:val="24"/>
        </w:rPr>
        <w:t>: Moderate – High barriers to entry due to significant capital requirements and established brand loyalty in the industry.</w:t>
      </w:r>
    </w:p>
    <w:p w14:paraId="29CFF94D" w14:textId="77777777" w:rsidR="00213E64" w:rsidRPr="00163527" w:rsidRDefault="00213E64" w:rsidP="00163527">
      <w:pPr>
        <w:numPr>
          <w:ilvl w:val="0"/>
          <w:numId w:val="2"/>
        </w:numPr>
        <w:spacing w:line="360" w:lineRule="auto"/>
        <w:jc w:val="both"/>
        <w:rPr>
          <w:rFonts w:ascii="Arial" w:hAnsi="Arial" w:cs="Arial"/>
          <w:sz w:val="24"/>
          <w:szCs w:val="24"/>
        </w:rPr>
      </w:pPr>
      <w:r w:rsidRPr="00163527">
        <w:rPr>
          <w:rFonts w:ascii="Arial" w:hAnsi="Arial" w:cs="Arial"/>
          <w:sz w:val="24"/>
          <w:szCs w:val="24"/>
          <w:u w:val="single"/>
        </w:rPr>
        <w:t>Bargaining Power of Suppliers</w:t>
      </w:r>
      <w:r w:rsidRPr="00163527">
        <w:rPr>
          <w:rFonts w:ascii="Arial" w:hAnsi="Arial" w:cs="Arial"/>
          <w:sz w:val="24"/>
          <w:szCs w:val="24"/>
        </w:rPr>
        <w:t>: Low – Hilton’s size and global presence provide leverage over suppliers.</w:t>
      </w:r>
    </w:p>
    <w:p w14:paraId="2A9BCC27" w14:textId="77777777" w:rsidR="00213E64" w:rsidRPr="00163527" w:rsidRDefault="00213E64" w:rsidP="00163527">
      <w:pPr>
        <w:numPr>
          <w:ilvl w:val="0"/>
          <w:numId w:val="2"/>
        </w:numPr>
        <w:spacing w:line="360" w:lineRule="auto"/>
        <w:jc w:val="both"/>
        <w:rPr>
          <w:rFonts w:ascii="Arial" w:hAnsi="Arial" w:cs="Arial"/>
          <w:sz w:val="24"/>
          <w:szCs w:val="24"/>
        </w:rPr>
      </w:pPr>
      <w:r w:rsidRPr="00163527">
        <w:rPr>
          <w:rFonts w:ascii="Arial" w:hAnsi="Arial" w:cs="Arial"/>
          <w:sz w:val="24"/>
          <w:szCs w:val="24"/>
          <w:u w:val="single"/>
        </w:rPr>
        <w:t>Bargaining Power of Customers</w:t>
      </w:r>
      <w:r w:rsidRPr="00163527">
        <w:rPr>
          <w:rFonts w:ascii="Arial" w:hAnsi="Arial" w:cs="Arial"/>
          <w:sz w:val="24"/>
          <w:szCs w:val="24"/>
        </w:rPr>
        <w:t>: High – Customers have many options, increasing their bargaining power.</w:t>
      </w:r>
    </w:p>
    <w:p w14:paraId="35F3AB17" w14:textId="77777777" w:rsidR="00213E64" w:rsidRPr="00163527" w:rsidRDefault="00213E64" w:rsidP="00163527">
      <w:pPr>
        <w:numPr>
          <w:ilvl w:val="0"/>
          <w:numId w:val="2"/>
        </w:numPr>
        <w:spacing w:line="360" w:lineRule="auto"/>
        <w:jc w:val="both"/>
        <w:rPr>
          <w:rFonts w:ascii="Arial" w:hAnsi="Arial" w:cs="Arial"/>
          <w:sz w:val="24"/>
          <w:szCs w:val="24"/>
        </w:rPr>
      </w:pPr>
      <w:r w:rsidRPr="00163527">
        <w:rPr>
          <w:rFonts w:ascii="Arial" w:hAnsi="Arial" w:cs="Arial"/>
          <w:sz w:val="24"/>
          <w:szCs w:val="24"/>
          <w:u w:val="single"/>
        </w:rPr>
        <w:lastRenderedPageBreak/>
        <w:t>Threat of Substitute Products or Services</w:t>
      </w:r>
      <w:r w:rsidRPr="00163527">
        <w:rPr>
          <w:rFonts w:ascii="Arial" w:hAnsi="Arial" w:cs="Arial"/>
          <w:sz w:val="24"/>
          <w:szCs w:val="24"/>
        </w:rPr>
        <w:t>: High – Alternatives like Airbnb offer competitive pricing and unique experiences.</w:t>
      </w:r>
    </w:p>
    <w:p w14:paraId="5FF770AA" w14:textId="77777777" w:rsidR="00213E64" w:rsidRPr="00163527" w:rsidRDefault="00213E64" w:rsidP="00163527">
      <w:pPr>
        <w:numPr>
          <w:ilvl w:val="0"/>
          <w:numId w:val="2"/>
        </w:numPr>
        <w:spacing w:line="360" w:lineRule="auto"/>
        <w:jc w:val="both"/>
        <w:rPr>
          <w:rFonts w:ascii="Arial" w:hAnsi="Arial" w:cs="Arial"/>
          <w:sz w:val="24"/>
          <w:szCs w:val="24"/>
        </w:rPr>
      </w:pPr>
      <w:r w:rsidRPr="00163527">
        <w:rPr>
          <w:rFonts w:ascii="Arial" w:hAnsi="Arial" w:cs="Arial"/>
          <w:sz w:val="24"/>
          <w:szCs w:val="24"/>
          <w:u w:val="single"/>
        </w:rPr>
        <w:t>Industry Rivalry</w:t>
      </w:r>
      <w:r w:rsidRPr="00163527">
        <w:rPr>
          <w:rFonts w:ascii="Arial" w:hAnsi="Arial" w:cs="Arial"/>
          <w:sz w:val="24"/>
          <w:szCs w:val="24"/>
        </w:rPr>
        <w:t>: High–intense competition from other global hotel chains such as Marriott and Hyatt (Porter, 1980; Johnson et al., 2017).</w:t>
      </w:r>
    </w:p>
    <w:p w14:paraId="32AA0565" w14:textId="77777777" w:rsidR="00213E64" w:rsidRPr="00163527" w:rsidRDefault="00213E64" w:rsidP="00163527">
      <w:pPr>
        <w:spacing w:line="360" w:lineRule="auto"/>
        <w:jc w:val="both"/>
        <w:rPr>
          <w:rFonts w:ascii="Arial" w:hAnsi="Arial" w:cs="Arial"/>
          <w:sz w:val="24"/>
          <w:szCs w:val="24"/>
        </w:rPr>
      </w:pPr>
    </w:p>
    <w:p w14:paraId="3F9DD327"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t>Recent Change Initiatives</w:t>
      </w:r>
    </w:p>
    <w:p w14:paraId="24BA4261"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Major Initiatives Undertaken by Hilton in Recent Years</w:t>
      </w:r>
    </w:p>
    <w:p w14:paraId="18915A75"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In recent years, Hilton has made significant strides in sustainability, technology, and diversity. Their sustainability efforts, mainly through the Travel with Purpose program, aim to reduce their environmental impact, including targets to cut carbon emissions by 61% and halve water usage by 2030 (Hilton, 2023). Technological advancements, such as the Hilton Honors mobile app and Connected Room technology, have enhanced guest experiences (Hilton, 2022). Additionally, Hilton has strongly emphasised diversity and inclusion, with initiatives aimed at fostering a diverse workforce and inclusive workplace culture (D’Innocenzo et al., 2019).</w:t>
      </w:r>
    </w:p>
    <w:p w14:paraId="1B47FE77"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Evaluation of the Effectiveness of These Changes</w:t>
      </w:r>
    </w:p>
    <w:p w14:paraId="33F9EB68"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Hilton's sustainability initiatives have significantly reduced energy and water consumption, establishing the company as a pioneer in sustainable hospitality (Epstein, 2018). Technological advancements have significantly enhanced customer satisfaction and operational efficiency, showcasing Hilton's dedication to innovation (Buhalis &amp; Leung, 2018). Additionally, the diversity initiatives have fostered a more inclusive culture through increased employee engagement and diverse leadership representation (Roberson, 2019).</w:t>
      </w:r>
    </w:p>
    <w:p w14:paraId="15C8B5E6"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Theoretical Frameworks for Change Management</w:t>
      </w:r>
    </w:p>
    <w:p w14:paraId="4FF6E61C"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Hilton's change initiatives can be assessed using Lewin's Change Model, which includes unfreezing current practices, implementing new changes, and refreezing to solidify the changes. The unfreezing stage involved acknowledging the need for sustainability and innovation. During the implementation phase, Hilton rolled out technological and diversity </w:t>
      </w:r>
      <w:r w:rsidRPr="00163527">
        <w:rPr>
          <w:rFonts w:ascii="Arial" w:hAnsi="Arial" w:cs="Arial"/>
          <w:sz w:val="24"/>
          <w:szCs w:val="24"/>
        </w:rPr>
        <w:lastRenderedPageBreak/>
        <w:t>programs. Finally, the refreezing phase involved integrating these changes into Hilton's operational culture (Cummings &amp; Worley, 2014).</w:t>
      </w:r>
    </w:p>
    <w:p w14:paraId="4DE6AACB"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Additionally, Kotter's 8-Step Process offers a helpful framework. Hilton created a sense of urgency around sustainability, formed a powerful coalition, and developed a vision for change. They effectively communicated the vision, empowered broad-based action, achieved short-term wins, consolidated gains, and anchored new approaches in the corporate culture (Kotter, 2012).</w:t>
      </w:r>
      <w:r w:rsidRPr="00163527">
        <w:rPr>
          <w:rFonts w:ascii="Arial" w:hAnsi="Arial" w:cs="Arial"/>
          <w:b/>
          <w:bCs/>
          <w:sz w:val="24"/>
          <w:szCs w:val="24"/>
        </w:rPr>
        <w:t xml:space="preserve"> </w:t>
      </w:r>
    </w:p>
    <w:p w14:paraId="253319CB"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Case Studies</w:t>
      </w:r>
    </w:p>
    <w:p w14:paraId="347157BD"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An example of a successful initiative is Hilton's </w:t>
      </w:r>
      <w:proofErr w:type="spellStart"/>
      <w:r w:rsidRPr="00163527">
        <w:rPr>
          <w:rFonts w:ascii="Arial" w:hAnsi="Arial" w:cs="Arial"/>
          <w:sz w:val="24"/>
          <w:szCs w:val="24"/>
        </w:rPr>
        <w:t>LightStay</w:t>
      </w:r>
      <w:proofErr w:type="spellEnd"/>
      <w:r w:rsidRPr="00163527">
        <w:rPr>
          <w:rFonts w:ascii="Arial" w:hAnsi="Arial" w:cs="Arial"/>
          <w:sz w:val="24"/>
          <w:szCs w:val="24"/>
        </w:rPr>
        <w:t xml:space="preserve"> program, which monitors all properties' environmental and social impact. This program has received multiple awards for its sustainability efforts and has significantly reduced the company's carbon footprint (Hilton, 2023). Another positive development is the introduction of Connected Room technology, allowing guests to manage their room environment through a mobile app. This innovation has improved guest satisfaction and operational efficiency (D’Innocenzo et al., 2019).</w:t>
      </w:r>
    </w:p>
    <w:p w14:paraId="7B3FC313"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On the other hand, a challenging initiative was the swift implementation of COVID-19 health and safety protocols. While necessary, the sudden changes required extensive employee training and adjustment. Despite the initial difficulties, Hilton effectively navigated this transition and upheld high standards of safety and guest satisfaction (Bartik et al., 2020).</w:t>
      </w:r>
    </w:p>
    <w:p w14:paraId="582BB2CD" w14:textId="77777777" w:rsidR="00213E64" w:rsidRPr="00163527" w:rsidRDefault="00213E64" w:rsidP="00163527">
      <w:pPr>
        <w:spacing w:line="360" w:lineRule="auto"/>
        <w:jc w:val="both"/>
        <w:rPr>
          <w:rFonts w:ascii="Arial" w:hAnsi="Arial" w:cs="Arial"/>
          <w:b/>
          <w:bCs/>
          <w:sz w:val="24"/>
          <w:szCs w:val="24"/>
        </w:rPr>
      </w:pPr>
    </w:p>
    <w:p w14:paraId="1F7748E7"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t>Competitor Analysis</w:t>
      </w:r>
    </w:p>
    <w:p w14:paraId="3E348502"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Comparison with Key Competitors</w:t>
      </w:r>
    </w:p>
    <w:p w14:paraId="7FDF7550"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The Hilton Hotel Group's main competitors are prominent entities in the global hospitality industry, namely Marriott International, Hyatt Hotels Corporation, and InterContinental Hotels Group (IHG). These companies are substantial players in the industry, providing a diverse array of services and brands.</w:t>
      </w:r>
    </w:p>
    <w:p w14:paraId="3AA48B3A"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Comparative Analysis of Organisational Structure, Culture, and Strategic Direction</w:t>
      </w:r>
    </w:p>
    <w:p w14:paraId="557E1200"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lastRenderedPageBreak/>
        <w:t>Marriott International operates with a hierarchical structure that leans towards decentralisation, allowing for more autonomy at the local level (Marriott, 2023). In contrast, Hyatt promotes a flat organisational structure emphasising agility and responsiveness (Hyatt, 2022). IHG, on the other hand, adopts a hybrid structure that balances central oversight with local flexibility (IHG, 2022). Culturally, Marriott and Hilton both prioritise hospitality and employee engagement, while Hyatt strongly emphasises innovation and customer-centricity. From a strategic standpoint, Marriott and Hilton focus on global expansion and technological innovation, while Hyatt prioritises personalised experiences, and IHG concentrates on sustainability and market penetration (Ivanov &amp; Webster, 2017).</w:t>
      </w:r>
    </w:p>
    <w:p w14:paraId="60857359"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Competitive Advantages and Disadvantages</w:t>
      </w:r>
    </w:p>
    <w:p w14:paraId="7AA70601" w14:textId="45069F0A" w:rsidR="00213E64" w:rsidRPr="00163527" w:rsidRDefault="00213E64" w:rsidP="00163527">
      <w:pPr>
        <w:spacing w:line="360" w:lineRule="auto"/>
        <w:jc w:val="both"/>
        <w:rPr>
          <w:rFonts w:ascii="Arial" w:hAnsi="Arial" w:cs="Arial"/>
          <w:b/>
          <w:bCs/>
          <w:sz w:val="24"/>
          <w:szCs w:val="24"/>
        </w:rPr>
      </w:pPr>
      <w:r w:rsidRPr="00163527">
        <w:rPr>
          <w:rFonts w:ascii="Arial" w:hAnsi="Arial" w:cs="Arial"/>
          <w:sz w:val="24"/>
          <w:szCs w:val="24"/>
        </w:rPr>
        <w:t xml:space="preserve">Hilton is known for its strong brand recognition and extensive loyalty program, Hilton Honors. The hotel chain has also been praised for its innovative use of technology, including the Connected Room introduced in 2023. However, according to Jones &amp; George (2019), Hilton faces challenges due to high operational costs and its reliance on the </w:t>
      </w:r>
      <w:r w:rsidR="00163527">
        <w:rPr>
          <w:rFonts w:ascii="Arial" w:hAnsi="Arial" w:cs="Arial"/>
          <w:sz w:val="24"/>
          <w:szCs w:val="24"/>
        </w:rPr>
        <w:t>volatile global travel market</w:t>
      </w:r>
      <w:r w:rsidRPr="00163527">
        <w:rPr>
          <w:rFonts w:ascii="Arial" w:hAnsi="Arial" w:cs="Arial"/>
          <w:sz w:val="24"/>
          <w:szCs w:val="24"/>
        </w:rPr>
        <w:t>.</w:t>
      </w:r>
      <w:r w:rsidRPr="00163527">
        <w:rPr>
          <w:rFonts w:ascii="Arial" w:hAnsi="Arial" w:cs="Arial"/>
          <w:b/>
          <w:bCs/>
          <w:sz w:val="24"/>
          <w:szCs w:val="24"/>
        </w:rPr>
        <w:br/>
      </w:r>
      <w:r w:rsidRPr="00163527">
        <w:rPr>
          <w:rFonts w:ascii="Arial" w:hAnsi="Arial" w:cs="Arial"/>
          <w:b/>
          <w:bCs/>
          <w:sz w:val="24"/>
          <w:szCs w:val="24"/>
        </w:rPr>
        <w:br/>
      </w:r>
    </w:p>
    <w:p w14:paraId="749E4B0C"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t>Conclusion</w:t>
      </w:r>
    </w:p>
    <w:p w14:paraId="77B200C5"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The report thoroughly examined Hilton’s organisational structure, culture, goals, strategic direction, and recent change initiatives. Hilton’s hierarchical structure and strategic approach to centralisation and decentralisation effectively support its global operations and growth objectives. The company’s robust culture, which prioritises hospitality, sustainability, and diversity, is crucial in driving its performance and fostering innovation.</w:t>
      </w:r>
    </w:p>
    <w:p w14:paraId="02D477B0"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 xml:space="preserve">In summary, Hilton exhibits considerable organisational effectiveness through its strategic efforts and dedication to sustainability and inclusivity. The proposed recommendations, which centre on integrating technology, strengthening sustainability endeavours, and enhancing diversity programs, are anticipated to strengthen Hilton's competitive standing. </w:t>
      </w:r>
      <w:r w:rsidRPr="00163527">
        <w:rPr>
          <w:rFonts w:ascii="Arial" w:hAnsi="Arial" w:cs="Arial"/>
          <w:sz w:val="24"/>
          <w:szCs w:val="24"/>
        </w:rPr>
        <w:lastRenderedPageBreak/>
        <w:t>By executing these strategies, Hilton will sustain its hospitality sector leadership, adapt to market shifts, and achieve enduring success.</w:t>
      </w:r>
    </w:p>
    <w:p w14:paraId="2C0040A1" w14:textId="77777777"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br/>
        <w:t>Recommendations</w:t>
      </w:r>
    </w:p>
    <w:p w14:paraId="20BC21FB" w14:textId="77777777" w:rsidR="00213E64" w:rsidRPr="00163527" w:rsidRDefault="00213E64" w:rsidP="00163527">
      <w:pPr>
        <w:spacing w:line="360" w:lineRule="auto"/>
        <w:jc w:val="both"/>
        <w:rPr>
          <w:rFonts w:ascii="Arial" w:hAnsi="Arial" w:cs="Arial"/>
          <w:i/>
          <w:iCs/>
          <w:sz w:val="24"/>
          <w:szCs w:val="24"/>
          <w:u w:val="single"/>
        </w:rPr>
      </w:pPr>
      <w:r w:rsidRPr="00163527">
        <w:rPr>
          <w:rFonts w:ascii="Arial" w:hAnsi="Arial" w:cs="Arial"/>
          <w:i/>
          <w:iCs/>
          <w:sz w:val="24"/>
          <w:szCs w:val="24"/>
          <w:u w:val="single"/>
        </w:rPr>
        <w:t>Strategic Recommendations</w:t>
      </w:r>
    </w:p>
    <w:p w14:paraId="6C705B38" w14:textId="77777777" w:rsidR="00213E64"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To enhance Hilton’s organisational structure, culture, and strategic initiatives, it is recommended to:</w:t>
      </w:r>
    </w:p>
    <w:p w14:paraId="2D6866A9" w14:textId="77777777" w:rsidR="00213E64" w:rsidRPr="00163527" w:rsidRDefault="00213E64" w:rsidP="00163527">
      <w:pPr>
        <w:numPr>
          <w:ilvl w:val="0"/>
          <w:numId w:val="3"/>
        </w:numPr>
        <w:spacing w:line="360" w:lineRule="auto"/>
        <w:jc w:val="both"/>
        <w:rPr>
          <w:rFonts w:ascii="Arial" w:hAnsi="Arial" w:cs="Arial"/>
          <w:sz w:val="24"/>
          <w:szCs w:val="24"/>
        </w:rPr>
      </w:pPr>
      <w:r w:rsidRPr="00163527">
        <w:rPr>
          <w:rFonts w:ascii="Arial" w:hAnsi="Arial" w:cs="Arial"/>
          <w:sz w:val="24"/>
          <w:szCs w:val="24"/>
          <w:u w:val="single"/>
        </w:rPr>
        <w:t>Technology Integration</w:t>
      </w:r>
      <w:r w:rsidRPr="00163527">
        <w:rPr>
          <w:rFonts w:ascii="Arial" w:hAnsi="Arial" w:cs="Arial"/>
          <w:sz w:val="24"/>
          <w:szCs w:val="24"/>
        </w:rPr>
        <w:t>: Further development and implementation of advanced technologies, such as AI-driven customer service solutions and enhanced data analytics, are needed to improve operational efficiency and customer experiences (Ivanov &amp; Webster, 2017).</w:t>
      </w:r>
    </w:p>
    <w:p w14:paraId="193729DA" w14:textId="77777777" w:rsidR="00213E64" w:rsidRPr="00163527" w:rsidRDefault="00213E64" w:rsidP="00163527">
      <w:pPr>
        <w:numPr>
          <w:ilvl w:val="0"/>
          <w:numId w:val="3"/>
        </w:numPr>
        <w:spacing w:line="360" w:lineRule="auto"/>
        <w:jc w:val="both"/>
        <w:rPr>
          <w:rFonts w:ascii="Arial" w:hAnsi="Arial" w:cs="Arial"/>
          <w:sz w:val="24"/>
          <w:szCs w:val="24"/>
        </w:rPr>
      </w:pPr>
      <w:r w:rsidRPr="00163527">
        <w:rPr>
          <w:rFonts w:ascii="Arial" w:hAnsi="Arial" w:cs="Arial"/>
          <w:sz w:val="24"/>
          <w:szCs w:val="24"/>
          <w:u w:val="single"/>
        </w:rPr>
        <w:t>Sustainability Initiatives</w:t>
      </w:r>
      <w:r w:rsidRPr="00163527">
        <w:rPr>
          <w:rFonts w:ascii="Arial" w:hAnsi="Arial" w:cs="Arial"/>
          <w:sz w:val="24"/>
          <w:szCs w:val="24"/>
        </w:rPr>
        <w:t>: Expand sustainability efforts by adopting rigorous environmental practices and promoting green certifications across all properties (Epstein, 2018).</w:t>
      </w:r>
    </w:p>
    <w:p w14:paraId="744D5C78" w14:textId="77777777" w:rsidR="00213E64" w:rsidRPr="00163527" w:rsidRDefault="00213E64" w:rsidP="00163527">
      <w:pPr>
        <w:numPr>
          <w:ilvl w:val="0"/>
          <w:numId w:val="3"/>
        </w:numPr>
        <w:spacing w:line="360" w:lineRule="auto"/>
        <w:jc w:val="both"/>
        <w:rPr>
          <w:rFonts w:ascii="Arial" w:hAnsi="Arial" w:cs="Arial"/>
          <w:sz w:val="24"/>
          <w:szCs w:val="24"/>
        </w:rPr>
      </w:pPr>
      <w:r w:rsidRPr="00163527">
        <w:rPr>
          <w:rFonts w:ascii="Arial" w:hAnsi="Arial" w:cs="Arial"/>
          <w:sz w:val="24"/>
          <w:szCs w:val="24"/>
          <w:u w:val="single"/>
        </w:rPr>
        <w:t>Diversity Programs</w:t>
      </w:r>
      <w:r w:rsidRPr="00163527">
        <w:rPr>
          <w:rFonts w:ascii="Arial" w:hAnsi="Arial" w:cs="Arial"/>
          <w:sz w:val="24"/>
          <w:szCs w:val="24"/>
        </w:rPr>
        <w:t>: Strengthen diversity and inclusion programs by setting measurable goals and providing ongoing employee training and development (Roberson, 2019).</w:t>
      </w:r>
    </w:p>
    <w:p w14:paraId="380E7714" w14:textId="76383C36" w:rsidR="007944C2" w:rsidRPr="00163527" w:rsidRDefault="00213E64" w:rsidP="00163527">
      <w:pPr>
        <w:spacing w:line="360" w:lineRule="auto"/>
        <w:jc w:val="both"/>
        <w:rPr>
          <w:rFonts w:ascii="Arial" w:hAnsi="Arial" w:cs="Arial"/>
          <w:sz w:val="24"/>
          <w:szCs w:val="24"/>
        </w:rPr>
      </w:pPr>
      <w:r w:rsidRPr="00163527">
        <w:rPr>
          <w:rFonts w:ascii="Arial" w:hAnsi="Arial" w:cs="Arial"/>
          <w:sz w:val="24"/>
          <w:szCs w:val="24"/>
        </w:rPr>
        <w:t>The proposed recommendations are designed to establish Hilton as a trailblazer in innovation, sustainability, and inclusivity. By integrating technology, operations will become more efficient, and guest experiences will be personalised, ultimately leading to higher customer satisfaction and loyalty. Implementing sustainability initiatives will lower operational costs and appeal to environmentally conscious travellers, bolstering Hilton's brand reputation. Furthermore, diversity programs will cultivate a more inclusive workplace, boost employee engagement, and attract top-tier talent. These strategic improvements are anticipated to propel long-term growth and secure a competitive edge (Grant, 2016; Buhalis &amp; Leung, 2018).</w:t>
      </w:r>
    </w:p>
    <w:p w14:paraId="40A481FF" w14:textId="77777777" w:rsidR="007944C2" w:rsidRPr="00163527" w:rsidRDefault="007944C2" w:rsidP="00163527">
      <w:pPr>
        <w:spacing w:line="360" w:lineRule="auto"/>
        <w:jc w:val="both"/>
        <w:rPr>
          <w:rFonts w:ascii="Arial" w:hAnsi="Arial" w:cs="Arial"/>
          <w:b/>
          <w:bCs/>
          <w:sz w:val="24"/>
          <w:szCs w:val="24"/>
        </w:rPr>
      </w:pPr>
    </w:p>
    <w:p w14:paraId="6CF0159D" w14:textId="77777777" w:rsidR="007944C2" w:rsidRPr="00163527" w:rsidRDefault="007944C2" w:rsidP="00163527">
      <w:pPr>
        <w:spacing w:line="360" w:lineRule="auto"/>
        <w:jc w:val="both"/>
        <w:rPr>
          <w:rFonts w:ascii="Arial" w:hAnsi="Arial" w:cs="Arial"/>
          <w:b/>
          <w:bCs/>
          <w:sz w:val="24"/>
          <w:szCs w:val="24"/>
        </w:rPr>
      </w:pPr>
    </w:p>
    <w:p w14:paraId="4E8C04E9" w14:textId="28E1791D" w:rsidR="00213E64" w:rsidRPr="00163527" w:rsidRDefault="00213E64" w:rsidP="00163527">
      <w:pPr>
        <w:spacing w:line="360" w:lineRule="auto"/>
        <w:jc w:val="both"/>
        <w:rPr>
          <w:rFonts w:ascii="Arial" w:hAnsi="Arial" w:cs="Arial"/>
          <w:b/>
          <w:bCs/>
          <w:sz w:val="24"/>
          <w:szCs w:val="24"/>
        </w:rPr>
      </w:pPr>
      <w:r w:rsidRPr="00163527">
        <w:rPr>
          <w:rFonts w:ascii="Arial" w:hAnsi="Arial" w:cs="Arial"/>
          <w:b/>
          <w:bCs/>
          <w:sz w:val="24"/>
          <w:szCs w:val="24"/>
        </w:rPr>
        <w:lastRenderedPageBreak/>
        <w:t>References</w:t>
      </w:r>
    </w:p>
    <w:p w14:paraId="6CA54C30"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Bartik, A. W., Bertrand, M., Cullen, Z., Glaeser, E. L., Luca, M., &amp; Stanton, C. T. (2020). The impact of COVID-19 on small business outcomes and expectations. </w:t>
      </w:r>
      <w:r w:rsidRPr="00163527">
        <w:rPr>
          <w:rFonts w:ascii="Arial" w:hAnsi="Arial" w:cs="Arial"/>
          <w:i/>
          <w:iCs/>
          <w:sz w:val="24"/>
          <w:szCs w:val="24"/>
        </w:rPr>
        <w:t>Proceedings of the National Academy of Sciences</w:t>
      </w:r>
      <w:r w:rsidRPr="00163527">
        <w:rPr>
          <w:rFonts w:ascii="Arial" w:hAnsi="Arial" w:cs="Arial"/>
          <w:sz w:val="24"/>
          <w:szCs w:val="24"/>
        </w:rPr>
        <w:t>, 117(30), 17656-17666.</w:t>
      </w:r>
    </w:p>
    <w:p w14:paraId="1C68BCB5"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Buhalis, D., &amp; Leung, D. (2018). Smart hospitality—Interconnectivity and interoperability towards an ecosystem. </w:t>
      </w:r>
      <w:r w:rsidRPr="00163527">
        <w:rPr>
          <w:rFonts w:ascii="Arial" w:hAnsi="Arial" w:cs="Arial"/>
          <w:i/>
          <w:iCs/>
          <w:sz w:val="24"/>
          <w:szCs w:val="24"/>
        </w:rPr>
        <w:t>International Journal of Hospitality Management</w:t>
      </w:r>
      <w:r w:rsidRPr="00163527">
        <w:rPr>
          <w:rFonts w:ascii="Arial" w:hAnsi="Arial" w:cs="Arial"/>
          <w:sz w:val="24"/>
          <w:szCs w:val="24"/>
        </w:rPr>
        <w:t>, 71, 41-50.</w:t>
      </w:r>
    </w:p>
    <w:p w14:paraId="791C3B8D"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Burns, T., &amp; Stalker, G. M. (1961). </w:t>
      </w:r>
      <w:r w:rsidRPr="00163527">
        <w:rPr>
          <w:rFonts w:ascii="Arial" w:hAnsi="Arial" w:cs="Arial"/>
          <w:i/>
          <w:iCs/>
          <w:sz w:val="24"/>
          <w:szCs w:val="24"/>
        </w:rPr>
        <w:t>The Management of Innovation</w:t>
      </w:r>
      <w:r w:rsidRPr="00163527">
        <w:rPr>
          <w:rFonts w:ascii="Arial" w:hAnsi="Arial" w:cs="Arial"/>
          <w:sz w:val="24"/>
          <w:szCs w:val="24"/>
        </w:rPr>
        <w:t>. London: Tavistock.</w:t>
      </w:r>
    </w:p>
    <w:p w14:paraId="4B257B38"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Cummings, T. G., &amp; Worley, C. G. (2014). </w:t>
      </w:r>
      <w:r w:rsidRPr="00163527">
        <w:rPr>
          <w:rFonts w:ascii="Arial" w:hAnsi="Arial" w:cs="Arial"/>
          <w:i/>
          <w:iCs/>
          <w:sz w:val="24"/>
          <w:szCs w:val="24"/>
        </w:rPr>
        <w:t>Organization Development and Change</w:t>
      </w:r>
      <w:r w:rsidRPr="00163527">
        <w:rPr>
          <w:rFonts w:ascii="Arial" w:hAnsi="Arial" w:cs="Arial"/>
          <w:sz w:val="24"/>
          <w:szCs w:val="24"/>
        </w:rPr>
        <w:t>. Cengage Learning.</w:t>
      </w:r>
    </w:p>
    <w:p w14:paraId="77F4FBDE"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D’Innocenzo, L., Mathieu, J. E., &amp; </w:t>
      </w:r>
      <w:proofErr w:type="spellStart"/>
      <w:r w:rsidRPr="00163527">
        <w:rPr>
          <w:rFonts w:ascii="Arial" w:hAnsi="Arial" w:cs="Arial"/>
          <w:sz w:val="24"/>
          <w:szCs w:val="24"/>
        </w:rPr>
        <w:t>Kukenberger</w:t>
      </w:r>
      <w:proofErr w:type="spellEnd"/>
      <w:r w:rsidRPr="00163527">
        <w:rPr>
          <w:rFonts w:ascii="Arial" w:hAnsi="Arial" w:cs="Arial"/>
          <w:sz w:val="24"/>
          <w:szCs w:val="24"/>
        </w:rPr>
        <w:t xml:space="preserve">, M. R. (2019). A meta-analysis of different forms of shared leadership–team performance relations. </w:t>
      </w:r>
      <w:r w:rsidRPr="00163527">
        <w:rPr>
          <w:rFonts w:ascii="Arial" w:hAnsi="Arial" w:cs="Arial"/>
          <w:i/>
          <w:iCs/>
          <w:sz w:val="24"/>
          <w:szCs w:val="24"/>
        </w:rPr>
        <w:t>Journal of Management</w:t>
      </w:r>
      <w:r w:rsidRPr="00163527">
        <w:rPr>
          <w:rFonts w:ascii="Arial" w:hAnsi="Arial" w:cs="Arial"/>
          <w:sz w:val="24"/>
          <w:szCs w:val="24"/>
        </w:rPr>
        <w:t>, 45(6), 2501-2535.</w:t>
      </w:r>
    </w:p>
    <w:p w14:paraId="0C6F5C67"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Daft, R. L. (2015). </w:t>
      </w:r>
      <w:r w:rsidRPr="00163527">
        <w:rPr>
          <w:rFonts w:ascii="Arial" w:hAnsi="Arial" w:cs="Arial"/>
          <w:i/>
          <w:iCs/>
          <w:sz w:val="24"/>
          <w:szCs w:val="24"/>
        </w:rPr>
        <w:t>Organization Theory and Design</w:t>
      </w:r>
      <w:r w:rsidRPr="00163527">
        <w:rPr>
          <w:rFonts w:ascii="Arial" w:hAnsi="Arial" w:cs="Arial"/>
          <w:sz w:val="24"/>
          <w:szCs w:val="24"/>
        </w:rPr>
        <w:t>. Cengage Learning.</w:t>
      </w:r>
    </w:p>
    <w:p w14:paraId="27388C7F"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Epstein, M. J. (2018). </w:t>
      </w:r>
      <w:r w:rsidRPr="00163527">
        <w:rPr>
          <w:rFonts w:ascii="Arial" w:hAnsi="Arial" w:cs="Arial"/>
          <w:i/>
          <w:iCs/>
          <w:sz w:val="24"/>
          <w:szCs w:val="24"/>
        </w:rPr>
        <w:t>Making Sustainability Work: Best Practices in Managing and Measuring Corporate Social, Environmental, and Economic Impacts</w:t>
      </w:r>
      <w:r w:rsidRPr="00163527">
        <w:rPr>
          <w:rFonts w:ascii="Arial" w:hAnsi="Arial" w:cs="Arial"/>
          <w:sz w:val="24"/>
          <w:szCs w:val="24"/>
        </w:rPr>
        <w:t>. Routledge.</w:t>
      </w:r>
    </w:p>
    <w:p w14:paraId="3F72BD01"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Epstein, M. J., &amp; </w:t>
      </w:r>
      <w:proofErr w:type="spellStart"/>
      <w:r w:rsidRPr="00163527">
        <w:rPr>
          <w:rFonts w:ascii="Arial" w:hAnsi="Arial" w:cs="Arial"/>
          <w:sz w:val="24"/>
          <w:szCs w:val="24"/>
        </w:rPr>
        <w:t>Buhovac</w:t>
      </w:r>
      <w:proofErr w:type="spellEnd"/>
      <w:r w:rsidRPr="00163527">
        <w:rPr>
          <w:rFonts w:ascii="Arial" w:hAnsi="Arial" w:cs="Arial"/>
          <w:sz w:val="24"/>
          <w:szCs w:val="24"/>
        </w:rPr>
        <w:t xml:space="preserve">, A. R. (2014). </w:t>
      </w:r>
      <w:r w:rsidRPr="00163527">
        <w:rPr>
          <w:rFonts w:ascii="Arial" w:hAnsi="Arial" w:cs="Arial"/>
          <w:i/>
          <w:iCs/>
          <w:sz w:val="24"/>
          <w:szCs w:val="24"/>
        </w:rPr>
        <w:t>Making Sustainability Work: Best Practices in Managing and Measuring Corporate Social, Environmental, and Economic Impacts</w:t>
      </w:r>
      <w:r w:rsidRPr="00163527">
        <w:rPr>
          <w:rFonts w:ascii="Arial" w:hAnsi="Arial" w:cs="Arial"/>
          <w:sz w:val="24"/>
          <w:szCs w:val="24"/>
        </w:rPr>
        <w:t>. Berrett-Koehler Publishers.</w:t>
      </w:r>
    </w:p>
    <w:p w14:paraId="2FC9932D"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Grant, R. M. (2016). </w:t>
      </w:r>
      <w:r w:rsidRPr="00163527">
        <w:rPr>
          <w:rFonts w:ascii="Arial" w:hAnsi="Arial" w:cs="Arial"/>
          <w:i/>
          <w:iCs/>
          <w:sz w:val="24"/>
          <w:szCs w:val="24"/>
        </w:rPr>
        <w:t>Contemporary Strategy Analysis: Text and Cases Edition</w:t>
      </w:r>
      <w:r w:rsidRPr="00163527">
        <w:rPr>
          <w:rFonts w:ascii="Arial" w:hAnsi="Arial" w:cs="Arial"/>
          <w:sz w:val="24"/>
          <w:szCs w:val="24"/>
        </w:rPr>
        <w:t>. Wiley.</w:t>
      </w:r>
    </w:p>
    <w:p w14:paraId="631FE795"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Gretzky, J. (2019). </w:t>
      </w:r>
      <w:r w:rsidRPr="00163527">
        <w:rPr>
          <w:rFonts w:ascii="Arial" w:hAnsi="Arial" w:cs="Arial"/>
          <w:i/>
          <w:iCs/>
          <w:sz w:val="24"/>
          <w:szCs w:val="24"/>
        </w:rPr>
        <w:t>Strategic Management in the Hospitality Industry</w:t>
      </w:r>
      <w:r w:rsidRPr="00163527">
        <w:rPr>
          <w:rFonts w:ascii="Arial" w:hAnsi="Arial" w:cs="Arial"/>
          <w:sz w:val="24"/>
          <w:szCs w:val="24"/>
        </w:rPr>
        <w:t>. Routledge.</w:t>
      </w:r>
    </w:p>
    <w:p w14:paraId="5A042ED9"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Hill, C. W. L., &amp; Jones, G. R. (2017). </w:t>
      </w:r>
      <w:r w:rsidRPr="00163527">
        <w:rPr>
          <w:rFonts w:ascii="Arial" w:hAnsi="Arial" w:cs="Arial"/>
          <w:i/>
          <w:iCs/>
          <w:sz w:val="24"/>
          <w:szCs w:val="24"/>
        </w:rPr>
        <w:t>Strategic Management: An Integrated Approach</w:t>
      </w:r>
      <w:r w:rsidRPr="00163527">
        <w:rPr>
          <w:rFonts w:ascii="Arial" w:hAnsi="Arial" w:cs="Arial"/>
          <w:sz w:val="24"/>
          <w:szCs w:val="24"/>
        </w:rPr>
        <w:t>. Cengage Learning.</w:t>
      </w:r>
    </w:p>
    <w:p w14:paraId="6D860E00"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Hilton. (2022). </w:t>
      </w:r>
      <w:r w:rsidRPr="00163527">
        <w:rPr>
          <w:rFonts w:ascii="Arial" w:hAnsi="Arial" w:cs="Arial"/>
          <w:i/>
          <w:iCs/>
          <w:sz w:val="24"/>
          <w:szCs w:val="24"/>
        </w:rPr>
        <w:t>2022 Hilton Year in Review</w:t>
      </w:r>
      <w:r w:rsidRPr="00163527">
        <w:rPr>
          <w:rFonts w:ascii="Arial" w:hAnsi="Arial" w:cs="Arial"/>
          <w:sz w:val="24"/>
          <w:szCs w:val="24"/>
        </w:rPr>
        <w:t xml:space="preserve">. Retrieved from </w:t>
      </w:r>
      <w:hyperlink r:id="rId7" w:tgtFrame="_new" w:history="1">
        <w:r w:rsidRPr="00163527">
          <w:rPr>
            <w:rStyle w:val="Hyperlink"/>
            <w:rFonts w:ascii="Arial" w:hAnsi="Arial" w:cs="Arial"/>
            <w:sz w:val="24"/>
            <w:szCs w:val="24"/>
          </w:rPr>
          <w:t>https://stories.hilton.com/2022-annual-report</w:t>
        </w:r>
      </w:hyperlink>
    </w:p>
    <w:p w14:paraId="4AD407AA"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lastRenderedPageBreak/>
        <w:t xml:space="preserve">Hilton. (2023). </w:t>
      </w:r>
      <w:r w:rsidRPr="00163527">
        <w:rPr>
          <w:rFonts w:ascii="Arial" w:hAnsi="Arial" w:cs="Arial"/>
          <w:i/>
          <w:iCs/>
          <w:sz w:val="24"/>
          <w:szCs w:val="24"/>
        </w:rPr>
        <w:t>Hilton 2023 Annual Report</w:t>
      </w:r>
      <w:r w:rsidRPr="00163527">
        <w:rPr>
          <w:rFonts w:ascii="Arial" w:hAnsi="Arial" w:cs="Arial"/>
          <w:sz w:val="24"/>
          <w:szCs w:val="24"/>
        </w:rPr>
        <w:t xml:space="preserve">. Retrieved from </w:t>
      </w:r>
      <w:hyperlink r:id="rId8" w:tgtFrame="_new" w:history="1">
        <w:r w:rsidRPr="00163527">
          <w:rPr>
            <w:rStyle w:val="Hyperlink"/>
            <w:rFonts w:ascii="Arial" w:hAnsi="Arial" w:cs="Arial"/>
            <w:sz w:val="24"/>
            <w:szCs w:val="24"/>
          </w:rPr>
          <w:t>https://stories.hilton.com/2023-annual-report</w:t>
        </w:r>
      </w:hyperlink>
    </w:p>
    <w:p w14:paraId="4336F3BA"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Hyatt. (2022). </w:t>
      </w:r>
      <w:r w:rsidRPr="00163527">
        <w:rPr>
          <w:rFonts w:ascii="Arial" w:hAnsi="Arial" w:cs="Arial"/>
          <w:i/>
          <w:iCs/>
          <w:sz w:val="24"/>
          <w:szCs w:val="24"/>
        </w:rPr>
        <w:t>Hyatt Annual Report</w:t>
      </w:r>
      <w:r w:rsidRPr="00163527">
        <w:rPr>
          <w:rFonts w:ascii="Arial" w:hAnsi="Arial" w:cs="Arial"/>
          <w:sz w:val="24"/>
          <w:szCs w:val="24"/>
        </w:rPr>
        <w:t>. Retrieved from https://investors.hyatt.com/financial-information/annual-reports.</w:t>
      </w:r>
    </w:p>
    <w:p w14:paraId="2E3100C9"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IHG. (2022). </w:t>
      </w:r>
      <w:r w:rsidRPr="00163527">
        <w:rPr>
          <w:rFonts w:ascii="Arial" w:hAnsi="Arial" w:cs="Arial"/>
          <w:i/>
          <w:iCs/>
          <w:sz w:val="24"/>
          <w:szCs w:val="24"/>
        </w:rPr>
        <w:t>InterContinental Hotels Group Annual Report</w:t>
      </w:r>
      <w:r w:rsidRPr="00163527">
        <w:rPr>
          <w:rFonts w:ascii="Arial" w:hAnsi="Arial" w:cs="Arial"/>
          <w:sz w:val="24"/>
          <w:szCs w:val="24"/>
        </w:rPr>
        <w:t>. Retrieved from https://www.ihgplc.com/en/investors/annual-report.</w:t>
      </w:r>
    </w:p>
    <w:p w14:paraId="28F7ED2C"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Ivanov, S., &amp; Webster, C. (2017). Adoption of robots, artificial intelligence, and service automation by travel, tourism, and hospitality companies – A cost-benefit analysis. </w:t>
      </w:r>
      <w:r w:rsidRPr="00163527">
        <w:rPr>
          <w:rFonts w:ascii="Arial" w:hAnsi="Arial" w:cs="Arial"/>
          <w:i/>
          <w:iCs/>
          <w:sz w:val="24"/>
          <w:szCs w:val="24"/>
        </w:rPr>
        <w:t>International Journal of Contemporary Hospitality Management</w:t>
      </w:r>
      <w:r w:rsidRPr="00163527">
        <w:rPr>
          <w:rFonts w:ascii="Arial" w:hAnsi="Arial" w:cs="Arial"/>
          <w:sz w:val="24"/>
          <w:szCs w:val="24"/>
        </w:rPr>
        <w:t>, 29(9), 2482-2500.</w:t>
      </w:r>
    </w:p>
    <w:p w14:paraId="4A5275C5"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Johnson, G., Whittington, R., Scholes, K., Angwin, D., &amp; </w:t>
      </w:r>
      <w:proofErr w:type="spellStart"/>
      <w:r w:rsidRPr="00163527">
        <w:rPr>
          <w:rFonts w:ascii="Arial" w:hAnsi="Arial" w:cs="Arial"/>
          <w:sz w:val="24"/>
          <w:szCs w:val="24"/>
        </w:rPr>
        <w:t>Regnér</w:t>
      </w:r>
      <w:proofErr w:type="spellEnd"/>
      <w:r w:rsidRPr="00163527">
        <w:rPr>
          <w:rFonts w:ascii="Arial" w:hAnsi="Arial" w:cs="Arial"/>
          <w:sz w:val="24"/>
          <w:szCs w:val="24"/>
        </w:rPr>
        <w:t xml:space="preserve">, P. (2017). </w:t>
      </w:r>
      <w:r w:rsidRPr="00163527">
        <w:rPr>
          <w:rFonts w:ascii="Arial" w:hAnsi="Arial" w:cs="Arial"/>
          <w:i/>
          <w:iCs/>
          <w:sz w:val="24"/>
          <w:szCs w:val="24"/>
        </w:rPr>
        <w:t>Exploring Strategy: Text and Cases</w:t>
      </w:r>
      <w:r w:rsidRPr="00163527">
        <w:rPr>
          <w:rFonts w:ascii="Arial" w:hAnsi="Arial" w:cs="Arial"/>
          <w:sz w:val="24"/>
          <w:szCs w:val="24"/>
        </w:rPr>
        <w:t>. Pearson.</w:t>
      </w:r>
    </w:p>
    <w:p w14:paraId="587CD6AA"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Jones, G. R., &amp; George, J. M. (2019). </w:t>
      </w:r>
      <w:r w:rsidRPr="00163527">
        <w:rPr>
          <w:rFonts w:ascii="Arial" w:hAnsi="Arial" w:cs="Arial"/>
          <w:i/>
          <w:iCs/>
          <w:sz w:val="24"/>
          <w:szCs w:val="24"/>
        </w:rPr>
        <w:t>Essentials of Contemporary Management</w:t>
      </w:r>
      <w:r w:rsidRPr="00163527">
        <w:rPr>
          <w:rFonts w:ascii="Arial" w:hAnsi="Arial" w:cs="Arial"/>
          <w:sz w:val="24"/>
          <w:szCs w:val="24"/>
        </w:rPr>
        <w:t>. McGraw-Hill Education.</w:t>
      </w:r>
    </w:p>
    <w:p w14:paraId="48441844"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Kotter, J. P. (2012). </w:t>
      </w:r>
      <w:r w:rsidRPr="00163527">
        <w:rPr>
          <w:rFonts w:ascii="Arial" w:hAnsi="Arial" w:cs="Arial"/>
          <w:i/>
          <w:iCs/>
          <w:sz w:val="24"/>
          <w:szCs w:val="24"/>
        </w:rPr>
        <w:t>Leading Change</w:t>
      </w:r>
      <w:r w:rsidRPr="00163527">
        <w:rPr>
          <w:rFonts w:ascii="Arial" w:hAnsi="Arial" w:cs="Arial"/>
          <w:sz w:val="24"/>
          <w:szCs w:val="24"/>
        </w:rPr>
        <w:t>. Harvard Business Review Press.</w:t>
      </w:r>
    </w:p>
    <w:p w14:paraId="7763C0BE"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Laudon, K. C., &amp; Traver, C. G. (2019). </w:t>
      </w:r>
      <w:r w:rsidRPr="00163527">
        <w:rPr>
          <w:rFonts w:ascii="Arial" w:hAnsi="Arial" w:cs="Arial"/>
          <w:i/>
          <w:iCs/>
          <w:sz w:val="24"/>
          <w:szCs w:val="24"/>
        </w:rPr>
        <w:t>E-commerce 2019: Business, Technology, and Society</w:t>
      </w:r>
      <w:r w:rsidRPr="00163527">
        <w:rPr>
          <w:rFonts w:ascii="Arial" w:hAnsi="Arial" w:cs="Arial"/>
          <w:sz w:val="24"/>
          <w:szCs w:val="24"/>
        </w:rPr>
        <w:t>. Pearson.</w:t>
      </w:r>
    </w:p>
    <w:p w14:paraId="48E62346" w14:textId="7C1DA049"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Marriott. (2023). </w:t>
      </w:r>
      <w:r w:rsidRPr="00163527">
        <w:rPr>
          <w:rFonts w:ascii="Arial" w:hAnsi="Arial" w:cs="Arial"/>
          <w:i/>
          <w:iCs/>
          <w:sz w:val="24"/>
          <w:szCs w:val="24"/>
        </w:rPr>
        <w:t>Marriott International Annual Report</w:t>
      </w:r>
      <w:r w:rsidRPr="00163527">
        <w:rPr>
          <w:rFonts w:ascii="Arial" w:hAnsi="Arial" w:cs="Arial"/>
          <w:sz w:val="24"/>
          <w:szCs w:val="24"/>
        </w:rPr>
        <w:t xml:space="preserve">. Retrieved from </w:t>
      </w:r>
      <w:r w:rsidR="007944C2" w:rsidRPr="00163527">
        <w:rPr>
          <w:rFonts w:ascii="Arial" w:hAnsi="Arial" w:cs="Arial"/>
          <w:sz w:val="24"/>
          <w:szCs w:val="24"/>
        </w:rPr>
        <w:t>https://marriott.gcs-web.com/financial-information/annual-reports.</w:t>
      </w:r>
    </w:p>
    <w:p w14:paraId="3FE3FDC9"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Mintzberg, H. (1979). </w:t>
      </w:r>
      <w:r w:rsidRPr="00163527">
        <w:rPr>
          <w:rFonts w:ascii="Arial" w:hAnsi="Arial" w:cs="Arial"/>
          <w:i/>
          <w:iCs/>
          <w:sz w:val="24"/>
          <w:szCs w:val="24"/>
        </w:rPr>
        <w:t>The Structuring of Organizations</w:t>
      </w:r>
      <w:r w:rsidRPr="00163527">
        <w:rPr>
          <w:rFonts w:ascii="Arial" w:hAnsi="Arial" w:cs="Arial"/>
          <w:sz w:val="24"/>
          <w:szCs w:val="24"/>
        </w:rPr>
        <w:t>. Prentice-Hall.</w:t>
      </w:r>
    </w:p>
    <w:p w14:paraId="288BDB31"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Pearce, J. A., &amp; Robinson, R. B. (2013). </w:t>
      </w:r>
      <w:r w:rsidRPr="00163527">
        <w:rPr>
          <w:rFonts w:ascii="Arial" w:hAnsi="Arial" w:cs="Arial"/>
          <w:i/>
          <w:iCs/>
          <w:sz w:val="24"/>
          <w:szCs w:val="24"/>
        </w:rPr>
        <w:t>Strategic Management: Planning for Domestic &amp; Global Competition</w:t>
      </w:r>
      <w:r w:rsidRPr="00163527">
        <w:rPr>
          <w:rFonts w:ascii="Arial" w:hAnsi="Arial" w:cs="Arial"/>
          <w:sz w:val="24"/>
          <w:szCs w:val="24"/>
        </w:rPr>
        <w:t>. McGraw-Hill Education.</w:t>
      </w:r>
    </w:p>
    <w:p w14:paraId="1864B21B"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Porter, M. E. (1980). </w:t>
      </w:r>
      <w:r w:rsidRPr="00163527">
        <w:rPr>
          <w:rFonts w:ascii="Arial" w:hAnsi="Arial" w:cs="Arial"/>
          <w:i/>
          <w:iCs/>
          <w:sz w:val="24"/>
          <w:szCs w:val="24"/>
        </w:rPr>
        <w:t xml:space="preserve">Competitive Strategy: Techniques for </w:t>
      </w:r>
      <w:proofErr w:type="spellStart"/>
      <w:r w:rsidRPr="00163527">
        <w:rPr>
          <w:rFonts w:ascii="Arial" w:hAnsi="Arial" w:cs="Arial"/>
          <w:i/>
          <w:iCs/>
          <w:sz w:val="24"/>
          <w:szCs w:val="24"/>
        </w:rPr>
        <w:t>Analyzing</w:t>
      </w:r>
      <w:proofErr w:type="spellEnd"/>
      <w:r w:rsidRPr="00163527">
        <w:rPr>
          <w:rFonts w:ascii="Arial" w:hAnsi="Arial" w:cs="Arial"/>
          <w:i/>
          <w:iCs/>
          <w:sz w:val="24"/>
          <w:szCs w:val="24"/>
        </w:rPr>
        <w:t xml:space="preserve"> Industries and Competitors</w:t>
      </w:r>
      <w:r w:rsidRPr="00163527">
        <w:rPr>
          <w:rFonts w:ascii="Arial" w:hAnsi="Arial" w:cs="Arial"/>
          <w:sz w:val="24"/>
          <w:szCs w:val="24"/>
        </w:rPr>
        <w:t>. Free Press.</w:t>
      </w:r>
    </w:p>
    <w:p w14:paraId="6A117E56"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Robbins, S. P., &amp; Coulter, M. (2018). </w:t>
      </w:r>
      <w:r w:rsidRPr="00163527">
        <w:rPr>
          <w:rFonts w:ascii="Arial" w:hAnsi="Arial" w:cs="Arial"/>
          <w:i/>
          <w:iCs/>
          <w:sz w:val="24"/>
          <w:szCs w:val="24"/>
        </w:rPr>
        <w:t>Management</w:t>
      </w:r>
      <w:r w:rsidRPr="00163527">
        <w:rPr>
          <w:rFonts w:ascii="Arial" w:hAnsi="Arial" w:cs="Arial"/>
          <w:sz w:val="24"/>
          <w:szCs w:val="24"/>
        </w:rPr>
        <w:t>. Pearson.</w:t>
      </w:r>
    </w:p>
    <w:p w14:paraId="3C28A2DA"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lastRenderedPageBreak/>
        <w:t xml:space="preserve">Roberson, Q. M. (2019). Diversity in the workplace: A review, synthesis, and future research agenda. </w:t>
      </w:r>
      <w:r w:rsidRPr="00163527">
        <w:rPr>
          <w:rFonts w:ascii="Arial" w:hAnsi="Arial" w:cs="Arial"/>
          <w:i/>
          <w:iCs/>
          <w:sz w:val="24"/>
          <w:szCs w:val="24"/>
        </w:rPr>
        <w:t xml:space="preserve">Annual Review of Organizational Psychology and Organizational </w:t>
      </w:r>
      <w:proofErr w:type="spellStart"/>
      <w:r w:rsidRPr="00163527">
        <w:rPr>
          <w:rFonts w:ascii="Arial" w:hAnsi="Arial" w:cs="Arial"/>
          <w:i/>
          <w:iCs/>
          <w:sz w:val="24"/>
          <w:szCs w:val="24"/>
        </w:rPr>
        <w:t>Behavior</w:t>
      </w:r>
      <w:proofErr w:type="spellEnd"/>
      <w:r w:rsidRPr="00163527">
        <w:rPr>
          <w:rFonts w:ascii="Arial" w:hAnsi="Arial" w:cs="Arial"/>
          <w:sz w:val="24"/>
          <w:szCs w:val="24"/>
        </w:rPr>
        <w:t>, 6, 69-88.</w:t>
      </w:r>
    </w:p>
    <w:p w14:paraId="7DFC5777"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Thompson, A. A., </w:t>
      </w:r>
      <w:proofErr w:type="spellStart"/>
      <w:r w:rsidRPr="00163527">
        <w:rPr>
          <w:rFonts w:ascii="Arial" w:hAnsi="Arial" w:cs="Arial"/>
          <w:sz w:val="24"/>
          <w:szCs w:val="24"/>
        </w:rPr>
        <w:t>Peteraf</w:t>
      </w:r>
      <w:proofErr w:type="spellEnd"/>
      <w:r w:rsidRPr="00163527">
        <w:rPr>
          <w:rFonts w:ascii="Arial" w:hAnsi="Arial" w:cs="Arial"/>
          <w:sz w:val="24"/>
          <w:szCs w:val="24"/>
        </w:rPr>
        <w:t xml:space="preserve">, M. A., Gamble, J. E., &amp; Strickland, A. J. (2018). </w:t>
      </w:r>
      <w:r w:rsidRPr="00163527">
        <w:rPr>
          <w:rFonts w:ascii="Arial" w:hAnsi="Arial" w:cs="Arial"/>
          <w:i/>
          <w:iCs/>
          <w:sz w:val="24"/>
          <w:szCs w:val="24"/>
        </w:rPr>
        <w:t>Crafting &amp; Executing Strategy: The Quest for Competitive Advantage: Concepts and Cases</w:t>
      </w:r>
      <w:r w:rsidRPr="00163527">
        <w:rPr>
          <w:rFonts w:ascii="Arial" w:hAnsi="Arial" w:cs="Arial"/>
          <w:sz w:val="24"/>
          <w:szCs w:val="24"/>
        </w:rPr>
        <w:t>. McGraw-Hill Education.</w:t>
      </w:r>
    </w:p>
    <w:p w14:paraId="54B45B01" w14:textId="77777777" w:rsidR="00213E64" w:rsidRPr="00163527" w:rsidRDefault="00213E64" w:rsidP="00163527">
      <w:pPr>
        <w:numPr>
          <w:ilvl w:val="0"/>
          <w:numId w:val="5"/>
        </w:numPr>
        <w:spacing w:line="360" w:lineRule="auto"/>
        <w:jc w:val="both"/>
        <w:rPr>
          <w:rFonts w:ascii="Arial" w:hAnsi="Arial" w:cs="Arial"/>
          <w:sz w:val="24"/>
          <w:szCs w:val="24"/>
        </w:rPr>
      </w:pPr>
      <w:r w:rsidRPr="00163527">
        <w:rPr>
          <w:rFonts w:ascii="Arial" w:hAnsi="Arial" w:cs="Arial"/>
          <w:sz w:val="24"/>
          <w:szCs w:val="24"/>
        </w:rPr>
        <w:t xml:space="preserve">Weber, M. (1947). </w:t>
      </w:r>
      <w:r w:rsidRPr="00163527">
        <w:rPr>
          <w:rFonts w:ascii="Arial" w:hAnsi="Arial" w:cs="Arial"/>
          <w:i/>
          <w:iCs/>
          <w:sz w:val="24"/>
          <w:szCs w:val="24"/>
        </w:rPr>
        <w:t>The Theory of Social and Economic Organization</w:t>
      </w:r>
      <w:r w:rsidRPr="00163527">
        <w:rPr>
          <w:rFonts w:ascii="Arial" w:hAnsi="Arial" w:cs="Arial"/>
          <w:sz w:val="24"/>
          <w:szCs w:val="24"/>
        </w:rPr>
        <w:t>. Free Press.</w:t>
      </w:r>
    </w:p>
    <w:p w14:paraId="275083D0" w14:textId="77777777" w:rsidR="00F05CA8" w:rsidRPr="00163527" w:rsidRDefault="00F05CA8" w:rsidP="00163527">
      <w:pPr>
        <w:spacing w:line="360" w:lineRule="auto"/>
        <w:jc w:val="both"/>
        <w:rPr>
          <w:rFonts w:ascii="Arial" w:hAnsi="Arial" w:cs="Arial"/>
          <w:sz w:val="24"/>
          <w:szCs w:val="24"/>
        </w:rPr>
      </w:pPr>
    </w:p>
    <w:sectPr w:rsidR="00F05CA8" w:rsidRPr="00163527" w:rsidSect="00213E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13B75" w14:textId="77777777" w:rsidR="004C75AB" w:rsidRDefault="004C75AB" w:rsidP="004C75AB">
      <w:pPr>
        <w:spacing w:after="0" w:line="240" w:lineRule="auto"/>
      </w:pPr>
      <w:r>
        <w:separator/>
      </w:r>
    </w:p>
  </w:endnote>
  <w:endnote w:type="continuationSeparator" w:id="0">
    <w:p w14:paraId="58BC3D40" w14:textId="77777777" w:rsidR="004C75AB" w:rsidRDefault="004C75AB" w:rsidP="004C7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4F51D" w14:textId="77777777" w:rsidR="004C75AB" w:rsidRDefault="004C75AB" w:rsidP="004C75AB">
      <w:pPr>
        <w:spacing w:after="0" w:line="240" w:lineRule="auto"/>
      </w:pPr>
      <w:r>
        <w:separator/>
      </w:r>
    </w:p>
  </w:footnote>
  <w:footnote w:type="continuationSeparator" w:id="0">
    <w:p w14:paraId="02CCD5BB" w14:textId="77777777" w:rsidR="004C75AB" w:rsidRDefault="004C75AB" w:rsidP="004C7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C1AB1"/>
    <w:multiLevelType w:val="multilevel"/>
    <w:tmpl w:val="5B7C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4D7E67"/>
    <w:multiLevelType w:val="multilevel"/>
    <w:tmpl w:val="22269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4D2C24"/>
    <w:multiLevelType w:val="hybridMultilevel"/>
    <w:tmpl w:val="3C58877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AF36CC"/>
    <w:multiLevelType w:val="multilevel"/>
    <w:tmpl w:val="C2F017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A7527D"/>
    <w:multiLevelType w:val="multilevel"/>
    <w:tmpl w:val="81CA8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6028444">
    <w:abstractNumId w:val="0"/>
  </w:num>
  <w:num w:numId="2" w16cid:durableId="1678115731">
    <w:abstractNumId w:val="4"/>
  </w:num>
  <w:num w:numId="3" w16cid:durableId="299850666">
    <w:abstractNumId w:val="1"/>
  </w:num>
  <w:num w:numId="4" w16cid:durableId="1030379940">
    <w:abstractNumId w:val="3"/>
  </w:num>
  <w:num w:numId="5" w16cid:durableId="863909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E9A"/>
    <w:rsid w:val="000F0908"/>
    <w:rsid w:val="00133E1B"/>
    <w:rsid w:val="00163527"/>
    <w:rsid w:val="00213E64"/>
    <w:rsid w:val="002D71F3"/>
    <w:rsid w:val="004137E4"/>
    <w:rsid w:val="004C75AB"/>
    <w:rsid w:val="004D4BAA"/>
    <w:rsid w:val="0060435E"/>
    <w:rsid w:val="00632F47"/>
    <w:rsid w:val="007944C2"/>
    <w:rsid w:val="007B1D3B"/>
    <w:rsid w:val="007E53B1"/>
    <w:rsid w:val="00822F48"/>
    <w:rsid w:val="009F4DBB"/>
    <w:rsid w:val="00AD4CBD"/>
    <w:rsid w:val="00B03771"/>
    <w:rsid w:val="00D10C75"/>
    <w:rsid w:val="00D95952"/>
    <w:rsid w:val="00DC0E9A"/>
    <w:rsid w:val="00E6517E"/>
    <w:rsid w:val="00E8212D"/>
    <w:rsid w:val="00F05CA8"/>
    <w:rsid w:val="00FB7C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D6BB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E64"/>
  </w:style>
  <w:style w:type="paragraph" w:styleId="Heading1">
    <w:name w:val="heading 1"/>
    <w:basedOn w:val="Normal"/>
    <w:next w:val="Normal"/>
    <w:link w:val="Heading1Char"/>
    <w:uiPriority w:val="9"/>
    <w:qFormat/>
    <w:rsid w:val="00DC0E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E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E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E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E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E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E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E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E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E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E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E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E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E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E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E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E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E9A"/>
    <w:rPr>
      <w:rFonts w:eastAsiaTheme="majorEastAsia" w:cstheme="majorBidi"/>
      <w:color w:val="272727" w:themeColor="text1" w:themeTint="D8"/>
    </w:rPr>
  </w:style>
  <w:style w:type="paragraph" w:styleId="Title">
    <w:name w:val="Title"/>
    <w:basedOn w:val="Normal"/>
    <w:next w:val="Normal"/>
    <w:link w:val="TitleChar"/>
    <w:uiPriority w:val="10"/>
    <w:qFormat/>
    <w:rsid w:val="00DC0E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E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E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E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E9A"/>
    <w:pPr>
      <w:spacing w:before="160"/>
      <w:jc w:val="center"/>
    </w:pPr>
    <w:rPr>
      <w:i/>
      <w:iCs/>
      <w:color w:val="404040" w:themeColor="text1" w:themeTint="BF"/>
    </w:rPr>
  </w:style>
  <w:style w:type="character" w:customStyle="1" w:styleId="QuoteChar">
    <w:name w:val="Quote Char"/>
    <w:basedOn w:val="DefaultParagraphFont"/>
    <w:link w:val="Quote"/>
    <w:uiPriority w:val="29"/>
    <w:rsid w:val="00DC0E9A"/>
    <w:rPr>
      <w:i/>
      <w:iCs/>
      <w:color w:val="404040" w:themeColor="text1" w:themeTint="BF"/>
    </w:rPr>
  </w:style>
  <w:style w:type="paragraph" w:styleId="ListParagraph">
    <w:name w:val="List Paragraph"/>
    <w:basedOn w:val="Normal"/>
    <w:uiPriority w:val="34"/>
    <w:qFormat/>
    <w:rsid w:val="00DC0E9A"/>
    <w:pPr>
      <w:ind w:left="720"/>
      <w:contextualSpacing/>
    </w:pPr>
  </w:style>
  <w:style w:type="character" w:styleId="IntenseEmphasis">
    <w:name w:val="Intense Emphasis"/>
    <w:basedOn w:val="DefaultParagraphFont"/>
    <w:uiPriority w:val="21"/>
    <w:qFormat/>
    <w:rsid w:val="00DC0E9A"/>
    <w:rPr>
      <w:i/>
      <w:iCs/>
      <w:color w:val="0F4761" w:themeColor="accent1" w:themeShade="BF"/>
    </w:rPr>
  </w:style>
  <w:style w:type="paragraph" w:styleId="IntenseQuote">
    <w:name w:val="Intense Quote"/>
    <w:basedOn w:val="Normal"/>
    <w:next w:val="Normal"/>
    <w:link w:val="IntenseQuoteChar"/>
    <w:uiPriority w:val="30"/>
    <w:qFormat/>
    <w:rsid w:val="00DC0E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E9A"/>
    <w:rPr>
      <w:i/>
      <w:iCs/>
      <w:color w:val="0F4761" w:themeColor="accent1" w:themeShade="BF"/>
    </w:rPr>
  </w:style>
  <w:style w:type="character" w:styleId="IntenseReference">
    <w:name w:val="Intense Reference"/>
    <w:basedOn w:val="DefaultParagraphFont"/>
    <w:uiPriority w:val="32"/>
    <w:qFormat/>
    <w:rsid w:val="00DC0E9A"/>
    <w:rPr>
      <w:b/>
      <w:bCs/>
      <w:smallCaps/>
      <w:color w:val="0F4761" w:themeColor="accent1" w:themeShade="BF"/>
      <w:spacing w:val="5"/>
    </w:rPr>
  </w:style>
  <w:style w:type="character" w:styleId="Hyperlink">
    <w:name w:val="Hyperlink"/>
    <w:basedOn w:val="DefaultParagraphFont"/>
    <w:uiPriority w:val="99"/>
    <w:unhideWhenUsed/>
    <w:rsid w:val="00213E64"/>
    <w:rPr>
      <w:color w:val="467886" w:themeColor="hyperlink"/>
      <w:u w:val="single"/>
    </w:rPr>
  </w:style>
  <w:style w:type="paragraph" w:styleId="Header">
    <w:name w:val="header"/>
    <w:basedOn w:val="Normal"/>
    <w:link w:val="HeaderChar"/>
    <w:uiPriority w:val="99"/>
    <w:unhideWhenUsed/>
    <w:rsid w:val="004C7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5AB"/>
  </w:style>
  <w:style w:type="paragraph" w:styleId="Footer">
    <w:name w:val="footer"/>
    <w:basedOn w:val="Normal"/>
    <w:link w:val="FooterChar"/>
    <w:uiPriority w:val="99"/>
    <w:unhideWhenUsed/>
    <w:rsid w:val="004C7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2023-annual-report" TargetMode="External"/><Relationship Id="rId3" Type="http://schemas.openxmlformats.org/officeDocument/2006/relationships/settings" Target="settings.xml"/><Relationship Id="rId7" Type="http://schemas.openxmlformats.org/officeDocument/2006/relationships/hyperlink" Target="https://stories.hilton.com/2022-annual-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2649</Words>
  <Characters>17822</Characters>
  <Application>Microsoft Office Word</Application>
  <DocSecurity>0</DocSecurity>
  <Lines>353</Lines>
  <Paragraphs>113</Paragraphs>
  <ScaleCrop>false</ScaleCrop>
  <Company/>
  <LinksUpToDate>false</LinksUpToDate>
  <CharactersWithSpaces>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2024-05-31T22:16:00Z</dcterms:created>
  <dcterms:modified xsi:type="dcterms:W3CDTF">2024-05-31T22:16:00Z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3270bffd88cf33a03d2a0ca9bb0c466ea67a030c7c4afd8322b88cf1a24ac93c</vt:lpwstr>
  </property>
</Properties>
</file>