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1786B" w14:textId="4A52A109" w:rsidR="00646C1C" w:rsidRDefault="00646C1C" w:rsidP="00646C1C">
      <w:pPr>
        <w:pStyle w:val="NormalWeb"/>
        <w:spacing w:before="0" w:after="0"/>
        <w:ind w:left="-180" w:right="-334"/>
      </w:pPr>
      <w:r>
        <w:rPr>
          <w:noProof/>
        </w:rPr>
        <w:drawing>
          <wp:inline distT="0" distB="0" distL="0" distR="0" wp14:anchorId="10BFC5BC" wp14:editId="3CBA18B5">
            <wp:extent cx="1905000" cy="628650"/>
            <wp:effectExtent l="19050" t="19050" r="19050" b="19050"/>
            <wp:docPr id="1135721019"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21019" name="Picture 1" descr="A black and whit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28650"/>
                    </a:xfrm>
                    <a:prstGeom prst="rect">
                      <a:avLst/>
                    </a:prstGeom>
                    <a:noFill/>
                    <a:ln w="19050" cmpd="sng">
                      <a:solidFill>
                        <a:srgbClr val="000000"/>
                      </a:solidFill>
                      <a:miter lim="800000"/>
                      <a:headEnd/>
                      <a:tailEnd/>
                    </a:ln>
                    <a:effectLst/>
                  </pic:spPr>
                </pic:pic>
              </a:graphicData>
            </a:graphic>
          </wp:inline>
        </w:drawing>
      </w:r>
    </w:p>
    <w:p w14:paraId="4A391426" w14:textId="77777777" w:rsidR="00646C1C" w:rsidRDefault="00646C1C" w:rsidP="00646C1C">
      <w:pPr>
        <w:pStyle w:val="NormalWeb"/>
        <w:spacing w:before="0" w:after="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0AC6D9FD" w14:textId="77777777" w:rsidR="00646C1C" w:rsidRDefault="00646C1C" w:rsidP="00646C1C">
      <w:pPr>
        <w:pStyle w:val="NormalWeb"/>
        <w:spacing w:before="0" w:after="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2A4A7B56" w14:textId="77777777" w:rsidR="00646C1C" w:rsidRDefault="00646C1C" w:rsidP="00646C1C">
      <w:pPr>
        <w:pStyle w:val="Heading3"/>
        <w:jc w:val="center"/>
        <w:rPr>
          <w:rFonts w:ascii="Tahoma" w:eastAsia="SimSun" w:hAnsi="Tahoma" w:cs="Tahoma"/>
          <w:sz w:val="20"/>
          <w:szCs w:val="20"/>
          <w:lang w:val="cy-GB"/>
        </w:rPr>
      </w:pPr>
      <w:r>
        <w:rPr>
          <w:rFonts w:eastAsia="SimSun"/>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46C1C" w14:paraId="662D6DD8" w14:textId="77777777" w:rsidTr="00646C1C">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3C035054" w14:textId="77777777" w:rsidR="00646C1C" w:rsidRDefault="00646C1C">
            <w:pPr>
              <w:pStyle w:val="NormalWeb"/>
              <w:spacing w:before="0" w:after="0"/>
              <w:ind w:right="34"/>
              <w:rPr>
                <w:rFonts w:ascii="Arial" w:eastAsia="SimSun"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646C1C" w14:paraId="41B77372" w14:textId="77777777" w:rsidTr="00646C1C">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77DBF4AC" w14:textId="77777777" w:rsidR="00646C1C" w:rsidRDefault="00646C1C">
            <w:pPr>
              <w:pStyle w:val="NormalWeb"/>
              <w:spacing w:before="0" w:after="0"/>
              <w:ind w:right="34"/>
              <w:rPr>
                <w:rFonts w:ascii="Arial" w:hAnsi="Arial" w:cs="Arial"/>
                <w:sz w:val="22"/>
                <w:szCs w:val="22"/>
              </w:rPr>
            </w:pPr>
            <w:r>
              <w:rPr>
                <w:rFonts w:ascii="Arial" w:hAnsi="Arial" w:cs="Arial"/>
                <w:sz w:val="22"/>
                <w:szCs w:val="22"/>
              </w:rPr>
              <w:t>Student Name:</w:t>
            </w:r>
          </w:p>
          <w:p w14:paraId="4C465854" w14:textId="21E88800" w:rsidR="00646C1C" w:rsidRDefault="00646C1C">
            <w:pPr>
              <w:pStyle w:val="NormalWeb"/>
              <w:spacing w:before="0" w:after="0"/>
              <w:ind w:right="34"/>
              <w:rPr>
                <w:rFonts w:ascii="Arial" w:hAnsi="Arial" w:cs="Arial"/>
                <w:sz w:val="22"/>
                <w:szCs w:val="22"/>
              </w:rPr>
            </w:pPr>
            <w:r>
              <w:rPr>
                <w:rFonts w:ascii="Arial" w:hAnsi="Arial" w:cs="Arial"/>
                <w:sz w:val="22"/>
                <w:szCs w:val="22"/>
              </w:rPr>
              <w:t>Rufus Maychild</w:t>
            </w:r>
          </w:p>
        </w:tc>
      </w:tr>
      <w:tr w:rsidR="00646C1C" w14:paraId="68DD878B" w14:textId="77777777" w:rsidTr="00646C1C">
        <w:trPr>
          <w:trHeight w:val="849"/>
        </w:trPr>
        <w:tc>
          <w:tcPr>
            <w:tcW w:w="4788" w:type="dxa"/>
            <w:tcBorders>
              <w:top w:val="single" w:sz="4" w:space="0" w:color="000000"/>
              <w:left w:val="single" w:sz="4" w:space="0" w:color="000000"/>
              <w:bottom w:val="single" w:sz="4" w:space="0" w:color="000000"/>
              <w:right w:val="single" w:sz="4" w:space="0" w:color="000000"/>
            </w:tcBorders>
          </w:tcPr>
          <w:p w14:paraId="35D4A997" w14:textId="691574B1" w:rsidR="00646C1C" w:rsidRDefault="00646C1C">
            <w:pPr>
              <w:pStyle w:val="NormalWeb"/>
              <w:spacing w:before="0" w:after="0"/>
              <w:ind w:right="34"/>
              <w:rPr>
                <w:rFonts w:ascii="Arial" w:hAnsi="Arial" w:cs="Arial"/>
                <w:sz w:val="22"/>
                <w:szCs w:val="22"/>
              </w:rPr>
            </w:pPr>
            <w:r>
              <w:rPr>
                <w:rFonts w:ascii="Arial" w:hAnsi="Arial" w:cs="Arial"/>
                <w:sz w:val="22"/>
                <w:szCs w:val="22"/>
              </w:rPr>
              <w:t>Module code:</w:t>
            </w:r>
            <w:r>
              <w:rPr>
                <w:rFonts w:ascii="Arial" w:hAnsi="Arial" w:cs="Arial"/>
                <w:sz w:val="22"/>
                <w:szCs w:val="22"/>
              </w:rPr>
              <w:t xml:space="preserve"> HPCA7027</w:t>
            </w:r>
          </w:p>
          <w:p w14:paraId="1768BB64" w14:textId="106FC7D0" w:rsidR="00646C1C" w:rsidRDefault="00646C1C">
            <w:pPr>
              <w:pStyle w:val="NormalWeb"/>
              <w:spacing w:before="0" w:after="0"/>
              <w:ind w:right="34"/>
              <w:rPr>
                <w:rFonts w:ascii="Arial" w:hAnsi="Arial" w:cs="Arial"/>
                <w:sz w:val="22"/>
                <w:szCs w:val="22"/>
              </w:rPr>
            </w:pPr>
            <w:r>
              <w:rPr>
                <w:rFonts w:ascii="Arial" w:hAnsi="Arial" w:cs="Arial"/>
                <w:sz w:val="22"/>
                <w:szCs w:val="22"/>
              </w:rPr>
              <w:t xml:space="preserve">Module </w:t>
            </w:r>
            <w:proofErr w:type="spellStart"/>
            <w:r>
              <w:rPr>
                <w:rFonts w:ascii="Arial" w:hAnsi="Arial" w:cs="Arial"/>
                <w:sz w:val="22"/>
                <w:szCs w:val="22"/>
              </w:rPr>
              <w:t>title:</w:t>
            </w:r>
            <w:r>
              <w:rPr>
                <w:rFonts w:ascii="Arial" w:hAnsi="Arial" w:cs="Arial"/>
                <w:sz w:val="22"/>
                <w:szCs w:val="22"/>
              </w:rPr>
              <w:t>Cosmology</w:t>
            </w:r>
            <w:proofErr w:type="spellEnd"/>
            <w:r>
              <w:rPr>
                <w:rFonts w:ascii="Arial" w:hAnsi="Arial" w:cs="Arial"/>
                <w:sz w:val="22"/>
                <w:szCs w:val="22"/>
              </w:rPr>
              <w:t xml:space="preserve"> magic and Divination</w:t>
            </w:r>
          </w:p>
          <w:p w14:paraId="48C31367" w14:textId="77777777" w:rsidR="00646C1C" w:rsidRDefault="00646C1C">
            <w:pPr>
              <w:pStyle w:val="NormalWeb"/>
              <w:spacing w:before="0" w:after="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7ECC3FFD" w14:textId="5CABE9C6" w:rsidR="00646C1C" w:rsidRDefault="00646C1C">
            <w:pPr>
              <w:pStyle w:val="NormalWeb"/>
              <w:spacing w:before="0" w:after="0"/>
              <w:ind w:right="34"/>
              <w:rPr>
                <w:rFonts w:ascii="Arial" w:hAnsi="Arial" w:cs="Arial"/>
                <w:sz w:val="22"/>
                <w:szCs w:val="22"/>
              </w:rPr>
            </w:pPr>
            <w:r>
              <w:rPr>
                <w:rFonts w:ascii="Arial" w:hAnsi="Arial" w:cs="Arial"/>
                <w:sz w:val="22"/>
                <w:szCs w:val="22"/>
              </w:rPr>
              <w:t>Student ID number:</w:t>
            </w:r>
            <w:r>
              <w:rPr>
                <w:rFonts w:ascii="Arial" w:hAnsi="Arial" w:cs="Arial"/>
                <w:sz w:val="22"/>
                <w:szCs w:val="22"/>
              </w:rPr>
              <w:t xml:space="preserve"> 2310535</w:t>
            </w:r>
          </w:p>
        </w:tc>
        <w:tc>
          <w:tcPr>
            <w:tcW w:w="1802" w:type="dxa"/>
            <w:tcBorders>
              <w:top w:val="single" w:sz="4" w:space="0" w:color="000000"/>
              <w:left w:val="single" w:sz="4" w:space="0" w:color="000000"/>
              <w:bottom w:val="single" w:sz="4" w:space="0" w:color="000000"/>
              <w:right w:val="single" w:sz="4" w:space="0" w:color="000000"/>
            </w:tcBorders>
            <w:hideMark/>
          </w:tcPr>
          <w:p w14:paraId="7CBFCA7D" w14:textId="77777777" w:rsidR="00646C1C" w:rsidRDefault="00646C1C">
            <w:pPr>
              <w:pStyle w:val="NormalWeb"/>
              <w:spacing w:before="0" w:after="0"/>
              <w:ind w:right="34"/>
              <w:rPr>
                <w:rFonts w:ascii="Arial" w:hAnsi="Arial" w:cs="Arial"/>
                <w:sz w:val="22"/>
                <w:szCs w:val="22"/>
              </w:rPr>
            </w:pPr>
            <w:r>
              <w:rPr>
                <w:rFonts w:ascii="Arial" w:hAnsi="Arial" w:cs="Arial"/>
                <w:sz w:val="22"/>
                <w:szCs w:val="22"/>
              </w:rPr>
              <w:t>Educational support needs:</w:t>
            </w:r>
          </w:p>
          <w:p w14:paraId="64C807BB" w14:textId="77929F95" w:rsidR="00646C1C" w:rsidRDefault="00646C1C">
            <w:pPr>
              <w:pStyle w:val="NormalWeb"/>
              <w:spacing w:before="0" w:after="0"/>
              <w:ind w:right="34"/>
              <w:rPr>
                <w:rFonts w:ascii="Arial" w:hAnsi="Arial" w:cs="Arial"/>
                <w:sz w:val="22"/>
                <w:szCs w:val="22"/>
              </w:rPr>
            </w:pPr>
            <w:r>
              <w:rPr>
                <w:rFonts w:ascii="Arial" w:hAnsi="Arial" w:cs="Arial"/>
                <w:sz w:val="22"/>
                <w:szCs w:val="22"/>
              </w:rPr>
              <w:t>No</w:t>
            </w:r>
          </w:p>
        </w:tc>
      </w:tr>
      <w:tr w:rsidR="00646C1C" w14:paraId="7EB99261" w14:textId="77777777" w:rsidTr="00646C1C">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15A5CDF1" w14:textId="40EE8D18" w:rsidR="00646C1C" w:rsidRDefault="00646C1C">
            <w:pPr>
              <w:pStyle w:val="NormalWeb"/>
              <w:spacing w:before="0" w:after="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Dorian Greenbaum</w:t>
            </w:r>
          </w:p>
          <w:p w14:paraId="14DA665A" w14:textId="77777777" w:rsidR="00646C1C" w:rsidRDefault="00646C1C">
            <w:pPr>
              <w:pStyle w:val="NormalWeb"/>
              <w:spacing w:before="0" w:after="0"/>
              <w:ind w:right="34"/>
              <w:rPr>
                <w:rFonts w:ascii="Arial" w:hAnsi="Arial" w:cs="Arial"/>
                <w:sz w:val="22"/>
                <w:szCs w:val="22"/>
              </w:rPr>
            </w:pPr>
          </w:p>
          <w:p w14:paraId="1011320B" w14:textId="0FDA8461" w:rsidR="00646C1C" w:rsidRDefault="00646C1C">
            <w:pPr>
              <w:pStyle w:val="NormalWeb"/>
              <w:spacing w:before="0" w:after="0"/>
              <w:ind w:right="34"/>
              <w:rPr>
                <w:rFonts w:ascii="Arial" w:hAnsi="Arial" w:cs="Arial"/>
                <w:sz w:val="22"/>
                <w:szCs w:val="22"/>
              </w:rPr>
            </w:pPr>
            <w:r>
              <w:rPr>
                <w:rFonts w:ascii="Arial" w:hAnsi="Arial" w:cs="Arial"/>
                <w:sz w:val="22"/>
                <w:szCs w:val="22"/>
              </w:rPr>
              <w:t>Assignment due date:</w:t>
            </w:r>
            <w:r>
              <w:rPr>
                <w:rFonts w:ascii="Arial" w:hAnsi="Arial" w:cs="Arial"/>
                <w:sz w:val="22"/>
                <w:szCs w:val="22"/>
              </w:rPr>
              <w:t xml:space="preserve"> April 29 2024</w:t>
            </w:r>
          </w:p>
        </w:tc>
      </w:tr>
      <w:tr w:rsidR="00646C1C" w14:paraId="529C27CE" w14:textId="77777777" w:rsidTr="00646C1C">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14:paraId="303190E5" w14:textId="77777777" w:rsidR="00646C1C" w:rsidRDefault="00646C1C">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78906C31" w14:textId="77777777" w:rsidR="00646C1C" w:rsidRDefault="00646C1C">
            <w:pPr>
              <w:rPr>
                <w:rFonts w:ascii="Arial" w:hAnsi="Arial" w:cs="Arial"/>
              </w:rPr>
            </w:pPr>
          </w:p>
          <w:p w14:paraId="57938D2F" w14:textId="77777777" w:rsidR="00646C1C" w:rsidRDefault="00646C1C">
            <w:pPr>
              <w:rPr>
                <w:rFonts w:ascii="Arial" w:hAnsi="Arial" w:cs="Arial"/>
              </w:rPr>
            </w:pPr>
            <w:r>
              <w:rPr>
                <w:rFonts w:ascii="Arial" w:hAnsi="Arial" w:cs="Arial"/>
              </w:rPr>
              <w:t>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Pr>
                <w:rFonts w:ascii="Times New Roman" w:hAnsi="Times New Roman"/>
                <w:sz w:val="24"/>
                <w:szCs w:val="24"/>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Pr>
                <w:rFonts w:ascii="Times New Roman" w:hAnsi="Times New Roman"/>
                <w:sz w:val="24"/>
                <w:szCs w:val="24"/>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2" w:name="Check15"/>
            <w:r>
              <w:rPr>
                <w:rFonts w:ascii="Arial" w:hAnsi="Arial" w:cs="Arial"/>
              </w:rPr>
              <w:instrText xml:space="preserve"> FORMCHECKBOX </w:instrText>
            </w:r>
            <w:r>
              <w:rPr>
                <w:rFonts w:ascii="Times New Roman" w:hAnsi="Times New Roman"/>
                <w:sz w:val="24"/>
                <w:szCs w:val="24"/>
              </w:rP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Pr>
                <w:rFonts w:ascii="Times New Roman" w:hAnsi="Times New Roman"/>
                <w:sz w:val="24"/>
                <w:szCs w:val="24"/>
              </w:rP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Pr>
                <w:rFonts w:ascii="Times New Roman" w:hAnsi="Times New Roman"/>
                <w:sz w:val="24"/>
                <w:szCs w:val="24"/>
              </w:rP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Pr>
                <w:rFonts w:ascii="Times New Roman" w:hAnsi="Times New Roman"/>
                <w:sz w:val="24"/>
                <w:szCs w:val="24"/>
              </w:rPr>
              <w:fldChar w:fldCharType="end"/>
            </w:r>
            <w:bookmarkEnd w:id="5"/>
          </w:p>
        </w:tc>
      </w:tr>
      <w:tr w:rsidR="00646C1C" w14:paraId="11A1FE4A" w14:textId="77777777" w:rsidTr="00646C1C">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4BAFDA9C" w14:textId="7082F005" w:rsidR="00646C1C" w:rsidRDefault="00646C1C">
            <w:pPr>
              <w:pStyle w:val="NormalWeb"/>
              <w:spacing w:before="0" w:after="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r>
              <w:rPr>
                <w:rFonts w:ascii="Calibri" w:hAnsi="Calibri" w:cs="Tahoma"/>
                <w:b/>
                <w:noProof/>
              </w:rPr>
              <w:t xml:space="preserve"> </w:t>
            </w:r>
            <w:r>
              <w:rPr>
                <w:rFonts w:ascii="Calibri" w:hAnsi="Calibri" w:cs="Tahoma"/>
                <w:b/>
                <w:noProof/>
              </w:rPr>
              <w:drawing>
                <wp:inline distT="0" distB="0" distL="0" distR="0" wp14:anchorId="32056C7A" wp14:editId="151F656E">
                  <wp:extent cx="2486025" cy="876300"/>
                  <wp:effectExtent l="0" t="0" r="9525" b="0"/>
                  <wp:docPr id="9935168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6025" cy="876300"/>
                          </a:xfrm>
                          <a:prstGeom prst="rect">
                            <a:avLst/>
                          </a:prstGeom>
                          <a:noFill/>
                          <a:ln>
                            <a:noFill/>
                          </a:ln>
                        </pic:spPr>
                      </pic:pic>
                    </a:graphicData>
                  </a:graphic>
                </wp:inline>
              </w:drawing>
            </w:r>
          </w:p>
          <w:p w14:paraId="090F7E39" w14:textId="77777777" w:rsidR="00646C1C" w:rsidRDefault="00646C1C">
            <w:pPr>
              <w:pStyle w:val="NormalWeb"/>
              <w:spacing w:before="0" w:after="0"/>
              <w:ind w:right="34"/>
              <w:rPr>
                <w:rFonts w:ascii="Arial" w:hAnsi="Arial" w:cs="Arial"/>
                <w:sz w:val="22"/>
                <w:szCs w:val="22"/>
              </w:rPr>
            </w:pPr>
            <w:r>
              <w:rPr>
                <w:rFonts w:ascii="Arial" w:hAnsi="Arial" w:cs="Arial"/>
                <w:sz w:val="22"/>
                <w:szCs w:val="22"/>
              </w:rPr>
              <w:t>Signed ……</w:t>
            </w:r>
          </w:p>
          <w:p w14:paraId="3462652B" w14:textId="0D387FA9" w:rsidR="00646C1C" w:rsidRDefault="00646C1C">
            <w:pPr>
              <w:pStyle w:val="NormalWeb"/>
              <w:spacing w:before="0" w:after="0"/>
              <w:ind w:right="34"/>
              <w:rPr>
                <w:rFonts w:ascii="Arial" w:hAnsi="Arial" w:cs="Arial"/>
                <w:sz w:val="22"/>
                <w:szCs w:val="22"/>
              </w:rPr>
            </w:pPr>
            <w:r>
              <w:rPr>
                <w:rFonts w:ascii="Arial" w:hAnsi="Arial" w:cs="Arial"/>
                <w:sz w:val="22"/>
                <w:szCs w:val="22"/>
              </w:rPr>
              <w:t xml:space="preserve">(checkbox apparently </w:t>
            </w:r>
            <w:proofErr w:type="spellStart"/>
            <w:r>
              <w:rPr>
                <w:rFonts w:ascii="Arial" w:hAnsi="Arial" w:cs="Arial"/>
                <w:sz w:val="22"/>
                <w:szCs w:val="22"/>
              </w:rPr>
              <w:t>untickable</w:t>
            </w:r>
            <w:proofErr w:type="spellEnd"/>
            <w:r>
              <w:rPr>
                <w:rFonts w:ascii="Arial" w:hAnsi="Arial" w:cs="Arial"/>
                <w:sz w:val="22"/>
                <w:szCs w:val="22"/>
              </w:rPr>
              <w:t>, even when doc marked editable)</w:t>
            </w:r>
            <w:r>
              <w:rPr>
                <w:rFonts w:ascii="Arial" w:hAnsi="Arial" w:cs="Arial"/>
                <w:sz w:val="22"/>
                <w:szCs w:val="22"/>
              </w:rPr>
              <w:t>……</w:t>
            </w:r>
            <w:r>
              <w:rPr>
                <w:rFonts w:ascii="Arial" w:hAnsi="Arial" w:cs="Arial"/>
                <w:sz w:val="22"/>
                <w:szCs w:val="22"/>
              </w:rPr>
              <w:t xml:space="preserve">  </w:t>
            </w:r>
            <w:r>
              <w:rPr>
                <w:rFonts w:ascii="Arial" w:hAnsi="Arial" w:cs="Arial"/>
                <w:sz w:val="22"/>
                <w:szCs w:val="22"/>
              </w:rPr>
              <w:t>……………………</w:t>
            </w:r>
          </w:p>
          <w:p w14:paraId="3DCFFBF0" w14:textId="0BFFD149" w:rsidR="00646C1C" w:rsidRDefault="00646C1C">
            <w:pPr>
              <w:pStyle w:val="NormalWeb"/>
              <w:spacing w:before="0" w:after="0"/>
              <w:ind w:right="34"/>
              <w:rPr>
                <w:rFonts w:ascii="Calibri" w:hAnsi="Calibri" w:cs="Calibri"/>
                <w:b/>
                <w:sz w:val="44"/>
                <w:szCs w:val="44"/>
              </w:rPr>
            </w:pPr>
            <w:r>
              <w:rPr>
                <w:rFonts w:ascii="Calibri" w:hAnsi="Calibri" w:cs="Tahoma"/>
                <w:b/>
              </w:rPr>
              <w:t xml:space="preserve">Email submission: if you are submitting this form via email, please tick this box </w:t>
            </w:r>
            <w:r>
              <w:rPr>
                <w:rFonts w:ascii="Calibri" w:hAnsi="Calibri" w:cs="Calibri"/>
                <w:b/>
                <w:sz w:val="44"/>
                <w:szCs w:val="44"/>
              </w:rPr>
              <w:t>□</w:t>
            </w:r>
          </w:p>
          <w:p w14:paraId="6F00ED71" w14:textId="77777777" w:rsidR="00646C1C" w:rsidRDefault="00646C1C">
            <w:pPr>
              <w:pStyle w:val="NormalWeb"/>
              <w:spacing w:before="0" w:after="0"/>
              <w:ind w:right="34"/>
              <w:rPr>
                <w:rFonts w:ascii="Arial" w:hAnsi="Arial" w:cs="Arial"/>
                <w:sz w:val="22"/>
                <w:szCs w:val="22"/>
              </w:rPr>
            </w:pPr>
            <w:r>
              <w:rPr>
                <w:rFonts w:ascii="Calibri" w:hAnsi="Calibri" w:cs="Tahoma"/>
                <w:b/>
              </w:rPr>
              <w:t>(as a substitute for your signature) to confirm that you agree to the above declaration.</w:t>
            </w:r>
          </w:p>
        </w:tc>
      </w:tr>
      <w:tr w:rsidR="00646C1C" w14:paraId="37145848" w14:textId="77777777" w:rsidTr="00646C1C">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0EA528A3" w14:textId="77777777" w:rsidR="00646C1C" w:rsidRDefault="00646C1C">
            <w:pPr>
              <w:rPr>
                <w:rFonts w:ascii="Arial" w:hAnsi="Arial"/>
                <w:b/>
                <w:sz w:val="24"/>
                <w:szCs w:val="24"/>
              </w:rPr>
            </w:pPr>
          </w:p>
          <w:p w14:paraId="7114C131" w14:textId="77777777" w:rsidR="00646C1C" w:rsidRDefault="00646C1C">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46C1C" w14:paraId="2E6AC1C1" w14:textId="77777777">
              <w:tc>
                <w:tcPr>
                  <w:tcW w:w="6970" w:type="dxa"/>
                  <w:tcBorders>
                    <w:top w:val="single" w:sz="4" w:space="0" w:color="auto"/>
                    <w:left w:val="single" w:sz="4" w:space="0" w:color="auto"/>
                    <w:bottom w:val="single" w:sz="4" w:space="0" w:color="auto"/>
                    <w:right w:val="single" w:sz="4" w:space="0" w:color="auto"/>
                  </w:tcBorders>
                </w:tcPr>
                <w:p w14:paraId="444455AF" w14:textId="77777777" w:rsidR="00646C1C" w:rsidRDefault="00646C1C">
                  <w:pPr>
                    <w:rPr>
                      <w:rFonts w:ascii="Arial" w:hAnsi="Arial"/>
                      <w:sz w:val="20"/>
                      <w:szCs w:val="20"/>
                    </w:rPr>
                  </w:pPr>
                </w:p>
                <w:p w14:paraId="0C97EF2C" w14:textId="77777777" w:rsidR="00646C1C" w:rsidRDefault="00646C1C">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3BBF213C" w14:textId="77777777" w:rsidR="00646C1C" w:rsidRDefault="00646C1C">
                  <w:pPr>
                    <w:rPr>
                      <w:rFonts w:ascii="Arial" w:hAnsi="Arial"/>
                      <w:sz w:val="20"/>
                      <w:szCs w:val="20"/>
                    </w:rPr>
                  </w:pPr>
                </w:p>
              </w:tc>
            </w:tr>
            <w:tr w:rsidR="00646C1C" w14:paraId="28A57BC9" w14:textId="77777777">
              <w:tc>
                <w:tcPr>
                  <w:tcW w:w="6970" w:type="dxa"/>
                  <w:tcBorders>
                    <w:top w:val="single" w:sz="4" w:space="0" w:color="auto"/>
                    <w:left w:val="single" w:sz="4" w:space="0" w:color="auto"/>
                    <w:bottom w:val="single" w:sz="4" w:space="0" w:color="auto"/>
                    <w:right w:val="single" w:sz="4" w:space="0" w:color="auto"/>
                  </w:tcBorders>
                </w:tcPr>
                <w:p w14:paraId="5097E37A" w14:textId="77777777" w:rsidR="00646C1C" w:rsidRDefault="00646C1C">
                  <w:pPr>
                    <w:rPr>
                      <w:rFonts w:ascii="Arial" w:hAnsi="Arial"/>
                      <w:sz w:val="20"/>
                      <w:szCs w:val="20"/>
                    </w:rPr>
                  </w:pPr>
                </w:p>
                <w:p w14:paraId="6DFE9B68" w14:textId="77777777" w:rsidR="00646C1C" w:rsidRDefault="00646C1C">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5B9CC7AF" w14:textId="77777777" w:rsidR="00646C1C" w:rsidRDefault="00646C1C">
                  <w:pPr>
                    <w:rPr>
                      <w:rFonts w:ascii="Arial" w:hAnsi="Arial"/>
                      <w:sz w:val="20"/>
                      <w:szCs w:val="20"/>
                    </w:rPr>
                  </w:pPr>
                </w:p>
              </w:tc>
            </w:tr>
            <w:tr w:rsidR="00646C1C" w14:paraId="70DFB1C0" w14:textId="77777777">
              <w:tc>
                <w:tcPr>
                  <w:tcW w:w="6970" w:type="dxa"/>
                  <w:tcBorders>
                    <w:top w:val="single" w:sz="4" w:space="0" w:color="auto"/>
                    <w:left w:val="single" w:sz="4" w:space="0" w:color="auto"/>
                    <w:bottom w:val="single" w:sz="4" w:space="0" w:color="auto"/>
                    <w:right w:val="single" w:sz="4" w:space="0" w:color="auto"/>
                  </w:tcBorders>
                </w:tcPr>
                <w:p w14:paraId="6F8AA77B" w14:textId="77777777" w:rsidR="00646C1C" w:rsidRDefault="00646C1C">
                  <w:pPr>
                    <w:rPr>
                      <w:rFonts w:ascii="Arial" w:hAnsi="Arial"/>
                      <w:color w:val="000000"/>
                      <w:sz w:val="20"/>
                      <w:szCs w:val="20"/>
                    </w:rPr>
                  </w:pPr>
                  <w:r>
                    <w:rPr>
                      <w:rFonts w:ascii="Arial" w:hAnsi="Arial"/>
                      <w:color w:val="000000"/>
                      <w:sz w:val="20"/>
                      <w:szCs w:val="20"/>
                    </w:rPr>
                    <w:t xml:space="preserve">Agreed Internal Mark: </w:t>
                  </w:r>
                </w:p>
                <w:p w14:paraId="3548153E" w14:textId="77777777" w:rsidR="00646C1C" w:rsidRDefault="00646C1C">
                  <w:pPr>
                    <w:rPr>
                      <w:rFonts w:ascii="Arial" w:hAnsi="Arial"/>
                      <w:sz w:val="20"/>
                      <w:szCs w:val="20"/>
                      <w:highlight w:val="yellow"/>
                    </w:rPr>
                  </w:pPr>
                </w:p>
              </w:tc>
              <w:tc>
                <w:tcPr>
                  <w:tcW w:w="1660" w:type="dxa"/>
                  <w:tcBorders>
                    <w:top w:val="single" w:sz="4" w:space="0" w:color="auto"/>
                    <w:left w:val="single" w:sz="4" w:space="0" w:color="auto"/>
                    <w:bottom w:val="single" w:sz="4" w:space="0" w:color="auto"/>
                    <w:right w:val="single" w:sz="4" w:space="0" w:color="auto"/>
                  </w:tcBorders>
                </w:tcPr>
                <w:p w14:paraId="2963B33B" w14:textId="77777777" w:rsidR="00646C1C" w:rsidRDefault="00646C1C">
                  <w:pPr>
                    <w:rPr>
                      <w:rFonts w:ascii="Arial" w:hAnsi="Arial"/>
                      <w:sz w:val="20"/>
                      <w:szCs w:val="20"/>
                      <w:highlight w:val="yellow"/>
                    </w:rPr>
                  </w:pPr>
                </w:p>
              </w:tc>
            </w:tr>
            <w:tr w:rsidR="00646C1C" w14:paraId="337B22A3" w14:textId="77777777">
              <w:tc>
                <w:tcPr>
                  <w:tcW w:w="6970" w:type="dxa"/>
                  <w:tcBorders>
                    <w:top w:val="single" w:sz="4" w:space="0" w:color="auto"/>
                    <w:left w:val="single" w:sz="4" w:space="0" w:color="auto"/>
                    <w:bottom w:val="single" w:sz="4" w:space="0" w:color="auto"/>
                    <w:right w:val="single" w:sz="4" w:space="0" w:color="auto"/>
                  </w:tcBorders>
                </w:tcPr>
                <w:p w14:paraId="50B3125A" w14:textId="77777777" w:rsidR="00646C1C" w:rsidRDefault="00646C1C">
                  <w:pPr>
                    <w:rPr>
                      <w:rFonts w:ascii="Arial" w:hAnsi="Arial"/>
                      <w:sz w:val="20"/>
                      <w:szCs w:val="20"/>
                    </w:rPr>
                  </w:pPr>
                </w:p>
                <w:p w14:paraId="00D3ED6D" w14:textId="77777777" w:rsidR="00646C1C" w:rsidRDefault="00646C1C">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5D482332" w14:textId="77777777" w:rsidR="00646C1C" w:rsidRDefault="00646C1C">
                  <w:pPr>
                    <w:rPr>
                      <w:rFonts w:ascii="Arial" w:hAnsi="Arial"/>
                      <w:sz w:val="20"/>
                      <w:szCs w:val="20"/>
                    </w:rPr>
                  </w:pPr>
                </w:p>
              </w:tc>
            </w:tr>
            <w:tr w:rsidR="00646C1C" w14:paraId="67C4C5DF" w14:textId="77777777">
              <w:tc>
                <w:tcPr>
                  <w:tcW w:w="6970" w:type="dxa"/>
                  <w:tcBorders>
                    <w:top w:val="single" w:sz="4" w:space="0" w:color="auto"/>
                    <w:left w:val="single" w:sz="4" w:space="0" w:color="auto"/>
                    <w:bottom w:val="single" w:sz="4" w:space="0" w:color="auto"/>
                    <w:right w:val="single" w:sz="4" w:space="0" w:color="auto"/>
                  </w:tcBorders>
                </w:tcPr>
                <w:p w14:paraId="15EC949E" w14:textId="77777777" w:rsidR="00646C1C" w:rsidRDefault="00646C1C">
                  <w:pPr>
                    <w:rPr>
                      <w:rFonts w:ascii="Arial" w:hAnsi="Arial"/>
                      <w:sz w:val="20"/>
                      <w:szCs w:val="20"/>
                    </w:rPr>
                  </w:pPr>
                </w:p>
                <w:p w14:paraId="300E3D3A" w14:textId="77777777" w:rsidR="00646C1C" w:rsidRDefault="00646C1C">
                  <w:pPr>
                    <w:rPr>
                      <w:rFonts w:ascii="Arial" w:hAnsi="Arial"/>
                      <w:b/>
                      <w:sz w:val="20"/>
                      <w:szCs w:val="20"/>
                    </w:rPr>
                  </w:pPr>
                  <w:r>
                    <w:rPr>
                      <w:rFonts w:ascii="Arial" w:hAnsi="Arial"/>
                      <w:b/>
                      <w:sz w:val="20"/>
                      <w:szCs w:val="20"/>
                    </w:rPr>
                    <w:t>Final Mark</w:t>
                  </w:r>
                </w:p>
                <w:p w14:paraId="2D4FAD04" w14:textId="77777777" w:rsidR="00646C1C" w:rsidRDefault="00646C1C">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64AD4F36" w14:textId="77777777" w:rsidR="00646C1C" w:rsidRDefault="00646C1C">
                  <w:pPr>
                    <w:rPr>
                      <w:rFonts w:ascii="Arial" w:hAnsi="Arial"/>
                      <w:sz w:val="20"/>
                      <w:szCs w:val="20"/>
                    </w:rPr>
                  </w:pPr>
                </w:p>
              </w:tc>
            </w:tr>
          </w:tbl>
          <w:p w14:paraId="02E7F480" w14:textId="77777777" w:rsidR="00646C1C" w:rsidRDefault="00646C1C">
            <w:pPr>
              <w:pStyle w:val="NormalWeb"/>
              <w:spacing w:before="0" w:after="0"/>
              <w:ind w:left="142" w:right="34"/>
              <w:rPr>
                <w:rFonts w:ascii="Arial" w:hAnsi="Arial" w:cs="Arial"/>
                <w:b/>
                <w:sz w:val="22"/>
                <w:szCs w:val="22"/>
                <w:lang w:eastAsia="zh-CN"/>
              </w:rPr>
            </w:pPr>
          </w:p>
          <w:p w14:paraId="179B88FA" w14:textId="77777777" w:rsidR="00646C1C" w:rsidRDefault="00646C1C">
            <w:pPr>
              <w:pStyle w:val="NormalWeb"/>
              <w:spacing w:before="0" w:after="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44E29452" w14:textId="77777777" w:rsidR="00646C1C" w:rsidRDefault="00646C1C">
            <w:pPr>
              <w:pStyle w:val="NormalWeb"/>
              <w:spacing w:before="0" w:after="0"/>
              <w:rPr>
                <w:rFonts w:ascii="Arial" w:hAnsi="Arial" w:cs="Arial"/>
                <w:b/>
                <w:sz w:val="22"/>
                <w:szCs w:val="22"/>
              </w:rPr>
            </w:pPr>
          </w:p>
          <w:p w14:paraId="4360F2CB" w14:textId="77777777" w:rsidR="00646C1C" w:rsidRDefault="00646C1C">
            <w:pPr>
              <w:pStyle w:val="NormalWeb"/>
              <w:spacing w:before="0" w:after="0"/>
              <w:rPr>
                <w:rFonts w:ascii="Arial" w:hAnsi="Arial" w:cs="Arial"/>
                <w:b/>
                <w:sz w:val="22"/>
                <w:szCs w:val="22"/>
              </w:rPr>
            </w:pPr>
          </w:p>
          <w:p w14:paraId="794F29E3" w14:textId="77777777" w:rsidR="00646C1C" w:rsidRDefault="00646C1C">
            <w:pPr>
              <w:pStyle w:val="NormalWeb"/>
              <w:spacing w:before="0" w:after="0"/>
              <w:rPr>
                <w:rFonts w:ascii="Arial" w:hAnsi="Arial" w:cs="Arial"/>
                <w:b/>
                <w:sz w:val="22"/>
                <w:szCs w:val="22"/>
              </w:rPr>
            </w:pPr>
          </w:p>
          <w:p w14:paraId="6D06E8FE" w14:textId="77777777" w:rsidR="00646C1C" w:rsidRDefault="00646C1C">
            <w:pPr>
              <w:pStyle w:val="NormalWeb"/>
              <w:spacing w:before="0" w:after="0"/>
              <w:rPr>
                <w:rFonts w:ascii="Arial" w:hAnsi="Arial" w:cs="Arial"/>
                <w:b/>
                <w:sz w:val="22"/>
                <w:szCs w:val="22"/>
              </w:rPr>
            </w:pPr>
          </w:p>
          <w:p w14:paraId="3D25381B" w14:textId="77777777" w:rsidR="00646C1C" w:rsidRDefault="00646C1C">
            <w:pPr>
              <w:pStyle w:val="NormalWeb"/>
              <w:spacing w:before="0" w:after="0"/>
              <w:rPr>
                <w:rFonts w:ascii="Arial" w:hAnsi="Arial" w:cs="Arial"/>
                <w:b/>
                <w:sz w:val="22"/>
                <w:szCs w:val="22"/>
              </w:rPr>
            </w:pPr>
            <w:r>
              <w:rPr>
                <w:rFonts w:ascii="Arial" w:hAnsi="Arial" w:cs="Arial"/>
                <w:b/>
                <w:sz w:val="22"/>
                <w:szCs w:val="22"/>
              </w:rPr>
              <w:t>For completion by Marker 1 :</w:t>
            </w:r>
          </w:p>
          <w:p w14:paraId="57E649EF" w14:textId="77777777" w:rsidR="00646C1C" w:rsidRDefault="00646C1C">
            <w:pPr>
              <w:pStyle w:val="NormalWeb"/>
              <w:rPr>
                <w:rFonts w:ascii="Arial" w:hAnsi="Arial" w:cs="Arial"/>
                <w:sz w:val="22"/>
                <w:szCs w:val="22"/>
              </w:rPr>
            </w:pPr>
            <w:r>
              <w:rPr>
                <w:rFonts w:ascii="Arial" w:hAnsi="Arial" w:cs="Arial"/>
                <w:sz w:val="22"/>
                <w:szCs w:val="22"/>
              </w:rPr>
              <w:t>Comments:</w:t>
            </w:r>
          </w:p>
          <w:p w14:paraId="38AF45C5" w14:textId="77777777" w:rsidR="00646C1C" w:rsidRDefault="00646C1C">
            <w:pPr>
              <w:pStyle w:val="NormalWeb"/>
              <w:rPr>
                <w:rFonts w:ascii="Arial" w:hAnsi="Arial" w:cs="Arial"/>
                <w:sz w:val="22"/>
                <w:szCs w:val="22"/>
              </w:rPr>
            </w:pPr>
          </w:p>
        </w:tc>
      </w:tr>
      <w:tr w:rsidR="00646C1C" w14:paraId="411FCC57" w14:textId="77777777" w:rsidTr="00646C1C">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228B8119" w14:textId="77777777" w:rsidR="00646C1C" w:rsidRDefault="00646C1C">
            <w:pPr>
              <w:pStyle w:val="NormalWeb"/>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5CE465BC" w14:textId="77777777" w:rsidR="00646C1C" w:rsidRDefault="00646C1C">
            <w:pPr>
              <w:pStyle w:val="NormalWeb"/>
              <w:spacing w:after="0"/>
              <w:ind w:left="142" w:right="34"/>
              <w:rPr>
                <w:rFonts w:ascii="Arial" w:hAnsi="Arial" w:cs="Arial"/>
                <w:sz w:val="22"/>
                <w:szCs w:val="22"/>
              </w:rPr>
            </w:pPr>
            <w:r>
              <w:rPr>
                <w:rFonts w:ascii="Arial" w:hAnsi="Arial" w:cs="Arial"/>
                <w:sz w:val="22"/>
                <w:szCs w:val="22"/>
              </w:rPr>
              <w:t>Date:</w:t>
            </w:r>
          </w:p>
        </w:tc>
      </w:tr>
      <w:tr w:rsidR="00646C1C" w14:paraId="7C5F8238" w14:textId="77777777" w:rsidTr="00646C1C">
        <w:tc>
          <w:tcPr>
            <w:tcW w:w="8856" w:type="dxa"/>
            <w:gridSpan w:val="5"/>
            <w:tcBorders>
              <w:top w:val="single" w:sz="4" w:space="0" w:color="000000"/>
              <w:left w:val="single" w:sz="4" w:space="0" w:color="000000"/>
              <w:bottom w:val="single" w:sz="4" w:space="0" w:color="000000"/>
              <w:right w:val="single" w:sz="4" w:space="0" w:color="000000"/>
            </w:tcBorders>
          </w:tcPr>
          <w:p w14:paraId="7BEF06C9" w14:textId="77777777" w:rsidR="00646C1C" w:rsidRDefault="00646C1C">
            <w:pPr>
              <w:pStyle w:val="NormalWeb"/>
              <w:spacing w:before="0" w:after="0"/>
              <w:ind w:right="-334"/>
              <w:rPr>
                <w:rFonts w:ascii="Arial" w:hAnsi="Arial" w:cs="Arial"/>
                <w:bCs/>
                <w:i/>
                <w:sz w:val="22"/>
                <w:szCs w:val="22"/>
              </w:rPr>
            </w:pPr>
          </w:p>
          <w:p w14:paraId="1BE43D6A" w14:textId="77777777" w:rsidR="00646C1C" w:rsidRDefault="00646C1C">
            <w:pPr>
              <w:pStyle w:val="NormalWeb"/>
              <w:spacing w:before="0" w:after="0"/>
              <w:ind w:right="-334"/>
              <w:rPr>
                <w:rFonts w:ascii="Arial" w:hAnsi="Arial" w:cs="Arial"/>
                <w:b/>
                <w:bCs/>
                <w:sz w:val="22"/>
                <w:szCs w:val="22"/>
              </w:rPr>
            </w:pPr>
            <w:r>
              <w:rPr>
                <w:rFonts w:ascii="Arial" w:hAnsi="Arial" w:cs="Arial"/>
                <w:b/>
                <w:bCs/>
                <w:sz w:val="22"/>
                <w:szCs w:val="22"/>
              </w:rPr>
              <w:t>For completion by Marker 2/Moderator:</w:t>
            </w:r>
          </w:p>
          <w:p w14:paraId="1E14D0AB" w14:textId="77777777" w:rsidR="00646C1C" w:rsidRDefault="00646C1C">
            <w:pPr>
              <w:pStyle w:val="NormalWeb"/>
              <w:spacing w:before="0" w:after="0"/>
              <w:ind w:right="-334"/>
              <w:rPr>
                <w:rFonts w:ascii="Arial" w:hAnsi="Arial" w:cs="Arial"/>
                <w:b/>
                <w:bCs/>
                <w:sz w:val="22"/>
                <w:szCs w:val="22"/>
              </w:rPr>
            </w:pPr>
          </w:p>
          <w:p w14:paraId="1F95FCB3" w14:textId="77777777" w:rsidR="00646C1C" w:rsidRDefault="00646C1C">
            <w:pPr>
              <w:pStyle w:val="NormalWeb"/>
              <w:spacing w:before="0" w:after="0"/>
              <w:ind w:right="-334"/>
              <w:rPr>
                <w:rFonts w:ascii="Arial" w:hAnsi="Arial" w:cs="Arial"/>
                <w:bCs/>
                <w:sz w:val="22"/>
                <w:szCs w:val="22"/>
              </w:rPr>
            </w:pPr>
            <w:r>
              <w:rPr>
                <w:rFonts w:ascii="Arial" w:hAnsi="Arial" w:cs="Arial"/>
                <w:bCs/>
                <w:sz w:val="22"/>
                <w:szCs w:val="22"/>
              </w:rPr>
              <w:t>Comments:</w:t>
            </w:r>
          </w:p>
          <w:p w14:paraId="580C2AEE" w14:textId="77777777" w:rsidR="00646C1C" w:rsidRDefault="00646C1C">
            <w:pPr>
              <w:pStyle w:val="NormalWeb"/>
              <w:spacing w:before="0" w:after="0"/>
              <w:ind w:right="-334"/>
              <w:rPr>
                <w:rFonts w:ascii="Arial" w:hAnsi="Arial" w:cs="Arial"/>
                <w:bCs/>
                <w:sz w:val="22"/>
                <w:szCs w:val="22"/>
              </w:rPr>
            </w:pPr>
          </w:p>
          <w:p w14:paraId="65D7C65F" w14:textId="77777777" w:rsidR="00646C1C" w:rsidRDefault="00646C1C">
            <w:pPr>
              <w:pStyle w:val="NormalWeb"/>
              <w:spacing w:before="0" w:after="0"/>
              <w:ind w:right="-334"/>
              <w:rPr>
                <w:rFonts w:ascii="Arial" w:hAnsi="Arial" w:cs="Arial"/>
                <w:bCs/>
                <w:sz w:val="22"/>
                <w:szCs w:val="22"/>
              </w:rPr>
            </w:pPr>
          </w:p>
          <w:p w14:paraId="21E22984" w14:textId="77777777" w:rsidR="00646C1C" w:rsidRDefault="00646C1C">
            <w:pPr>
              <w:pStyle w:val="NormalWeb"/>
              <w:spacing w:before="0" w:after="0"/>
              <w:ind w:right="-334"/>
              <w:rPr>
                <w:rFonts w:ascii="Arial" w:hAnsi="Arial" w:cs="Arial"/>
                <w:bCs/>
                <w:sz w:val="22"/>
                <w:szCs w:val="22"/>
              </w:rPr>
            </w:pPr>
          </w:p>
        </w:tc>
      </w:tr>
      <w:tr w:rsidR="00646C1C" w14:paraId="397E3924" w14:textId="77777777" w:rsidTr="00646C1C">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713934E" w14:textId="77777777" w:rsidR="00646C1C" w:rsidRDefault="00646C1C">
            <w:pPr>
              <w:pStyle w:val="NormalWeb"/>
              <w:spacing w:before="0" w:after="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5070601" w14:textId="77777777" w:rsidR="00646C1C" w:rsidRDefault="00646C1C">
            <w:pPr>
              <w:pStyle w:val="NormalWeb"/>
              <w:spacing w:before="0" w:after="0"/>
              <w:ind w:right="-334"/>
              <w:rPr>
                <w:rFonts w:ascii="Arial" w:hAnsi="Arial" w:cs="Arial"/>
                <w:bCs/>
                <w:sz w:val="22"/>
                <w:szCs w:val="22"/>
              </w:rPr>
            </w:pPr>
            <w:r>
              <w:rPr>
                <w:rFonts w:ascii="Arial" w:hAnsi="Arial" w:cs="Arial"/>
                <w:bCs/>
                <w:sz w:val="22"/>
                <w:szCs w:val="22"/>
              </w:rPr>
              <w:t>Date:</w:t>
            </w:r>
          </w:p>
        </w:tc>
      </w:tr>
      <w:tr w:rsidR="00646C1C" w14:paraId="55A57B2A" w14:textId="77777777" w:rsidTr="00646C1C">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3A62FFAE" w14:textId="77777777" w:rsidR="00646C1C" w:rsidRDefault="00646C1C">
            <w:pPr>
              <w:rPr>
                <w:rFonts w:ascii="Arial" w:hAnsi="Arial" w:cs="Arial"/>
                <w:b/>
              </w:rPr>
            </w:pPr>
            <w:r>
              <w:rPr>
                <w:rFonts w:ascii="Arial" w:hAnsi="Arial" w:cs="Arial"/>
                <w:b/>
              </w:rPr>
              <w:t>AGREED INTERNAL MARK (where necessary):</w:t>
            </w:r>
          </w:p>
          <w:p w14:paraId="02F79BBE" w14:textId="77777777" w:rsidR="00646C1C" w:rsidRDefault="00646C1C">
            <w:pPr>
              <w:rPr>
                <w:rFonts w:ascii="Arial" w:hAnsi="Arial" w:cs="Arial"/>
                <w:b/>
              </w:rPr>
            </w:pPr>
          </w:p>
          <w:p w14:paraId="701E8038" w14:textId="77777777" w:rsidR="00646C1C" w:rsidRDefault="00646C1C">
            <w:pPr>
              <w:rPr>
                <w:rFonts w:ascii="Arial" w:hAnsi="Arial" w:cs="Arial"/>
                <w:b/>
              </w:rPr>
            </w:pPr>
            <w:r>
              <w:rPr>
                <w:rFonts w:ascii="Arial" w:hAnsi="Arial" w:cs="Arial"/>
                <w:b/>
              </w:rPr>
              <w:t>Comment on process of arriving at agreed mark:</w:t>
            </w:r>
          </w:p>
          <w:p w14:paraId="5D29C706" w14:textId="77777777" w:rsidR="00646C1C" w:rsidRDefault="00646C1C">
            <w:pPr>
              <w:rPr>
                <w:rFonts w:ascii="Arial" w:hAnsi="Arial" w:cs="Arial"/>
                <w:b/>
              </w:rPr>
            </w:pPr>
          </w:p>
          <w:p w14:paraId="26C52A7E" w14:textId="77777777" w:rsidR="00646C1C" w:rsidRDefault="00646C1C">
            <w:pPr>
              <w:rPr>
                <w:rFonts w:ascii="Arial" w:hAnsi="Arial" w:cs="Arial"/>
                <w:b/>
              </w:rPr>
            </w:pPr>
          </w:p>
          <w:p w14:paraId="74FBDA2B" w14:textId="77777777" w:rsidR="00646C1C" w:rsidRDefault="00646C1C">
            <w:pPr>
              <w:rPr>
                <w:rFonts w:ascii="Arial" w:hAnsi="Arial" w:cs="Arial"/>
                <w:b/>
              </w:rPr>
            </w:pPr>
          </w:p>
          <w:p w14:paraId="7CED9EE0" w14:textId="77777777" w:rsidR="00646C1C" w:rsidRDefault="00646C1C">
            <w:pPr>
              <w:rPr>
                <w:rFonts w:ascii="Arial" w:hAnsi="Arial" w:cs="Arial"/>
                <w:b/>
              </w:rPr>
            </w:pPr>
          </w:p>
          <w:p w14:paraId="42F4EFEF" w14:textId="77777777" w:rsidR="00646C1C" w:rsidRDefault="00646C1C">
            <w:pPr>
              <w:rPr>
                <w:rFonts w:ascii="Arial" w:hAnsi="Arial" w:cs="Arial"/>
                <w:b/>
              </w:rPr>
            </w:pPr>
          </w:p>
          <w:p w14:paraId="49A587B4" w14:textId="77777777" w:rsidR="00646C1C" w:rsidRDefault="00646C1C">
            <w:pPr>
              <w:rPr>
                <w:rFonts w:ascii="Arial" w:hAnsi="Arial" w:cs="Arial"/>
                <w:b/>
              </w:rPr>
            </w:pPr>
          </w:p>
          <w:p w14:paraId="6E53E319" w14:textId="77777777" w:rsidR="00646C1C" w:rsidRDefault="00646C1C">
            <w:pPr>
              <w:rPr>
                <w:rFonts w:ascii="Arial" w:hAnsi="Arial" w:cs="Arial"/>
                <w:b/>
              </w:rPr>
            </w:pPr>
          </w:p>
          <w:p w14:paraId="233C26B4" w14:textId="77777777" w:rsidR="00646C1C" w:rsidRDefault="00646C1C">
            <w:pPr>
              <w:rPr>
                <w:rFonts w:ascii="Arial" w:hAnsi="Arial" w:cs="Arial"/>
                <w:b/>
              </w:rPr>
            </w:pPr>
          </w:p>
        </w:tc>
      </w:tr>
      <w:tr w:rsidR="00646C1C" w14:paraId="2C5854FA" w14:textId="77777777" w:rsidTr="00646C1C">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4872E7CE" w14:textId="77777777" w:rsidR="00646C1C" w:rsidRDefault="00646C1C">
            <w:pPr>
              <w:rPr>
                <w:rFonts w:ascii="Arial" w:hAnsi="Arial" w:cs="Arial"/>
                <w:b/>
              </w:rPr>
            </w:pPr>
            <w:r>
              <w:rPr>
                <w:rFonts w:ascii="Arial" w:hAnsi="Arial" w:cs="Arial"/>
                <w:b/>
              </w:rPr>
              <w:lastRenderedPageBreak/>
              <w:t>External Examiner’s comments (if relevant)</w:t>
            </w:r>
          </w:p>
          <w:p w14:paraId="7B3392BD" w14:textId="77777777" w:rsidR="00646C1C" w:rsidRDefault="00646C1C">
            <w:pPr>
              <w:pStyle w:val="NormalWeb"/>
              <w:spacing w:before="0" w:after="0"/>
              <w:ind w:right="-334"/>
              <w:rPr>
                <w:rFonts w:ascii="Arial" w:hAnsi="Arial" w:cs="Arial"/>
                <w:bCs/>
                <w:sz w:val="22"/>
                <w:szCs w:val="22"/>
              </w:rPr>
            </w:pPr>
          </w:p>
          <w:p w14:paraId="049152C0" w14:textId="77777777" w:rsidR="00646C1C" w:rsidRDefault="00646C1C">
            <w:pPr>
              <w:pStyle w:val="NormalWeb"/>
              <w:spacing w:before="0" w:after="0"/>
              <w:ind w:right="-334"/>
              <w:rPr>
                <w:rFonts w:ascii="Arial" w:hAnsi="Arial" w:cs="Arial"/>
                <w:bCs/>
                <w:sz w:val="22"/>
                <w:szCs w:val="22"/>
              </w:rPr>
            </w:pPr>
          </w:p>
          <w:p w14:paraId="56204D6A" w14:textId="77777777" w:rsidR="00646C1C" w:rsidRDefault="00646C1C">
            <w:pPr>
              <w:pStyle w:val="NormalWeb"/>
              <w:spacing w:before="0" w:after="0"/>
              <w:ind w:right="-334"/>
              <w:rPr>
                <w:rFonts w:ascii="Arial" w:hAnsi="Arial" w:cs="Arial"/>
                <w:bCs/>
                <w:sz w:val="22"/>
                <w:szCs w:val="22"/>
              </w:rPr>
            </w:pPr>
          </w:p>
          <w:p w14:paraId="3046C828" w14:textId="77777777" w:rsidR="00646C1C" w:rsidRDefault="00646C1C">
            <w:pPr>
              <w:pStyle w:val="NormalWeb"/>
              <w:spacing w:before="0" w:after="0"/>
              <w:ind w:right="-334"/>
              <w:rPr>
                <w:rFonts w:ascii="Arial" w:hAnsi="Arial" w:cs="Arial"/>
                <w:bCs/>
                <w:sz w:val="22"/>
                <w:szCs w:val="22"/>
              </w:rPr>
            </w:pPr>
          </w:p>
          <w:p w14:paraId="2679688C" w14:textId="77777777" w:rsidR="00646C1C" w:rsidRDefault="00646C1C">
            <w:pPr>
              <w:pStyle w:val="NormalWeb"/>
              <w:spacing w:before="0" w:after="0"/>
              <w:ind w:right="-334"/>
              <w:rPr>
                <w:rFonts w:ascii="Arial" w:hAnsi="Arial" w:cs="Arial"/>
                <w:bCs/>
                <w:sz w:val="22"/>
                <w:szCs w:val="22"/>
              </w:rPr>
            </w:pPr>
          </w:p>
          <w:p w14:paraId="1AAC7750" w14:textId="77777777" w:rsidR="00646C1C" w:rsidRDefault="00646C1C">
            <w:pPr>
              <w:pStyle w:val="NormalWeb"/>
              <w:spacing w:before="0" w:after="0"/>
              <w:ind w:right="-334"/>
              <w:rPr>
                <w:rFonts w:ascii="Arial" w:hAnsi="Arial" w:cs="Arial"/>
                <w:bCs/>
                <w:sz w:val="22"/>
                <w:szCs w:val="22"/>
              </w:rPr>
            </w:pPr>
          </w:p>
          <w:p w14:paraId="6569F13B" w14:textId="77777777" w:rsidR="00646C1C" w:rsidRDefault="00646C1C">
            <w:pPr>
              <w:pStyle w:val="NormalWeb"/>
              <w:spacing w:before="0" w:after="0"/>
              <w:ind w:right="-334"/>
              <w:rPr>
                <w:rFonts w:ascii="Arial" w:hAnsi="Arial" w:cs="Arial"/>
                <w:bCs/>
                <w:sz w:val="22"/>
                <w:szCs w:val="22"/>
              </w:rPr>
            </w:pPr>
          </w:p>
        </w:tc>
      </w:tr>
      <w:tr w:rsidR="00646C1C" w14:paraId="27921068" w14:textId="77777777" w:rsidTr="00646C1C">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3C0CDEA" w14:textId="77777777" w:rsidR="00646C1C" w:rsidRDefault="00646C1C">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26A874B5" w14:textId="77777777" w:rsidR="00646C1C" w:rsidRDefault="00646C1C">
            <w:pPr>
              <w:rPr>
                <w:rFonts w:ascii="Arial" w:hAnsi="Arial" w:cs="Arial"/>
              </w:rPr>
            </w:pPr>
            <w:r>
              <w:rPr>
                <w:rFonts w:ascii="Arial" w:hAnsi="Arial" w:cs="Arial"/>
              </w:rPr>
              <w:t>Date:</w:t>
            </w:r>
          </w:p>
        </w:tc>
      </w:tr>
    </w:tbl>
    <w:p w14:paraId="298C38A7" w14:textId="77777777" w:rsidR="00646C1C" w:rsidRDefault="00646C1C" w:rsidP="00646C1C">
      <w:pPr>
        <w:pStyle w:val="NormalWeb"/>
        <w:spacing w:before="0" w:after="0"/>
        <w:ind w:right="-334"/>
        <w:rPr>
          <w:rFonts w:ascii="Trebuchet MS" w:hAnsi="Trebuchet MS" w:cs="Tahoma"/>
          <w:bCs/>
          <w:lang w:eastAsia="zh-CN"/>
        </w:rPr>
      </w:pPr>
    </w:p>
    <w:p w14:paraId="77C8AFFA" w14:textId="77777777" w:rsidR="00646C1C" w:rsidRDefault="00646C1C">
      <w:pPr>
        <w:suppressAutoHyphens w:val="0"/>
        <w:spacing w:line="249" w:lineRule="auto"/>
        <w:rPr>
          <w:sz w:val="28"/>
          <w:szCs w:val="28"/>
        </w:rPr>
      </w:pPr>
      <w:r>
        <w:rPr>
          <w:sz w:val="28"/>
          <w:szCs w:val="28"/>
        </w:rPr>
        <w:br w:type="page"/>
      </w:r>
    </w:p>
    <w:p w14:paraId="7B235FCA" w14:textId="0E268BAA" w:rsidR="00537F32" w:rsidRPr="00646C1C" w:rsidRDefault="00646C1C">
      <w:pPr>
        <w:spacing w:after="0" w:line="480" w:lineRule="auto"/>
        <w:rPr>
          <w:rFonts w:cs="Calibri"/>
          <w:sz w:val="28"/>
          <w:szCs w:val="28"/>
        </w:rPr>
      </w:pPr>
      <w:r w:rsidRPr="00646C1C">
        <w:rPr>
          <w:sz w:val="28"/>
          <w:szCs w:val="28"/>
        </w:rPr>
        <w:lastRenderedPageBreak/>
        <w:t>Analyse the roles of, and relationship between, cosmology and divination in Ancient Egypt</w:t>
      </w:r>
      <w:r w:rsidR="00941C03" w:rsidRPr="00646C1C">
        <w:rPr>
          <w:rStyle w:val="FootnoteReference"/>
          <w:rFonts w:cs="Calibri"/>
          <w:sz w:val="28"/>
          <w:szCs w:val="28"/>
        </w:rPr>
        <w:footnoteReference w:id="1"/>
      </w:r>
    </w:p>
    <w:p w14:paraId="171EC66A" w14:textId="77777777" w:rsidR="00537F32" w:rsidRDefault="00537F32">
      <w:pPr>
        <w:spacing w:after="0" w:line="480" w:lineRule="auto"/>
        <w:rPr>
          <w:rFonts w:cs="Calibri"/>
          <w:sz w:val="24"/>
          <w:szCs w:val="24"/>
        </w:rPr>
      </w:pPr>
    </w:p>
    <w:p w14:paraId="12AE9811" w14:textId="60BE41BC" w:rsidR="00537F32" w:rsidRDefault="00000000">
      <w:pPr>
        <w:spacing w:after="0" w:line="480" w:lineRule="auto"/>
      </w:pPr>
      <w:r>
        <w:rPr>
          <w:rFonts w:cs="Calibri"/>
          <w:sz w:val="24"/>
          <w:szCs w:val="24"/>
        </w:rPr>
        <w:t xml:space="preserve">Scholars familiar only with the purported authority of Hesiod’s Theogony or the Biblical Genesis may find Egyptian cosmology daunting. Four or five major cosmogonic traditions seem to exist alongside one another in textual material, describing how the ‘world as we know it’ came into being and ‘what happened in the </w:t>
      </w:r>
      <w:proofErr w:type="spellStart"/>
      <w:r>
        <w:rPr>
          <w:rFonts w:cs="Calibri"/>
          <w:i/>
          <w:iCs/>
          <w:sz w:val="24"/>
          <w:szCs w:val="24"/>
        </w:rPr>
        <w:t>sp</w:t>
      </w:r>
      <w:proofErr w:type="spellEnd"/>
      <w:r>
        <w:rPr>
          <w:rFonts w:cs="Calibri"/>
          <w:i/>
          <w:iCs/>
          <w:sz w:val="24"/>
          <w:szCs w:val="24"/>
        </w:rPr>
        <w:t xml:space="preserve"> </w:t>
      </w:r>
      <w:proofErr w:type="spellStart"/>
      <w:r>
        <w:rPr>
          <w:rFonts w:cs="Calibri"/>
          <w:i/>
          <w:iCs/>
          <w:sz w:val="24"/>
          <w:szCs w:val="24"/>
        </w:rPr>
        <w:t>tpj</w:t>
      </w:r>
      <w:proofErr w:type="spellEnd"/>
      <w:r>
        <w:rPr>
          <w:rFonts w:cs="Calibri"/>
          <w:sz w:val="24"/>
          <w:szCs w:val="24"/>
        </w:rPr>
        <w:t xml:space="preserve"> (zep </w:t>
      </w:r>
      <w:proofErr w:type="spellStart"/>
      <w:r>
        <w:rPr>
          <w:rFonts w:cs="Calibri"/>
          <w:sz w:val="24"/>
          <w:szCs w:val="24"/>
        </w:rPr>
        <w:t>tepi</w:t>
      </w:r>
      <w:proofErr w:type="spellEnd"/>
      <w:r>
        <w:rPr>
          <w:rFonts w:cs="Calibri"/>
          <w:sz w:val="24"/>
          <w:szCs w:val="24"/>
        </w:rPr>
        <w:t>, the ‘first times’.</w:t>
      </w:r>
      <w:r>
        <w:rPr>
          <w:rStyle w:val="FootnoteReference"/>
          <w:rFonts w:cs="Calibri"/>
          <w:sz w:val="24"/>
          <w:szCs w:val="24"/>
        </w:rPr>
        <w:footnoteReference w:id="2"/>
      </w:r>
      <w:r>
        <w:rPr>
          <w:rFonts w:cs="Calibri"/>
          <w:sz w:val="24"/>
          <w:szCs w:val="24"/>
        </w:rPr>
        <w:t xml:space="preserve"> Further variations apparently comprise a tangled web with threads of celestial, theological, moral, anthropological and geological characters.</w:t>
      </w:r>
      <w:r>
        <w:rPr>
          <w:rStyle w:val="FootnoteReference"/>
          <w:rFonts w:cs="Calibri"/>
          <w:sz w:val="24"/>
          <w:szCs w:val="24"/>
        </w:rPr>
        <w:footnoteReference w:id="3"/>
      </w:r>
      <w:r>
        <w:rPr>
          <w:rFonts w:cs="Calibri"/>
          <w:sz w:val="24"/>
          <w:szCs w:val="24"/>
        </w:rPr>
        <w:t xml:space="preserve"> Kirk, arguably indulging in primitivism, claimed </w:t>
      </w:r>
      <w:r w:rsidR="00544B38">
        <w:rPr>
          <w:rFonts w:cs="Calibri"/>
          <w:sz w:val="24"/>
          <w:szCs w:val="24"/>
        </w:rPr>
        <w:t>“</w:t>
      </w:r>
      <w:r>
        <w:rPr>
          <w:rFonts w:cs="Calibri"/>
          <w:sz w:val="24"/>
          <w:szCs w:val="24"/>
        </w:rPr>
        <w:t>a chaotic indifference to consistency and meaning is characteristic of Egyptian thought”.</w:t>
      </w:r>
      <w:r>
        <w:rPr>
          <w:rStyle w:val="FootnoteReference"/>
          <w:rFonts w:cs="Calibri"/>
          <w:sz w:val="24"/>
          <w:szCs w:val="24"/>
        </w:rPr>
        <w:footnoteReference w:id="4"/>
      </w:r>
      <w:r>
        <w:rPr>
          <w:rFonts w:cs="Calibri"/>
          <w:sz w:val="24"/>
          <w:szCs w:val="24"/>
        </w:rPr>
        <w:t xml:space="preserve"> This essay by contrast argues for the coherence of Egyptian cosmology, not in any way as ‘priestly speculation’,</w:t>
      </w:r>
      <w:r>
        <w:rPr>
          <w:rStyle w:val="FootnoteReference"/>
          <w:rFonts w:cs="Calibri"/>
          <w:sz w:val="24"/>
          <w:szCs w:val="24"/>
        </w:rPr>
        <w:footnoteReference w:id="5"/>
      </w:r>
      <w:r>
        <w:rPr>
          <w:rFonts w:cs="Calibri"/>
          <w:sz w:val="24"/>
          <w:szCs w:val="24"/>
        </w:rPr>
        <w:t xml:space="preserve"> but rather as, firstly, the result of actual spiritual experience and secondly, as being firmly associated with the land they called </w:t>
      </w:r>
      <w:proofErr w:type="spellStart"/>
      <w:r>
        <w:rPr>
          <w:rFonts w:cs="Calibri"/>
          <w:i/>
          <w:iCs/>
          <w:sz w:val="24"/>
          <w:szCs w:val="24"/>
        </w:rPr>
        <w:t>Kmt</w:t>
      </w:r>
      <w:proofErr w:type="spellEnd"/>
      <w:r>
        <w:rPr>
          <w:rFonts w:cs="Calibri"/>
          <w:sz w:val="24"/>
          <w:szCs w:val="24"/>
        </w:rPr>
        <w:t xml:space="preserve"> (Kemet – the Black Land). </w:t>
      </w:r>
    </w:p>
    <w:p w14:paraId="4F0C898F" w14:textId="77777777" w:rsidR="00537F32" w:rsidRDefault="00537F32">
      <w:pPr>
        <w:spacing w:after="0" w:line="480" w:lineRule="auto"/>
        <w:rPr>
          <w:rFonts w:cs="Calibri"/>
          <w:sz w:val="24"/>
          <w:szCs w:val="24"/>
        </w:rPr>
      </w:pPr>
    </w:p>
    <w:p w14:paraId="2F06146F" w14:textId="5941181B" w:rsidR="00537F32" w:rsidRDefault="00000000">
      <w:pPr>
        <w:spacing w:after="0" w:line="480" w:lineRule="auto"/>
      </w:pPr>
      <w:r>
        <w:rPr>
          <w:rFonts w:cs="Calibri"/>
          <w:sz w:val="24"/>
          <w:szCs w:val="24"/>
        </w:rPr>
        <w:t xml:space="preserve">In the present day, issues of cosmology and cosmogony are mostly considered as ‘over and done with’: black holes and cosmic background radiation are treated as concepts of interest but not of much relevance to everyday life. For ancient Egypt, </w:t>
      </w:r>
      <w:r w:rsidR="00B9521F">
        <w:rPr>
          <w:rFonts w:cs="Calibri"/>
          <w:sz w:val="24"/>
          <w:szCs w:val="24"/>
        </w:rPr>
        <w:t xml:space="preserve">the role of </w:t>
      </w:r>
      <w:r>
        <w:rPr>
          <w:rFonts w:cs="Calibri"/>
          <w:sz w:val="24"/>
          <w:szCs w:val="24"/>
        </w:rPr>
        <w:t xml:space="preserve">cosmology </w:t>
      </w:r>
      <w:r w:rsidR="00B9521F">
        <w:rPr>
          <w:rFonts w:cs="Calibri"/>
          <w:sz w:val="24"/>
          <w:szCs w:val="24"/>
        </w:rPr>
        <w:t xml:space="preserve">was </w:t>
      </w:r>
      <w:r w:rsidR="00B9521F">
        <w:rPr>
          <w:rFonts w:cs="Calibri"/>
          <w:sz w:val="24"/>
          <w:szCs w:val="24"/>
        </w:rPr>
        <w:lastRenderedPageBreak/>
        <w:t xml:space="preserve">quite different: it </w:t>
      </w:r>
      <w:r>
        <w:rPr>
          <w:rFonts w:cs="Calibri"/>
          <w:sz w:val="24"/>
          <w:szCs w:val="24"/>
        </w:rPr>
        <w:t>permeated all aspects of the living world, not a</w:t>
      </w:r>
      <w:r w:rsidR="00B9521F">
        <w:rPr>
          <w:rFonts w:cs="Calibri"/>
          <w:sz w:val="24"/>
          <w:szCs w:val="24"/>
        </w:rPr>
        <w:t>s a</w:t>
      </w:r>
      <w:r>
        <w:rPr>
          <w:rFonts w:cs="Calibri"/>
          <w:sz w:val="24"/>
          <w:szCs w:val="24"/>
        </w:rPr>
        <w:t xml:space="preserve"> ‘once and for all’ event but something constantly renewed in the cycles of </w:t>
      </w:r>
      <w:r>
        <w:rPr>
          <w:rFonts w:cs="Calibri"/>
          <w:i/>
          <w:iCs/>
          <w:sz w:val="24"/>
          <w:szCs w:val="24"/>
        </w:rPr>
        <w:t>nḥḥ</w:t>
      </w:r>
      <w:r>
        <w:rPr>
          <w:rFonts w:cs="Calibri"/>
          <w:sz w:val="24"/>
          <w:szCs w:val="24"/>
        </w:rPr>
        <w:t xml:space="preserve"> (neheh, usually translated as ‘eternity’). Campion refers to ancient Egypt as ‘cosmotheistic’,</w:t>
      </w:r>
      <w:r>
        <w:rPr>
          <w:rStyle w:val="FootnoteReference"/>
          <w:rFonts w:cs="Calibri"/>
          <w:sz w:val="24"/>
          <w:szCs w:val="24"/>
        </w:rPr>
        <w:footnoteReference w:id="6"/>
      </w:r>
      <w:r>
        <w:rPr>
          <w:rFonts w:cs="Calibri"/>
          <w:sz w:val="24"/>
          <w:szCs w:val="24"/>
        </w:rPr>
        <w:t xml:space="preserve"> hence the Egyptian state as ‘cosmotheocracy’.</w:t>
      </w:r>
      <w:r>
        <w:rPr>
          <w:rStyle w:val="FootnoteReference"/>
          <w:rFonts w:cs="Calibri"/>
          <w:sz w:val="24"/>
          <w:szCs w:val="24"/>
        </w:rPr>
        <w:footnoteReference w:id="7"/>
      </w:r>
      <w:r>
        <w:rPr>
          <w:rFonts w:cs="Calibri"/>
          <w:sz w:val="24"/>
          <w:szCs w:val="24"/>
        </w:rPr>
        <w:t xml:space="preserve"> In ancient Egypt, cosmology is not the ‘abstract’ concepts of modern Physics: rather, the world is “full of Gods”,</w:t>
      </w:r>
      <w:r>
        <w:rPr>
          <w:rStyle w:val="FootnoteReference"/>
          <w:rFonts w:cs="Calibri"/>
          <w:sz w:val="24"/>
          <w:szCs w:val="24"/>
        </w:rPr>
        <w:footnoteReference w:id="8"/>
      </w:r>
      <w:r>
        <w:rPr>
          <w:rFonts w:cs="Calibri"/>
          <w:sz w:val="24"/>
          <w:szCs w:val="24"/>
        </w:rPr>
        <w:t xml:space="preserve"> meaning not simply that the Gods are many,</w:t>
      </w:r>
      <w:r>
        <w:rPr>
          <w:rStyle w:val="FootnoteReference"/>
          <w:rFonts w:cs="Calibri"/>
          <w:sz w:val="24"/>
          <w:szCs w:val="24"/>
        </w:rPr>
        <w:footnoteReference w:id="9"/>
      </w:r>
      <w:r>
        <w:rPr>
          <w:rFonts w:cs="Calibri"/>
          <w:sz w:val="24"/>
          <w:szCs w:val="24"/>
        </w:rPr>
        <w:t xml:space="preserve"> or sufficient, but rather that they form a plenum – there is nothing in the world that is not of the Gods. Further, these deities are not ‘personifications’ but active entitles with identity, consciousness and agency.</w:t>
      </w:r>
      <w:r>
        <w:rPr>
          <w:rStyle w:val="FootnoteReference"/>
          <w:rFonts w:cs="Calibri"/>
          <w:sz w:val="24"/>
          <w:szCs w:val="24"/>
        </w:rPr>
        <w:footnoteReference w:id="10"/>
      </w:r>
      <w:r>
        <w:rPr>
          <w:rFonts w:cs="Calibri"/>
          <w:sz w:val="24"/>
          <w:szCs w:val="24"/>
        </w:rPr>
        <w:t xml:space="preserve"> Campion comments “the Egyptian cosmos was alive, it was at once sexual and spiritual, physical and religious, enchanted, magical and scientific”.</w:t>
      </w:r>
      <w:r>
        <w:rPr>
          <w:rStyle w:val="FootnoteReference"/>
          <w:rFonts w:cs="Calibri"/>
          <w:sz w:val="24"/>
          <w:szCs w:val="24"/>
        </w:rPr>
        <w:footnoteReference w:id="11"/>
      </w:r>
      <w:r>
        <w:rPr>
          <w:rFonts w:cs="Calibri"/>
          <w:sz w:val="24"/>
          <w:szCs w:val="24"/>
        </w:rPr>
        <w:t xml:space="preserve"> Even Time, nowadays usually considered the most ‘objectively existing’ of physical concepts,</w:t>
      </w:r>
      <w:r w:rsidR="004639F3">
        <w:rPr>
          <w:rStyle w:val="FootnoteReference"/>
          <w:rFonts w:cs="Calibri"/>
          <w:sz w:val="24"/>
          <w:szCs w:val="24"/>
        </w:rPr>
        <w:footnoteReference w:id="12"/>
      </w:r>
      <w:r>
        <w:rPr>
          <w:rFonts w:cs="Calibri"/>
          <w:sz w:val="24"/>
          <w:szCs w:val="24"/>
        </w:rPr>
        <w:t xml:space="preserve"> is in Egypt not ‘abstract’ but two gendered deities described as </w:t>
      </w:r>
      <w:proofErr w:type="spellStart"/>
      <w:r>
        <w:rPr>
          <w:rFonts w:cs="Calibri"/>
          <w:i/>
          <w:iCs/>
          <w:sz w:val="24"/>
          <w:szCs w:val="24"/>
        </w:rPr>
        <w:t>n</w:t>
      </w:r>
      <w:r>
        <w:rPr>
          <w:rFonts w:cs="Calibri"/>
          <w:i/>
          <w:iCs/>
          <w:sz w:val="24"/>
          <w:szCs w:val="24"/>
          <w:u w:val="single"/>
        </w:rPr>
        <w:t>t</w:t>
      </w:r>
      <w:r>
        <w:rPr>
          <w:rFonts w:cs="Calibri"/>
          <w:i/>
          <w:iCs/>
          <w:sz w:val="24"/>
          <w:szCs w:val="24"/>
        </w:rPr>
        <w:t>rwy</w:t>
      </w:r>
      <w:proofErr w:type="spellEnd"/>
      <w:r>
        <w:rPr>
          <w:rFonts w:cs="Calibri"/>
          <w:i/>
          <w:iCs/>
          <w:sz w:val="24"/>
          <w:szCs w:val="24"/>
        </w:rPr>
        <w:t> </w:t>
      </w:r>
      <w:r>
        <w:rPr>
          <w:rFonts w:cs="Calibri"/>
          <w:i/>
          <w:iCs/>
          <w:sz w:val="24"/>
          <w:szCs w:val="24"/>
          <w:vertAlign w:val="superscript"/>
        </w:rPr>
        <w:t>c</w:t>
      </w:r>
      <w:r>
        <w:rPr>
          <w:rFonts w:cs="Calibri"/>
          <w:i/>
          <w:iCs/>
          <w:sz w:val="24"/>
          <w:szCs w:val="24"/>
        </w:rPr>
        <w:t>3wy</w:t>
      </w:r>
      <w:r>
        <w:rPr>
          <w:rFonts w:cs="Calibri"/>
          <w:sz w:val="24"/>
          <w:szCs w:val="24"/>
        </w:rPr>
        <w:t xml:space="preserve"> (great Gods): neheh is male, whilst </w:t>
      </w:r>
      <w:r>
        <w:rPr>
          <w:rFonts w:cs="Calibri"/>
          <w:i/>
          <w:iCs/>
          <w:sz w:val="24"/>
          <w:szCs w:val="24"/>
          <w:u w:val="single"/>
        </w:rPr>
        <w:t>d</w:t>
      </w:r>
      <w:r>
        <w:rPr>
          <w:rFonts w:cs="Calibri"/>
          <w:i/>
          <w:iCs/>
          <w:sz w:val="24"/>
          <w:szCs w:val="24"/>
        </w:rPr>
        <w:t>t</w:t>
      </w:r>
      <w:r>
        <w:rPr>
          <w:rFonts w:cs="Calibri"/>
          <w:sz w:val="24"/>
          <w:szCs w:val="24"/>
        </w:rPr>
        <w:t xml:space="preserve"> (djet, also usually translated as ‘eternity’) is female.</w:t>
      </w:r>
      <w:r>
        <w:rPr>
          <w:rStyle w:val="FootnoteReference"/>
          <w:rFonts w:cs="Calibri"/>
          <w:sz w:val="24"/>
          <w:szCs w:val="24"/>
        </w:rPr>
        <w:footnoteReference w:id="13"/>
      </w:r>
      <w:r>
        <w:rPr>
          <w:rFonts w:cs="Calibri"/>
          <w:sz w:val="24"/>
          <w:szCs w:val="24"/>
        </w:rPr>
        <w:t xml:space="preserve"> For ancient Egypt then, cosmology was ‘personal’. </w:t>
      </w:r>
    </w:p>
    <w:p w14:paraId="174AA5DE" w14:textId="77777777" w:rsidR="00537F32" w:rsidRDefault="00537F32">
      <w:pPr>
        <w:spacing w:after="0" w:line="480" w:lineRule="auto"/>
        <w:rPr>
          <w:rFonts w:cs="Calibri"/>
          <w:sz w:val="24"/>
          <w:szCs w:val="24"/>
        </w:rPr>
      </w:pPr>
    </w:p>
    <w:p w14:paraId="25C9EA53" w14:textId="62A5D44E" w:rsidR="00537F32" w:rsidRDefault="00000000">
      <w:pPr>
        <w:spacing w:after="0" w:line="480" w:lineRule="auto"/>
      </w:pPr>
      <w:r>
        <w:rPr>
          <w:rFonts w:cs="Calibri"/>
          <w:sz w:val="24"/>
          <w:szCs w:val="24"/>
        </w:rPr>
        <w:t>Divination in ancient Egypt is perhaps a less problematic topic, here defined broadly as any means of acquiring information or intuition on an issue, other than via mundane empirical process.</w:t>
      </w:r>
      <w:r>
        <w:rPr>
          <w:rStyle w:val="FootnoteReference"/>
          <w:rFonts w:cs="Calibri"/>
          <w:sz w:val="24"/>
          <w:szCs w:val="24"/>
        </w:rPr>
        <w:footnoteReference w:id="14"/>
      </w:r>
      <w:r>
        <w:rPr>
          <w:rFonts w:cs="Calibri"/>
          <w:sz w:val="24"/>
          <w:szCs w:val="24"/>
        </w:rPr>
        <w:t xml:space="preserve"> Divinatory practice seems to have been of limited interest to earlier generations of Egyptologists,</w:t>
      </w:r>
      <w:r>
        <w:rPr>
          <w:rStyle w:val="FootnoteReference"/>
          <w:rFonts w:cs="Calibri"/>
          <w:sz w:val="24"/>
          <w:szCs w:val="24"/>
        </w:rPr>
        <w:footnoteReference w:id="15"/>
      </w:r>
      <w:r>
        <w:rPr>
          <w:rFonts w:cs="Calibri"/>
          <w:sz w:val="24"/>
          <w:szCs w:val="24"/>
        </w:rPr>
        <w:t xml:space="preserve"> perhaps seeing it as “irrational, utilitarian, egoistic and insufficiently ‘religious’”, rather than “one of the most significant spiritual forms in localised religions”.</w:t>
      </w:r>
      <w:r>
        <w:rPr>
          <w:rStyle w:val="FootnoteReference"/>
          <w:rFonts w:cs="Calibri"/>
          <w:sz w:val="24"/>
          <w:szCs w:val="24"/>
        </w:rPr>
        <w:footnoteReference w:id="16"/>
      </w:r>
      <w:r>
        <w:rPr>
          <w:rFonts w:cs="Calibri"/>
          <w:sz w:val="24"/>
          <w:szCs w:val="24"/>
        </w:rPr>
        <w:t xml:space="preserve"> The most public, and perhaps best known of divinatory forms</w:t>
      </w:r>
      <w:r w:rsidR="00B9521F">
        <w:rPr>
          <w:rFonts w:cs="Calibri"/>
          <w:sz w:val="24"/>
          <w:szCs w:val="24"/>
        </w:rPr>
        <w:t>,</w:t>
      </w:r>
      <w:r>
        <w:rPr>
          <w:rFonts w:cs="Calibri"/>
          <w:sz w:val="24"/>
          <w:szCs w:val="24"/>
        </w:rPr>
        <w:t xml:space="preserve"> was the processional oracle, associated with religious festivals from the beginning of the New Kingdom until Christian proscription. Murray by contrast argues the principal method of divination was by dreams, a more private process: she suggests this was taught in the temples,</w:t>
      </w:r>
      <w:r>
        <w:rPr>
          <w:rStyle w:val="FootnoteReference"/>
          <w:rFonts w:cs="Calibri"/>
          <w:sz w:val="24"/>
          <w:szCs w:val="24"/>
        </w:rPr>
        <w:footnoteReference w:id="17"/>
      </w:r>
      <w:r>
        <w:rPr>
          <w:rFonts w:cs="Calibri"/>
          <w:sz w:val="24"/>
          <w:szCs w:val="24"/>
        </w:rPr>
        <w:t xml:space="preserve"> as well as techniques such as lot-casting and lecanomancy,</w:t>
      </w:r>
      <w:r>
        <w:rPr>
          <w:rStyle w:val="FootnoteReference"/>
          <w:rFonts w:cs="Calibri"/>
          <w:sz w:val="24"/>
          <w:szCs w:val="24"/>
        </w:rPr>
        <w:footnoteReference w:id="18"/>
      </w:r>
      <w:r>
        <w:rPr>
          <w:rFonts w:cs="Calibri"/>
          <w:sz w:val="24"/>
          <w:szCs w:val="24"/>
        </w:rPr>
        <w:t xml:space="preserve"> noting a title of the First Priest of Helipolis as ‘Great Seer’ (</w:t>
      </w:r>
      <w:r>
        <w:rPr>
          <w:rFonts w:cs="Calibri"/>
          <w:i/>
          <w:iCs/>
          <w:sz w:val="24"/>
          <w:szCs w:val="24"/>
        </w:rPr>
        <w:t>wr-m3w</w:t>
      </w:r>
      <w:r>
        <w:rPr>
          <w:rFonts w:cs="Calibri"/>
          <w:sz w:val="24"/>
          <w:szCs w:val="24"/>
        </w:rPr>
        <w:t>).</w:t>
      </w:r>
      <w:r>
        <w:rPr>
          <w:rStyle w:val="FootnoteReference"/>
          <w:rFonts w:cs="Calibri"/>
          <w:sz w:val="24"/>
          <w:szCs w:val="24"/>
        </w:rPr>
        <w:footnoteReference w:id="19"/>
      </w:r>
      <w:r>
        <w:rPr>
          <w:rFonts w:cs="Calibri"/>
          <w:sz w:val="24"/>
          <w:szCs w:val="24"/>
        </w:rPr>
        <w:t xml:space="preserve"> Although calendars of lucky and unlucky days seem widespread from much earlier,</w:t>
      </w:r>
      <w:r>
        <w:rPr>
          <w:rStyle w:val="FootnoteReference"/>
          <w:rFonts w:cs="Calibri"/>
          <w:sz w:val="24"/>
          <w:szCs w:val="24"/>
        </w:rPr>
        <w:footnoteReference w:id="20"/>
      </w:r>
      <w:r>
        <w:rPr>
          <w:rFonts w:cs="Calibri"/>
          <w:sz w:val="24"/>
          <w:szCs w:val="24"/>
        </w:rPr>
        <w:t xml:space="preserve"> the formalised and structured use of planet-focused astrology for divinatory purposes does not make an appearance until the Greco-Roman period. </w:t>
      </w:r>
      <w:r w:rsidR="00F20DCB">
        <w:rPr>
          <w:rFonts w:cs="Calibri"/>
          <w:sz w:val="24"/>
          <w:szCs w:val="24"/>
        </w:rPr>
        <w:t xml:space="preserve">By the second century CE the role of divination practice also seems more ‘privatised’: a papyrus has a </w:t>
      </w:r>
      <w:r w:rsidR="00F20DCB">
        <w:rPr>
          <w:rFonts w:cs="Calibri"/>
          <w:sz w:val="24"/>
          <w:szCs w:val="24"/>
        </w:rPr>
        <w:lastRenderedPageBreak/>
        <w:t>mother writing to her son “every ten days I consult the oracle about you”.</w:t>
      </w:r>
      <w:r w:rsidR="00F20DCB">
        <w:rPr>
          <w:rStyle w:val="FootnoteReference"/>
          <w:rFonts w:cs="Calibri"/>
          <w:sz w:val="24"/>
          <w:szCs w:val="24"/>
        </w:rPr>
        <w:footnoteReference w:id="21"/>
      </w:r>
      <w:r w:rsidR="007B239D">
        <w:rPr>
          <w:rFonts w:cs="Calibri"/>
          <w:sz w:val="24"/>
          <w:szCs w:val="24"/>
        </w:rPr>
        <w:t xml:space="preserve"> </w:t>
      </w:r>
      <w:r>
        <w:rPr>
          <w:rFonts w:cs="Calibri"/>
          <w:sz w:val="24"/>
          <w:szCs w:val="24"/>
          <w:shd w:val="clear" w:color="auto" w:fill="FFFFFF"/>
          <w:lang w:val="egy"/>
        </w:rPr>
        <w:t>Frankfurter argues for a wide diversification of divinatory procedures at this time, yet always still dependent on a centre and a tradition.</w:t>
      </w:r>
      <w:r>
        <w:rPr>
          <w:rStyle w:val="FootnoteReference"/>
          <w:rFonts w:cs="Calibri"/>
          <w:sz w:val="24"/>
          <w:szCs w:val="24"/>
          <w:shd w:val="clear" w:color="auto" w:fill="FFFFFF"/>
          <w:lang w:val="egy"/>
        </w:rPr>
        <w:footnoteReference w:id="22"/>
      </w:r>
      <w:r>
        <w:rPr>
          <w:rFonts w:cs="Calibri"/>
          <w:sz w:val="24"/>
          <w:szCs w:val="24"/>
          <w:shd w:val="clear" w:color="auto" w:fill="FFFFFF"/>
          <w:lang w:val="egy"/>
        </w:rPr>
        <w:t xml:space="preserve"> </w:t>
      </w:r>
      <w:r w:rsidR="00F20DCB">
        <w:rPr>
          <w:rFonts w:cs="Calibri"/>
          <w:sz w:val="24"/>
          <w:szCs w:val="24"/>
          <w:shd w:val="clear" w:color="auto" w:fill="FFFFFF"/>
          <w:lang w:val="egy"/>
        </w:rPr>
        <w:t xml:space="preserve">The universalised deities Isis and Sarapis have a prominent role </w:t>
      </w:r>
      <w:r w:rsidR="007B239D">
        <w:rPr>
          <w:rFonts w:cs="Calibri"/>
          <w:sz w:val="24"/>
          <w:szCs w:val="24"/>
          <w:shd w:val="clear" w:color="auto" w:fill="FFFFFF"/>
          <w:lang w:val="egy"/>
        </w:rPr>
        <w:t xml:space="preserve">in astrology </w:t>
      </w:r>
      <w:r w:rsidR="00F20DCB">
        <w:rPr>
          <w:rFonts w:cs="Calibri"/>
          <w:sz w:val="24"/>
          <w:szCs w:val="24"/>
          <w:shd w:val="clear" w:color="auto" w:fill="FFFFFF"/>
          <w:lang w:val="egy"/>
        </w:rPr>
        <w:t>from Ptolemaic times, associated with the concepts of Agathos Tyche (‘Good Fortune’)and Agathis Daimon (‘Good Daimon’).</w:t>
      </w:r>
      <w:r w:rsidR="00F20DCB">
        <w:rPr>
          <w:rStyle w:val="FootnoteReference"/>
          <w:rFonts w:cs="Calibri"/>
          <w:sz w:val="24"/>
          <w:szCs w:val="24"/>
          <w:shd w:val="clear" w:color="auto" w:fill="FFFFFF"/>
          <w:lang w:val="egy"/>
        </w:rPr>
        <w:footnoteReference w:id="23"/>
      </w:r>
    </w:p>
    <w:p w14:paraId="4E2F403A" w14:textId="77777777" w:rsidR="00537F32" w:rsidRDefault="00537F32">
      <w:pPr>
        <w:spacing w:after="0" w:line="480" w:lineRule="auto"/>
        <w:rPr>
          <w:rFonts w:cs="Calibri"/>
          <w:sz w:val="24"/>
          <w:szCs w:val="24"/>
        </w:rPr>
      </w:pPr>
    </w:p>
    <w:p w14:paraId="05BFD541" w14:textId="42714342" w:rsidR="00537F32" w:rsidRDefault="00000000">
      <w:pPr>
        <w:spacing w:after="0" w:line="480" w:lineRule="auto"/>
      </w:pPr>
      <w:r>
        <w:rPr>
          <w:rFonts w:cs="Calibri"/>
          <w:sz w:val="24"/>
          <w:szCs w:val="24"/>
        </w:rPr>
        <w:t>Brady argues for three modes of cosmological story: firstly, the polymorphic and emergent; secondly, the battle for control and dominance; thirdly, the rational and artisanal.</w:t>
      </w:r>
      <w:r>
        <w:rPr>
          <w:rStyle w:val="FootnoteReference"/>
          <w:rFonts w:cs="Calibri"/>
          <w:sz w:val="24"/>
          <w:szCs w:val="24"/>
        </w:rPr>
        <w:footnoteReference w:id="24"/>
      </w:r>
      <w:r>
        <w:rPr>
          <w:rFonts w:cs="Calibri"/>
          <w:sz w:val="24"/>
          <w:szCs w:val="24"/>
        </w:rPr>
        <w:t xml:space="preserve"> Egyptian cosmology includes all three, but with the ‘emergent mode’ largely incorporating the others as variations on that process: there is no good reason to consider extant versions of these three cosmological modes as representing ‘theological evolution’</w:t>
      </w:r>
      <w:r w:rsidR="009E1E22">
        <w:rPr>
          <w:rFonts w:cs="Calibri"/>
          <w:sz w:val="24"/>
          <w:szCs w:val="24"/>
        </w:rPr>
        <w:t>:</w:t>
      </w:r>
      <w:r w:rsidR="009E1E22">
        <w:rPr>
          <w:rStyle w:val="FootnoteReference"/>
          <w:rFonts w:cs="Calibri"/>
          <w:sz w:val="24"/>
          <w:szCs w:val="24"/>
        </w:rPr>
        <w:footnoteReference w:id="25"/>
      </w:r>
      <w:r w:rsidR="009E1E22">
        <w:rPr>
          <w:rFonts w:cs="Calibri"/>
          <w:sz w:val="24"/>
          <w:szCs w:val="24"/>
        </w:rPr>
        <w:t xml:space="preserve"> variations are better seen as ‘political’.</w:t>
      </w:r>
      <w:r w:rsidR="009E1E22">
        <w:rPr>
          <w:rStyle w:val="FootnoteReference"/>
          <w:rFonts w:cs="Calibri"/>
          <w:sz w:val="24"/>
          <w:szCs w:val="24"/>
        </w:rPr>
        <w:footnoteReference w:id="26"/>
      </w:r>
      <w:r>
        <w:rPr>
          <w:rFonts w:cs="Calibri"/>
          <w:sz w:val="24"/>
          <w:szCs w:val="24"/>
        </w:rPr>
        <w:t xml:space="preserve"> Allen describes the earliest cosmology as the emergence of the Primeval Mound from the waters, from which grows a lotus / water lily, opening to reveal the Sun: Mound and Lily are divine beings in themselves.</w:t>
      </w:r>
      <w:r>
        <w:rPr>
          <w:rStyle w:val="FootnoteReference"/>
          <w:rFonts w:eastAsia="Times New Roman" w:cs="Calibri"/>
          <w:sz w:val="24"/>
          <w:szCs w:val="24"/>
        </w:rPr>
        <w:footnoteReference w:id="27"/>
      </w:r>
      <w:r>
        <w:rPr>
          <w:rFonts w:cs="Calibri"/>
          <w:sz w:val="24"/>
          <w:szCs w:val="24"/>
        </w:rPr>
        <w:t xml:space="preserve"> The innermost sanctuary of Egyptian </w:t>
      </w:r>
      <w:r>
        <w:rPr>
          <w:rFonts w:cs="Calibri"/>
          <w:sz w:val="24"/>
          <w:szCs w:val="24"/>
        </w:rPr>
        <w:lastRenderedPageBreak/>
        <w:t>temples, including that of Karnak, is often described as emulating this mound, with the floor raised.</w:t>
      </w:r>
      <w:r>
        <w:rPr>
          <w:rStyle w:val="FootnoteReference"/>
          <w:rFonts w:cs="Calibri"/>
          <w:sz w:val="24"/>
          <w:szCs w:val="24"/>
        </w:rPr>
        <w:t xml:space="preserve"> </w:t>
      </w:r>
      <w:r>
        <w:rPr>
          <w:rStyle w:val="FootnoteReference"/>
          <w:rFonts w:cs="Calibri"/>
          <w:sz w:val="24"/>
          <w:szCs w:val="24"/>
        </w:rPr>
        <w:footnoteReference w:id="28"/>
      </w:r>
      <w:r>
        <w:rPr>
          <w:rFonts w:cs="Calibri"/>
          <w:sz w:val="24"/>
          <w:szCs w:val="24"/>
        </w:rPr>
        <w:t xml:space="preserve"> </w:t>
      </w:r>
    </w:p>
    <w:p w14:paraId="2B64CC79" w14:textId="77777777" w:rsidR="00537F32" w:rsidRDefault="00537F32">
      <w:pPr>
        <w:pStyle w:val="NormalWeb"/>
        <w:shd w:val="clear" w:color="auto" w:fill="FFFFFF"/>
        <w:spacing w:before="0" w:after="0" w:line="480" w:lineRule="auto"/>
        <w:rPr>
          <w:rFonts w:ascii="Calibri" w:hAnsi="Calibri" w:cs="Calibri"/>
        </w:rPr>
      </w:pPr>
    </w:p>
    <w:p w14:paraId="5504F7BA" w14:textId="77777777" w:rsidR="00537F32" w:rsidRDefault="00000000">
      <w:pPr>
        <w:pStyle w:val="NormalWeb"/>
        <w:shd w:val="clear" w:color="auto" w:fill="FFFFFF"/>
        <w:spacing w:before="0" w:after="0" w:line="480" w:lineRule="auto"/>
      </w:pPr>
      <w:r>
        <w:rPr>
          <w:rFonts w:ascii="Calibri" w:hAnsi="Calibri" w:cs="Calibri"/>
        </w:rPr>
        <w:t xml:space="preserve">The best-known Egyptian cosmology, attested from the Old Kingdom Pyramid Texts, is associated with the city of </w:t>
      </w:r>
      <w:r>
        <w:rPr>
          <w:rFonts w:ascii="Calibri" w:hAnsi="Calibri" w:cs="Calibri"/>
          <w:i/>
          <w:iCs/>
        </w:rPr>
        <w:t>Jwnw</w:t>
      </w:r>
      <w:r>
        <w:rPr>
          <w:rFonts w:ascii="Calibri" w:hAnsi="Calibri" w:cs="Calibri"/>
        </w:rPr>
        <w:t xml:space="preserve"> (more usually known by the Greek name of Heliopolis.</w:t>
      </w:r>
      <w:r>
        <w:rPr>
          <w:rStyle w:val="FootnoteReference"/>
          <w:rFonts w:ascii="Calibri" w:hAnsi="Calibri" w:cs="Calibri"/>
        </w:rPr>
        <w:footnoteReference w:id="29"/>
      </w:r>
      <w:r>
        <w:rPr>
          <w:rFonts w:ascii="Calibri" w:hAnsi="Calibri" w:cs="Calibri"/>
        </w:rPr>
        <w:t xml:space="preserve"> This story begins with the primal Atum,</w:t>
      </w:r>
      <w:r>
        <w:rPr>
          <w:rStyle w:val="FootnoteReference"/>
          <w:rFonts w:ascii="Calibri" w:hAnsi="Calibri" w:cs="Calibri"/>
        </w:rPr>
        <w:footnoteReference w:id="30"/>
      </w:r>
      <w:r>
        <w:rPr>
          <w:rFonts w:ascii="Calibri" w:hAnsi="Calibri" w:cs="Calibri"/>
        </w:rPr>
        <w:t xml:space="preserve"> who creates, not ‘things’ but two further beings, Shu and Tefnut from his body fluids,</w:t>
      </w:r>
      <w:r>
        <w:rPr>
          <w:rStyle w:val="FootnoteReference"/>
          <w:rFonts w:ascii="Calibri" w:hAnsi="Calibri" w:cs="Calibri"/>
        </w:rPr>
        <w:footnoteReference w:id="31"/>
      </w:r>
      <w:r>
        <w:rPr>
          <w:rFonts w:ascii="Calibri" w:hAnsi="Calibri" w:cs="Calibri"/>
        </w:rPr>
        <w:t xml:space="preserve"> who are also essentially ‘Dryness’ (male) and ‘Moisture’ (female) respectively. These two then reproduce a further pair sexually: Geb (Earth, male) and Nut/Nuit (sky, female). Arguably prior to Shu and Tefnut however, </w:t>
      </w:r>
      <w:r>
        <w:rPr>
          <w:rFonts w:ascii="Calibri" w:hAnsi="Calibri" w:cs="Calibri"/>
          <w:shd w:val="clear" w:color="auto" w:fill="FFFFFF"/>
          <w:lang w:val="egy"/>
        </w:rPr>
        <w:t xml:space="preserve">uniquely in Egyptian cosmology was the God </w:t>
      </w:r>
      <w:r>
        <w:rPr>
          <w:rFonts w:ascii="Calibri" w:hAnsi="Calibri" w:cs="Calibri"/>
          <w:i/>
          <w:iCs/>
          <w:shd w:val="clear" w:color="auto" w:fill="FFFFFF"/>
          <w:lang w:val="egy"/>
        </w:rPr>
        <w:t>Ḥk3</w:t>
      </w:r>
      <w:r>
        <w:rPr>
          <w:rFonts w:ascii="Calibri" w:hAnsi="Calibri" w:cs="Calibri"/>
          <w:shd w:val="clear" w:color="auto" w:fill="FFFFFF"/>
          <w:lang w:val="egy"/>
        </w:rPr>
        <w:t xml:space="preserve"> (Heka),</w:t>
      </w:r>
      <w:r>
        <w:rPr>
          <w:rStyle w:val="FootnoteReference"/>
          <w:rFonts w:ascii="Calibri" w:hAnsi="Calibri" w:cs="Calibri"/>
          <w:shd w:val="clear" w:color="auto" w:fill="FFFFFF"/>
          <w:lang w:val="egy"/>
        </w:rPr>
        <w:footnoteReference w:id="32"/>
      </w:r>
      <w:r>
        <w:rPr>
          <w:rFonts w:ascii="Calibri" w:hAnsi="Calibri" w:cs="Calibri"/>
          <w:shd w:val="clear" w:color="auto" w:fill="FFFFFF"/>
          <w:lang w:val="egy"/>
        </w:rPr>
        <w:t xml:space="preserve"> creative power of the universe, “whom the Sole Lord made before there came into being the two”.</w:t>
      </w:r>
      <w:r>
        <w:rPr>
          <w:rStyle w:val="FootnoteReference"/>
          <w:rFonts w:ascii="Calibri" w:hAnsi="Calibri" w:cs="Calibri"/>
          <w:shd w:val="clear" w:color="auto" w:fill="FFFFFF"/>
          <w:lang w:val="egy"/>
        </w:rPr>
        <w:footnoteReference w:id="33"/>
      </w:r>
      <w:r>
        <w:rPr>
          <w:rFonts w:ascii="Calibri" w:hAnsi="Calibri" w:cs="Calibri"/>
          <w:shd w:val="clear" w:color="auto" w:fill="FFFFFF"/>
          <w:lang w:val="egy"/>
        </w:rPr>
        <w:t xml:space="preserve"> </w:t>
      </w:r>
      <w:r>
        <w:rPr>
          <w:rFonts w:ascii="Calibri" w:hAnsi="Calibri" w:cs="Calibri"/>
        </w:rPr>
        <w:t xml:space="preserve">From Geb and Nut are </w:t>
      </w:r>
      <w:r>
        <w:rPr>
          <w:rFonts w:ascii="Calibri" w:hAnsi="Calibri" w:cs="Calibri"/>
        </w:rPr>
        <w:lastRenderedPageBreak/>
        <w:t>born Osiris, Isis, Seth and Nephthys</w:t>
      </w:r>
      <w:r>
        <w:rPr>
          <w:rStyle w:val="FootnoteReference"/>
          <w:rFonts w:ascii="Calibri" w:hAnsi="Calibri" w:cs="Calibri"/>
        </w:rPr>
        <w:footnoteReference w:id="34"/>
      </w:r>
      <w:r>
        <w:rPr>
          <w:rFonts w:ascii="Calibri" w:hAnsi="Calibri" w:cs="Calibri"/>
        </w:rPr>
        <w:t xml:space="preserve"> – the nine comprising the ‘Heliopolitan Ennead’. The most usual story has Horus born subsequently from Isis, fathered (posthumously!) by Osiris.</w:t>
      </w:r>
      <w:r>
        <w:rPr>
          <w:rStyle w:val="FootnoteReference"/>
          <w:rFonts w:ascii="Calibri" w:hAnsi="Calibri" w:cs="Calibri"/>
        </w:rPr>
        <w:footnoteReference w:id="35"/>
      </w:r>
      <w:r>
        <w:rPr>
          <w:rFonts w:ascii="Calibri" w:hAnsi="Calibri" w:cs="Calibri"/>
        </w:rPr>
        <w:t xml:space="preserve"> The ‘Solar aspect’ of Egyptian cosmology is linked by the idea that Atum ‘becomes’ Re as ‘Sun God’ and “Egypt’s most important deity”.</w:t>
      </w:r>
      <w:r>
        <w:rPr>
          <w:rStyle w:val="FootnoteReference"/>
          <w:rFonts w:ascii="Calibri" w:hAnsi="Calibri" w:cs="Calibri"/>
        </w:rPr>
        <w:footnoteReference w:id="36"/>
      </w:r>
      <w:r>
        <w:rPr>
          <w:rFonts w:ascii="Calibri" w:hAnsi="Calibri" w:cs="Calibri"/>
        </w:rPr>
        <w:t xml:space="preserve"> The importance of Re for the monarchy is indicated by the adoption of the ‘Son of Re’ names in the Fourth Dynasty in addition to the ‘Horus name’</w:t>
      </w:r>
      <w:r>
        <w:rPr>
          <w:rStyle w:val="FootnoteReference"/>
          <w:rFonts w:ascii="Calibri" w:hAnsi="Calibri" w:cs="Calibri"/>
        </w:rPr>
        <w:footnoteReference w:id="37"/>
      </w:r>
      <w:r>
        <w:rPr>
          <w:rFonts w:ascii="Calibri" w:hAnsi="Calibri" w:cs="Calibri"/>
        </w:rPr>
        <w:t>. The ‘solarisation’ of the king, a unity with Re, is shown in a number of texts,</w:t>
      </w:r>
      <w:r>
        <w:rPr>
          <w:rStyle w:val="FootnoteReference"/>
          <w:rFonts w:ascii="Calibri" w:hAnsi="Calibri" w:cs="Calibri"/>
        </w:rPr>
        <w:footnoteReference w:id="38"/>
      </w:r>
      <w:r>
        <w:rPr>
          <w:rFonts w:ascii="Calibri" w:hAnsi="Calibri" w:cs="Calibri"/>
        </w:rPr>
        <w:t xml:space="preserve"> and in the Sed-festival.</w:t>
      </w:r>
      <w:r>
        <w:rPr>
          <w:rStyle w:val="FootnoteReference"/>
          <w:rFonts w:ascii="Calibri" w:hAnsi="Calibri" w:cs="Calibri"/>
        </w:rPr>
        <w:footnoteReference w:id="39"/>
      </w:r>
    </w:p>
    <w:p w14:paraId="3AA07622" w14:textId="77777777" w:rsidR="00537F32" w:rsidRDefault="00537F32">
      <w:pPr>
        <w:pStyle w:val="NormalWeb"/>
        <w:shd w:val="clear" w:color="auto" w:fill="FFFFFF"/>
        <w:spacing w:before="0" w:after="0" w:line="480" w:lineRule="auto"/>
        <w:rPr>
          <w:rFonts w:ascii="Calibri" w:hAnsi="Calibri" w:cs="Calibri"/>
        </w:rPr>
      </w:pPr>
    </w:p>
    <w:p w14:paraId="38E0CED8" w14:textId="77777777" w:rsidR="00537F32" w:rsidRDefault="00000000">
      <w:pPr>
        <w:spacing w:after="0" w:line="480" w:lineRule="auto"/>
      </w:pPr>
      <w:r>
        <w:rPr>
          <w:rFonts w:cs="Calibri"/>
          <w:sz w:val="24"/>
          <w:szCs w:val="24"/>
        </w:rPr>
        <w:t>Feminist scholars generally argue that emergence narratives should begin with the female,</w:t>
      </w:r>
      <w:r>
        <w:rPr>
          <w:rStyle w:val="FootnoteReference"/>
          <w:rFonts w:cs="Calibri"/>
          <w:sz w:val="24"/>
          <w:szCs w:val="24"/>
        </w:rPr>
        <w:footnoteReference w:id="40"/>
      </w:r>
      <w:r>
        <w:rPr>
          <w:rFonts w:cs="Calibri"/>
          <w:sz w:val="24"/>
          <w:szCs w:val="24"/>
        </w:rPr>
        <w:t xml:space="preserve"> but Atum is definitely male, at most ‘metaphorically androgynous’. However, Atum himself does emerge from the more obviously feminine womb-like waters of Nu.</w:t>
      </w:r>
      <w:r>
        <w:rPr>
          <w:rStyle w:val="FootnoteReference"/>
          <w:rFonts w:cs="Calibri"/>
          <w:sz w:val="24"/>
          <w:szCs w:val="24"/>
        </w:rPr>
        <w:footnoteReference w:id="41"/>
      </w:r>
      <w:r>
        <w:rPr>
          <w:rFonts w:cs="Calibri"/>
          <w:sz w:val="24"/>
          <w:szCs w:val="24"/>
        </w:rPr>
        <w:t xml:space="preserve"> A variant Late period story from Sais identifies the Goddess Neith with this primeval state. The Waters are not destroyed by the emergence, but rather continue to exist outside the organised universe,</w:t>
      </w:r>
      <w:r>
        <w:rPr>
          <w:rStyle w:val="FootnoteReference"/>
          <w:rFonts w:cs="Calibri"/>
          <w:sz w:val="24"/>
          <w:szCs w:val="24"/>
        </w:rPr>
        <w:footnoteReference w:id="42"/>
      </w:r>
      <w:r>
        <w:rPr>
          <w:rFonts w:cs="Calibri"/>
          <w:sz w:val="24"/>
          <w:szCs w:val="24"/>
        </w:rPr>
        <w:t xml:space="preserve"> separated from it by the body of Nut, their creative potential undiminished. </w:t>
      </w:r>
      <w:r>
        <w:rPr>
          <w:rFonts w:cs="Calibri"/>
          <w:sz w:val="24"/>
          <w:szCs w:val="24"/>
        </w:rPr>
        <w:lastRenderedPageBreak/>
        <w:t xml:space="preserve">Allen describes various written forms of ‘Nu’ that suggest to this writer a basic unity of Nu(n), </w:t>
      </w:r>
      <w:proofErr w:type="spellStart"/>
      <w:r>
        <w:rPr>
          <w:rFonts w:cs="Calibri"/>
          <w:sz w:val="24"/>
          <w:szCs w:val="24"/>
        </w:rPr>
        <w:t>Naunet</w:t>
      </w:r>
      <w:proofErr w:type="spellEnd"/>
      <w:r>
        <w:rPr>
          <w:rFonts w:cs="Calibri"/>
          <w:sz w:val="24"/>
          <w:szCs w:val="24"/>
        </w:rPr>
        <w:t xml:space="preserve">, Nut and </w:t>
      </w:r>
      <w:proofErr w:type="spellStart"/>
      <w:r>
        <w:rPr>
          <w:rFonts w:cs="Calibri"/>
          <w:sz w:val="24"/>
          <w:szCs w:val="24"/>
        </w:rPr>
        <w:t>Nt</w:t>
      </w:r>
      <w:proofErr w:type="spellEnd"/>
      <w:r>
        <w:rPr>
          <w:rFonts w:cs="Calibri"/>
          <w:sz w:val="24"/>
          <w:szCs w:val="24"/>
        </w:rPr>
        <w:t xml:space="preserve"> / Neith, and also of Tefnut,</w:t>
      </w:r>
      <w:r>
        <w:rPr>
          <w:rStyle w:val="FootnoteReference"/>
          <w:rFonts w:cs="Calibri"/>
          <w:sz w:val="24"/>
          <w:szCs w:val="24"/>
        </w:rPr>
        <w:footnoteReference w:id="43"/>
      </w:r>
      <w:r>
        <w:rPr>
          <w:rFonts w:cs="Calibri"/>
          <w:sz w:val="24"/>
          <w:szCs w:val="24"/>
        </w:rPr>
        <w:t xml:space="preserve"> as regional variations or more complex hypostases developing from a primal Goddess.</w:t>
      </w:r>
      <w:r>
        <w:rPr>
          <w:rStyle w:val="FootnoteReference"/>
          <w:rFonts w:cs="Calibri"/>
          <w:sz w:val="24"/>
          <w:szCs w:val="24"/>
        </w:rPr>
        <w:footnoteReference w:id="44"/>
      </w:r>
      <w:r>
        <w:rPr>
          <w:rFonts w:cs="Calibri"/>
          <w:sz w:val="24"/>
          <w:szCs w:val="24"/>
        </w:rPr>
        <w:t xml:space="preserve"> Utterance 175 of </w:t>
      </w:r>
      <w:proofErr w:type="spellStart"/>
      <w:r>
        <w:rPr>
          <w:rFonts w:cs="Calibri"/>
          <w:i/>
          <w:iCs/>
          <w:sz w:val="24"/>
          <w:szCs w:val="24"/>
        </w:rPr>
        <w:t>Prt</w:t>
      </w:r>
      <w:proofErr w:type="spellEnd"/>
      <w:r>
        <w:rPr>
          <w:rFonts w:cs="Calibri"/>
          <w:i/>
          <w:iCs/>
          <w:sz w:val="24"/>
          <w:szCs w:val="24"/>
        </w:rPr>
        <w:t xml:space="preserve"> m </w:t>
      </w:r>
      <w:proofErr w:type="spellStart"/>
      <w:r>
        <w:rPr>
          <w:rFonts w:cs="Calibri"/>
          <w:i/>
          <w:iCs/>
          <w:sz w:val="24"/>
          <w:szCs w:val="24"/>
        </w:rPr>
        <w:t>Hrw</w:t>
      </w:r>
      <w:proofErr w:type="spellEnd"/>
      <w:r>
        <w:rPr>
          <w:rFonts w:cs="Calibri"/>
          <w:sz w:val="24"/>
          <w:szCs w:val="24"/>
        </w:rPr>
        <w:t xml:space="preserve"> asserts that after ‘millions of years’, all will return to the ‘surging flood’.</w:t>
      </w:r>
      <w:r>
        <w:rPr>
          <w:rStyle w:val="FootnoteReference"/>
          <w:rFonts w:cs="Calibri"/>
          <w:sz w:val="24"/>
          <w:szCs w:val="24"/>
        </w:rPr>
        <w:footnoteReference w:id="45"/>
      </w:r>
    </w:p>
    <w:p w14:paraId="236BFBCD" w14:textId="77777777" w:rsidR="00537F32" w:rsidRDefault="00537F32">
      <w:pPr>
        <w:spacing w:after="0" w:line="480" w:lineRule="auto"/>
        <w:rPr>
          <w:rFonts w:cs="Calibri"/>
          <w:sz w:val="24"/>
          <w:szCs w:val="24"/>
        </w:rPr>
      </w:pPr>
    </w:p>
    <w:p w14:paraId="00A7BE52" w14:textId="5CB1A7D5" w:rsidR="00537F32" w:rsidRDefault="00000000">
      <w:pPr>
        <w:pStyle w:val="NormalWeb"/>
        <w:shd w:val="clear" w:color="auto" w:fill="FFFFFF"/>
        <w:spacing w:before="0" w:after="0" w:line="480" w:lineRule="auto"/>
      </w:pPr>
      <w:r>
        <w:rPr>
          <w:rFonts w:ascii="Calibri" w:hAnsi="Calibri" w:cs="Calibri"/>
        </w:rPr>
        <w:t>The first two generations are perhaps ‘as expected’ – the separation of Geb and Nut is necessary to create a ‘Middleworld’,</w:t>
      </w:r>
      <w:r w:rsidR="00D46091" w:rsidRPr="00D46091">
        <w:rPr>
          <w:rStyle w:val="FootnoteReference"/>
          <w:rFonts w:ascii="Calibri" w:hAnsi="Calibri" w:cs="Calibri"/>
        </w:rPr>
        <w:t xml:space="preserve"> </w:t>
      </w:r>
      <w:r w:rsidR="00D46091">
        <w:rPr>
          <w:rStyle w:val="FootnoteReference"/>
          <w:rFonts w:ascii="Calibri" w:hAnsi="Calibri" w:cs="Calibri"/>
        </w:rPr>
        <w:footnoteReference w:id="46"/>
      </w:r>
      <w:r>
        <w:rPr>
          <w:rFonts w:ascii="Calibri" w:hAnsi="Calibri" w:cs="Calibri"/>
        </w:rPr>
        <w:t xml:space="preserve"> but it is not a defeat: tension </w:t>
      </w:r>
      <w:r w:rsidR="00F26FAE">
        <w:rPr>
          <w:rFonts w:ascii="Calibri" w:hAnsi="Calibri" w:cs="Calibri"/>
        </w:rPr>
        <w:t>remains,</w:t>
      </w:r>
      <w:r>
        <w:rPr>
          <w:rFonts w:ascii="Calibri" w:hAnsi="Calibri" w:cs="Calibri"/>
        </w:rPr>
        <w:t xml:space="preserve"> and Nut is ‘on top’. It is less clear precisely ‘where’ either ‘heaven’ or </w:t>
      </w:r>
      <w:r>
        <w:rPr>
          <w:rFonts w:ascii="Calibri" w:hAnsi="Calibri" w:cs="Calibri"/>
          <w:i/>
          <w:iCs/>
        </w:rPr>
        <w:t>dw3t</w:t>
      </w:r>
      <w:r>
        <w:rPr>
          <w:rFonts w:ascii="Calibri" w:hAnsi="Calibri" w:cs="Calibri"/>
        </w:rPr>
        <w:t xml:space="preserve"> (Duat / ‘netherworld’</w:t>
      </w:r>
      <w:r>
        <w:rPr>
          <w:rStyle w:val="FootnoteReference"/>
          <w:rFonts w:ascii="Calibri" w:hAnsi="Calibri" w:cs="Calibri"/>
        </w:rPr>
        <w:footnoteReference w:id="47"/>
      </w:r>
      <w:r>
        <w:rPr>
          <w:rFonts w:ascii="Calibri" w:hAnsi="Calibri" w:cs="Calibri"/>
        </w:rPr>
        <w:t>) are located at this point of creation-time: arguably, ‘heaven’ is the starry externality of Nut whilst Duat is internal to Her. The third generation seems rather different: the story now does indeed turn to bloodthirsty conflict. Seth kills Osiris, who is resurrected by Isis but then killed more permanently. Further conflict, both bloody and sexual, takes place between Seth and Horus before the latter gains his ‘rightful’ place as king</w:t>
      </w:r>
      <w:r>
        <w:rPr>
          <w:rStyle w:val="FootnoteReference"/>
          <w:rFonts w:ascii="Calibri" w:hAnsi="Calibri" w:cs="Calibri"/>
        </w:rPr>
        <w:footnoteReference w:id="48"/>
      </w:r>
      <w:r>
        <w:rPr>
          <w:rFonts w:ascii="Calibri" w:hAnsi="Calibri" w:cs="Calibri"/>
        </w:rPr>
        <w:t xml:space="preserve">. Unlike the broadly contemporary Mesopotamian ‘conflict cosmology’ in which the primal Goddess Tiamat is </w:t>
      </w:r>
      <w:r>
        <w:rPr>
          <w:rFonts w:ascii="Calibri" w:hAnsi="Calibri" w:cs="Calibri"/>
        </w:rPr>
        <w:lastRenderedPageBreak/>
        <w:t>dismembered, the ‘Isis-Osiris Cycle’ does not seem to suppress the ‘matriarchal’.</w:t>
      </w:r>
      <w:r>
        <w:rPr>
          <w:rStyle w:val="FootnoteReference"/>
          <w:rFonts w:ascii="Calibri" w:hAnsi="Calibri" w:cs="Calibri"/>
        </w:rPr>
        <w:footnoteReference w:id="49"/>
      </w:r>
      <w:r>
        <w:rPr>
          <w:rFonts w:ascii="Calibri" w:hAnsi="Calibri" w:cs="Calibri"/>
        </w:rPr>
        <w:t xml:space="preserve"> Ancient Egypt has always been considered a much less ‘patriarchal’ culture than that of Greece, for example:</w:t>
      </w:r>
      <w:r>
        <w:rPr>
          <w:rStyle w:val="FootnoteReference"/>
          <w:rFonts w:ascii="Calibri" w:hAnsi="Calibri" w:cs="Calibri"/>
        </w:rPr>
        <w:footnoteReference w:id="50"/>
      </w:r>
      <w:r>
        <w:rPr>
          <w:rFonts w:ascii="Calibri" w:hAnsi="Calibri" w:cs="Calibri"/>
        </w:rPr>
        <w:t xml:space="preserve"> this may speculatively be correlated with the character of Egyptian cosmology.</w:t>
      </w:r>
    </w:p>
    <w:p w14:paraId="3E3CF0E8" w14:textId="77777777" w:rsidR="00537F32" w:rsidRDefault="00537F32">
      <w:pPr>
        <w:pStyle w:val="NormalWeb"/>
        <w:shd w:val="clear" w:color="auto" w:fill="FFFFFF"/>
        <w:spacing w:before="0" w:after="0" w:line="480" w:lineRule="auto"/>
        <w:rPr>
          <w:rFonts w:ascii="Calibri" w:hAnsi="Calibri" w:cs="Calibri"/>
        </w:rPr>
      </w:pPr>
    </w:p>
    <w:p w14:paraId="42F2D910" w14:textId="01C68C07" w:rsidR="00537F32" w:rsidRDefault="00000000">
      <w:pPr>
        <w:spacing w:after="0" w:line="480" w:lineRule="auto"/>
      </w:pPr>
      <w:r>
        <w:rPr>
          <w:rFonts w:cs="Calibri"/>
          <w:sz w:val="24"/>
          <w:szCs w:val="24"/>
        </w:rPr>
        <w:t xml:space="preserve">A plausible, but profane / ‘political’ view is that the </w:t>
      </w:r>
      <w:r w:rsidR="001A2DAE">
        <w:rPr>
          <w:rFonts w:cs="Calibri"/>
          <w:sz w:val="24"/>
          <w:szCs w:val="24"/>
        </w:rPr>
        <w:t xml:space="preserve">Isis-Osiris </w:t>
      </w:r>
      <w:r>
        <w:rPr>
          <w:rFonts w:cs="Calibri"/>
          <w:sz w:val="24"/>
          <w:szCs w:val="24"/>
        </w:rPr>
        <w:t>cycle was grafted onto the ‘world emergence’ narrative early in the Old Kingdom, first set down in the Pyramid Texts of the Fifth and Sixth Dynasties</w:t>
      </w:r>
      <w:r w:rsidR="005230DC">
        <w:rPr>
          <w:rFonts w:cs="Calibri"/>
          <w:sz w:val="24"/>
          <w:szCs w:val="24"/>
        </w:rPr>
        <w:t>,</w:t>
      </w:r>
      <w:r>
        <w:rPr>
          <w:rStyle w:val="FootnoteReference"/>
          <w:rFonts w:eastAsia="Times New Roman" w:cs="Calibri"/>
          <w:sz w:val="24"/>
          <w:szCs w:val="24"/>
        </w:rPr>
        <w:footnoteReference w:id="51"/>
      </w:r>
      <w:r>
        <w:rPr>
          <w:rFonts w:cs="Calibri"/>
          <w:sz w:val="24"/>
          <w:szCs w:val="24"/>
        </w:rPr>
        <w:t xml:space="preserve"> serving to establish the sacred nature of the kingship.</w:t>
      </w:r>
      <w:r>
        <w:rPr>
          <w:rStyle w:val="FootnoteReference"/>
          <w:rFonts w:cs="Calibri"/>
          <w:sz w:val="24"/>
          <w:szCs w:val="24"/>
        </w:rPr>
        <w:footnoteReference w:id="52"/>
      </w:r>
      <w:r>
        <w:rPr>
          <w:rFonts w:cs="Calibri"/>
          <w:sz w:val="24"/>
          <w:szCs w:val="24"/>
        </w:rPr>
        <w:t xml:space="preserve"> The conflict of Horus and Seth has also been interpreted as between Lower and Upper Egypt respectively</w:t>
      </w:r>
      <w:r w:rsidR="005230DC">
        <w:rPr>
          <w:rFonts w:cs="Calibri"/>
          <w:sz w:val="24"/>
          <w:szCs w:val="24"/>
        </w:rPr>
        <w:t>,</w:t>
      </w:r>
      <w:r>
        <w:rPr>
          <w:rStyle w:val="FootnoteReference"/>
          <w:rFonts w:eastAsia="Times New Roman" w:cs="Calibri"/>
          <w:sz w:val="24"/>
          <w:szCs w:val="24"/>
        </w:rPr>
        <w:footnoteReference w:id="53"/>
      </w:r>
      <w:r>
        <w:rPr>
          <w:rFonts w:cs="Calibri"/>
          <w:sz w:val="24"/>
          <w:szCs w:val="24"/>
        </w:rPr>
        <w:t xml:space="preserve"> so that the story also reflects the unification of the Two Lands</w:t>
      </w:r>
      <w:r w:rsidR="005230DC">
        <w:rPr>
          <w:rFonts w:cs="Calibri"/>
          <w:sz w:val="24"/>
          <w:szCs w:val="24"/>
        </w:rPr>
        <w:t>.</w:t>
      </w:r>
      <w:r>
        <w:rPr>
          <w:rStyle w:val="FootnoteReference"/>
          <w:rFonts w:eastAsia="Times New Roman" w:cs="Calibri"/>
          <w:sz w:val="24"/>
          <w:szCs w:val="24"/>
        </w:rPr>
        <w:footnoteReference w:id="54"/>
      </w:r>
      <w:r>
        <w:rPr>
          <w:rFonts w:cs="Calibri"/>
          <w:sz w:val="24"/>
          <w:szCs w:val="24"/>
        </w:rPr>
        <w:t xml:space="preserve"> The apparent behaviour of the actual Sun is accounted for by Nut ‘swallowing’ him in evening </w:t>
      </w:r>
      <w:r>
        <w:rPr>
          <w:rFonts w:cs="Calibri"/>
          <w:sz w:val="24"/>
          <w:szCs w:val="24"/>
        </w:rPr>
        <w:lastRenderedPageBreak/>
        <w:t>and giving birth each morning: a process of daily cosmological renewal</w:t>
      </w:r>
      <w:r w:rsidR="005230DC">
        <w:rPr>
          <w:rFonts w:cs="Calibri"/>
          <w:sz w:val="24"/>
          <w:szCs w:val="24"/>
        </w:rPr>
        <w:t>.</w:t>
      </w:r>
      <w:r>
        <w:rPr>
          <w:rStyle w:val="FootnoteReference"/>
          <w:rFonts w:cs="Calibri"/>
          <w:sz w:val="24"/>
          <w:szCs w:val="24"/>
        </w:rPr>
        <w:footnoteReference w:id="55"/>
      </w:r>
      <w:r>
        <w:rPr>
          <w:rFonts w:cs="Calibri"/>
          <w:sz w:val="24"/>
          <w:szCs w:val="24"/>
        </w:rPr>
        <w:t xml:space="preserve"> This would make Re and Osiris ‘brothers’, most plausible in a ‘lost context’ of ‘equivalence’ between Nut and Neith as suggested above</w:t>
      </w:r>
      <w:r w:rsidR="007D0478">
        <w:rPr>
          <w:rStyle w:val="FootnoteReference"/>
          <w:rFonts w:cs="Calibri"/>
          <w:sz w:val="24"/>
          <w:szCs w:val="24"/>
        </w:rPr>
        <w:footnoteReference w:id="56"/>
      </w:r>
      <w:r>
        <w:rPr>
          <w:rFonts w:cs="Calibri"/>
          <w:sz w:val="24"/>
          <w:szCs w:val="24"/>
        </w:rPr>
        <w:t>.</w:t>
      </w:r>
    </w:p>
    <w:p w14:paraId="797E0583" w14:textId="77777777" w:rsidR="00537F32" w:rsidRDefault="00537F32">
      <w:pPr>
        <w:pStyle w:val="NormalWeb"/>
        <w:shd w:val="clear" w:color="auto" w:fill="FFFFFF"/>
        <w:spacing w:before="0" w:after="0" w:line="480" w:lineRule="auto"/>
        <w:rPr>
          <w:rFonts w:ascii="Calibri" w:hAnsi="Calibri" w:cs="Calibri"/>
        </w:rPr>
      </w:pPr>
    </w:p>
    <w:p w14:paraId="72A67676" w14:textId="747D0378" w:rsidR="00537F32" w:rsidRDefault="00000000">
      <w:pPr>
        <w:pStyle w:val="NormalWeb"/>
        <w:shd w:val="clear" w:color="auto" w:fill="FFFFFF"/>
        <w:spacing w:before="0" w:after="0" w:line="480" w:lineRule="auto"/>
      </w:pPr>
      <w:r>
        <w:rPr>
          <w:rFonts w:ascii="Calibri" w:hAnsi="Calibri" w:cs="Calibri"/>
        </w:rPr>
        <w:t>A more complex, fully cosmological and eschatological approach to the role of Osiris is hinted by Darnell &amp; Darnell:</w:t>
      </w:r>
      <w:r w:rsidR="005230DC" w:rsidRPr="005230DC">
        <w:rPr>
          <w:rStyle w:val="FootnoteReference"/>
          <w:rFonts w:ascii="Calibri" w:hAnsi="Calibri" w:cs="Calibri"/>
        </w:rPr>
        <w:t xml:space="preserve"> </w:t>
      </w:r>
      <w:r w:rsidR="005230DC">
        <w:rPr>
          <w:rFonts w:ascii="Calibri" w:hAnsi="Calibri" w:cs="Calibri"/>
        </w:rPr>
        <w:t xml:space="preserve"> </w:t>
      </w:r>
      <w:r>
        <w:rPr>
          <w:rFonts w:ascii="Calibri" w:hAnsi="Calibri" w:cs="Calibri"/>
        </w:rPr>
        <w:t>“the geography of the nocturnal solar journey … may assume the form of the corpse of Osiris”.</w:t>
      </w:r>
      <w:r>
        <w:rPr>
          <w:rStyle w:val="FootnoteReference"/>
          <w:rFonts w:ascii="Calibri" w:hAnsi="Calibri" w:cs="Calibri"/>
        </w:rPr>
        <w:footnoteReference w:id="57"/>
      </w:r>
      <w:r>
        <w:rPr>
          <w:rFonts w:ascii="Calibri" w:hAnsi="Calibri" w:cs="Calibri"/>
        </w:rPr>
        <w:t xml:space="preserve"> In the ‘Book of Gates’ the body of Osiris is seen to surround the Duat:</w:t>
      </w:r>
      <w:r>
        <w:rPr>
          <w:rStyle w:val="FootnoteReference"/>
          <w:rFonts w:ascii="Calibri" w:hAnsi="Calibri" w:cs="Calibri"/>
        </w:rPr>
        <w:footnoteReference w:id="58"/>
      </w:r>
      <w:r>
        <w:rPr>
          <w:rFonts w:ascii="Calibri" w:hAnsi="Calibri" w:cs="Calibri"/>
        </w:rPr>
        <w:t xml:space="preserve"> Plutarch also associated Osiris with the Nile.</w:t>
      </w:r>
      <w:r>
        <w:rPr>
          <w:rStyle w:val="FootnoteReference"/>
          <w:rFonts w:ascii="Calibri" w:hAnsi="Calibri" w:cs="Calibri"/>
        </w:rPr>
        <w:footnoteReference w:id="59"/>
      </w:r>
      <w:r>
        <w:rPr>
          <w:rFonts w:ascii="Calibri" w:hAnsi="Calibri" w:cs="Calibri"/>
        </w:rPr>
        <w:t xml:space="preserve"> All these seem to suggest that by his ‘double death’, Osiris actually became the Duat, and perhaps Death also. Humankind meanwhile, for whom death is a matter of much more universal significance than royal squabbles, are a cosmic afterthought, generated from the ‘tears’ of Re</w:t>
      </w:r>
      <w:r w:rsidR="005230DC">
        <w:rPr>
          <w:rFonts w:ascii="Calibri" w:hAnsi="Calibri" w:cs="Calibri"/>
        </w:rPr>
        <w:t>.</w:t>
      </w:r>
      <w:r>
        <w:rPr>
          <w:rStyle w:val="FootnoteReference"/>
          <w:rFonts w:ascii="Calibri" w:hAnsi="Calibri" w:cs="Calibri"/>
        </w:rPr>
        <w:footnoteReference w:id="60"/>
      </w:r>
    </w:p>
    <w:p w14:paraId="771B8114" w14:textId="77777777" w:rsidR="00537F32" w:rsidRDefault="00537F32">
      <w:pPr>
        <w:pStyle w:val="NormalWeb"/>
        <w:shd w:val="clear" w:color="auto" w:fill="FFFFFF"/>
        <w:spacing w:before="0" w:after="0" w:line="480" w:lineRule="auto"/>
        <w:rPr>
          <w:rFonts w:ascii="Calibri" w:hAnsi="Calibri" w:cs="Calibri"/>
        </w:rPr>
      </w:pPr>
    </w:p>
    <w:p w14:paraId="7533D1FA" w14:textId="0A0D7051" w:rsidR="00537F32" w:rsidRDefault="00000000">
      <w:pPr>
        <w:pStyle w:val="NormalWeb"/>
        <w:shd w:val="clear" w:color="auto" w:fill="FFFFFF"/>
        <w:spacing w:before="0" w:after="0" w:line="480" w:lineRule="auto"/>
      </w:pPr>
      <w:r>
        <w:rPr>
          <w:rFonts w:ascii="Calibri" w:hAnsi="Calibri" w:cs="Calibri"/>
        </w:rPr>
        <w:t xml:space="preserve">The cosmology of Re is further developed by the various ‘Eye Goddesses’, said to be his ‘daughters’, beginning with Tefnut: although Re is mostly ‘transcendent’ in character, the </w:t>
      </w:r>
      <w:r>
        <w:rPr>
          <w:rFonts w:ascii="Calibri" w:hAnsi="Calibri" w:cs="Calibri"/>
        </w:rPr>
        <w:lastRenderedPageBreak/>
        <w:t>Eyes are very much involved in the world. This Eye concept links to the ‘moral’ pattern of the cosmological tapestry by the figure of Ma’at (herself daughter of Re and ‘Eye’).</w:t>
      </w:r>
      <w:r>
        <w:rPr>
          <w:rStyle w:val="FootnoteReference"/>
          <w:rFonts w:ascii="Calibri" w:hAnsi="Calibri" w:cs="Calibri"/>
        </w:rPr>
        <w:footnoteReference w:id="61"/>
      </w:r>
      <w:r>
        <w:rPr>
          <w:rFonts w:ascii="Calibri" w:hAnsi="Calibri" w:cs="Calibri"/>
        </w:rPr>
        <w:t xml:space="preserve"> Ma’at is by no means an abstraction: rather She is Cosmic Order and righteous behaviour in every way</w:t>
      </w:r>
      <w:r w:rsidR="005230DC">
        <w:rPr>
          <w:rFonts w:ascii="Calibri" w:hAnsi="Calibri" w:cs="Calibri"/>
        </w:rPr>
        <w:t>,</w:t>
      </w:r>
      <w:r>
        <w:rPr>
          <w:rStyle w:val="FootnoteReference"/>
          <w:rFonts w:ascii="Calibri" w:hAnsi="Calibri" w:cs="Calibri"/>
        </w:rPr>
        <w:footnoteReference w:id="62"/>
      </w:r>
      <w:r>
        <w:rPr>
          <w:rFonts w:ascii="Calibri" w:hAnsi="Calibri" w:cs="Calibri"/>
        </w:rPr>
        <w:t xml:space="preserve"> earliest-known hypostasis of the Wisdom Goddess, later known as Sophia.</w:t>
      </w:r>
      <w:r>
        <w:rPr>
          <w:rStyle w:val="FootnoteReference"/>
          <w:rFonts w:ascii="Calibri" w:hAnsi="Calibri" w:cs="Calibri"/>
        </w:rPr>
        <w:footnoteReference w:id="63"/>
      </w:r>
      <w:r>
        <w:rPr>
          <w:rFonts w:ascii="Calibri" w:hAnsi="Calibri" w:cs="Calibri"/>
        </w:rPr>
        <w:t xml:space="preserve"> Szpakowska argues that “Heka and Maat can be considered as complementary forces underpinning the ordered functioning of the Egyptian cosmos”.</w:t>
      </w:r>
      <w:r>
        <w:rPr>
          <w:rStyle w:val="FootnoteReference"/>
          <w:rFonts w:ascii="Calibri" w:hAnsi="Calibri" w:cs="Calibri"/>
        </w:rPr>
        <w:footnoteReference w:id="64"/>
      </w:r>
      <w:r>
        <w:rPr>
          <w:rFonts w:ascii="Calibri" w:hAnsi="Calibri" w:cs="Calibri"/>
        </w:rPr>
        <w:t xml:space="preserve"> The responsibility of the monarchy for the realization of Ma’at was as important in its legitimation as association with the Osiris / Horus cycle,</w:t>
      </w:r>
      <w:r>
        <w:rPr>
          <w:rStyle w:val="FootnoteReference"/>
          <w:rFonts w:ascii="Calibri" w:hAnsi="Calibri" w:cs="Calibri"/>
        </w:rPr>
        <w:footnoteReference w:id="65"/>
      </w:r>
      <w:r>
        <w:rPr>
          <w:rFonts w:ascii="Calibri" w:hAnsi="Calibri" w:cs="Calibri"/>
        </w:rPr>
        <w:t xml:space="preserve"> the well-known rite of ‘presentation of Ma’at’ expressing reciprocal relationship between king and deity.</w:t>
      </w:r>
      <w:r>
        <w:rPr>
          <w:rStyle w:val="FootnoteReference"/>
          <w:rFonts w:ascii="Calibri" w:hAnsi="Calibri" w:cs="Calibri"/>
        </w:rPr>
        <w:footnoteReference w:id="66"/>
      </w:r>
      <w:r>
        <w:rPr>
          <w:rFonts w:ascii="Calibri" w:hAnsi="Calibri" w:cs="Calibri"/>
        </w:rPr>
        <w:t xml:space="preserve"> Karenga argues Ma’at as the “fundamental ground” for the “unity of being” and as </w:t>
      </w:r>
      <w:r>
        <w:rPr>
          <w:rFonts w:ascii="Calibri" w:hAnsi="Calibri" w:cs="Calibri"/>
          <w:i/>
          <w:iCs/>
        </w:rPr>
        <w:t>w3t n </w:t>
      </w:r>
      <w:proofErr w:type="spellStart"/>
      <w:r>
        <w:rPr>
          <w:rFonts w:ascii="Calibri" w:hAnsi="Calibri" w:cs="Calibri"/>
          <w:i/>
          <w:iCs/>
          <w:vertAlign w:val="superscript"/>
        </w:rPr>
        <w:t>c</w:t>
      </w:r>
      <w:r>
        <w:rPr>
          <w:rFonts w:ascii="Calibri" w:hAnsi="Calibri" w:cs="Calibri"/>
          <w:i/>
          <w:iCs/>
        </w:rPr>
        <w:t>nḫ</w:t>
      </w:r>
      <w:proofErr w:type="spellEnd"/>
      <w:r>
        <w:rPr>
          <w:rFonts w:ascii="Calibri" w:hAnsi="Calibri" w:cs="Calibri"/>
        </w:rPr>
        <w:t xml:space="preserve"> (wat </w:t>
      </w:r>
      <w:proofErr w:type="spellStart"/>
      <w:r>
        <w:rPr>
          <w:rFonts w:ascii="Calibri" w:hAnsi="Calibri" w:cs="Calibri"/>
        </w:rPr>
        <w:t>en</w:t>
      </w:r>
      <w:proofErr w:type="spellEnd"/>
      <w:r>
        <w:rPr>
          <w:rFonts w:ascii="Calibri" w:hAnsi="Calibri" w:cs="Calibri"/>
        </w:rPr>
        <w:t xml:space="preserve"> ankh – the Way of Life).</w:t>
      </w:r>
      <w:r>
        <w:rPr>
          <w:rStyle w:val="FootnoteReference"/>
          <w:rFonts w:ascii="Calibri" w:hAnsi="Calibri" w:cs="Calibri"/>
        </w:rPr>
        <w:footnoteReference w:id="67"/>
      </w:r>
      <w:r>
        <w:rPr>
          <w:rFonts w:ascii="Calibri" w:hAnsi="Calibri" w:cs="Calibri"/>
        </w:rPr>
        <w:t xml:space="preserve"> </w:t>
      </w:r>
    </w:p>
    <w:p w14:paraId="600B4B72" w14:textId="77777777" w:rsidR="00537F32" w:rsidRDefault="00537F32">
      <w:pPr>
        <w:spacing w:after="0" w:line="480" w:lineRule="auto"/>
        <w:rPr>
          <w:rFonts w:cs="Calibri"/>
          <w:sz w:val="24"/>
          <w:szCs w:val="24"/>
        </w:rPr>
      </w:pPr>
    </w:p>
    <w:p w14:paraId="2C5A3659" w14:textId="525CB7AC" w:rsidR="00537F32" w:rsidRDefault="00000000">
      <w:pPr>
        <w:spacing w:after="0" w:line="480" w:lineRule="auto"/>
      </w:pPr>
      <w:r>
        <w:rPr>
          <w:rFonts w:cs="Calibri"/>
          <w:sz w:val="24"/>
          <w:szCs w:val="24"/>
        </w:rPr>
        <w:t>It might be wondered why cosmogonic narratives are important. Concepts of the ‘big bang’ are taught in modern schools, but are not much relevant to daily life, except perhaps the extent to which that sort of story deliberately desacralizes the cosmos. For some Christians, worship of ‘God’ is very much predicated on him as ‘Creator</w:t>
      </w:r>
      <w:proofErr w:type="gramStart"/>
      <w:r>
        <w:rPr>
          <w:rFonts w:cs="Calibri"/>
          <w:sz w:val="24"/>
          <w:szCs w:val="24"/>
        </w:rPr>
        <w:t>’</w:t>
      </w:r>
      <w:proofErr w:type="gramEnd"/>
      <w:r>
        <w:rPr>
          <w:rFonts w:cs="Calibri"/>
          <w:sz w:val="24"/>
          <w:szCs w:val="24"/>
        </w:rPr>
        <w:t xml:space="preserve"> but an approach of this kind is rarely appropriate for polytheistic religions in which ‘creation’ is not an externalised action.</w:t>
      </w:r>
      <w:r>
        <w:rPr>
          <w:rStyle w:val="FootnoteReference"/>
          <w:rFonts w:cs="Calibri"/>
          <w:sz w:val="24"/>
          <w:szCs w:val="24"/>
        </w:rPr>
        <w:footnoteReference w:id="68"/>
      </w:r>
      <w:r>
        <w:rPr>
          <w:rFonts w:cs="Calibri"/>
          <w:sz w:val="24"/>
          <w:szCs w:val="24"/>
        </w:rPr>
        <w:t xml:space="preserve"> Tobin argues that creation myths are not ‘scientific explications’ but rather </w:t>
      </w:r>
      <w:r>
        <w:rPr>
          <w:rFonts w:cs="Calibri"/>
          <w:sz w:val="24"/>
          <w:szCs w:val="24"/>
        </w:rPr>
        <w:lastRenderedPageBreak/>
        <w:t>“symbolic articulations of the meaning and significance of the realm of created being”</w:t>
      </w:r>
      <w:r w:rsidR="00316FBE">
        <w:rPr>
          <w:rFonts w:cs="Calibri"/>
          <w:sz w:val="24"/>
          <w:szCs w:val="24"/>
        </w:rPr>
        <w:t>,</w:t>
      </w:r>
      <w:r w:rsidR="00316FBE" w:rsidRPr="00316FBE">
        <w:rPr>
          <w:rStyle w:val="FootnoteReference"/>
          <w:rFonts w:cs="Calibri"/>
          <w:sz w:val="24"/>
          <w:szCs w:val="24"/>
        </w:rPr>
        <w:t xml:space="preserve"> </w:t>
      </w:r>
      <w:r w:rsidR="00316FBE">
        <w:rPr>
          <w:rStyle w:val="FootnoteReference"/>
          <w:rFonts w:cs="Calibri"/>
          <w:sz w:val="24"/>
          <w:szCs w:val="24"/>
        </w:rPr>
        <w:footnoteReference w:id="69"/>
      </w:r>
      <w:r>
        <w:rPr>
          <w:rFonts w:cs="Calibri"/>
          <w:sz w:val="24"/>
          <w:szCs w:val="24"/>
        </w:rPr>
        <w:t xml:space="preserve"> but this hardly seems of concern except to philosophers. </w:t>
      </w:r>
    </w:p>
    <w:p w14:paraId="1BE3B752" w14:textId="77777777" w:rsidR="00537F32" w:rsidRDefault="00537F32">
      <w:pPr>
        <w:spacing w:after="0" w:line="480" w:lineRule="auto"/>
        <w:rPr>
          <w:rFonts w:cs="Calibri"/>
          <w:sz w:val="24"/>
          <w:szCs w:val="24"/>
        </w:rPr>
      </w:pPr>
    </w:p>
    <w:p w14:paraId="09FC871B" w14:textId="42252432" w:rsidR="00537F32" w:rsidRDefault="00000000">
      <w:pPr>
        <w:spacing w:after="0" w:line="480" w:lineRule="auto"/>
      </w:pPr>
      <w:r>
        <w:rPr>
          <w:rFonts w:cs="Calibri"/>
          <w:sz w:val="24"/>
          <w:szCs w:val="24"/>
        </w:rPr>
        <w:t>Herodotus (II, 5) famously called Egypt “Gift of the Nile”.</w:t>
      </w:r>
      <w:r>
        <w:rPr>
          <w:rStyle w:val="FootnoteReference"/>
          <w:rFonts w:cs="Calibri"/>
          <w:sz w:val="24"/>
          <w:szCs w:val="24"/>
        </w:rPr>
        <w:footnoteReference w:id="70"/>
      </w:r>
      <w:r>
        <w:rPr>
          <w:rFonts w:cs="Calibri"/>
          <w:sz w:val="24"/>
          <w:szCs w:val="24"/>
        </w:rPr>
        <w:t xml:space="preserve"> The annual inundation was uniquely a recreation of the primal emergence and zep-</w:t>
      </w:r>
      <w:proofErr w:type="spellStart"/>
      <w:r>
        <w:rPr>
          <w:rFonts w:cs="Calibri"/>
          <w:sz w:val="24"/>
          <w:szCs w:val="24"/>
        </w:rPr>
        <w:t>tepi</w:t>
      </w:r>
      <w:proofErr w:type="spellEnd"/>
      <w:r>
        <w:rPr>
          <w:rFonts w:cs="Calibri"/>
          <w:sz w:val="24"/>
          <w:szCs w:val="24"/>
        </w:rPr>
        <w:t>: all aspects of life were centred on this event.</w:t>
      </w:r>
      <w:r>
        <w:rPr>
          <w:rStyle w:val="FootnoteReference"/>
          <w:rFonts w:cs="Calibri"/>
          <w:sz w:val="24"/>
          <w:szCs w:val="24"/>
        </w:rPr>
        <w:footnoteReference w:id="71"/>
      </w:r>
      <w:r>
        <w:rPr>
          <w:rFonts w:cs="Calibri"/>
          <w:sz w:val="24"/>
          <w:szCs w:val="24"/>
        </w:rPr>
        <w:t xml:space="preserve"> Hence, it is argued that in practice, cosmology in Egypt was at least as much geomantic, focused on the River, as ‘heavenly’.</w:t>
      </w:r>
      <w:r>
        <w:rPr>
          <w:rStyle w:val="FootnoteReference"/>
          <w:rFonts w:cs="Calibri"/>
          <w:sz w:val="24"/>
          <w:szCs w:val="24"/>
        </w:rPr>
        <w:t xml:space="preserve"> </w:t>
      </w:r>
      <w:r>
        <w:rPr>
          <w:rStyle w:val="FootnoteReference"/>
          <w:rFonts w:cs="Calibri"/>
          <w:sz w:val="24"/>
          <w:szCs w:val="24"/>
        </w:rPr>
        <w:footnoteReference w:id="72"/>
      </w:r>
      <w:r>
        <w:rPr>
          <w:rFonts w:cs="Calibri"/>
          <w:sz w:val="24"/>
          <w:szCs w:val="24"/>
        </w:rPr>
        <w:t xml:space="preserve"> The Nile defined a number of dichotomies through which Egyptians could comprehend their place in the cosmos: Red Land (desert) / Black Land (fertile valley); Upper (southern) Egypt / Lower (northern); West (Amenti, place of the Dead) / East (the living); Kemet</w:t>
      </w:r>
      <w:r w:rsidR="007B239D">
        <w:rPr>
          <w:rFonts w:cs="Calibri"/>
          <w:sz w:val="24"/>
          <w:szCs w:val="24"/>
        </w:rPr>
        <w:t xml:space="preserve"> (centre)</w:t>
      </w:r>
      <w:r>
        <w:rPr>
          <w:rFonts w:cs="Calibri"/>
          <w:sz w:val="24"/>
          <w:szCs w:val="24"/>
        </w:rPr>
        <w:t xml:space="preserve"> / elsewhere. Stellar cosmology was firmly linked to the riverine: the star cloud of the Milky Way was the Winding Canal of the Duat, the Body of Nut and the Nile itself.</w:t>
      </w:r>
      <w:r>
        <w:rPr>
          <w:rStyle w:val="FootnoteReference"/>
          <w:rFonts w:cs="Calibri"/>
          <w:sz w:val="24"/>
          <w:szCs w:val="24"/>
        </w:rPr>
        <w:footnoteReference w:id="73"/>
      </w:r>
    </w:p>
    <w:p w14:paraId="37D7C0C5" w14:textId="77777777" w:rsidR="00537F32" w:rsidRDefault="00537F32">
      <w:pPr>
        <w:spacing w:after="0" w:line="480" w:lineRule="auto"/>
        <w:rPr>
          <w:rFonts w:cs="Calibri"/>
          <w:sz w:val="24"/>
          <w:szCs w:val="24"/>
        </w:rPr>
      </w:pPr>
    </w:p>
    <w:p w14:paraId="6B0B149D" w14:textId="24A7FEB8" w:rsidR="00537F32" w:rsidRDefault="00000000">
      <w:pPr>
        <w:spacing w:after="0" w:line="480" w:lineRule="auto"/>
      </w:pPr>
      <w:r>
        <w:rPr>
          <w:rFonts w:cs="Calibri"/>
          <w:sz w:val="24"/>
          <w:szCs w:val="24"/>
        </w:rPr>
        <w:t>The earliest indications of ‘geomantic cosmology’ in dynastic Egypt can be found at Abydos: the tombs of the First Dynasty rulers are all aligned in parallel with the physical course of the Nile, about 43°N.</w:t>
      </w:r>
      <w:r>
        <w:rPr>
          <w:rStyle w:val="FootnoteReference"/>
          <w:rFonts w:cs="Calibri"/>
          <w:sz w:val="24"/>
          <w:szCs w:val="24"/>
        </w:rPr>
        <w:footnoteReference w:id="74"/>
      </w:r>
      <w:r>
        <w:rPr>
          <w:rFonts w:cs="Calibri"/>
          <w:sz w:val="24"/>
          <w:szCs w:val="24"/>
        </w:rPr>
        <w:t xml:space="preserve"> The linked First Dynasty ‘enclosures’ and boat burials about 1km distant are similarly aligned.</w:t>
      </w:r>
      <w:r>
        <w:rPr>
          <w:rStyle w:val="FootnoteReference"/>
          <w:rFonts w:cs="Calibri"/>
          <w:sz w:val="24"/>
          <w:szCs w:val="24"/>
        </w:rPr>
        <w:footnoteReference w:id="75"/>
      </w:r>
      <w:r>
        <w:rPr>
          <w:rFonts w:cs="Calibri"/>
          <w:sz w:val="24"/>
          <w:szCs w:val="24"/>
        </w:rPr>
        <w:t xml:space="preserve"> Extensive studies by Belmonte now demonstrate astronomical orientation of later temples “beyond any doubt”.</w:t>
      </w:r>
      <w:r>
        <w:rPr>
          <w:rStyle w:val="FootnoteReference"/>
          <w:rFonts w:cs="Calibri"/>
          <w:sz w:val="24"/>
          <w:szCs w:val="24"/>
        </w:rPr>
        <w:footnoteReference w:id="76"/>
      </w:r>
      <w:r w:rsidR="00316FBE">
        <w:rPr>
          <w:rFonts w:cs="Calibri"/>
          <w:sz w:val="24"/>
          <w:szCs w:val="24"/>
        </w:rPr>
        <w:t xml:space="preserve"> </w:t>
      </w:r>
      <w:r>
        <w:rPr>
          <w:rFonts w:cs="Calibri"/>
          <w:sz w:val="24"/>
          <w:szCs w:val="24"/>
        </w:rPr>
        <w:t>Alignment of Karnak with summer solstice sunset is evident,</w:t>
      </w:r>
      <w:r>
        <w:rPr>
          <w:rStyle w:val="FootnoteReference"/>
          <w:rFonts w:cs="Calibri"/>
          <w:sz w:val="24"/>
          <w:szCs w:val="24"/>
        </w:rPr>
        <w:footnoteReference w:id="77"/>
      </w:r>
      <w:r>
        <w:rPr>
          <w:rFonts w:cs="Calibri"/>
          <w:sz w:val="24"/>
          <w:szCs w:val="24"/>
        </w:rPr>
        <w:t xml:space="preserve"> yet the temple faces the Nile and this was maintained over time: as the Nile moved westwards, Karnak expanded towards it from 14</w:t>
      </w:r>
      <w:r>
        <w:rPr>
          <w:rFonts w:cs="Calibri"/>
          <w:sz w:val="24"/>
          <w:szCs w:val="24"/>
          <w:vertAlign w:val="superscript"/>
        </w:rPr>
        <w:t>th</w:t>
      </w:r>
      <w:r>
        <w:rPr>
          <w:rFonts w:cs="Calibri"/>
          <w:sz w:val="24"/>
          <w:szCs w:val="24"/>
        </w:rPr>
        <w:t xml:space="preserve"> BCE.</w:t>
      </w:r>
      <w:r>
        <w:rPr>
          <w:rStyle w:val="FootnoteReference"/>
          <w:rFonts w:cs="Calibri"/>
          <w:sz w:val="24"/>
          <w:szCs w:val="24"/>
        </w:rPr>
        <w:footnoteReference w:id="78"/>
      </w:r>
      <w:r>
        <w:rPr>
          <w:rFonts w:cs="Calibri"/>
          <w:sz w:val="24"/>
          <w:szCs w:val="24"/>
        </w:rPr>
        <w:t xml:space="preserve"> Despite the usual idea of ‘solar temples’ in the Old Kingdom,</w:t>
      </w:r>
      <w:r>
        <w:rPr>
          <w:rStyle w:val="FootnoteReference"/>
          <w:rFonts w:cs="Calibri"/>
          <w:sz w:val="24"/>
          <w:szCs w:val="24"/>
        </w:rPr>
        <w:footnoteReference w:id="79"/>
      </w:r>
      <w:r>
        <w:rPr>
          <w:rFonts w:cs="Calibri"/>
          <w:sz w:val="24"/>
          <w:szCs w:val="24"/>
        </w:rPr>
        <w:t xml:space="preserve"> the celebrated pyramids are actually all closely oriented to the ‘four quarters’ - North-South-East-West – an approach fundamental to geocentric experience.</w:t>
      </w:r>
      <w:r>
        <w:rPr>
          <w:rStyle w:val="FootnoteReference"/>
          <w:rFonts w:cs="Calibri"/>
          <w:sz w:val="24"/>
          <w:szCs w:val="24"/>
        </w:rPr>
        <w:footnoteReference w:id="80"/>
      </w:r>
      <w:r>
        <w:rPr>
          <w:rFonts w:cs="Calibri"/>
          <w:sz w:val="24"/>
          <w:szCs w:val="24"/>
        </w:rPr>
        <w:t xml:space="preserve"> </w:t>
      </w:r>
    </w:p>
    <w:p w14:paraId="2322BD14" w14:textId="77777777" w:rsidR="00537F32" w:rsidRDefault="00537F32">
      <w:pPr>
        <w:spacing w:after="0" w:line="480" w:lineRule="auto"/>
        <w:rPr>
          <w:rFonts w:cs="Calibri"/>
          <w:sz w:val="24"/>
          <w:szCs w:val="24"/>
        </w:rPr>
      </w:pPr>
    </w:p>
    <w:p w14:paraId="06BC6D6E" w14:textId="13A556BE" w:rsidR="00537F32" w:rsidRDefault="00000000">
      <w:pPr>
        <w:spacing w:after="0" w:line="480" w:lineRule="auto"/>
      </w:pPr>
      <w:r>
        <w:rPr>
          <w:rFonts w:cs="Calibri"/>
          <w:sz w:val="24"/>
          <w:szCs w:val="24"/>
        </w:rPr>
        <w:lastRenderedPageBreak/>
        <w:t>The overall direction of the Nile is very much north to the ‘Great-Green’ Mediterranean Sea.</w:t>
      </w:r>
      <w:r>
        <w:rPr>
          <w:rStyle w:val="FootnoteReference"/>
          <w:rFonts w:cs="Calibri"/>
          <w:sz w:val="24"/>
          <w:szCs w:val="24"/>
        </w:rPr>
        <w:footnoteReference w:id="81"/>
      </w:r>
      <w:r>
        <w:rPr>
          <w:rFonts w:cs="Calibri"/>
          <w:sz w:val="24"/>
          <w:szCs w:val="24"/>
        </w:rPr>
        <w:t xml:space="preserve"> Osiris passed this way after his first death at the hands of Seth, so that the flow of the river is equivalent to the soul’s journey into the Duat. The river also had an important cosmological role in unifying the members of Osiris after his second death.</w:t>
      </w:r>
      <w:r>
        <w:rPr>
          <w:rStyle w:val="FootnoteReference"/>
          <w:rFonts w:cs="Calibri"/>
          <w:sz w:val="24"/>
          <w:szCs w:val="24"/>
        </w:rPr>
        <w:footnoteReference w:id="82"/>
      </w:r>
      <w:r>
        <w:rPr>
          <w:rFonts w:cs="Calibri"/>
          <w:sz w:val="24"/>
          <w:szCs w:val="24"/>
        </w:rPr>
        <w:t xml:space="preserve"> The waters of the Nile, however muddy or insanitary in reality, were purificatory in spirit</w:t>
      </w:r>
      <w:r w:rsidR="00EE6F9A">
        <w:rPr>
          <w:rFonts w:cs="Calibri"/>
          <w:sz w:val="24"/>
          <w:szCs w:val="24"/>
        </w:rPr>
        <w:t>.</w:t>
      </w:r>
      <w:r>
        <w:rPr>
          <w:rStyle w:val="FootnoteReference"/>
          <w:rFonts w:cs="Calibri"/>
          <w:sz w:val="24"/>
          <w:szCs w:val="24"/>
        </w:rPr>
        <w:footnoteReference w:id="83"/>
      </w:r>
      <w:r>
        <w:rPr>
          <w:rFonts w:cs="Calibri"/>
          <w:sz w:val="24"/>
          <w:szCs w:val="24"/>
        </w:rPr>
        <w:t xml:space="preserve"> Despite extensive excavation, only</w:t>
      </w:r>
      <w:r w:rsidR="00EE6F9A">
        <w:rPr>
          <w:rFonts w:cs="Calibri"/>
          <w:sz w:val="24"/>
          <w:szCs w:val="24"/>
        </w:rPr>
        <w:t xml:space="preserve"> a small percentage </w:t>
      </w:r>
      <w:r>
        <w:rPr>
          <w:rFonts w:cs="Calibri"/>
          <w:sz w:val="24"/>
          <w:szCs w:val="24"/>
        </w:rPr>
        <w:t xml:space="preserve">of the estimated number of bodies inevitable over four thousand years have ever been recovered: </w:t>
      </w:r>
      <w:proofErr w:type="spellStart"/>
      <w:r>
        <w:rPr>
          <w:rFonts w:cs="Calibri"/>
          <w:sz w:val="24"/>
          <w:szCs w:val="24"/>
          <w:shd w:val="clear" w:color="auto" w:fill="FFFFFF"/>
        </w:rPr>
        <w:t>Niwiński</w:t>
      </w:r>
      <w:proofErr w:type="spellEnd"/>
      <w:r>
        <w:rPr>
          <w:rFonts w:cs="Calibri"/>
          <w:sz w:val="24"/>
          <w:szCs w:val="24"/>
          <w:shd w:val="clear" w:color="auto" w:fill="FFFFFF"/>
        </w:rPr>
        <w:t xml:space="preserve"> argues persuasively that for the non-elite</w:t>
      </w:r>
      <w:r w:rsidR="00544B38">
        <w:rPr>
          <w:rFonts w:cs="Calibri"/>
          <w:sz w:val="24"/>
          <w:szCs w:val="24"/>
          <w:shd w:val="clear" w:color="auto" w:fill="FFFFFF"/>
        </w:rPr>
        <w:t xml:space="preserve"> </w:t>
      </w:r>
      <w:r w:rsidR="00544B38">
        <w:rPr>
          <w:rFonts w:cs="Calibri"/>
          <w:i/>
          <w:iCs/>
          <w:sz w:val="24"/>
          <w:szCs w:val="24"/>
          <w:shd w:val="clear" w:color="auto" w:fill="FFFFFF"/>
        </w:rPr>
        <w:t>rḫyt</w:t>
      </w:r>
      <w:r w:rsidR="00544B38">
        <w:rPr>
          <w:rFonts w:cs="Calibri"/>
          <w:sz w:val="24"/>
          <w:szCs w:val="24"/>
          <w:shd w:val="clear" w:color="auto" w:fill="FFFFFF"/>
        </w:rPr>
        <w:t xml:space="preserve"> (rekhyt, the ‘common people’)</w:t>
      </w:r>
      <w:r>
        <w:rPr>
          <w:rFonts w:cs="Calibri"/>
          <w:sz w:val="24"/>
          <w:szCs w:val="24"/>
          <w:shd w:val="clear" w:color="auto" w:fill="FFFFFF"/>
        </w:rPr>
        <w:t>, river burial was actually the standard procedure</w:t>
      </w:r>
      <w:r w:rsidR="00EE6F9A">
        <w:rPr>
          <w:rFonts w:cs="Calibri"/>
          <w:sz w:val="24"/>
          <w:szCs w:val="24"/>
          <w:shd w:val="clear" w:color="auto" w:fill="FFFFFF"/>
        </w:rPr>
        <w:t>,</w:t>
      </w:r>
      <w:r>
        <w:rPr>
          <w:rStyle w:val="FootnoteReference"/>
          <w:rFonts w:cs="Calibri"/>
          <w:sz w:val="24"/>
          <w:szCs w:val="24"/>
          <w:shd w:val="clear" w:color="auto" w:fill="FFFFFF"/>
        </w:rPr>
        <w:footnoteReference w:id="84"/>
      </w:r>
      <w:r>
        <w:rPr>
          <w:rFonts w:cs="Calibri"/>
          <w:sz w:val="24"/>
          <w:szCs w:val="24"/>
          <w:shd w:val="clear" w:color="auto" w:fill="FFFFFF"/>
        </w:rPr>
        <w:t xml:space="preserve"> corpse </w:t>
      </w:r>
      <w:r>
        <w:rPr>
          <w:rFonts w:cs="Calibri"/>
          <w:sz w:val="24"/>
          <w:szCs w:val="24"/>
        </w:rPr>
        <w:t xml:space="preserve">disposal assisted by crocodiles and hippopotami, themselves under the blessing of the deities </w:t>
      </w:r>
      <w:proofErr w:type="spellStart"/>
      <w:r>
        <w:rPr>
          <w:rFonts w:cs="Calibri"/>
          <w:i/>
          <w:iCs/>
          <w:sz w:val="24"/>
          <w:szCs w:val="24"/>
        </w:rPr>
        <w:t>sbk</w:t>
      </w:r>
      <w:proofErr w:type="spellEnd"/>
      <w:r>
        <w:rPr>
          <w:rFonts w:cs="Calibri"/>
          <w:sz w:val="24"/>
          <w:szCs w:val="24"/>
        </w:rPr>
        <w:t xml:space="preserve"> (Sobek) and </w:t>
      </w:r>
      <w:r>
        <w:rPr>
          <w:rFonts w:cs="Calibri"/>
          <w:i/>
          <w:iCs/>
          <w:sz w:val="24"/>
          <w:szCs w:val="24"/>
        </w:rPr>
        <w:t>t3-wrt</w:t>
      </w:r>
      <w:r>
        <w:rPr>
          <w:rFonts w:cs="Calibri"/>
          <w:sz w:val="24"/>
          <w:szCs w:val="24"/>
        </w:rPr>
        <w:t xml:space="preserve"> (Taweret)</w:t>
      </w:r>
      <w:r>
        <w:rPr>
          <w:rFonts w:cs="Calibri"/>
          <w:sz w:val="24"/>
          <w:szCs w:val="24"/>
          <w:shd w:val="clear" w:color="auto" w:fill="FFFFFF"/>
        </w:rPr>
        <w:t>. The Nile then becomes coextensive with both Osiris and Duat, hence constituting cosmology of death as well as life.</w:t>
      </w:r>
    </w:p>
    <w:p w14:paraId="05BEBB2E" w14:textId="77777777" w:rsidR="00537F32" w:rsidRDefault="00537F32">
      <w:pPr>
        <w:spacing w:after="0" w:line="480" w:lineRule="auto"/>
        <w:rPr>
          <w:rFonts w:cs="Calibri"/>
          <w:sz w:val="24"/>
          <w:szCs w:val="24"/>
        </w:rPr>
      </w:pPr>
    </w:p>
    <w:p w14:paraId="011F7941" w14:textId="1875FE80" w:rsidR="00537F32" w:rsidRDefault="00000000">
      <w:pPr>
        <w:spacing w:after="0" w:line="480" w:lineRule="auto"/>
      </w:pPr>
      <w:r>
        <w:rPr>
          <w:rFonts w:cs="Calibri"/>
          <w:sz w:val="24"/>
          <w:szCs w:val="24"/>
        </w:rPr>
        <w:t xml:space="preserve">Herodotus, visiting during the Persian occupation late in Egyptian history, mentions oracular sites for a number of deities, with various modes of operation, using Hellenized names such as ‘Zeus’ for Amun: according to him the most renowned was that at Buto, implicitly identifying ‘Leto’ with the Cobra-Goddess </w:t>
      </w:r>
      <w:r>
        <w:rPr>
          <w:rFonts w:cs="Calibri"/>
          <w:i/>
          <w:iCs/>
          <w:sz w:val="24"/>
          <w:szCs w:val="24"/>
        </w:rPr>
        <w:t>w3</w:t>
      </w:r>
      <w:r>
        <w:rPr>
          <w:rFonts w:cs="Calibri"/>
          <w:i/>
          <w:iCs/>
          <w:sz w:val="24"/>
          <w:szCs w:val="24"/>
          <w:u w:val="single"/>
        </w:rPr>
        <w:t>d</w:t>
      </w:r>
      <w:r>
        <w:rPr>
          <w:rFonts w:cs="Calibri"/>
          <w:i/>
          <w:iCs/>
          <w:sz w:val="24"/>
          <w:szCs w:val="24"/>
        </w:rPr>
        <w:t>yt</w:t>
      </w:r>
      <w:r>
        <w:rPr>
          <w:rFonts w:cs="Calibri"/>
          <w:sz w:val="24"/>
          <w:szCs w:val="24"/>
        </w:rPr>
        <w:t xml:space="preserve"> (Wadjet)</w:t>
      </w:r>
      <w:r w:rsidR="00EE6F9A">
        <w:rPr>
          <w:rFonts w:cs="Calibri"/>
          <w:sz w:val="24"/>
          <w:szCs w:val="24"/>
        </w:rPr>
        <w:t>.</w:t>
      </w:r>
      <w:r>
        <w:rPr>
          <w:rStyle w:val="FootnoteReference"/>
          <w:rFonts w:cs="Calibri"/>
          <w:sz w:val="24"/>
          <w:szCs w:val="24"/>
        </w:rPr>
        <w:footnoteReference w:id="85"/>
      </w:r>
      <w:r>
        <w:rPr>
          <w:rFonts w:cs="Calibri"/>
          <w:sz w:val="24"/>
          <w:szCs w:val="24"/>
        </w:rPr>
        <w:t xml:space="preserve"> These oracles seem to have been rather different in character from those he knew in Greece, such as Delphi or Dodona, </w:t>
      </w:r>
      <w:r>
        <w:rPr>
          <w:rFonts w:cs="Calibri"/>
          <w:sz w:val="24"/>
          <w:szCs w:val="24"/>
        </w:rPr>
        <w:lastRenderedPageBreak/>
        <w:t>where dedicated priestesses or priests gave ‘voice oracles’ that were interpretationally complex</w:t>
      </w:r>
      <w:r w:rsidR="00EE6F9A">
        <w:rPr>
          <w:rFonts w:cs="Calibri"/>
          <w:sz w:val="24"/>
          <w:szCs w:val="24"/>
        </w:rPr>
        <w:t>.</w:t>
      </w:r>
      <w:r>
        <w:rPr>
          <w:rStyle w:val="FootnoteReference"/>
          <w:rFonts w:cs="Calibri"/>
          <w:sz w:val="24"/>
          <w:szCs w:val="24"/>
        </w:rPr>
        <w:footnoteReference w:id="86"/>
      </w:r>
      <w:r>
        <w:rPr>
          <w:rFonts w:cs="Calibri"/>
          <w:sz w:val="24"/>
          <w:szCs w:val="24"/>
        </w:rPr>
        <w:t xml:space="preserve"> Greek oracles were very frequently cave-based</w:t>
      </w:r>
      <w:r w:rsidR="00EE6F9A">
        <w:rPr>
          <w:rFonts w:cs="Calibri"/>
          <w:sz w:val="24"/>
          <w:szCs w:val="24"/>
        </w:rPr>
        <w:t>,</w:t>
      </w:r>
      <w:r>
        <w:rPr>
          <w:rStyle w:val="FootnoteReference"/>
          <w:rFonts w:cs="Calibri"/>
          <w:sz w:val="24"/>
          <w:szCs w:val="24"/>
        </w:rPr>
        <w:footnoteReference w:id="87"/>
      </w:r>
      <w:r>
        <w:rPr>
          <w:rFonts w:cs="Calibri"/>
          <w:sz w:val="24"/>
          <w:szCs w:val="24"/>
        </w:rPr>
        <w:t xml:space="preserve"> and were politically independent</w:t>
      </w:r>
      <w:r w:rsidR="00EE6F9A">
        <w:rPr>
          <w:rFonts w:cs="Calibri"/>
          <w:sz w:val="24"/>
          <w:szCs w:val="24"/>
        </w:rPr>
        <w:t>.</w:t>
      </w:r>
      <w:r>
        <w:rPr>
          <w:rStyle w:val="FootnoteReference"/>
          <w:rFonts w:cs="Calibri"/>
          <w:sz w:val="24"/>
          <w:szCs w:val="24"/>
        </w:rPr>
        <w:footnoteReference w:id="88"/>
      </w:r>
      <w:r>
        <w:rPr>
          <w:rFonts w:cs="Calibri"/>
          <w:sz w:val="24"/>
          <w:szCs w:val="24"/>
        </w:rPr>
        <w:t xml:space="preserve"> Herodotus also mentions the oracle of Amun at Siwa oasis</w:t>
      </w:r>
      <w:r w:rsidR="00EE6F9A">
        <w:rPr>
          <w:rFonts w:cs="Calibri"/>
          <w:sz w:val="24"/>
          <w:szCs w:val="24"/>
        </w:rPr>
        <w:t>:</w:t>
      </w:r>
      <w:r w:rsidR="00EE6F9A" w:rsidRPr="00EE6F9A">
        <w:rPr>
          <w:rStyle w:val="FootnoteReference"/>
          <w:rFonts w:cs="Calibri"/>
          <w:sz w:val="24"/>
          <w:szCs w:val="24"/>
        </w:rPr>
        <w:t xml:space="preserve"> </w:t>
      </w:r>
      <w:r w:rsidR="00EE6F9A">
        <w:rPr>
          <w:rStyle w:val="FootnoteReference"/>
          <w:rFonts w:cs="Calibri"/>
          <w:sz w:val="24"/>
          <w:szCs w:val="24"/>
        </w:rPr>
        <w:footnoteReference w:id="89"/>
      </w:r>
      <w:r>
        <w:rPr>
          <w:rFonts w:cs="Calibri"/>
          <w:sz w:val="24"/>
          <w:szCs w:val="24"/>
        </w:rPr>
        <w:t xml:space="preserve"> </w:t>
      </w:r>
      <w:r w:rsidR="00EE6F9A">
        <w:rPr>
          <w:rFonts w:cs="Calibri"/>
          <w:sz w:val="24"/>
          <w:szCs w:val="24"/>
        </w:rPr>
        <w:t>o</w:t>
      </w:r>
      <w:r>
        <w:rPr>
          <w:rFonts w:cs="Calibri"/>
          <w:sz w:val="24"/>
          <w:szCs w:val="24"/>
        </w:rPr>
        <w:t>ne of the sacred buildings at Siwa is known as the ‘Fountain of the Sun’, described as cool by day, but boiling at midnight</w:t>
      </w:r>
      <w:r w:rsidR="00EE6F9A">
        <w:rPr>
          <w:rFonts w:cs="Calibri"/>
          <w:sz w:val="24"/>
          <w:szCs w:val="24"/>
        </w:rPr>
        <w:t>.</w:t>
      </w:r>
      <w:r>
        <w:rPr>
          <w:rStyle w:val="FootnoteReference"/>
          <w:rFonts w:cs="Calibri"/>
          <w:sz w:val="24"/>
          <w:szCs w:val="24"/>
        </w:rPr>
        <w:footnoteReference w:id="90"/>
      </w:r>
      <w:r>
        <w:rPr>
          <w:rFonts w:cs="Calibri"/>
          <w:sz w:val="24"/>
          <w:szCs w:val="24"/>
        </w:rPr>
        <w:t xml:space="preserve"> </w:t>
      </w:r>
      <w:r w:rsidR="00EE6F9A">
        <w:rPr>
          <w:rFonts w:cs="Calibri"/>
          <w:sz w:val="24"/>
          <w:szCs w:val="24"/>
        </w:rPr>
        <w:t>T</w:t>
      </w:r>
      <w:r>
        <w:rPr>
          <w:rFonts w:cs="Calibri"/>
          <w:sz w:val="24"/>
          <w:szCs w:val="24"/>
        </w:rPr>
        <w:t xml:space="preserve">his </w:t>
      </w:r>
      <w:r w:rsidR="00EE6F9A">
        <w:rPr>
          <w:rFonts w:cs="Calibri"/>
          <w:sz w:val="24"/>
          <w:szCs w:val="24"/>
        </w:rPr>
        <w:t xml:space="preserve">phenomenon </w:t>
      </w:r>
      <w:r>
        <w:rPr>
          <w:rFonts w:cs="Calibri"/>
          <w:sz w:val="24"/>
          <w:szCs w:val="24"/>
        </w:rPr>
        <w:t xml:space="preserve">seems to have been considered cosmologically significant, as the specific place where Re leaves the world at sunset. At </w:t>
      </w:r>
      <w:r>
        <w:rPr>
          <w:rFonts w:cs="Calibri"/>
          <w:sz w:val="24"/>
          <w:szCs w:val="24"/>
          <w:shd w:val="clear" w:color="auto" w:fill="FFFFFF"/>
          <w:lang w:val="egy"/>
        </w:rPr>
        <w:t>Siwa the God in procession was followed by girls and women singing chants and songs: this should be seen not as ‘just entertainment’ but rather, the chantresses’ song as instrumental in maintaining trance for the oracular priest.</w:t>
      </w:r>
      <w:r>
        <w:rPr>
          <w:rStyle w:val="FootnoteReference"/>
          <w:rFonts w:cs="Calibri"/>
          <w:sz w:val="24"/>
          <w:szCs w:val="24"/>
          <w:shd w:val="clear" w:color="auto" w:fill="FFFFFF"/>
          <w:lang w:val="egy"/>
        </w:rPr>
        <w:footnoteReference w:id="91"/>
      </w:r>
    </w:p>
    <w:p w14:paraId="31681FAE" w14:textId="77777777" w:rsidR="00BA3C01" w:rsidRDefault="00BA3C01">
      <w:pPr>
        <w:shd w:val="clear" w:color="auto" w:fill="FFFFFF"/>
        <w:spacing w:after="0" w:line="480" w:lineRule="auto"/>
        <w:rPr>
          <w:rFonts w:eastAsia="Times New Roman" w:cs="Calibri"/>
          <w:sz w:val="24"/>
          <w:szCs w:val="24"/>
          <w:lang w:eastAsia="en-GB"/>
        </w:rPr>
      </w:pPr>
    </w:p>
    <w:p w14:paraId="2C0B31E7" w14:textId="28827FA8" w:rsidR="00537F32" w:rsidRDefault="00000000">
      <w:pPr>
        <w:shd w:val="clear" w:color="auto" w:fill="FFFFFF"/>
        <w:spacing w:after="0" w:line="480" w:lineRule="auto"/>
      </w:pPr>
      <w:r>
        <w:rPr>
          <w:rFonts w:eastAsia="Times New Roman" w:cs="Calibri"/>
          <w:sz w:val="24"/>
          <w:szCs w:val="24"/>
          <w:lang w:eastAsia="en-GB"/>
        </w:rPr>
        <w:lastRenderedPageBreak/>
        <w:t>The earliest form of divination in Egypt, evidenced from the Old Kingdom, is perhaps that of necromancy,</w:t>
      </w:r>
      <w:r>
        <w:rPr>
          <w:rStyle w:val="FootnoteReference"/>
          <w:rFonts w:eastAsia="Times New Roman" w:cs="Calibri"/>
          <w:sz w:val="24"/>
          <w:szCs w:val="24"/>
          <w:lang w:eastAsia="en-GB"/>
        </w:rPr>
        <w:footnoteReference w:id="92"/>
      </w:r>
      <w:r>
        <w:rPr>
          <w:rFonts w:eastAsia="Times New Roman" w:cs="Calibri"/>
          <w:sz w:val="24"/>
          <w:szCs w:val="24"/>
          <w:lang w:eastAsia="en-GB"/>
        </w:rPr>
        <w:t xml:space="preserve"> fundamental in many cultures.</w:t>
      </w:r>
      <w:r>
        <w:rPr>
          <w:rStyle w:val="FootnoteReference"/>
          <w:rFonts w:eastAsia="Times New Roman" w:cs="Calibri"/>
          <w:sz w:val="24"/>
          <w:szCs w:val="24"/>
          <w:lang w:eastAsia="en-GB"/>
        </w:rPr>
        <w:footnoteReference w:id="93"/>
      </w:r>
      <w:r>
        <w:rPr>
          <w:rFonts w:eastAsia="Times New Roman" w:cs="Calibri"/>
          <w:sz w:val="24"/>
          <w:szCs w:val="24"/>
          <w:lang w:eastAsia="en-GB"/>
        </w:rPr>
        <w:t xml:space="preserve"> The process often involves some physical remains (skulls or jawbones of ‘heroes’, saintly ‘relics’ etc.</w:t>
      </w:r>
      <w:r>
        <w:rPr>
          <w:rStyle w:val="FootnoteReference"/>
          <w:rFonts w:eastAsia="Times New Roman" w:cs="Calibri"/>
          <w:sz w:val="24"/>
          <w:szCs w:val="24"/>
          <w:lang w:eastAsia="en-GB"/>
        </w:rPr>
        <w:footnoteReference w:id="94"/>
      </w:r>
      <w:r>
        <w:rPr>
          <w:rFonts w:eastAsia="Times New Roman" w:cs="Calibri"/>
          <w:sz w:val="24"/>
          <w:szCs w:val="24"/>
          <w:lang w:eastAsia="en-GB"/>
        </w:rPr>
        <w:t>): the dead acting as intermediaries for the Gods.</w:t>
      </w:r>
      <w:r>
        <w:rPr>
          <w:rStyle w:val="FootnoteReference"/>
          <w:rFonts w:eastAsia="Times New Roman" w:cs="Calibri"/>
          <w:sz w:val="24"/>
          <w:szCs w:val="24"/>
          <w:lang w:eastAsia="en-GB"/>
        </w:rPr>
        <w:footnoteReference w:id="95"/>
      </w:r>
      <w:r>
        <w:rPr>
          <w:rFonts w:eastAsia="Times New Roman" w:cs="Calibri"/>
          <w:sz w:val="24"/>
          <w:szCs w:val="24"/>
          <w:lang w:eastAsia="en-GB"/>
        </w:rPr>
        <w:t xml:space="preserve"> In Egypt the extensive use of mummification (even if only for the elite) would seem to provide the ideal basis:</w:t>
      </w:r>
      <w:r>
        <w:rPr>
          <w:rStyle w:val="FootnoteReference"/>
          <w:rFonts w:eastAsia="Times New Roman" w:cs="Calibri"/>
          <w:sz w:val="24"/>
          <w:szCs w:val="24"/>
          <w:lang w:eastAsia="en-GB"/>
        </w:rPr>
        <w:footnoteReference w:id="96"/>
      </w:r>
      <w:r>
        <w:rPr>
          <w:rFonts w:eastAsia="Times New Roman" w:cs="Calibri"/>
          <w:sz w:val="24"/>
          <w:szCs w:val="24"/>
          <w:lang w:eastAsia="en-GB"/>
        </w:rPr>
        <w:t xml:space="preserve"> although ‘late’, the invocation titled ‘PDM Suppl. 40-60’ appears to be an example</w:t>
      </w:r>
      <w:r w:rsidR="001F60FB">
        <w:rPr>
          <w:rFonts w:eastAsia="Times New Roman" w:cs="Calibri"/>
          <w:sz w:val="24"/>
          <w:szCs w:val="24"/>
          <w:lang w:eastAsia="en-GB"/>
        </w:rPr>
        <w:t>.</w:t>
      </w:r>
      <w:r>
        <w:rPr>
          <w:rStyle w:val="FootnoteReference"/>
          <w:rFonts w:eastAsia="Times New Roman" w:cs="Calibri"/>
          <w:sz w:val="24"/>
          <w:szCs w:val="24"/>
          <w:lang w:eastAsia="en-GB"/>
        </w:rPr>
        <w:footnoteReference w:id="97"/>
      </w:r>
      <w:r>
        <w:rPr>
          <w:rFonts w:eastAsia="Times New Roman" w:cs="Calibri"/>
          <w:sz w:val="24"/>
          <w:szCs w:val="24"/>
          <w:lang w:eastAsia="en-GB"/>
        </w:rPr>
        <w:t xml:space="preserve"> An alternative early mode of Egyptian necromancy is the tradition of ‘Letters to the Dead’</w:t>
      </w:r>
      <w:r w:rsidR="001F60FB">
        <w:rPr>
          <w:rFonts w:eastAsia="Times New Roman" w:cs="Calibri"/>
          <w:sz w:val="24"/>
          <w:szCs w:val="24"/>
          <w:lang w:eastAsia="en-GB"/>
        </w:rPr>
        <w:t>,</w:t>
      </w:r>
      <w:r>
        <w:rPr>
          <w:rStyle w:val="FootnoteReference"/>
          <w:rFonts w:eastAsia="Times New Roman" w:cs="Calibri"/>
          <w:sz w:val="24"/>
          <w:szCs w:val="24"/>
          <w:lang w:eastAsia="en-GB"/>
        </w:rPr>
        <w:footnoteReference w:id="98"/>
      </w:r>
      <w:r>
        <w:rPr>
          <w:rFonts w:eastAsia="Times New Roman" w:cs="Calibri"/>
          <w:sz w:val="24"/>
          <w:szCs w:val="24"/>
          <w:lang w:eastAsia="en-GB"/>
        </w:rPr>
        <w:t xml:space="preserve"> mostly on ostraca and papyrus: these would require access to a literate person.</w:t>
      </w:r>
    </w:p>
    <w:p w14:paraId="44862553" w14:textId="77777777" w:rsidR="00537F32" w:rsidRDefault="00537F32">
      <w:pPr>
        <w:shd w:val="clear" w:color="auto" w:fill="FFFFFF"/>
        <w:spacing w:after="0" w:line="480" w:lineRule="auto"/>
        <w:rPr>
          <w:rFonts w:eastAsia="Times New Roman" w:cs="Calibri"/>
          <w:sz w:val="24"/>
          <w:szCs w:val="24"/>
          <w:lang w:eastAsia="en-GB"/>
        </w:rPr>
      </w:pPr>
    </w:p>
    <w:p w14:paraId="6952BE66" w14:textId="72E274D0" w:rsidR="00537F32" w:rsidRDefault="00000000">
      <w:pPr>
        <w:shd w:val="clear" w:color="auto" w:fill="FFFFFF"/>
        <w:spacing w:after="0" w:line="480" w:lineRule="auto"/>
      </w:pPr>
      <w:r>
        <w:rPr>
          <w:rFonts w:eastAsia="Times New Roman" w:cs="Calibri"/>
          <w:sz w:val="24"/>
          <w:szCs w:val="24"/>
          <w:lang w:eastAsia="en-GB"/>
        </w:rPr>
        <w:t>Practices of direct approach to the Gods are evidenced from the New Kingdom,</w:t>
      </w:r>
      <w:r>
        <w:rPr>
          <w:rStyle w:val="FootnoteReference"/>
          <w:rFonts w:eastAsia="Times New Roman" w:cs="Calibri"/>
          <w:sz w:val="24"/>
          <w:szCs w:val="24"/>
          <w:lang w:eastAsia="en-GB"/>
        </w:rPr>
        <w:footnoteReference w:id="99"/>
      </w:r>
      <w:r>
        <w:rPr>
          <w:rFonts w:eastAsia="Times New Roman" w:cs="Calibri"/>
          <w:sz w:val="24"/>
          <w:szCs w:val="24"/>
          <w:lang w:eastAsia="en-GB"/>
        </w:rPr>
        <w:t xml:space="preserve"> though most records derive from the Ramesside period (Twentieth Dynasty) or later: any detail of earlier oracles remains beyond verification.</w:t>
      </w:r>
      <w:r>
        <w:rPr>
          <w:rStyle w:val="FootnoteReference"/>
          <w:rFonts w:eastAsia="Times New Roman" w:cs="Calibri"/>
          <w:sz w:val="24"/>
          <w:szCs w:val="24"/>
          <w:lang w:eastAsia="en-GB"/>
        </w:rPr>
        <w:footnoteReference w:id="100"/>
      </w:r>
      <w:r>
        <w:rPr>
          <w:rFonts w:eastAsia="Times New Roman" w:cs="Calibri"/>
          <w:sz w:val="24"/>
          <w:szCs w:val="24"/>
          <w:lang w:eastAsia="en-GB"/>
        </w:rPr>
        <w:t xml:space="preserve">  From around the time of Amenhotep I there is evidence of cult images, within which the deity was considered to reside,</w:t>
      </w:r>
      <w:r>
        <w:rPr>
          <w:rStyle w:val="FootnoteReference"/>
          <w:rFonts w:eastAsia="Times New Roman" w:cs="Calibri"/>
          <w:sz w:val="24"/>
          <w:szCs w:val="24"/>
          <w:lang w:eastAsia="en-GB"/>
        </w:rPr>
        <w:footnoteReference w:id="101"/>
      </w:r>
      <w:r>
        <w:rPr>
          <w:rFonts w:eastAsia="Times New Roman" w:cs="Calibri"/>
          <w:sz w:val="24"/>
          <w:szCs w:val="24"/>
          <w:lang w:eastAsia="en-GB"/>
        </w:rPr>
        <w:t xml:space="preserve"> being carried on a ‘barque’ by </w:t>
      </w:r>
      <w:proofErr w:type="spellStart"/>
      <w:r>
        <w:rPr>
          <w:rFonts w:eastAsia="Times New Roman" w:cs="Calibri"/>
          <w:i/>
          <w:iCs/>
          <w:sz w:val="24"/>
          <w:szCs w:val="24"/>
          <w:lang w:eastAsia="en-GB"/>
        </w:rPr>
        <w:t>w</w:t>
      </w:r>
      <w:r>
        <w:rPr>
          <w:rFonts w:eastAsia="Times New Roman" w:cs="Calibri"/>
          <w:i/>
          <w:iCs/>
          <w:sz w:val="24"/>
          <w:szCs w:val="24"/>
          <w:vertAlign w:val="superscript"/>
          <w:lang w:eastAsia="en-GB"/>
        </w:rPr>
        <w:t>c</w:t>
      </w:r>
      <w:r>
        <w:rPr>
          <w:rFonts w:eastAsia="Times New Roman" w:cs="Calibri"/>
          <w:i/>
          <w:iCs/>
          <w:sz w:val="24"/>
          <w:szCs w:val="24"/>
          <w:lang w:eastAsia="en-GB"/>
        </w:rPr>
        <w:t>b</w:t>
      </w:r>
      <w:proofErr w:type="spellEnd"/>
      <w:r>
        <w:rPr>
          <w:rFonts w:eastAsia="Times New Roman" w:cs="Calibri"/>
          <w:sz w:val="24"/>
          <w:szCs w:val="24"/>
          <w:lang w:eastAsia="en-GB"/>
        </w:rPr>
        <w:t xml:space="preserve"> (wab – ‘pure’, but low-ranking) priests in processions which were both </w:t>
      </w:r>
      <w:r>
        <w:rPr>
          <w:rFonts w:eastAsia="Times New Roman" w:cs="Calibri"/>
          <w:sz w:val="24"/>
          <w:szCs w:val="24"/>
          <w:lang w:eastAsia="en-GB"/>
        </w:rPr>
        <w:lastRenderedPageBreak/>
        <w:t>frequent and lengthy.</w:t>
      </w:r>
      <w:r>
        <w:rPr>
          <w:rStyle w:val="FootnoteReference"/>
          <w:rFonts w:eastAsia="Times New Roman" w:cs="Calibri"/>
          <w:sz w:val="24"/>
          <w:szCs w:val="24"/>
          <w:lang w:eastAsia="en-GB"/>
        </w:rPr>
        <w:footnoteReference w:id="102"/>
      </w:r>
      <w:r>
        <w:rPr>
          <w:rFonts w:eastAsia="Times New Roman" w:cs="Calibri"/>
          <w:sz w:val="24"/>
          <w:szCs w:val="24"/>
          <w:lang w:eastAsia="en-GB"/>
        </w:rPr>
        <w:t xml:space="preserve"> Any divine procession, such as that of Osiris at Abydos along the wadi towards the First Dynasty tombs, could function as an oracle as well as reenacting a cosmological event.</w:t>
      </w:r>
      <w:r>
        <w:rPr>
          <w:rStyle w:val="FootnoteReference"/>
          <w:rFonts w:eastAsia="Times New Roman" w:cs="Calibri"/>
          <w:sz w:val="24"/>
          <w:szCs w:val="24"/>
          <w:lang w:eastAsia="en-GB"/>
        </w:rPr>
        <w:footnoteReference w:id="103"/>
      </w:r>
      <w:r>
        <w:rPr>
          <w:rFonts w:eastAsia="Times New Roman" w:cs="Calibri"/>
          <w:sz w:val="24"/>
          <w:szCs w:val="24"/>
          <w:lang w:eastAsia="en-GB"/>
        </w:rPr>
        <w:t xml:space="preserve"> Temples in Egypt were not open to the public, divine images were normally hidden from the common view. Consequently the ’presence’ of the God/</w:t>
      </w:r>
      <w:proofErr w:type="spellStart"/>
      <w:r>
        <w:rPr>
          <w:rFonts w:eastAsia="Times New Roman" w:cs="Calibri"/>
          <w:sz w:val="24"/>
          <w:szCs w:val="24"/>
          <w:lang w:eastAsia="en-GB"/>
        </w:rPr>
        <w:t>dess</w:t>
      </w:r>
      <w:proofErr w:type="spellEnd"/>
      <w:r>
        <w:rPr>
          <w:rFonts w:eastAsia="Times New Roman" w:cs="Calibri"/>
          <w:sz w:val="24"/>
          <w:szCs w:val="24"/>
          <w:lang w:eastAsia="en-GB"/>
        </w:rPr>
        <w:t xml:space="preserve"> was highly significant in itself: Assmann writes of an ‘ocular desire’ for the ‘coming’ of the God. He argues the Egyptian city as precisely shaped for festive participation, every festival another emergence and renewal of zep-</w:t>
      </w:r>
      <w:proofErr w:type="spellStart"/>
      <w:r>
        <w:rPr>
          <w:rFonts w:eastAsia="Times New Roman" w:cs="Calibri"/>
          <w:sz w:val="24"/>
          <w:szCs w:val="24"/>
          <w:lang w:eastAsia="en-GB"/>
        </w:rPr>
        <w:t>tepi</w:t>
      </w:r>
      <w:proofErr w:type="spellEnd"/>
      <w:r>
        <w:rPr>
          <w:rFonts w:eastAsia="Times New Roman" w:cs="Calibri"/>
          <w:sz w:val="24"/>
          <w:szCs w:val="24"/>
          <w:lang w:eastAsia="en-GB"/>
        </w:rPr>
        <w:t xml:space="preserve"> in which the inhabitants become ‘followers’ of their city-God</w:t>
      </w:r>
      <w:r w:rsidR="001F60FB">
        <w:rPr>
          <w:rFonts w:eastAsia="Times New Roman" w:cs="Calibri"/>
          <w:sz w:val="24"/>
          <w:szCs w:val="24"/>
          <w:lang w:eastAsia="en-GB"/>
        </w:rPr>
        <w:t>.</w:t>
      </w:r>
      <w:r>
        <w:rPr>
          <w:rStyle w:val="FootnoteReference"/>
          <w:rFonts w:eastAsia="Times New Roman" w:cs="Calibri"/>
          <w:sz w:val="24"/>
          <w:szCs w:val="24"/>
          <w:lang w:eastAsia="en-GB"/>
        </w:rPr>
        <w:footnoteReference w:id="104"/>
      </w:r>
      <w:r>
        <w:rPr>
          <w:rFonts w:eastAsia="Times New Roman" w:cs="Calibri"/>
          <w:sz w:val="24"/>
          <w:szCs w:val="24"/>
          <w:lang w:eastAsia="en-GB"/>
        </w:rPr>
        <w:t xml:space="preserve"> Ritner notes that the phrase </w:t>
      </w:r>
      <w:proofErr w:type="spellStart"/>
      <w:r>
        <w:rPr>
          <w:rFonts w:eastAsia="Times New Roman" w:cs="Calibri"/>
          <w:i/>
          <w:iCs/>
          <w:sz w:val="24"/>
          <w:szCs w:val="24"/>
          <w:lang w:eastAsia="en-GB"/>
        </w:rPr>
        <w:t>pḥ-n</w:t>
      </w:r>
      <w:r>
        <w:rPr>
          <w:rFonts w:eastAsia="Times New Roman" w:cs="Calibri"/>
          <w:i/>
          <w:iCs/>
          <w:sz w:val="24"/>
          <w:szCs w:val="24"/>
          <w:u w:val="single"/>
          <w:lang w:eastAsia="en-GB"/>
        </w:rPr>
        <w:t>t</w:t>
      </w:r>
      <w:r>
        <w:rPr>
          <w:rFonts w:eastAsia="Times New Roman" w:cs="Calibri"/>
          <w:i/>
          <w:iCs/>
          <w:sz w:val="24"/>
          <w:szCs w:val="24"/>
          <w:lang w:eastAsia="en-GB"/>
        </w:rPr>
        <w:t>r</w:t>
      </w:r>
      <w:proofErr w:type="spellEnd"/>
      <w:r>
        <w:rPr>
          <w:rFonts w:eastAsia="Times New Roman" w:cs="Calibri"/>
          <w:sz w:val="24"/>
          <w:szCs w:val="24"/>
          <w:lang w:eastAsia="en-GB"/>
        </w:rPr>
        <w:t xml:space="preserve"> (</w:t>
      </w:r>
      <w:proofErr w:type="spellStart"/>
      <w:r>
        <w:rPr>
          <w:rFonts w:eastAsia="Times New Roman" w:cs="Calibri"/>
          <w:sz w:val="24"/>
          <w:szCs w:val="24"/>
          <w:lang w:eastAsia="en-GB"/>
        </w:rPr>
        <w:t>peh</w:t>
      </w:r>
      <w:r>
        <w:rPr>
          <w:rFonts w:eastAsia="Times New Roman" w:cs="Calibri"/>
          <w:sz w:val="24"/>
          <w:szCs w:val="24"/>
          <w:lang w:eastAsia="en-GB"/>
        </w:rPr>
        <w:noBreakHyphen/>
        <w:t>netjer</w:t>
      </w:r>
      <w:proofErr w:type="spellEnd"/>
      <w:r>
        <w:rPr>
          <w:rFonts w:eastAsia="Times New Roman" w:cs="Calibri"/>
          <w:sz w:val="24"/>
          <w:szCs w:val="24"/>
          <w:lang w:eastAsia="en-GB"/>
        </w:rPr>
        <w:t>), a common usage for ‘oracle’, has the literal meaning of divine arrival or ‘to reach deity’.</w:t>
      </w:r>
      <w:r>
        <w:rPr>
          <w:rStyle w:val="FootnoteReference"/>
          <w:rFonts w:eastAsia="Times New Roman" w:cs="Calibri"/>
          <w:sz w:val="24"/>
          <w:szCs w:val="24"/>
          <w:lang w:eastAsia="en-GB"/>
        </w:rPr>
        <w:footnoteReference w:id="105"/>
      </w:r>
      <w:r>
        <w:rPr>
          <w:rFonts w:eastAsia="Times New Roman" w:cs="Calibri"/>
          <w:sz w:val="24"/>
          <w:szCs w:val="24"/>
          <w:lang w:eastAsia="en-GB"/>
        </w:rPr>
        <w:t xml:space="preserve"> </w:t>
      </w:r>
      <w:r>
        <w:rPr>
          <w:rFonts w:cs="Calibri"/>
          <w:sz w:val="24"/>
          <w:szCs w:val="24"/>
        </w:rPr>
        <w:t>Processional events are participative, ‘popular’</w:t>
      </w:r>
      <w:r w:rsidR="00A42CA8">
        <w:rPr>
          <w:rFonts w:cs="Calibri"/>
          <w:sz w:val="24"/>
          <w:szCs w:val="24"/>
        </w:rPr>
        <w:t xml:space="preserve"> / </w:t>
      </w:r>
      <w:r>
        <w:rPr>
          <w:rFonts w:cs="Calibri"/>
          <w:sz w:val="24"/>
          <w:szCs w:val="24"/>
        </w:rPr>
        <w:t>‘lower-class’ and not gender-exclusive, often boisterous and noisy: participants could be actively involved without ‘distance’ from the deity.</w:t>
      </w:r>
      <w:r>
        <w:rPr>
          <w:rStyle w:val="FootnoteReference"/>
          <w:rFonts w:cs="Calibri"/>
          <w:sz w:val="24"/>
          <w:szCs w:val="24"/>
        </w:rPr>
        <w:footnoteReference w:id="106"/>
      </w:r>
      <w:r>
        <w:rPr>
          <w:rFonts w:cs="Calibri"/>
          <w:sz w:val="24"/>
          <w:szCs w:val="24"/>
        </w:rPr>
        <w:t xml:space="preserve"> </w:t>
      </w:r>
    </w:p>
    <w:p w14:paraId="265F3E1A" w14:textId="77777777" w:rsidR="00537F32" w:rsidRDefault="00537F32">
      <w:pPr>
        <w:shd w:val="clear" w:color="auto" w:fill="FFFFFF"/>
        <w:spacing w:after="0" w:line="480" w:lineRule="auto"/>
        <w:rPr>
          <w:rFonts w:eastAsia="Times New Roman" w:cs="Calibri"/>
          <w:sz w:val="24"/>
          <w:szCs w:val="24"/>
          <w:lang w:eastAsia="en-GB"/>
        </w:rPr>
      </w:pPr>
    </w:p>
    <w:p w14:paraId="1B6EC8BC" w14:textId="490A5A16" w:rsidR="00537F32" w:rsidRDefault="00000000" w:rsidP="001F60FB">
      <w:pPr>
        <w:spacing w:after="0" w:line="480" w:lineRule="auto"/>
      </w:pPr>
      <w:r>
        <w:rPr>
          <w:rFonts w:eastAsia="Times New Roman" w:cs="Calibri"/>
          <w:sz w:val="24"/>
          <w:szCs w:val="24"/>
          <w:lang w:eastAsia="en-GB"/>
        </w:rPr>
        <w:t xml:space="preserve">The documented public oracular function was either selective – the statue of the deity apparently ‘nodding’ at an individual – or a binary choice (”walking backward” to indicate a ‘no’). The oracle responded to a variety of popular questions on issues such as health, marriage and work, and also acted to resolve modest judicial matters. </w:t>
      </w:r>
      <w:r>
        <w:rPr>
          <w:rFonts w:cs="Calibri"/>
          <w:sz w:val="24"/>
          <w:szCs w:val="24"/>
        </w:rPr>
        <w:t xml:space="preserve">A definite record of the ‘God’ nodding in the context of a judicial complaint, apparently during a procession at </w:t>
      </w:r>
      <w:r>
        <w:rPr>
          <w:rFonts w:cs="Calibri"/>
          <w:sz w:val="24"/>
          <w:szCs w:val="24"/>
        </w:rPr>
        <w:lastRenderedPageBreak/>
        <w:t>the Opet festival,</w:t>
      </w:r>
      <w:r>
        <w:rPr>
          <w:rStyle w:val="FootnoteReference"/>
          <w:rFonts w:cs="Calibri"/>
          <w:sz w:val="24"/>
          <w:szCs w:val="24"/>
        </w:rPr>
        <w:footnoteReference w:id="107"/>
      </w:r>
      <w:r>
        <w:rPr>
          <w:rFonts w:cs="Calibri"/>
          <w:sz w:val="24"/>
          <w:szCs w:val="24"/>
        </w:rPr>
        <w:t xml:space="preserve"> to select / confirm a culprit is found in papyrus BM10335.</w:t>
      </w:r>
      <w:r>
        <w:rPr>
          <w:rStyle w:val="FootnoteReference"/>
          <w:rFonts w:cs="Calibri"/>
          <w:sz w:val="24"/>
          <w:szCs w:val="24"/>
        </w:rPr>
        <w:footnoteReference w:id="108"/>
      </w:r>
      <w:r>
        <w:rPr>
          <w:rFonts w:cs="Calibri"/>
          <w:sz w:val="24"/>
          <w:szCs w:val="24"/>
        </w:rPr>
        <w:t xml:space="preserve"> </w:t>
      </w:r>
      <w:r>
        <w:rPr>
          <w:rFonts w:cs="Calibri"/>
          <w:sz w:val="24"/>
          <w:szCs w:val="24"/>
          <w:shd w:val="clear" w:color="auto" w:fill="FFFFFF"/>
          <w:lang w:val="egy"/>
        </w:rPr>
        <w:t>Blackman notes that the God’s image was usually curtained and questions whether the curtain</w:t>
      </w:r>
      <w:r w:rsidR="00CE6DEA">
        <w:rPr>
          <w:rFonts w:cs="Calibri"/>
          <w:sz w:val="24"/>
          <w:szCs w:val="24"/>
          <w:shd w:val="clear" w:color="auto" w:fill="FFFFFF"/>
          <w:lang w:val="egy"/>
        </w:rPr>
        <w:t>s</w:t>
      </w:r>
      <w:r>
        <w:rPr>
          <w:rFonts w:cs="Calibri"/>
          <w:sz w:val="24"/>
          <w:szCs w:val="24"/>
          <w:shd w:val="clear" w:color="auto" w:fill="FFFFFF"/>
          <w:lang w:val="egy"/>
        </w:rPr>
        <w:t xml:space="preserve"> were drawn back to show the image nodding (by ‘some contrivance’) or whether the sacred boat rocked on its bearers.</w:t>
      </w:r>
      <w:r>
        <w:rPr>
          <w:rStyle w:val="FootnoteReference"/>
          <w:rFonts w:cs="Calibri"/>
          <w:sz w:val="24"/>
          <w:szCs w:val="24"/>
          <w:shd w:val="clear" w:color="auto" w:fill="FFFFFF"/>
          <w:lang w:val="egy"/>
        </w:rPr>
        <w:footnoteReference w:id="109"/>
      </w:r>
      <w:r>
        <w:rPr>
          <w:rStyle w:val="FootnoteReference"/>
          <w:rFonts w:cs="Calibri"/>
          <w:sz w:val="24"/>
          <w:szCs w:val="24"/>
          <w:shd w:val="clear" w:color="auto" w:fill="FFFFFF"/>
          <w:lang w:val="egy"/>
        </w:rPr>
        <w:t xml:space="preserve"> </w:t>
      </w:r>
      <w:r>
        <w:rPr>
          <w:rFonts w:cs="Calibri"/>
          <w:sz w:val="24"/>
          <w:szCs w:val="24"/>
          <w:shd w:val="clear" w:color="auto" w:fill="FFFFFF"/>
          <w:lang w:val="egy"/>
        </w:rPr>
        <w:t xml:space="preserve">For royalty, the </w:t>
      </w:r>
      <w:r>
        <w:rPr>
          <w:rFonts w:cs="Calibri"/>
          <w:sz w:val="24"/>
          <w:szCs w:val="24"/>
        </w:rPr>
        <w:t xml:space="preserve">oracle could have a </w:t>
      </w:r>
      <w:r w:rsidR="001F60FB">
        <w:rPr>
          <w:rFonts w:cs="Calibri"/>
          <w:sz w:val="24"/>
          <w:szCs w:val="24"/>
        </w:rPr>
        <w:t xml:space="preserve">critical </w:t>
      </w:r>
      <w:r>
        <w:rPr>
          <w:rFonts w:cs="Calibri"/>
          <w:sz w:val="24"/>
          <w:szCs w:val="24"/>
        </w:rPr>
        <w:t>role of legitimation:</w:t>
      </w:r>
      <w:r>
        <w:rPr>
          <w:rFonts w:cs="Calibri"/>
          <w:sz w:val="24"/>
          <w:szCs w:val="24"/>
          <w:shd w:val="clear" w:color="auto" w:fill="FFFFFF"/>
          <w:lang w:val="egy"/>
        </w:rPr>
        <w:t xml:space="preserve"> when he was still a boy, the Aumn processional oracle halted by Thutmose III and publicly recognised him as King.</w:t>
      </w:r>
      <w:r>
        <w:rPr>
          <w:rStyle w:val="FootnoteReference"/>
          <w:rFonts w:cs="Calibri"/>
          <w:sz w:val="24"/>
          <w:szCs w:val="24"/>
          <w:shd w:val="clear" w:color="auto" w:fill="FFFFFF"/>
          <w:lang w:val="egy"/>
        </w:rPr>
        <w:footnoteReference w:id="110"/>
      </w:r>
      <w:r>
        <w:rPr>
          <w:rFonts w:cs="Calibri"/>
          <w:sz w:val="24"/>
          <w:szCs w:val="24"/>
          <w:shd w:val="clear" w:color="auto" w:fill="FFFFFF"/>
          <w:lang w:val="egy"/>
        </w:rPr>
        <w:t xml:space="preserve"> </w:t>
      </w:r>
      <w:r>
        <w:rPr>
          <w:rFonts w:cs="Calibri"/>
          <w:sz w:val="24"/>
          <w:szCs w:val="24"/>
        </w:rPr>
        <w:t>In many cases ostraca or strips of papyri show two versions of a questions, expressed positively and negatively: these are sometimes called ‘ticket oracles’(the idea being that the successful option was returned to the enquirer).</w:t>
      </w:r>
      <w:r w:rsidR="00CE6DEA">
        <w:rPr>
          <w:rStyle w:val="FootnoteReference"/>
          <w:rFonts w:cs="Calibri"/>
          <w:sz w:val="24"/>
          <w:szCs w:val="24"/>
        </w:rPr>
        <w:footnoteReference w:id="111"/>
      </w:r>
      <w:r>
        <w:rPr>
          <w:rFonts w:cs="Calibri"/>
          <w:sz w:val="24"/>
          <w:szCs w:val="24"/>
        </w:rPr>
        <w:t xml:space="preserve"> It must also be plausible that the basic binary oracle operated similarly to the Zande ‘double-check’ procedure</w:t>
      </w:r>
      <w:r w:rsidR="001F60FB">
        <w:rPr>
          <w:rFonts w:cs="Calibri"/>
          <w:sz w:val="24"/>
          <w:szCs w:val="24"/>
        </w:rPr>
        <w:t>.</w:t>
      </w:r>
      <w:r>
        <w:rPr>
          <w:rStyle w:val="FootnoteReference"/>
          <w:rFonts w:cs="Calibri"/>
          <w:sz w:val="24"/>
          <w:szCs w:val="24"/>
        </w:rPr>
        <w:footnoteReference w:id="112"/>
      </w:r>
      <w:r>
        <w:rPr>
          <w:rFonts w:cs="Calibri"/>
          <w:sz w:val="24"/>
          <w:szCs w:val="24"/>
        </w:rPr>
        <w:t xml:space="preserve"> Erman cites a case of alleged embezzlement, with judgement by a nodding / affirmative selection but clearly has no confidence in such process, pronouncing it </w:t>
      </w:r>
      <w:r>
        <w:rPr>
          <w:rFonts w:cs="Calibri"/>
          <w:sz w:val="24"/>
          <w:szCs w:val="24"/>
        </w:rPr>
        <w:lastRenderedPageBreak/>
        <w:t>“theocracy in its most absurd form”.</w:t>
      </w:r>
      <w:r>
        <w:rPr>
          <w:rStyle w:val="FootnoteReference"/>
          <w:rFonts w:cs="Calibri"/>
          <w:sz w:val="24"/>
          <w:szCs w:val="24"/>
        </w:rPr>
        <w:footnoteReference w:id="113"/>
      </w:r>
      <w:r>
        <w:rPr>
          <w:rFonts w:cs="Calibri"/>
          <w:sz w:val="24"/>
          <w:szCs w:val="24"/>
        </w:rPr>
        <w:t xml:space="preserve"> Egyptologists generally seem to share such a perspective, assuming all decisions of the processional oracles to be arbitrary or pre-arranged: there is no hint of any ‘altered state of consciousness’ or other spirituality in anyone involved in the decision-making. In fact, obvious ‘conflict of interest’ seems to have been forbidden</w:t>
      </w:r>
      <w:r w:rsidR="001F60FB">
        <w:rPr>
          <w:rFonts w:cs="Calibri"/>
          <w:sz w:val="24"/>
          <w:szCs w:val="24"/>
        </w:rPr>
        <w:t>.</w:t>
      </w:r>
      <w:r>
        <w:rPr>
          <w:rStyle w:val="FootnoteReference"/>
          <w:rFonts w:cs="Calibri"/>
          <w:sz w:val="24"/>
          <w:szCs w:val="24"/>
        </w:rPr>
        <w:footnoteReference w:id="114"/>
      </w:r>
      <w:r>
        <w:rPr>
          <w:rFonts w:cs="Calibri"/>
          <w:sz w:val="24"/>
          <w:szCs w:val="24"/>
          <w:shd w:val="clear" w:color="auto" w:fill="FFFFFF"/>
          <w:lang w:val="egy"/>
        </w:rPr>
        <w:t xml:space="preserve"> Ritner argues the peh</w:t>
      </w:r>
      <w:r>
        <w:rPr>
          <w:rFonts w:cs="Calibri"/>
          <w:sz w:val="24"/>
          <w:szCs w:val="24"/>
          <w:shd w:val="clear" w:color="auto" w:fill="FFFFFF"/>
          <w:lang w:val="egy"/>
        </w:rPr>
        <w:noBreakHyphen/>
        <w:t xml:space="preserve">netjer as </w:t>
      </w:r>
      <w:r>
        <w:rPr>
          <w:rFonts w:eastAsia="Times New Roman" w:cs="Calibri"/>
          <w:sz w:val="24"/>
          <w:szCs w:val="24"/>
          <w:lang w:eastAsia="en-GB"/>
        </w:rPr>
        <w:t>‘arbiter of legality’.</w:t>
      </w:r>
      <w:r>
        <w:rPr>
          <w:rStyle w:val="FootnoteReference"/>
          <w:rFonts w:eastAsia="Times New Roman" w:cs="Calibri"/>
          <w:sz w:val="24"/>
          <w:szCs w:val="24"/>
          <w:lang w:eastAsia="en-GB"/>
        </w:rPr>
        <w:t xml:space="preserve"> </w:t>
      </w:r>
      <w:r>
        <w:rPr>
          <w:rStyle w:val="FootnoteReference"/>
          <w:rFonts w:eastAsia="Times New Roman" w:cs="Calibri"/>
          <w:sz w:val="24"/>
          <w:szCs w:val="24"/>
          <w:lang w:eastAsia="en-GB"/>
        </w:rPr>
        <w:footnoteReference w:id="115"/>
      </w:r>
      <w:r>
        <w:rPr>
          <w:rFonts w:eastAsia="Times New Roman" w:cs="Calibri"/>
          <w:sz w:val="24"/>
          <w:szCs w:val="24"/>
          <w:lang w:eastAsia="en-GB"/>
        </w:rPr>
        <w:t xml:space="preserve"> </w:t>
      </w:r>
    </w:p>
    <w:p w14:paraId="04179976" w14:textId="77777777" w:rsidR="00537F32" w:rsidRDefault="00537F32">
      <w:pPr>
        <w:spacing w:after="0" w:line="480" w:lineRule="auto"/>
        <w:rPr>
          <w:rFonts w:cs="Calibri"/>
          <w:sz w:val="24"/>
          <w:szCs w:val="24"/>
        </w:rPr>
      </w:pPr>
    </w:p>
    <w:p w14:paraId="1866EA15" w14:textId="7BE414E7" w:rsidR="00537F32" w:rsidRDefault="00000000">
      <w:pPr>
        <w:spacing w:after="0" w:line="480" w:lineRule="auto"/>
      </w:pPr>
      <w:r>
        <w:rPr>
          <w:rFonts w:cs="Calibri"/>
          <w:sz w:val="24"/>
          <w:szCs w:val="24"/>
        </w:rPr>
        <w:t xml:space="preserve">It must also be presumed that especially for the </w:t>
      </w:r>
      <w:r>
        <w:rPr>
          <w:rFonts w:cs="Calibri"/>
          <w:i/>
          <w:iCs/>
          <w:sz w:val="24"/>
          <w:szCs w:val="24"/>
        </w:rPr>
        <w:t>rekhyt</w:t>
      </w:r>
      <w:r>
        <w:rPr>
          <w:rFonts w:cs="Calibri"/>
          <w:sz w:val="24"/>
          <w:szCs w:val="24"/>
        </w:rPr>
        <w:t xml:space="preserve"> and for everyday, non-judicial concerns, there were divination traditions that were not carved into temple walls and may well be invisible to archaeology.</w:t>
      </w:r>
      <w:r>
        <w:rPr>
          <w:rStyle w:val="FootnoteReference"/>
          <w:rFonts w:cs="Calibri"/>
          <w:sz w:val="24"/>
          <w:szCs w:val="24"/>
        </w:rPr>
        <w:footnoteReference w:id="116"/>
      </w:r>
      <w:r>
        <w:rPr>
          <w:rFonts w:cs="Calibri"/>
          <w:sz w:val="24"/>
          <w:szCs w:val="24"/>
        </w:rPr>
        <w:t xml:space="preserve"> A Deir </w:t>
      </w:r>
      <w:proofErr w:type="spellStart"/>
      <w:r>
        <w:rPr>
          <w:rFonts w:cs="Calibri"/>
          <w:sz w:val="24"/>
          <w:szCs w:val="24"/>
        </w:rPr>
        <w:t>el</w:t>
      </w:r>
      <w:proofErr w:type="spellEnd"/>
      <w:r>
        <w:rPr>
          <w:rFonts w:cs="Calibri"/>
          <w:sz w:val="24"/>
          <w:szCs w:val="24"/>
        </w:rPr>
        <w:t xml:space="preserve">-Medina document mentions an un-named </w:t>
      </w:r>
      <w:r>
        <w:rPr>
          <w:rFonts w:cs="Calibri"/>
          <w:i/>
          <w:iCs/>
          <w:sz w:val="24"/>
          <w:szCs w:val="24"/>
        </w:rPr>
        <w:t>t3</w:t>
      </w:r>
      <w:r>
        <w:rPr>
          <w:rFonts w:cs="Calibri"/>
          <w:i/>
          <w:iCs/>
          <w:sz w:val="24"/>
          <w:szCs w:val="24"/>
        </w:rPr>
        <w:noBreakHyphen/>
        <w:t xml:space="preserve">rḫt </w:t>
      </w:r>
      <w:r>
        <w:rPr>
          <w:rFonts w:cs="Calibri"/>
          <w:sz w:val="24"/>
          <w:szCs w:val="24"/>
        </w:rPr>
        <w:t>(wise woman or seer).</w:t>
      </w:r>
      <w:r>
        <w:rPr>
          <w:rStyle w:val="FootnoteReference"/>
          <w:rFonts w:cs="Calibri"/>
          <w:sz w:val="24"/>
          <w:szCs w:val="24"/>
        </w:rPr>
        <w:footnoteReference w:id="117"/>
      </w:r>
      <w:r>
        <w:rPr>
          <w:rFonts w:cs="Calibri"/>
          <w:sz w:val="24"/>
          <w:szCs w:val="24"/>
        </w:rPr>
        <w:t xml:space="preserve"> Traditional African divination is still ubiquitous across the continent despite disapproval from Abrahamic religions: the systems of intuitive interpretation require light trance that is best in shadows rather than the full light of Re.</w:t>
      </w:r>
      <w:r>
        <w:rPr>
          <w:rStyle w:val="FootnoteReference"/>
          <w:rFonts w:cs="Calibri"/>
          <w:sz w:val="24"/>
          <w:szCs w:val="24"/>
        </w:rPr>
        <w:footnoteReference w:id="118"/>
      </w:r>
      <w:r>
        <w:rPr>
          <w:rFonts w:cs="Calibri"/>
          <w:sz w:val="24"/>
          <w:szCs w:val="24"/>
        </w:rPr>
        <w:t xml:space="preserve"> These often utilise a multiplicity of materials,</w:t>
      </w:r>
      <w:r>
        <w:rPr>
          <w:rStyle w:val="FootnoteReference"/>
          <w:rFonts w:cs="Calibri"/>
          <w:sz w:val="24"/>
          <w:szCs w:val="24"/>
        </w:rPr>
        <w:footnoteReference w:id="119"/>
      </w:r>
      <w:r>
        <w:rPr>
          <w:rFonts w:cs="Calibri"/>
          <w:sz w:val="24"/>
          <w:szCs w:val="24"/>
        </w:rPr>
        <w:t xml:space="preserve"> various bones, pebbles, feathers and sometimes more representational items, as many as 100 – 200 in total providing a vast </w:t>
      </w:r>
      <w:r>
        <w:rPr>
          <w:rFonts w:cs="Calibri"/>
          <w:sz w:val="24"/>
          <w:szCs w:val="24"/>
        </w:rPr>
        <w:lastRenderedPageBreak/>
        <w:t>number of combinatorial possibilities.</w:t>
      </w:r>
      <w:r>
        <w:rPr>
          <w:rStyle w:val="FootnoteReference"/>
          <w:rFonts w:cs="Calibri"/>
          <w:sz w:val="24"/>
          <w:szCs w:val="24"/>
        </w:rPr>
        <w:t xml:space="preserve"> </w:t>
      </w:r>
      <w:r>
        <w:rPr>
          <w:rStyle w:val="FootnoteReference"/>
          <w:rFonts w:cs="Calibri"/>
          <w:sz w:val="24"/>
          <w:szCs w:val="24"/>
        </w:rPr>
        <w:footnoteReference w:id="120"/>
      </w:r>
      <w:r>
        <w:rPr>
          <w:rFonts w:cs="Calibri"/>
          <w:sz w:val="24"/>
          <w:szCs w:val="24"/>
        </w:rPr>
        <w:t xml:space="preserve"> A ‘reading’ does not consult a written manual but rather is part of oral tradition,</w:t>
      </w:r>
      <w:r>
        <w:rPr>
          <w:rStyle w:val="FootnoteReference"/>
          <w:rFonts w:cs="Calibri"/>
          <w:sz w:val="24"/>
          <w:szCs w:val="24"/>
        </w:rPr>
        <w:footnoteReference w:id="121"/>
      </w:r>
      <w:r>
        <w:rPr>
          <w:rFonts w:cs="Calibri"/>
          <w:sz w:val="24"/>
          <w:szCs w:val="24"/>
        </w:rPr>
        <w:t xml:space="preserve"> an interaction between ‘microdramatics’ and </w:t>
      </w:r>
      <w:r w:rsidR="00C94F1C">
        <w:rPr>
          <w:rFonts w:cs="Calibri"/>
          <w:sz w:val="24"/>
          <w:szCs w:val="24"/>
        </w:rPr>
        <w:t>‘</w:t>
      </w:r>
      <w:r>
        <w:rPr>
          <w:rFonts w:cs="Calibri"/>
          <w:sz w:val="24"/>
          <w:szCs w:val="24"/>
        </w:rPr>
        <w:t>verbal poetics’.</w:t>
      </w:r>
      <w:r>
        <w:rPr>
          <w:rStyle w:val="FootnoteReference"/>
          <w:rFonts w:cs="Calibri"/>
          <w:sz w:val="24"/>
          <w:szCs w:val="24"/>
        </w:rPr>
        <w:footnoteReference w:id="122"/>
      </w:r>
      <w:r>
        <w:rPr>
          <w:rFonts w:cs="Calibri"/>
          <w:sz w:val="24"/>
          <w:szCs w:val="24"/>
        </w:rPr>
        <w:t xml:space="preserve"> </w:t>
      </w:r>
    </w:p>
    <w:p w14:paraId="3F2EF388" w14:textId="77777777" w:rsidR="00537F32" w:rsidRDefault="00537F32">
      <w:pPr>
        <w:spacing w:after="0" w:line="480" w:lineRule="auto"/>
        <w:rPr>
          <w:rFonts w:cs="Calibri"/>
          <w:sz w:val="24"/>
          <w:szCs w:val="24"/>
        </w:rPr>
      </w:pPr>
    </w:p>
    <w:p w14:paraId="07418253" w14:textId="287127A5" w:rsidR="00537F32" w:rsidRDefault="00000000">
      <w:pPr>
        <w:spacing w:after="0" w:line="480" w:lineRule="auto"/>
      </w:pPr>
      <w:r>
        <w:rPr>
          <w:rFonts w:cs="Calibri"/>
          <w:sz w:val="24"/>
          <w:szCs w:val="24"/>
        </w:rPr>
        <w:t xml:space="preserve">Egypt certainly had a long tradition of celestial observation: the earliest known astro-archaeological evidence is from </w:t>
      </w:r>
      <w:proofErr w:type="spellStart"/>
      <w:r>
        <w:rPr>
          <w:rFonts w:cs="Calibri"/>
          <w:sz w:val="24"/>
          <w:szCs w:val="24"/>
        </w:rPr>
        <w:t>Nabta</w:t>
      </w:r>
      <w:proofErr w:type="spellEnd"/>
      <w:r>
        <w:rPr>
          <w:rFonts w:cs="Calibri"/>
          <w:sz w:val="24"/>
          <w:szCs w:val="24"/>
        </w:rPr>
        <w:t xml:space="preserve"> Playa, in the ‘Western Desert’ towards the Sudan border, habitable in the earlier Egyptian Neolithic.</w:t>
      </w:r>
      <w:r>
        <w:rPr>
          <w:rStyle w:val="FootnoteReference"/>
          <w:rFonts w:cs="Calibri"/>
          <w:sz w:val="24"/>
          <w:szCs w:val="24"/>
        </w:rPr>
        <w:footnoteReference w:id="123"/>
      </w:r>
      <w:r>
        <w:rPr>
          <w:rFonts w:cs="Calibri"/>
          <w:sz w:val="24"/>
          <w:szCs w:val="24"/>
        </w:rPr>
        <w:t xml:space="preserve"> Megaliths at these sites align to June solstice and to the brightest stars of the Northern hemisphere, constructed in the period 4500 BCE – 3600 BCE.</w:t>
      </w:r>
      <w:r>
        <w:rPr>
          <w:rStyle w:val="FootnoteReference"/>
          <w:rFonts w:cs="Calibri"/>
          <w:sz w:val="24"/>
          <w:szCs w:val="24"/>
        </w:rPr>
        <w:footnoteReference w:id="124"/>
      </w:r>
      <w:r>
        <w:rPr>
          <w:rFonts w:cs="Calibri"/>
          <w:sz w:val="24"/>
          <w:szCs w:val="24"/>
        </w:rPr>
        <w:t xml:space="preserve"> It is believed that a Predynastic lunar calendar existed, with the 365-day ‘civil calendar’ also developed at latest by Third Dynasty.</w:t>
      </w:r>
      <w:r>
        <w:rPr>
          <w:rStyle w:val="FootnoteReference"/>
          <w:rFonts w:cs="Calibri"/>
          <w:sz w:val="24"/>
          <w:szCs w:val="24"/>
        </w:rPr>
        <w:footnoteReference w:id="125"/>
      </w:r>
      <w:r>
        <w:rPr>
          <w:rFonts w:cs="Calibri"/>
          <w:sz w:val="24"/>
          <w:szCs w:val="24"/>
        </w:rPr>
        <w:t xml:space="preserve"> Parker argues strongly for a later revised lunar calendar, calibrated by Sothic rising, actually more accurate than the civil.</w:t>
      </w:r>
      <w:r>
        <w:rPr>
          <w:rStyle w:val="FootnoteReference"/>
          <w:rFonts w:cs="Calibri"/>
          <w:sz w:val="24"/>
          <w:szCs w:val="24"/>
        </w:rPr>
        <w:t xml:space="preserve"> </w:t>
      </w:r>
      <w:r>
        <w:rPr>
          <w:rStyle w:val="FootnoteReference"/>
          <w:rFonts w:cs="Calibri"/>
          <w:sz w:val="24"/>
          <w:szCs w:val="24"/>
        </w:rPr>
        <w:footnoteReference w:id="126"/>
      </w:r>
      <w:r>
        <w:rPr>
          <w:rFonts w:cs="Calibri"/>
          <w:sz w:val="24"/>
          <w:szCs w:val="24"/>
        </w:rPr>
        <w:t xml:space="preserve"> The familiarity and ubiquity of the ‘calendar’ in the modern world should not be allowed to conceal that it is as much a divinatory device as ‘simple information’: any calendar that includes ‘thoughts for the day’ still serves this role. Hardy argues that the </w:t>
      </w:r>
      <w:r>
        <w:rPr>
          <w:rFonts w:cs="Calibri"/>
          <w:sz w:val="24"/>
          <w:szCs w:val="24"/>
        </w:rPr>
        <w:lastRenderedPageBreak/>
        <w:t xml:space="preserve">‘Cairo Calendar’ relates stellar movements to the </w:t>
      </w:r>
      <w:r>
        <w:rPr>
          <w:rFonts w:cs="Calibri"/>
          <w:i/>
          <w:iCs/>
          <w:sz w:val="24"/>
          <w:szCs w:val="24"/>
        </w:rPr>
        <w:t>pr</w:t>
      </w:r>
      <w:r>
        <w:rPr>
          <w:rFonts w:cs="Calibri"/>
          <w:sz w:val="24"/>
          <w:szCs w:val="24"/>
        </w:rPr>
        <w:t xml:space="preserve"> (per - ‘going forth’) of various God/</w:t>
      </w:r>
      <w:proofErr w:type="spellStart"/>
      <w:r>
        <w:rPr>
          <w:rFonts w:cs="Calibri"/>
          <w:sz w:val="24"/>
          <w:szCs w:val="24"/>
        </w:rPr>
        <w:t>dess</w:t>
      </w:r>
      <w:proofErr w:type="spellEnd"/>
      <w:r>
        <w:rPr>
          <w:rFonts w:cs="Calibri"/>
          <w:sz w:val="24"/>
          <w:szCs w:val="24"/>
        </w:rPr>
        <w:t xml:space="preserve">/e/s: </w:t>
      </w:r>
      <w:r>
        <w:rPr>
          <w:rFonts w:cs="Calibri"/>
          <w:sz w:val="24"/>
          <w:szCs w:val="24"/>
          <w:shd w:val="clear" w:color="auto" w:fill="FFFFFF"/>
          <w:lang w:val="egy"/>
        </w:rPr>
        <w:t xml:space="preserve">between 28 and 39 of the 46 per in Book II the Cairo Calendar as directly associated with specific stars, asterisms or constellations. The predictions resemble the omen texts of Mesopotamia, using protasis and apodasis: however, the predictions are much more oriented to personal interests than the political, </w:t>
      </w:r>
      <w:r>
        <w:rPr>
          <w:rFonts w:cs="Calibri"/>
          <w:sz w:val="24"/>
          <w:szCs w:val="24"/>
        </w:rPr>
        <w:t>constituting a ‘proto-astrology’ used by ‘ordinary Egyptians’ for guidance.</w:t>
      </w:r>
      <w:r>
        <w:rPr>
          <w:rStyle w:val="FootnoteReference"/>
          <w:rFonts w:cs="Calibri"/>
          <w:sz w:val="24"/>
          <w:szCs w:val="24"/>
        </w:rPr>
        <w:footnoteReference w:id="127"/>
      </w:r>
      <w:r>
        <w:rPr>
          <w:rFonts w:cs="Calibri"/>
          <w:sz w:val="24"/>
          <w:szCs w:val="24"/>
        </w:rPr>
        <w:t xml:space="preserve"> An extensive hemerology was developed, with such admonitions as “Day 19: Unfavourable. Let a man eat bread in his house. You should not go outside on this day”.</w:t>
      </w:r>
      <w:r>
        <w:rPr>
          <w:rStyle w:val="FootnoteReference"/>
          <w:rFonts w:cs="Calibri"/>
          <w:sz w:val="24"/>
          <w:szCs w:val="24"/>
        </w:rPr>
        <w:footnoteReference w:id="128"/>
      </w:r>
      <w:r>
        <w:rPr>
          <w:rFonts w:cs="Calibri"/>
          <w:sz w:val="24"/>
          <w:szCs w:val="24"/>
        </w:rPr>
        <w:t xml:space="preserve"> Ryholt describes a number of texts from the </w:t>
      </w:r>
      <w:proofErr w:type="spellStart"/>
      <w:r>
        <w:rPr>
          <w:rFonts w:cs="Calibri"/>
          <w:sz w:val="24"/>
          <w:szCs w:val="24"/>
        </w:rPr>
        <w:t>Tebtunis</w:t>
      </w:r>
      <w:proofErr w:type="spellEnd"/>
      <w:r>
        <w:rPr>
          <w:rFonts w:cs="Calibri"/>
          <w:sz w:val="24"/>
          <w:szCs w:val="24"/>
        </w:rPr>
        <w:t xml:space="preserve"> temple of similar nature, mostly relating to the star Sirius</w:t>
      </w:r>
      <w:r>
        <w:rPr>
          <w:rStyle w:val="FootnoteReference"/>
          <w:rFonts w:cs="Calibri"/>
          <w:sz w:val="24"/>
          <w:szCs w:val="24"/>
        </w:rPr>
        <w:footnoteReference w:id="129"/>
      </w:r>
      <w:r>
        <w:rPr>
          <w:rFonts w:cs="Calibri"/>
          <w:sz w:val="24"/>
          <w:szCs w:val="24"/>
        </w:rPr>
        <w:t>: these also use protasis/</w:t>
      </w:r>
      <w:proofErr w:type="spellStart"/>
      <w:r>
        <w:rPr>
          <w:rFonts w:cs="Calibri"/>
          <w:sz w:val="24"/>
          <w:szCs w:val="24"/>
        </w:rPr>
        <w:t>apodasis</w:t>
      </w:r>
      <w:proofErr w:type="spellEnd"/>
      <w:r>
        <w:rPr>
          <w:rFonts w:cs="Calibri"/>
          <w:sz w:val="24"/>
          <w:szCs w:val="24"/>
        </w:rPr>
        <w:t xml:space="preserve"> form, the predictions here of direct relevance for the state, some quite drastic.</w:t>
      </w:r>
      <w:r>
        <w:rPr>
          <w:rStyle w:val="FootnoteReference"/>
          <w:rFonts w:cs="Calibri"/>
          <w:sz w:val="24"/>
          <w:szCs w:val="24"/>
        </w:rPr>
        <w:footnoteReference w:id="130"/>
      </w:r>
      <w:r>
        <w:rPr>
          <w:rFonts w:cs="Calibri"/>
          <w:sz w:val="24"/>
          <w:szCs w:val="24"/>
        </w:rPr>
        <w:t xml:space="preserve"> It is unclear how the predictions were derived, whether empirically (from previous events) or theoretically (the qualities of the heavenly bodies).</w:t>
      </w:r>
      <w:r>
        <w:rPr>
          <w:rStyle w:val="FootnoteReference"/>
          <w:rFonts w:cs="Calibri"/>
          <w:sz w:val="24"/>
          <w:szCs w:val="24"/>
        </w:rPr>
        <w:footnoteReference w:id="131"/>
      </w:r>
    </w:p>
    <w:p w14:paraId="77315C6D" w14:textId="77777777" w:rsidR="00537F32" w:rsidRDefault="00537F32">
      <w:pPr>
        <w:spacing w:after="0" w:line="480" w:lineRule="auto"/>
        <w:rPr>
          <w:rFonts w:cs="Calibri"/>
          <w:sz w:val="24"/>
          <w:szCs w:val="24"/>
        </w:rPr>
      </w:pPr>
    </w:p>
    <w:p w14:paraId="3BB3BD3B" w14:textId="0B4AAF28" w:rsidR="00537F32" w:rsidRDefault="00000000">
      <w:pPr>
        <w:pStyle w:val="NormalWeb"/>
        <w:shd w:val="clear" w:color="auto" w:fill="FFFFFF"/>
        <w:spacing w:before="0" w:after="0" w:line="480" w:lineRule="auto"/>
      </w:pPr>
      <w:r>
        <w:rPr>
          <w:rFonts w:ascii="Calibri" w:hAnsi="Calibri" w:cs="Calibri"/>
        </w:rPr>
        <w:t xml:space="preserve">Egypt had perhaps the best conditions for stellar observation in the world. There was no ‘light pollution’, no particulate haze (except for the occasional sandstorm), even cloud was </w:t>
      </w:r>
      <w:r>
        <w:rPr>
          <w:rFonts w:ascii="Calibri" w:hAnsi="Calibri" w:cs="Calibri"/>
        </w:rPr>
        <w:lastRenderedPageBreak/>
        <w:t>rare.</w:t>
      </w:r>
      <w:r>
        <w:rPr>
          <w:rStyle w:val="FootnoteReference"/>
          <w:rFonts w:ascii="Calibri" w:hAnsi="Calibri" w:cs="Calibri"/>
        </w:rPr>
        <w:footnoteReference w:id="132"/>
      </w:r>
      <w:r>
        <w:rPr>
          <w:rFonts w:ascii="Calibri" w:hAnsi="Calibri" w:cs="Calibri"/>
        </w:rPr>
        <w:t xml:space="preserve"> Additionally, the horizons were well-defined by the treeless mountains on either side of the Nile valley: the horizon, </w:t>
      </w:r>
      <w:r>
        <w:rPr>
          <w:rFonts w:ascii="Calibri" w:hAnsi="Calibri" w:cs="Calibri"/>
          <w:i/>
          <w:iCs/>
        </w:rPr>
        <w:t>3ḫt</w:t>
      </w:r>
      <w:r>
        <w:rPr>
          <w:rFonts w:ascii="Calibri" w:hAnsi="Calibri" w:cs="Calibri"/>
        </w:rPr>
        <w:t xml:space="preserve"> (</w:t>
      </w:r>
      <w:proofErr w:type="spellStart"/>
      <w:r>
        <w:rPr>
          <w:rFonts w:ascii="Calibri" w:hAnsi="Calibri" w:cs="Calibri"/>
          <w:i/>
          <w:iCs/>
        </w:rPr>
        <w:t>akhet</w:t>
      </w:r>
      <w:proofErr w:type="spellEnd"/>
      <w:r>
        <w:rPr>
          <w:rFonts w:ascii="Calibri" w:hAnsi="Calibri" w:cs="Calibri"/>
          <w:i/>
          <w:iCs/>
        </w:rPr>
        <w:t>)</w:t>
      </w:r>
      <w:r>
        <w:rPr>
          <w:rFonts w:ascii="Calibri" w:hAnsi="Calibri" w:cs="Calibri"/>
        </w:rPr>
        <w:t xml:space="preserve"> sacred in itself. The First Priest at Heliopolis was titled “Chief of Observers”.</w:t>
      </w:r>
      <w:r>
        <w:rPr>
          <w:rStyle w:val="FootnoteReference"/>
          <w:rFonts w:ascii="Calibri" w:hAnsi="Calibri" w:cs="Calibri"/>
        </w:rPr>
        <w:footnoteReference w:id="133"/>
      </w:r>
      <w:r>
        <w:rPr>
          <w:rFonts w:ascii="Calibri" w:hAnsi="Calibri" w:cs="Calibri"/>
        </w:rPr>
        <w:t xml:space="preserve"> The Egyptian </w:t>
      </w:r>
      <w:proofErr w:type="spellStart"/>
      <w:r>
        <w:rPr>
          <w:rFonts w:ascii="Calibri" w:hAnsi="Calibri" w:cs="Calibri"/>
          <w:i/>
          <w:iCs/>
        </w:rPr>
        <w:t>jmy-wnwty</w:t>
      </w:r>
      <w:proofErr w:type="spellEnd"/>
      <w:r>
        <w:rPr>
          <w:rFonts w:ascii="Calibri" w:hAnsi="Calibri" w:cs="Calibri"/>
        </w:rPr>
        <w:t xml:space="preserve"> (observers / hour-watchers) were in fact so competent that they discovered the periodicity of the binary star Algol</w:t>
      </w:r>
      <w:r w:rsidR="00A96170">
        <w:rPr>
          <w:rFonts w:ascii="Calibri" w:hAnsi="Calibri" w:cs="Calibri"/>
        </w:rPr>
        <w:t>:</w:t>
      </w:r>
      <w:r>
        <w:rPr>
          <w:rStyle w:val="FootnoteReference"/>
          <w:rFonts w:ascii="Calibri" w:hAnsi="Calibri" w:cs="Calibri"/>
        </w:rPr>
        <w:footnoteReference w:id="134"/>
      </w:r>
      <w:r>
        <w:rPr>
          <w:rFonts w:ascii="Calibri" w:hAnsi="Calibri" w:cs="Calibri"/>
        </w:rPr>
        <w:t xml:space="preserve"> </w:t>
      </w:r>
      <w:r w:rsidR="00A96170">
        <w:rPr>
          <w:rFonts w:ascii="Calibri" w:hAnsi="Calibri" w:cs="Calibri"/>
        </w:rPr>
        <w:t>e</w:t>
      </w:r>
      <w:r>
        <w:rPr>
          <w:rFonts w:ascii="Calibri" w:hAnsi="Calibri" w:cs="Calibri"/>
        </w:rPr>
        <w:t>xpertise of this level means that the usual notion of the solar barque crossing the sky must be questioned.</w:t>
      </w:r>
      <w:r>
        <w:rPr>
          <w:rStyle w:val="FootnoteReference"/>
          <w:rFonts w:ascii="Calibri" w:hAnsi="Calibri" w:cs="Calibri"/>
        </w:rPr>
        <w:footnoteReference w:id="135"/>
      </w:r>
      <w:r>
        <w:rPr>
          <w:rFonts w:ascii="Calibri" w:hAnsi="Calibri" w:cs="Calibri"/>
        </w:rPr>
        <w:t xml:space="preserve"> Egypt had developed a system of ten day/degree decans to divide the ecliptic by the end of the First Intermediate Period,</w:t>
      </w:r>
      <w:r>
        <w:rPr>
          <w:rStyle w:val="FootnoteReference"/>
          <w:rFonts w:ascii="Calibri" w:hAnsi="Calibri" w:cs="Calibri"/>
        </w:rPr>
        <w:footnoteReference w:id="136"/>
      </w:r>
      <w:r>
        <w:rPr>
          <w:rFonts w:ascii="Calibri" w:hAnsi="Calibri" w:cs="Calibri"/>
        </w:rPr>
        <w:t xml:space="preserve"> and by late Ptolemaic times had established the concept of ascendant / midheaven axes in the ‘horoscope’ chart – the cardines linking astrology to Earth’s most basic alignment.</w:t>
      </w:r>
      <w:r>
        <w:rPr>
          <w:rStyle w:val="FootnoteReference"/>
          <w:rFonts w:ascii="Calibri" w:hAnsi="Calibri" w:cs="Calibri"/>
        </w:rPr>
        <w:footnoteReference w:id="137"/>
      </w:r>
      <w:r w:rsidR="00D24BC5">
        <w:rPr>
          <w:rFonts w:ascii="Calibri" w:hAnsi="Calibri" w:cs="Calibri"/>
        </w:rPr>
        <w:t xml:space="preserve"> Greenbaum links the God Shai to ‘fate’ as determined by moment of birth.</w:t>
      </w:r>
      <w:r w:rsidR="00D24BC5">
        <w:rPr>
          <w:rStyle w:val="FootnoteReference"/>
          <w:rFonts w:ascii="Calibri" w:hAnsi="Calibri" w:cs="Calibri"/>
        </w:rPr>
        <w:footnoteReference w:id="138"/>
      </w:r>
    </w:p>
    <w:p w14:paraId="796F4F2E" w14:textId="77777777" w:rsidR="00537F32" w:rsidRDefault="00537F32">
      <w:pPr>
        <w:spacing w:after="0" w:line="480" w:lineRule="auto"/>
        <w:rPr>
          <w:rFonts w:cs="Calibri"/>
          <w:sz w:val="24"/>
          <w:szCs w:val="24"/>
        </w:rPr>
      </w:pPr>
    </w:p>
    <w:p w14:paraId="3E3D943E" w14:textId="0A93C1F3" w:rsidR="00537F32" w:rsidRDefault="00000000">
      <w:pPr>
        <w:shd w:val="clear" w:color="auto" w:fill="FFFFFF"/>
        <w:spacing w:after="0" w:line="480" w:lineRule="auto"/>
      </w:pPr>
      <w:r>
        <w:rPr>
          <w:rFonts w:cs="Calibri"/>
          <w:sz w:val="24"/>
          <w:szCs w:val="24"/>
        </w:rPr>
        <w:t>It seems questionable whether the use of ‘Voice oracles’ was significant in Egypt. They do seem attested for royalty at least, from the Eighteenth</w:t>
      </w:r>
      <w:r w:rsidR="00A96170">
        <w:rPr>
          <w:rFonts w:cs="Calibri"/>
          <w:sz w:val="24"/>
          <w:szCs w:val="24"/>
        </w:rPr>
        <w:t xml:space="preserve"> Dynasty</w:t>
      </w:r>
      <w:r>
        <w:rPr>
          <w:rFonts w:cs="Calibri"/>
          <w:sz w:val="24"/>
          <w:szCs w:val="24"/>
        </w:rPr>
        <w:t xml:space="preserve">. </w:t>
      </w:r>
      <w:r>
        <w:rPr>
          <w:rFonts w:eastAsia="Times New Roman" w:cs="Calibri"/>
          <w:sz w:val="24"/>
          <w:szCs w:val="24"/>
          <w:lang w:eastAsia="en-GB"/>
        </w:rPr>
        <w:t>Hatshepsut recorded that her kingship of the Two Lands was proclaimed by a “very great oracle in the presence of this good god”, carved on a block in the ‘Chapelle Rouge’ at Karnak.</w:t>
      </w:r>
      <w:r>
        <w:rPr>
          <w:rStyle w:val="FootnoteReference"/>
          <w:rFonts w:eastAsia="Times New Roman" w:cs="Calibri"/>
          <w:sz w:val="24"/>
          <w:szCs w:val="24"/>
          <w:lang w:eastAsia="en-GB"/>
        </w:rPr>
        <w:t xml:space="preserve"> </w:t>
      </w:r>
      <w:r>
        <w:rPr>
          <w:rStyle w:val="FootnoteReference"/>
          <w:rFonts w:eastAsia="Times New Roman" w:cs="Calibri"/>
          <w:sz w:val="24"/>
          <w:szCs w:val="24"/>
          <w:lang w:eastAsia="en-GB"/>
        </w:rPr>
        <w:footnoteReference w:id="139"/>
      </w:r>
      <w:r>
        <w:rPr>
          <w:rFonts w:eastAsia="Times New Roman" w:cs="Calibri"/>
          <w:sz w:val="24"/>
          <w:szCs w:val="24"/>
          <w:lang w:eastAsia="en-GB"/>
        </w:rPr>
        <w:t xml:space="preserve"> Her later expedition to Punt was said to have been authorised and given directions by the Amun oracle</w:t>
      </w:r>
      <w:r>
        <w:rPr>
          <w:rStyle w:val="FootnoteReference"/>
          <w:rFonts w:eastAsia="Times New Roman" w:cs="Calibri"/>
          <w:sz w:val="24"/>
          <w:szCs w:val="24"/>
          <w:lang w:eastAsia="en-GB"/>
        </w:rPr>
        <w:footnoteReference w:id="140"/>
      </w:r>
      <w:r>
        <w:rPr>
          <w:rFonts w:eastAsia="Times New Roman" w:cs="Calibri"/>
          <w:sz w:val="24"/>
          <w:szCs w:val="24"/>
          <w:lang w:eastAsia="en-GB"/>
        </w:rPr>
        <w:t xml:space="preserve"> - </w:t>
      </w:r>
      <w:r>
        <w:rPr>
          <w:rFonts w:cs="Calibri"/>
          <w:sz w:val="24"/>
          <w:szCs w:val="24"/>
          <w:shd w:val="clear" w:color="auto" w:fill="FFFFFF"/>
          <w:lang w:val="egy"/>
        </w:rPr>
        <w:t xml:space="preserve">Černý </w:t>
      </w:r>
      <w:r>
        <w:rPr>
          <w:rFonts w:eastAsia="Times New Roman" w:cs="Calibri"/>
          <w:sz w:val="24"/>
          <w:szCs w:val="24"/>
          <w:lang w:eastAsia="en-GB"/>
        </w:rPr>
        <w:t>describes this as a “command heard from the great throne”.</w:t>
      </w:r>
      <w:r>
        <w:rPr>
          <w:rStyle w:val="FootnoteReference"/>
          <w:rFonts w:eastAsia="Times New Roman" w:cs="Calibri"/>
          <w:sz w:val="24"/>
          <w:szCs w:val="24"/>
          <w:lang w:eastAsia="en-GB"/>
        </w:rPr>
        <w:footnoteReference w:id="141"/>
      </w:r>
      <w:r>
        <w:rPr>
          <w:rFonts w:eastAsia="Times New Roman" w:cs="Calibri"/>
          <w:sz w:val="24"/>
          <w:szCs w:val="24"/>
          <w:lang w:eastAsia="en-GB"/>
        </w:rPr>
        <w:t xml:space="preserve"> </w:t>
      </w:r>
      <w:r>
        <w:rPr>
          <w:rFonts w:cs="Calibri"/>
          <w:sz w:val="24"/>
          <w:szCs w:val="24"/>
        </w:rPr>
        <w:t>A large body of archaeological evidence has accumulated for later periods - remains of niches, hidden chambers and holed objects conceivably used by hidden temple personnel for such use. Renberg however argues for scepticism, that claims of voice oracles are based on ‘cascades of suppositions’.</w:t>
      </w:r>
      <w:r>
        <w:rPr>
          <w:rStyle w:val="FootnoteReference"/>
          <w:rFonts w:cs="Calibri"/>
          <w:sz w:val="24"/>
          <w:szCs w:val="24"/>
        </w:rPr>
        <w:footnoteReference w:id="142"/>
      </w:r>
      <w:r>
        <w:rPr>
          <w:rFonts w:cs="Calibri"/>
          <w:sz w:val="24"/>
          <w:szCs w:val="24"/>
        </w:rPr>
        <w:t xml:space="preserve"> It may be the case that scholars have relied far too much on accounts by Christian polemicists who claimed that allegedly oracular devices were proof of the ‘deceit’ fundamental to Pagan religion.</w:t>
      </w:r>
      <w:r>
        <w:rPr>
          <w:rStyle w:val="FootnoteReference"/>
          <w:rFonts w:cs="Calibri"/>
          <w:sz w:val="24"/>
          <w:szCs w:val="24"/>
        </w:rPr>
        <w:footnoteReference w:id="143"/>
      </w:r>
      <w:r>
        <w:rPr>
          <w:rFonts w:cs="Calibri"/>
          <w:sz w:val="24"/>
          <w:szCs w:val="24"/>
        </w:rPr>
        <w:t xml:space="preserve"> </w:t>
      </w:r>
    </w:p>
    <w:p w14:paraId="5B6CE42A" w14:textId="77777777" w:rsidR="00537F32" w:rsidRDefault="00537F32">
      <w:pPr>
        <w:shd w:val="clear" w:color="auto" w:fill="FFFFFF"/>
        <w:spacing w:after="0" w:line="480" w:lineRule="auto"/>
        <w:rPr>
          <w:rFonts w:cs="Calibri"/>
          <w:sz w:val="24"/>
          <w:szCs w:val="24"/>
        </w:rPr>
      </w:pPr>
    </w:p>
    <w:p w14:paraId="7B7A10B2" w14:textId="27FB8F0B" w:rsidR="00537F32" w:rsidRDefault="00000000">
      <w:pPr>
        <w:shd w:val="clear" w:color="auto" w:fill="FFFFFF"/>
        <w:spacing w:after="0" w:line="480" w:lineRule="auto"/>
        <w:rPr>
          <w:rFonts w:cs="Calibri"/>
          <w:sz w:val="24"/>
          <w:szCs w:val="24"/>
        </w:rPr>
      </w:pPr>
      <w:r>
        <w:rPr>
          <w:rFonts w:cs="Calibri"/>
          <w:sz w:val="24"/>
          <w:szCs w:val="24"/>
        </w:rPr>
        <w:lastRenderedPageBreak/>
        <w:t xml:space="preserve">Dreams have always been available to all classes, often considered to be ‘spirit-travel’; the unexpected ones ‘god-sent’. </w:t>
      </w:r>
      <w:r>
        <w:rPr>
          <w:rStyle w:val="FootnoteReference"/>
          <w:rFonts w:cs="Calibri"/>
          <w:sz w:val="24"/>
          <w:szCs w:val="24"/>
        </w:rPr>
        <w:footnoteReference w:id="144"/>
      </w:r>
      <w:r>
        <w:rPr>
          <w:rFonts w:cs="Calibri"/>
          <w:sz w:val="24"/>
          <w:szCs w:val="24"/>
        </w:rPr>
        <w:t xml:space="preserve"> A few reports of predictive dreams exist from the New Kingdom, but these are unsolicited and relate to royalty.</w:t>
      </w:r>
      <w:r>
        <w:rPr>
          <w:rStyle w:val="FootnoteReference"/>
          <w:rFonts w:cs="Calibri"/>
          <w:sz w:val="24"/>
          <w:szCs w:val="24"/>
        </w:rPr>
        <w:footnoteReference w:id="145"/>
      </w:r>
      <w:r>
        <w:rPr>
          <w:rFonts w:cs="Calibri"/>
          <w:sz w:val="24"/>
          <w:szCs w:val="24"/>
        </w:rPr>
        <w:t xml:space="preserve"> By the Late Period documentation of dream incubation – that is, the deliberate seeking of divinatory dreams – are widespread, whether by ‘democratization’ of religious practices, or simply due to better preservation of evidence remains disputed.</w:t>
      </w:r>
      <w:r>
        <w:rPr>
          <w:rStyle w:val="FootnoteReference"/>
          <w:rFonts w:cs="Calibri"/>
          <w:sz w:val="24"/>
          <w:szCs w:val="24"/>
        </w:rPr>
        <w:footnoteReference w:id="146"/>
      </w:r>
      <w:r>
        <w:rPr>
          <w:rFonts w:cs="Calibri"/>
          <w:sz w:val="24"/>
          <w:szCs w:val="24"/>
        </w:rPr>
        <w:t xml:space="preserve"> Incubation is associated with a variety of deities and at many temple sites.</w:t>
      </w:r>
      <w:r>
        <w:rPr>
          <w:rStyle w:val="FootnoteReference"/>
          <w:rFonts w:cs="Calibri"/>
          <w:sz w:val="24"/>
          <w:szCs w:val="24"/>
        </w:rPr>
        <w:footnoteReference w:id="147"/>
      </w:r>
      <w:r>
        <w:rPr>
          <w:rFonts w:cs="Calibri"/>
          <w:sz w:val="24"/>
          <w:szCs w:val="24"/>
        </w:rPr>
        <w:t xml:space="preserve"> The divinized Imhotep and Amenhotep I seem especially associated with therapeutic dreams: the temple of Deir </w:t>
      </w:r>
      <w:proofErr w:type="spellStart"/>
      <w:r>
        <w:rPr>
          <w:rFonts w:cs="Calibri"/>
          <w:sz w:val="24"/>
          <w:szCs w:val="24"/>
        </w:rPr>
        <w:t>el</w:t>
      </w:r>
      <w:proofErr w:type="spellEnd"/>
      <w:r>
        <w:rPr>
          <w:rFonts w:cs="Calibri"/>
          <w:sz w:val="24"/>
          <w:szCs w:val="24"/>
        </w:rPr>
        <w:t>-Bahri having a definite specialism in this practice with a dedicated temple location.</w:t>
      </w:r>
      <w:r>
        <w:rPr>
          <w:rStyle w:val="FootnoteReference"/>
          <w:rFonts w:cs="Calibri"/>
          <w:sz w:val="24"/>
          <w:szCs w:val="24"/>
        </w:rPr>
        <w:footnoteReference w:id="148"/>
      </w:r>
      <w:r>
        <w:rPr>
          <w:rFonts w:cs="Calibri"/>
          <w:sz w:val="24"/>
          <w:szCs w:val="24"/>
        </w:rPr>
        <w:t xml:space="preserve"> Renberg argues that dream incubation was the only way for worshipers to seek a message directly from a god.</w:t>
      </w:r>
      <w:r>
        <w:rPr>
          <w:rStyle w:val="FootnoteReference"/>
          <w:rFonts w:cs="Calibri"/>
          <w:sz w:val="24"/>
          <w:szCs w:val="24"/>
        </w:rPr>
        <w:footnoteReference w:id="149"/>
      </w:r>
      <w:r>
        <w:rPr>
          <w:rFonts w:cs="Calibri"/>
          <w:sz w:val="24"/>
          <w:szCs w:val="24"/>
        </w:rPr>
        <w:t xml:space="preserve"> </w:t>
      </w:r>
      <w:r w:rsidR="00941C03">
        <w:rPr>
          <w:rFonts w:cs="Calibri"/>
          <w:sz w:val="24"/>
          <w:szCs w:val="24"/>
        </w:rPr>
        <w:t xml:space="preserve">Szpakowska argues for “dream divination as just one of the priestly activities under the auspices of the </w:t>
      </w:r>
      <w:r w:rsidR="00941C03">
        <w:rPr>
          <w:rFonts w:cs="Calibri"/>
          <w:sz w:val="24"/>
          <w:szCs w:val="24"/>
        </w:rPr>
        <w:lastRenderedPageBreak/>
        <w:t>‘House of Life’”.</w:t>
      </w:r>
      <w:r w:rsidR="00941C03">
        <w:rPr>
          <w:rStyle w:val="FootnoteReference"/>
          <w:rFonts w:cs="Calibri"/>
          <w:sz w:val="24"/>
          <w:szCs w:val="24"/>
        </w:rPr>
        <w:footnoteReference w:id="150"/>
      </w:r>
      <w:r w:rsidR="00573C88">
        <w:rPr>
          <w:rFonts w:cs="Calibri"/>
          <w:sz w:val="24"/>
          <w:szCs w:val="24"/>
        </w:rPr>
        <w:t xml:space="preserve"> </w:t>
      </w:r>
      <w:proofErr w:type="spellStart"/>
      <w:r w:rsidR="00573C88">
        <w:rPr>
          <w:rFonts w:cs="Calibri"/>
          <w:sz w:val="24"/>
          <w:szCs w:val="24"/>
        </w:rPr>
        <w:t>Dunand</w:t>
      </w:r>
      <w:proofErr w:type="spellEnd"/>
      <w:r w:rsidR="00573C88">
        <w:rPr>
          <w:rFonts w:cs="Calibri"/>
          <w:sz w:val="24"/>
          <w:szCs w:val="24"/>
        </w:rPr>
        <w:t xml:space="preserve"> argues psychologically, that oracular consultation relieved the burden of responsibility.</w:t>
      </w:r>
      <w:r w:rsidR="00573C88">
        <w:rPr>
          <w:rStyle w:val="FootnoteReference"/>
          <w:rFonts w:cs="Calibri"/>
          <w:sz w:val="24"/>
          <w:szCs w:val="24"/>
        </w:rPr>
        <w:footnoteReference w:id="151"/>
      </w:r>
    </w:p>
    <w:p w14:paraId="2965E70B" w14:textId="77777777" w:rsidR="005D7270" w:rsidRDefault="005D7270">
      <w:pPr>
        <w:shd w:val="clear" w:color="auto" w:fill="FFFFFF"/>
        <w:spacing w:after="0" w:line="480" w:lineRule="auto"/>
      </w:pPr>
    </w:p>
    <w:p w14:paraId="14DF7D05" w14:textId="1698BFE6" w:rsidR="00537F32" w:rsidRDefault="00000000">
      <w:pPr>
        <w:pStyle w:val="NormalWeb"/>
        <w:shd w:val="clear" w:color="auto" w:fill="FFFFFF"/>
        <w:spacing w:before="0" w:after="0" w:line="480" w:lineRule="auto"/>
      </w:pPr>
      <w:r>
        <w:rPr>
          <w:rFonts w:ascii="Calibri" w:hAnsi="Calibri" w:cs="Calibri"/>
          <w:shd w:val="clear" w:color="auto" w:fill="FFFFFF"/>
          <w:lang w:val="egy"/>
        </w:rPr>
        <w:t>For royalty, a further role of cosmology is found in the idea of the pharaoh ‘becoming a star’ after death: apart from the doubtful merits of such a fate,</w:t>
      </w:r>
      <w:r>
        <w:rPr>
          <w:rStyle w:val="FootnoteReference"/>
          <w:rFonts w:ascii="Calibri" w:hAnsi="Calibri" w:cs="Calibri"/>
          <w:shd w:val="clear" w:color="auto" w:fill="FFFFFF"/>
          <w:lang w:val="egy"/>
        </w:rPr>
        <w:footnoteReference w:id="152"/>
      </w:r>
      <w:r>
        <w:rPr>
          <w:rFonts w:ascii="Calibri" w:hAnsi="Calibri" w:cs="Calibri"/>
          <w:shd w:val="clear" w:color="auto" w:fill="FFFFFF"/>
          <w:lang w:val="egy"/>
        </w:rPr>
        <w:t xml:space="preserve"> there is certainly no record of new circumpolar stars or constellations</w:t>
      </w:r>
      <w:r>
        <w:rPr>
          <w:rFonts w:ascii="Calibri" w:hAnsi="Calibri" w:cs="Calibri"/>
        </w:rPr>
        <w:t xml:space="preserve"> </w:t>
      </w:r>
      <w:r>
        <w:rPr>
          <w:rFonts w:ascii="Calibri" w:hAnsi="Calibri" w:cs="Calibri"/>
          <w:shd w:val="clear" w:color="auto" w:fill="FFFFFF"/>
          <w:lang w:val="egy"/>
        </w:rPr>
        <w:t>steadily appearing to complicate astrology.</w:t>
      </w:r>
      <w:r>
        <w:rPr>
          <w:rStyle w:val="FootnoteReference"/>
          <w:rFonts w:ascii="Calibri" w:hAnsi="Calibri" w:cs="Calibri"/>
        </w:rPr>
        <w:footnoteReference w:id="153"/>
      </w:r>
      <w:r>
        <w:rPr>
          <w:rFonts w:ascii="Calibri" w:hAnsi="Calibri" w:cs="Calibri"/>
          <w:shd w:val="clear" w:color="auto" w:fill="FFFFFF"/>
          <w:lang w:val="egy"/>
        </w:rPr>
        <w:t xml:space="preserve"> Only a few writers </w:t>
      </w:r>
      <w:r w:rsidR="00E80C37">
        <w:rPr>
          <w:rFonts w:ascii="Calibri" w:hAnsi="Calibri" w:cs="Calibri"/>
          <w:shd w:val="clear" w:color="auto" w:fill="FFFFFF"/>
          <w:lang w:val="egy"/>
        </w:rPr>
        <w:t xml:space="preserve">even </w:t>
      </w:r>
      <w:r>
        <w:rPr>
          <w:rFonts w:ascii="Calibri" w:hAnsi="Calibri" w:cs="Calibri"/>
          <w:shd w:val="clear" w:color="auto" w:fill="FFFFFF"/>
          <w:lang w:val="egy"/>
        </w:rPr>
        <w:t>consider that the ‘star’ idea relates to shaman-like celestial ascent ino the place of the Netjeru:</w:t>
      </w:r>
      <w:r>
        <w:rPr>
          <w:rStyle w:val="FootnoteReference"/>
          <w:rFonts w:ascii="Calibri" w:hAnsi="Calibri" w:cs="Calibri"/>
          <w:shd w:val="clear" w:color="auto" w:fill="FFFFFF"/>
          <w:lang w:val="egy"/>
        </w:rPr>
        <w:footnoteReference w:id="154"/>
      </w:r>
      <w:r>
        <w:rPr>
          <w:rFonts w:ascii="Calibri" w:hAnsi="Calibri" w:cs="Calibri"/>
          <w:shd w:val="clear" w:color="auto" w:fill="FFFFFF"/>
          <w:lang w:val="egy"/>
        </w:rPr>
        <w:t xml:space="preserve"> such is widely documented in other cultures</w:t>
      </w:r>
      <w:r w:rsidR="00E80C37">
        <w:rPr>
          <w:rFonts w:ascii="Calibri" w:hAnsi="Calibri" w:cs="Calibri"/>
          <w:shd w:val="clear" w:color="auto" w:fill="FFFFFF"/>
          <w:lang w:val="egy"/>
        </w:rPr>
        <w:t>.</w:t>
      </w:r>
      <w:r w:rsidR="00E80C37">
        <w:rPr>
          <w:rStyle w:val="FootnoteReference"/>
          <w:rFonts w:ascii="Calibri" w:hAnsi="Calibri" w:cs="Calibri"/>
          <w:shd w:val="clear" w:color="auto" w:fill="FFFFFF"/>
          <w:lang w:val="egy"/>
        </w:rPr>
        <w:footnoteReference w:id="155"/>
      </w:r>
      <w:r>
        <w:rPr>
          <w:rFonts w:ascii="Calibri" w:hAnsi="Calibri" w:cs="Calibri"/>
          <w:shd w:val="clear" w:color="auto" w:fill="FFFFFF"/>
          <w:lang w:val="egy"/>
        </w:rPr>
        <w:t xml:space="preserve"> Given the perfect conditions in Egypt, it can reasonably be speculated that stargazing was one means by which trance was induced, directly linking cosmology to divination practice.</w:t>
      </w:r>
      <w:r>
        <w:rPr>
          <w:rStyle w:val="FootnoteReference"/>
          <w:rFonts w:ascii="Calibri" w:hAnsi="Calibri" w:cs="Calibri"/>
          <w:shd w:val="clear" w:color="auto" w:fill="FFFFFF"/>
          <w:lang w:val="egy"/>
        </w:rPr>
        <w:footnoteReference w:id="156"/>
      </w:r>
    </w:p>
    <w:p w14:paraId="5CCBE223" w14:textId="77777777" w:rsidR="00537F32" w:rsidRDefault="00537F32">
      <w:pPr>
        <w:spacing w:after="0" w:line="480" w:lineRule="auto"/>
        <w:rPr>
          <w:rFonts w:cs="Calibri"/>
          <w:sz w:val="24"/>
          <w:szCs w:val="24"/>
          <w:shd w:val="clear" w:color="auto" w:fill="FFFFFF"/>
          <w:lang w:val="egy"/>
        </w:rPr>
      </w:pPr>
    </w:p>
    <w:p w14:paraId="14AF30D5" w14:textId="6856D3C9" w:rsidR="00537F32" w:rsidRDefault="00000000">
      <w:pPr>
        <w:spacing w:after="0" w:line="480" w:lineRule="auto"/>
      </w:pPr>
      <w:r>
        <w:rPr>
          <w:rFonts w:cs="Calibri"/>
          <w:sz w:val="24"/>
          <w:szCs w:val="24"/>
        </w:rPr>
        <w:lastRenderedPageBreak/>
        <w:t>Egyptian religion, as constructed from archaeology, is generally presented as centring on royalty and its relationship with the divine,</w:t>
      </w:r>
      <w:r>
        <w:rPr>
          <w:rStyle w:val="FootnoteReference"/>
          <w:rFonts w:cs="Calibri"/>
          <w:sz w:val="24"/>
          <w:szCs w:val="24"/>
        </w:rPr>
        <w:footnoteReference w:id="157"/>
      </w:r>
      <w:r>
        <w:rPr>
          <w:rFonts w:cs="Calibri"/>
          <w:sz w:val="24"/>
          <w:szCs w:val="24"/>
        </w:rPr>
        <w:t xml:space="preserve"> yet still “plagued by gaps in evidence and uneven distribution of information”.</w:t>
      </w:r>
      <w:r>
        <w:rPr>
          <w:rStyle w:val="FootnoteReference"/>
          <w:rFonts w:cs="Calibri"/>
          <w:sz w:val="24"/>
          <w:szCs w:val="24"/>
        </w:rPr>
        <w:footnoteReference w:id="158"/>
      </w:r>
      <w:r>
        <w:rPr>
          <w:rFonts w:cs="Calibri"/>
          <w:sz w:val="24"/>
          <w:szCs w:val="24"/>
        </w:rPr>
        <w:t xml:space="preserve"> Spiritual activity by the non-elite majority of the population has been little documented.</w:t>
      </w:r>
      <w:r>
        <w:rPr>
          <w:rStyle w:val="FootnoteReference"/>
          <w:rFonts w:cs="Calibri"/>
          <w:sz w:val="24"/>
          <w:szCs w:val="24"/>
        </w:rPr>
        <w:footnoteReference w:id="159"/>
      </w:r>
      <w:r>
        <w:rPr>
          <w:rFonts w:cs="Calibri"/>
          <w:sz w:val="24"/>
          <w:szCs w:val="24"/>
        </w:rPr>
        <w:t xml:space="preserve"> Baines argues for personal piety in Egypt long before it become visible in the New Kingdom</w:t>
      </w:r>
      <w:r w:rsidR="007347B4">
        <w:rPr>
          <w:rFonts w:cs="Calibri"/>
          <w:sz w:val="24"/>
          <w:szCs w:val="24"/>
        </w:rPr>
        <w:t>.</w:t>
      </w:r>
      <w:r>
        <w:rPr>
          <w:rFonts w:cs="Calibri"/>
          <w:sz w:val="24"/>
          <w:szCs w:val="24"/>
        </w:rPr>
        <w:t xml:space="preserve"> but that given the high level of ‘social stratification’, it is implausible that practices of the </w:t>
      </w:r>
      <w:r>
        <w:rPr>
          <w:rFonts w:cs="Calibri"/>
          <w:i/>
          <w:iCs/>
          <w:sz w:val="24"/>
          <w:szCs w:val="24"/>
        </w:rPr>
        <w:t>rekhyt</w:t>
      </w:r>
      <w:r>
        <w:rPr>
          <w:rFonts w:cs="Calibri"/>
          <w:sz w:val="24"/>
          <w:szCs w:val="24"/>
        </w:rPr>
        <w:t xml:space="preserve"> exactly matched those of the elite</w:t>
      </w:r>
      <w:r>
        <w:rPr>
          <w:rStyle w:val="FootnoteReference"/>
          <w:rFonts w:cs="Calibri"/>
          <w:sz w:val="24"/>
          <w:szCs w:val="24"/>
        </w:rPr>
        <w:footnoteReference w:id="160"/>
      </w:r>
      <w:r>
        <w:rPr>
          <w:rFonts w:cs="Calibri"/>
          <w:sz w:val="24"/>
          <w:szCs w:val="24"/>
        </w:rPr>
        <w:t xml:space="preserve">. </w:t>
      </w:r>
      <w:r>
        <w:rPr>
          <w:rFonts w:cs="Calibri"/>
          <w:sz w:val="24"/>
          <w:szCs w:val="24"/>
          <w:shd w:val="clear" w:color="auto" w:fill="FFFFFF"/>
          <w:lang w:val="egy"/>
        </w:rPr>
        <w:t>Despite condemnation from the Abrahamic religions</w:t>
      </w:r>
      <w:r>
        <w:rPr>
          <w:rStyle w:val="FootnoteReference"/>
          <w:rFonts w:cs="Calibri"/>
          <w:sz w:val="24"/>
          <w:szCs w:val="24"/>
          <w:shd w:val="clear" w:color="auto" w:fill="FFFFFF"/>
          <w:lang w:val="egy"/>
        </w:rPr>
        <w:footnoteReference w:id="161"/>
      </w:r>
      <w:r>
        <w:rPr>
          <w:rFonts w:cs="Calibri"/>
          <w:sz w:val="24"/>
          <w:szCs w:val="24"/>
          <w:shd w:val="clear" w:color="auto" w:fill="FFFFFF"/>
          <w:lang w:val="egy"/>
        </w:rPr>
        <w:t xml:space="preserve"> it is clear that for ancient Pagan religions in general, the dichotomy of ‘religion’ vs. ‘magic’ had no relevance</w:t>
      </w:r>
      <w:r w:rsidR="00E80C37">
        <w:rPr>
          <w:rFonts w:cs="Calibri"/>
          <w:sz w:val="24"/>
          <w:szCs w:val="24"/>
          <w:shd w:val="clear" w:color="auto" w:fill="FFFFFF"/>
          <w:lang w:val="egy"/>
        </w:rPr>
        <w:t>:</w:t>
      </w:r>
      <w:r>
        <w:rPr>
          <w:rStyle w:val="FootnoteReference"/>
          <w:rFonts w:cs="Calibri"/>
          <w:sz w:val="24"/>
          <w:szCs w:val="24"/>
          <w:shd w:val="clear" w:color="auto" w:fill="FFFFFF"/>
          <w:lang w:val="egy"/>
        </w:rPr>
        <w:footnoteReference w:id="162"/>
      </w:r>
      <w:r>
        <w:rPr>
          <w:rFonts w:cs="Calibri"/>
          <w:sz w:val="24"/>
          <w:szCs w:val="24"/>
          <w:shd w:val="clear" w:color="auto" w:fill="FFFFFF"/>
          <w:lang w:val="egy"/>
        </w:rPr>
        <w:t xml:space="preserve"> divination was considered contact with the Divine, acknowledged as such even by the skeptical Cicero</w:t>
      </w:r>
      <w:r>
        <w:rPr>
          <w:rStyle w:val="FootnoteReference"/>
          <w:rFonts w:cs="Calibri"/>
          <w:sz w:val="24"/>
          <w:szCs w:val="24"/>
          <w:shd w:val="clear" w:color="auto" w:fill="FFFFFF"/>
          <w:lang w:val="egy"/>
        </w:rPr>
        <w:footnoteReference w:id="163"/>
      </w:r>
      <w:r>
        <w:rPr>
          <w:rFonts w:cs="Calibri"/>
          <w:sz w:val="24"/>
          <w:szCs w:val="24"/>
          <w:shd w:val="clear" w:color="auto" w:fill="FFFFFF"/>
          <w:lang w:val="egy"/>
        </w:rPr>
        <w:t>. In most traditional societies, diviners are indeed leaders of their communities</w:t>
      </w:r>
      <w:r>
        <w:rPr>
          <w:rStyle w:val="FootnoteReference"/>
          <w:rFonts w:cs="Calibri"/>
          <w:sz w:val="24"/>
          <w:szCs w:val="24"/>
          <w:shd w:val="clear" w:color="auto" w:fill="FFFFFF"/>
          <w:lang w:val="egy"/>
        </w:rPr>
        <w:footnoteReference w:id="164"/>
      </w:r>
      <w:r>
        <w:rPr>
          <w:rFonts w:cs="Calibri"/>
          <w:sz w:val="24"/>
          <w:szCs w:val="24"/>
          <w:shd w:val="clear" w:color="auto" w:fill="FFFFFF"/>
          <w:lang w:val="egy"/>
        </w:rPr>
        <w:t xml:space="preserve"> and “specialists” in “complementary modes of cognition”, moving between ‘bounded’ and ‘boundless’ ‘realms of existence’.</w:t>
      </w:r>
      <w:r>
        <w:rPr>
          <w:rStyle w:val="FootnoteReference"/>
          <w:rFonts w:cs="Calibri"/>
          <w:sz w:val="24"/>
          <w:szCs w:val="24"/>
          <w:shd w:val="clear" w:color="auto" w:fill="FFFFFF"/>
          <w:lang w:val="egy"/>
        </w:rPr>
        <w:footnoteReference w:id="165"/>
      </w:r>
      <w:r>
        <w:rPr>
          <w:rFonts w:cs="Calibri"/>
          <w:sz w:val="24"/>
          <w:szCs w:val="24"/>
          <w:shd w:val="clear" w:color="auto" w:fill="FFFFFF"/>
          <w:lang w:val="egy"/>
        </w:rPr>
        <w:t xml:space="preserve"> </w:t>
      </w:r>
    </w:p>
    <w:p w14:paraId="1FF1263C" w14:textId="77777777" w:rsidR="00537F32" w:rsidRDefault="00537F32">
      <w:pPr>
        <w:spacing w:after="0" w:line="480" w:lineRule="auto"/>
        <w:rPr>
          <w:rFonts w:cs="Calibri"/>
          <w:sz w:val="24"/>
          <w:szCs w:val="24"/>
          <w:shd w:val="clear" w:color="auto" w:fill="FFFFFF"/>
          <w:lang w:val="egy"/>
        </w:rPr>
      </w:pPr>
    </w:p>
    <w:p w14:paraId="015490E3" w14:textId="77777777" w:rsidR="00537F32" w:rsidRDefault="00000000">
      <w:pPr>
        <w:spacing w:after="0" w:line="480" w:lineRule="auto"/>
      </w:pPr>
      <w:r>
        <w:rPr>
          <w:rFonts w:cs="Calibri"/>
          <w:sz w:val="24"/>
          <w:szCs w:val="24"/>
          <w:shd w:val="clear" w:color="auto" w:fill="FFFFFF"/>
          <w:lang w:val="egy"/>
        </w:rPr>
        <w:lastRenderedPageBreak/>
        <w:t>Roblee argues that “divination is divinization”, that is, that divination involved a personal piety of self-identification with the deity.</w:t>
      </w:r>
      <w:r>
        <w:rPr>
          <w:rStyle w:val="FootnoteReference"/>
          <w:rFonts w:cs="Calibri"/>
          <w:sz w:val="24"/>
          <w:szCs w:val="24"/>
          <w:shd w:val="clear" w:color="auto" w:fill="FFFFFF"/>
          <w:lang w:val="egy"/>
        </w:rPr>
        <w:footnoteReference w:id="166"/>
      </w:r>
      <w:r>
        <w:rPr>
          <w:rFonts w:cs="Calibri"/>
          <w:sz w:val="24"/>
          <w:szCs w:val="24"/>
          <w:shd w:val="clear" w:color="auto" w:fill="FFFFFF"/>
          <w:lang w:val="egy"/>
        </w:rPr>
        <w:t xml:space="preserve"> His primary sources are from late Roman Egypt,</w:t>
      </w:r>
      <w:r>
        <w:rPr>
          <w:rStyle w:val="FootnoteReference"/>
          <w:rFonts w:cs="Calibri"/>
          <w:sz w:val="24"/>
          <w:szCs w:val="24"/>
          <w:shd w:val="clear" w:color="auto" w:fill="FFFFFF"/>
          <w:lang w:val="egy"/>
        </w:rPr>
        <w:footnoteReference w:id="167"/>
      </w:r>
      <w:r>
        <w:rPr>
          <w:rFonts w:cs="Calibri"/>
          <w:sz w:val="24"/>
          <w:szCs w:val="24"/>
          <w:shd w:val="clear" w:color="auto" w:fill="FFFFFF"/>
          <w:lang w:val="egy"/>
        </w:rPr>
        <w:t xml:space="preserve"> but there is no reason to consider this perspective did not extend far back into Egyptian history.</w:t>
      </w:r>
      <w:r>
        <w:rPr>
          <w:rStyle w:val="FootnoteReference"/>
          <w:rFonts w:cs="Calibri"/>
          <w:sz w:val="24"/>
          <w:szCs w:val="24"/>
          <w:shd w:val="clear" w:color="auto" w:fill="FFFFFF"/>
          <w:lang w:val="egy"/>
        </w:rPr>
        <w:footnoteReference w:id="168"/>
      </w:r>
      <w:r>
        <w:rPr>
          <w:rFonts w:cs="Calibri"/>
          <w:sz w:val="24"/>
          <w:szCs w:val="24"/>
          <w:shd w:val="clear" w:color="auto" w:fill="FFFFFF"/>
          <w:lang w:val="egy"/>
        </w:rPr>
        <w:t xml:space="preserve"> Whether via the public oracles, or some more private consultation (such as ‘bowl divination’) this practice of divinatory heka always linked the inquirer back to the primal. </w:t>
      </w:r>
      <w:r>
        <w:rPr>
          <w:rFonts w:cs="Calibri"/>
          <w:sz w:val="24"/>
          <w:szCs w:val="24"/>
        </w:rPr>
        <w:t>Brady actively relates cosmology to broader worldview:</w:t>
      </w:r>
    </w:p>
    <w:p w14:paraId="2446F3B6" w14:textId="77777777" w:rsidR="00537F32" w:rsidRDefault="00000000">
      <w:pPr>
        <w:spacing w:line="240" w:lineRule="auto"/>
        <w:ind w:left="720"/>
      </w:pPr>
      <w:r>
        <w:rPr>
          <w:rFonts w:cs="Calibri"/>
          <w:sz w:val="24"/>
          <w:szCs w:val="24"/>
        </w:rPr>
        <w:t xml:space="preserve">The nature of a culture’s creation mythology will…inform an individual of what is and what is not possible…With a creation based in chaosmos [i.e. as in Egypt] the world becomes an interlinked web of relationship and is embraced by the Stoic idea of </w:t>
      </w:r>
      <w:r>
        <w:rPr>
          <w:rFonts w:cs="Calibri"/>
          <w:i/>
          <w:iCs/>
          <w:sz w:val="24"/>
          <w:szCs w:val="24"/>
        </w:rPr>
        <w:t>sumpatheia</w:t>
      </w:r>
      <w:r>
        <w:rPr>
          <w:rFonts w:cs="Calibri"/>
          <w:sz w:val="24"/>
          <w:szCs w:val="24"/>
        </w:rPr>
        <w:t>.</w:t>
      </w:r>
      <w:r>
        <w:rPr>
          <w:rStyle w:val="FootnoteReference"/>
          <w:rFonts w:cs="Calibri"/>
          <w:sz w:val="24"/>
          <w:szCs w:val="24"/>
        </w:rPr>
        <w:t xml:space="preserve"> </w:t>
      </w:r>
      <w:r>
        <w:rPr>
          <w:rStyle w:val="FootnoteReference"/>
          <w:rFonts w:cs="Calibri"/>
          <w:sz w:val="24"/>
          <w:szCs w:val="24"/>
        </w:rPr>
        <w:footnoteReference w:id="169"/>
      </w:r>
    </w:p>
    <w:p w14:paraId="51005D24" w14:textId="77777777" w:rsidR="00537F32" w:rsidRDefault="00537F32">
      <w:pPr>
        <w:spacing w:after="0" w:line="480" w:lineRule="auto"/>
        <w:rPr>
          <w:rFonts w:cs="Calibri"/>
          <w:sz w:val="24"/>
          <w:szCs w:val="24"/>
        </w:rPr>
      </w:pPr>
    </w:p>
    <w:p w14:paraId="1602131F" w14:textId="2F46693B" w:rsidR="00537F32" w:rsidRDefault="00000000">
      <w:pPr>
        <w:spacing w:after="0" w:line="480" w:lineRule="auto"/>
      </w:pPr>
      <w:r>
        <w:rPr>
          <w:rFonts w:cs="Calibri"/>
          <w:sz w:val="24"/>
          <w:szCs w:val="24"/>
        </w:rPr>
        <w:t>Clearly the formalised astrology of the Greco-Roman period, hemerology and the Sothic divination system are unavoidably linked to observation of cosmic events that are in themselves eminently cyclic and predictable</w:t>
      </w:r>
      <w:r w:rsidR="00A9049D">
        <w:rPr>
          <w:rFonts w:cs="Calibri"/>
          <w:sz w:val="24"/>
          <w:szCs w:val="24"/>
        </w:rPr>
        <w:t>, but not in Egyptian terms particularly ‘cosmological’</w:t>
      </w:r>
      <w:r>
        <w:rPr>
          <w:rFonts w:cs="Calibri"/>
          <w:sz w:val="24"/>
          <w:szCs w:val="24"/>
        </w:rPr>
        <w:t xml:space="preserve">. </w:t>
      </w:r>
      <w:r w:rsidR="00A9049D">
        <w:rPr>
          <w:rFonts w:cs="Calibri"/>
          <w:sz w:val="24"/>
          <w:szCs w:val="24"/>
        </w:rPr>
        <w:t>W</w:t>
      </w:r>
      <w:r>
        <w:rPr>
          <w:rFonts w:cs="Calibri"/>
          <w:sz w:val="24"/>
          <w:szCs w:val="24"/>
        </w:rPr>
        <w:t>ith respect to other forms of Egyptian divination the relationship to cosmology is not one of direct derivation or causality between neatly-separated ‘theological departments’, but one of interpenetration. Nor should such a relationship be expected. All divination, even the most ‘interpretive’, relies on some degree of altered state of consciousness in the diviner:</w:t>
      </w:r>
      <w:r>
        <w:rPr>
          <w:rStyle w:val="FootnoteReference"/>
          <w:rFonts w:cs="Calibri"/>
          <w:sz w:val="24"/>
          <w:szCs w:val="24"/>
        </w:rPr>
        <w:footnoteReference w:id="170"/>
      </w:r>
      <w:r>
        <w:rPr>
          <w:rFonts w:cs="Calibri"/>
          <w:sz w:val="24"/>
          <w:szCs w:val="24"/>
        </w:rPr>
        <w:t xml:space="preserve"> whilst there can be well-defined paths for this in an established spiritual tradition, the unexpected is inevitable. Modern ‘chaos theory’ has </w:t>
      </w:r>
      <w:r>
        <w:rPr>
          <w:rFonts w:cs="Calibri"/>
          <w:sz w:val="24"/>
          <w:szCs w:val="24"/>
        </w:rPr>
        <w:lastRenderedPageBreak/>
        <w:t xml:space="preserve">demonstrated the need to go beyond linear thinking: the ancient idea of </w:t>
      </w:r>
      <w:r>
        <w:rPr>
          <w:rFonts w:cs="Calibri"/>
          <w:i/>
          <w:iCs/>
          <w:sz w:val="24"/>
          <w:szCs w:val="24"/>
        </w:rPr>
        <w:t>sumpatheia</w:t>
      </w:r>
      <w:r>
        <w:rPr>
          <w:rFonts w:cs="Calibri"/>
          <w:sz w:val="24"/>
          <w:szCs w:val="24"/>
        </w:rPr>
        <w:t xml:space="preserve"> – that everything influences everything else – can again be understood as underl</w:t>
      </w:r>
      <w:r w:rsidR="00E035C6">
        <w:rPr>
          <w:rFonts w:cs="Calibri"/>
          <w:sz w:val="24"/>
          <w:szCs w:val="24"/>
        </w:rPr>
        <w:t xml:space="preserve">ying </w:t>
      </w:r>
      <w:r>
        <w:rPr>
          <w:rFonts w:cs="Calibri"/>
          <w:sz w:val="24"/>
          <w:szCs w:val="24"/>
        </w:rPr>
        <w:t xml:space="preserve">apparent reality. </w:t>
      </w:r>
      <w:r>
        <w:rPr>
          <w:rFonts w:cs="Calibri"/>
          <w:i/>
          <w:iCs/>
          <w:sz w:val="24"/>
          <w:szCs w:val="24"/>
        </w:rPr>
        <w:t>Sumpatheia</w:t>
      </w:r>
      <w:r>
        <w:rPr>
          <w:rFonts w:cs="Calibri"/>
          <w:sz w:val="24"/>
          <w:szCs w:val="24"/>
        </w:rPr>
        <w:t xml:space="preserve"> is nonetheless always specific in its nature, something ‘true’ but rarely conducive to ‘logical analysis’. In Egypt, homology of macrocosm and divinable microcosm was axiomatic, not debated. Brady’s use of chaos theory with respect to astrology is relevant to all divinatory modes: they begin from points of ‘bifurcation’ and change.</w:t>
      </w:r>
      <w:r>
        <w:rPr>
          <w:rStyle w:val="FootnoteReference"/>
          <w:rFonts w:cs="Calibri"/>
          <w:sz w:val="24"/>
          <w:szCs w:val="24"/>
        </w:rPr>
        <w:footnoteReference w:id="171"/>
      </w:r>
      <w:r>
        <w:rPr>
          <w:rFonts w:cs="Calibri"/>
          <w:sz w:val="24"/>
          <w:szCs w:val="24"/>
        </w:rPr>
        <w:t xml:space="preserve"> Divination is therefore often prediction of unpredictability</w:t>
      </w:r>
      <w:r w:rsidR="00A9049D">
        <w:rPr>
          <w:rFonts w:cs="Calibri"/>
          <w:sz w:val="24"/>
          <w:szCs w:val="24"/>
        </w:rPr>
        <w:t>, “the risk of loss of ontological security”</w:t>
      </w:r>
      <w:r>
        <w:rPr>
          <w:rFonts w:cs="Calibri"/>
          <w:sz w:val="24"/>
          <w:szCs w:val="24"/>
        </w:rPr>
        <w:t>.</w:t>
      </w:r>
      <w:r w:rsidR="00A9049D">
        <w:rPr>
          <w:rStyle w:val="FootnoteReference"/>
          <w:rFonts w:cs="Calibri"/>
          <w:sz w:val="24"/>
          <w:szCs w:val="24"/>
        </w:rPr>
        <w:footnoteReference w:id="172"/>
      </w:r>
      <w:r>
        <w:rPr>
          <w:rFonts w:cs="Calibri"/>
          <w:sz w:val="24"/>
          <w:szCs w:val="24"/>
        </w:rPr>
        <w:t xml:space="preserve"> Frankfurter argues divination as “one of the most dynamic features of culture” both in “placid” and “complex times”.</w:t>
      </w:r>
      <w:r>
        <w:rPr>
          <w:rStyle w:val="FootnoteReference"/>
          <w:rFonts w:cs="Calibri"/>
          <w:sz w:val="24"/>
          <w:szCs w:val="24"/>
        </w:rPr>
        <w:footnoteReference w:id="173"/>
      </w:r>
    </w:p>
    <w:p w14:paraId="68A450BE" w14:textId="77777777" w:rsidR="00537F32" w:rsidRDefault="00537F32">
      <w:pPr>
        <w:spacing w:after="0" w:line="480" w:lineRule="auto"/>
        <w:rPr>
          <w:rFonts w:cs="Calibri"/>
          <w:sz w:val="24"/>
          <w:szCs w:val="24"/>
        </w:rPr>
      </w:pPr>
    </w:p>
    <w:p w14:paraId="02BA89FB" w14:textId="530B3886" w:rsidR="00537F32" w:rsidRDefault="00000000">
      <w:pPr>
        <w:spacing w:after="0" w:line="480" w:lineRule="auto"/>
      </w:pPr>
      <w:r>
        <w:rPr>
          <w:rFonts w:cs="Calibri"/>
          <w:sz w:val="24"/>
          <w:szCs w:val="24"/>
        </w:rPr>
        <w:t>Cosmology in Egypt is ubiquitous and embeds the Divine fully in both material and spiritual aspects of daily life. The God/</w:t>
      </w:r>
      <w:proofErr w:type="spellStart"/>
      <w:r>
        <w:rPr>
          <w:rFonts w:cs="Calibri"/>
          <w:sz w:val="24"/>
          <w:szCs w:val="24"/>
        </w:rPr>
        <w:t>dess</w:t>
      </w:r>
      <w:proofErr w:type="spellEnd"/>
      <w:r>
        <w:rPr>
          <w:rFonts w:cs="Calibri"/>
          <w:sz w:val="24"/>
          <w:szCs w:val="24"/>
        </w:rPr>
        <w:t>/e/s are present and mostly helpful, available to provide information that is not otherwise obvious or learnable.</w:t>
      </w:r>
      <w:r>
        <w:rPr>
          <w:rStyle w:val="FootnoteReference"/>
          <w:rFonts w:cs="Calibri"/>
          <w:sz w:val="24"/>
          <w:szCs w:val="24"/>
        </w:rPr>
        <w:footnoteReference w:id="174"/>
      </w:r>
      <w:r>
        <w:rPr>
          <w:rFonts w:cs="Calibri"/>
          <w:sz w:val="24"/>
          <w:szCs w:val="24"/>
        </w:rPr>
        <w:t xml:space="preserve"> Divination is a communion with that Divine: something practiced as often as seems worthwhile, whether for the purpose of ‘control of states’ or ‘planting a field’.</w:t>
      </w:r>
      <w:r>
        <w:rPr>
          <w:rStyle w:val="FootnoteReference"/>
          <w:rFonts w:cs="Calibri"/>
          <w:sz w:val="24"/>
          <w:szCs w:val="24"/>
        </w:rPr>
        <w:footnoteReference w:id="175"/>
      </w:r>
      <w:r>
        <w:rPr>
          <w:rFonts w:cs="Calibri"/>
          <w:sz w:val="24"/>
          <w:szCs w:val="24"/>
        </w:rPr>
        <w:t xml:space="preserve"> </w:t>
      </w:r>
      <w:r>
        <w:rPr>
          <w:rFonts w:cs="Calibri"/>
          <w:sz w:val="24"/>
          <w:szCs w:val="24"/>
          <w:shd w:val="clear" w:color="auto" w:fill="FFFFFF"/>
        </w:rPr>
        <w:t>Černý writes that</w:t>
      </w:r>
      <w:r>
        <w:rPr>
          <w:rFonts w:cs="Calibri"/>
          <w:sz w:val="24"/>
          <w:szCs w:val="24"/>
          <w:shd w:val="clear" w:color="auto" w:fill="FFFFFF"/>
          <w:lang w:val="egy"/>
        </w:rPr>
        <w:t xml:space="preserve"> “consultation with the gods through an oracle is the natural result of [human] reasoning”</w:t>
      </w:r>
      <w:r w:rsidR="00E035C6">
        <w:rPr>
          <w:rFonts w:cs="Calibri"/>
          <w:sz w:val="24"/>
          <w:szCs w:val="24"/>
          <w:shd w:val="clear" w:color="auto" w:fill="FFFFFF"/>
          <w:lang w:val="egy"/>
        </w:rPr>
        <w:t>.</w:t>
      </w:r>
      <w:r>
        <w:rPr>
          <w:rStyle w:val="FootnoteReference"/>
          <w:rFonts w:cs="Calibri"/>
          <w:sz w:val="24"/>
          <w:szCs w:val="24"/>
          <w:shd w:val="clear" w:color="auto" w:fill="FFFFFF"/>
          <w:lang w:val="egy"/>
        </w:rPr>
        <w:footnoteReference w:id="176"/>
      </w:r>
      <w:r>
        <w:rPr>
          <w:rFonts w:cs="Calibri"/>
          <w:sz w:val="24"/>
          <w:szCs w:val="24"/>
          <w:shd w:val="clear" w:color="auto" w:fill="FFFFFF"/>
          <w:lang w:val="egy"/>
        </w:rPr>
        <w:t xml:space="preserve"> In the specific context of Egypt, Tallet argues</w:t>
      </w:r>
      <w:r>
        <w:rPr>
          <w:rStyle w:val="FootnoteReference"/>
          <w:rFonts w:cs="Calibri"/>
          <w:sz w:val="24"/>
          <w:szCs w:val="24"/>
          <w:shd w:val="clear" w:color="auto" w:fill="FFFFFF"/>
          <w:lang w:val="egy"/>
        </w:rPr>
        <w:footnoteReference w:id="177"/>
      </w:r>
      <w:r>
        <w:rPr>
          <w:rFonts w:cs="Calibri"/>
          <w:sz w:val="24"/>
          <w:szCs w:val="24"/>
          <w:shd w:val="clear" w:color="auto" w:fill="FFFFFF"/>
          <w:lang w:val="egy"/>
        </w:rPr>
        <w:t xml:space="preserve"> “the oracle was a way to secure </w:t>
      </w:r>
      <w:r>
        <w:rPr>
          <w:rFonts w:cs="Calibri"/>
          <w:i/>
          <w:iCs/>
          <w:sz w:val="24"/>
          <w:szCs w:val="24"/>
          <w:shd w:val="clear" w:color="auto" w:fill="FFFFFF"/>
          <w:lang w:val="egy"/>
        </w:rPr>
        <w:t>maat</w:t>
      </w:r>
      <w:r>
        <w:rPr>
          <w:rFonts w:cs="Calibri"/>
          <w:sz w:val="24"/>
          <w:szCs w:val="24"/>
          <w:shd w:val="clear" w:color="auto" w:fill="FFFFFF"/>
          <w:lang w:val="egy"/>
        </w:rPr>
        <w:t>” and that the oracle was a point of contact between ‘two worlds’, standing between and mediating them</w:t>
      </w:r>
      <w:r w:rsidR="00E035C6">
        <w:rPr>
          <w:rFonts w:cs="Calibri"/>
          <w:sz w:val="24"/>
          <w:szCs w:val="24"/>
          <w:shd w:val="clear" w:color="auto" w:fill="FFFFFF"/>
          <w:lang w:val="egy"/>
        </w:rPr>
        <w:t>.</w:t>
      </w:r>
      <w:r>
        <w:rPr>
          <w:rStyle w:val="FootnoteReference"/>
          <w:rFonts w:cs="Calibri"/>
          <w:sz w:val="24"/>
          <w:szCs w:val="24"/>
          <w:shd w:val="clear" w:color="auto" w:fill="FFFFFF"/>
          <w:lang w:val="egy"/>
        </w:rPr>
        <w:footnoteReference w:id="178"/>
      </w:r>
      <w:r>
        <w:rPr>
          <w:rFonts w:cs="Calibri"/>
          <w:sz w:val="24"/>
          <w:szCs w:val="24"/>
          <w:shd w:val="clear" w:color="auto" w:fill="FFFFFF"/>
          <w:lang w:val="egy"/>
        </w:rPr>
        <w:t xml:space="preserve"> This </w:t>
      </w:r>
      <w:r>
        <w:rPr>
          <w:rFonts w:cs="Calibri"/>
          <w:sz w:val="24"/>
          <w:szCs w:val="24"/>
          <w:shd w:val="clear" w:color="auto" w:fill="FFFFFF"/>
          <w:lang w:val="egy"/>
        </w:rPr>
        <w:lastRenderedPageBreak/>
        <w:t>principle applies to the whole of Egyptian divination. Despite the profusion of individual deities in Egypt, there seems to be none with ‘specific responsibility’ for divinatory practice.</w:t>
      </w:r>
      <w:r>
        <w:rPr>
          <w:rStyle w:val="FootnoteReference"/>
          <w:rFonts w:cs="Calibri"/>
          <w:sz w:val="24"/>
          <w:szCs w:val="24"/>
          <w:shd w:val="clear" w:color="auto" w:fill="FFFFFF"/>
          <w:lang w:val="egy"/>
        </w:rPr>
        <w:footnoteReference w:id="179"/>
      </w:r>
      <w:r>
        <w:rPr>
          <w:rFonts w:cs="Calibri"/>
          <w:sz w:val="24"/>
          <w:szCs w:val="24"/>
          <w:shd w:val="clear" w:color="auto" w:fill="FFFFFF"/>
          <w:lang w:val="egy"/>
        </w:rPr>
        <w:t xml:space="preserve"> Rather, Ritner argues the primal Heka as general patron of Egyptian oracles “Lord of revelations, who predicts what will happen”;</w:t>
      </w:r>
      <w:r>
        <w:rPr>
          <w:rStyle w:val="FootnoteReference"/>
          <w:rFonts w:cs="Calibri"/>
          <w:sz w:val="24"/>
          <w:szCs w:val="24"/>
          <w:shd w:val="clear" w:color="auto" w:fill="FFFFFF"/>
          <w:lang w:val="egy"/>
        </w:rPr>
        <w:footnoteReference w:id="180"/>
      </w:r>
      <w:r>
        <w:rPr>
          <w:rFonts w:cs="Calibri"/>
          <w:sz w:val="24"/>
          <w:szCs w:val="24"/>
          <w:shd w:val="clear" w:color="auto" w:fill="FFFFFF"/>
          <w:lang w:val="egy"/>
        </w:rPr>
        <w:t xml:space="preserve"> “at once private and priestly, the peh-netjer epitomizes the force of Heka within the legally sanctioned practices of religion”.</w:t>
      </w:r>
      <w:r>
        <w:rPr>
          <w:rStyle w:val="FootnoteReference"/>
          <w:rFonts w:cs="Calibri"/>
          <w:sz w:val="24"/>
          <w:szCs w:val="24"/>
          <w:shd w:val="clear" w:color="auto" w:fill="FFFFFF"/>
          <w:lang w:val="egy"/>
        </w:rPr>
        <w:footnoteReference w:id="181"/>
      </w:r>
      <w:r>
        <w:rPr>
          <w:rFonts w:cs="Calibri"/>
          <w:sz w:val="24"/>
          <w:szCs w:val="24"/>
          <w:shd w:val="clear" w:color="auto" w:fill="FFFFFF"/>
          <w:lang w:val="egy"/>
        </w:rPr>
        <w:t xml:space="preserve"> </w:t>
      </w:r>
    </w:p>
    <w:p w14:paraId="494C0673" w14:textId="77777777" w:rsidR="00537F32" w:rsidRDefault="00537F32">
      <w:pPr>
        <w:spacing w:after="0" w:line="480" w:lineRule="auto"/>
        <w:rPr>
          <w:rFonts w:cs="Calibri"/>
          <w:sz w:val="24"/>
          <w:szCs w:val="24"/>
          <w:shd w:val="clear" w:color="auto" w:fill="FFFFFF"/>
          <w:lang w:val="egy"/>
        </w:rPr>
      </w:pPr>
    </w:p>
    <w:p w14:paraId="275C66BA" w14:textId="4267E827" w:rsidR="00FB4FF7" w:rsidRDefault="00FB4FF7">
      <w:pPr>
        <w:suppressAutoHyphens w:val="0"/>
        <w:spacing w:line="249" w:lineRule="auto"/>
        <w:rPr>
          <w:rFonts w:cs="Calibri"/>
          <w:sz w:val="24"/>
          <w:szCs w:val="24"/>
          <w:u w:val="single"/>
          <w:shd w:val="clear" w:color="auto" w:fill="FFFFFF"/>
          <w:lang w:val="egy"/>
        </w:rPr>
      </w:pPr>
    </w:p>
    <w:p w14:paraId="291570EB" w14:textId="77777777" w:rsidR="00F26FAE" w:rsidRDefault="00F26FAE">
      <w:pPr>
        <w:suppressAutoHyphens w:val="0"/>
        <w:spacing w:line="249" w:lineRule="auto"/>
        <w:rPr>
          <w:rFonts w:cs="Calibri"/>
          <w:sz w:val="24"/>
          <w:szCs w:val="24"/>
          <w:u w:val="single"/>
          <w:shd w:val="clear" w:color="auto" w:fill="FFFFFF"/>
          <w:lang w:val="egy"/>
        </w:rPr>
      </w:pPr>
    </w:p>
    <w:p w14:paraId="403D6CD4" w14:textId="77777777" w:rsidR="00F26FAE" w:rsidRDefault="00F26FAE">
      <w:pPr>
        <w:suppressAutoHyphens w:val="0"/>
        <w:spacing w:line="249" w:lineRule="auto"/>
        <w:rPr>
          <w:rFonts w:cs="Calibri"/>
          <w:sz w:val="24"/>
          <w:szCs w:val="24"/>
          <w:u w:val="single"/>
          <w:shd w:val="clear" w:color="auto" w:fill="FFFFFF"/>
          <w:lang w:val="egy"/>
        </w:rPr>
      </w:pPr>
    </w:p>
    <w:p w14:paraId="04A04053" w14:textId="32CE1730" w:rsidR="00537F32" w:rsidRDefault="00000000">
      <w:pPr>
        <w:spacing w:after="0" w:line="480" w:lineRule="auto"/>
        <w:rPr>
          <w:rFonts w:cs="Calibri"/>
          <w:sz w:val="24"/>
          <w:szCs w:val="24"/>
          <w:u w:val="single"/>
          <w:shd w:val="clear" w:color="auto" w:fill="FFFFFF"/>
          <w:lang w:val="egy"/>
        </w:rPr>
      </w:pPr>
      <w:r>
        <w:rPr>
          <w:rFonts w:cs="Calibri"/>
          <w:sz w:val="24"/>
          <w:szCs w:val="24"/>
          <w:u w:val="single"/>
          <w:shd w:val="clear" w:color="auto" w:fill="FFFFFF"/>
          <w:lang w:val="egy"/>
        </w:rPr>
        <w:t>Works Cited</w:t>
      </w:r>
    </w:p>
    <w:p w14:paraId="0A52D3A9" w14:textId="60FF8ADE" w:rsidR="00111209" w:rsidRDefault="00111209" w:rsidP="00111209">
      <w:pPr>
        <w:pStyle w:val="NormalWeb"/>
        <w:shd w:val="clear" w:color="auto" w:fill="FFFFFF"/>
        <w:spacing w:before="0" w:after="120"/>
      </w:pPr>
      <w:r>
        <w:rPr>
          <w:rFonts w:ascii="Calibri" w:hAnsi="Calibri" w:cs="Calibri"/>
          <w:color w:val="000000"/>
        </w:rPr>
        <w:t>ABDEL-HADI, YASSER A. &amp; YEHIA, M. 2008. Astronomical Interpretation of the Winding Canal in the Pyramid Texts. </w:t>
      </w:r>
      <w:r>
        <w:rPr>
          <w:rFonts w:ascii="Calibri" w:hAnsi="Calibri" w:cs="Calibri"/>
          <w:i/>
          <w:iCs/>
          <w:color w:val="000000"/>
        </w:rPr>
        <w:t>NRAIG Journal of Astronomy and Geophysics,</w:t>
      </w:r>
      <w:r>
        <w:rPr>
          <w:rFonts w:ascii="Calibri" w:hAnsi="Calibri" w:cs="Calibri"/>
          <w:color w:val="000000"/>
        </w:rPr>
        <w:t xml:space="preserve"> pp. 317-340.</w:t>
      </w:r>
    </w:p>
    <w:p w14:paraId="268EC15A" w14:textId="4620B2D1" w:rsidR="00111209" w:rsidRDefault="00111209" w:rsidP="00111209">
      <w:pPr>
        <w:pStyle w:val="NormalWeb"/>
        <w:shd w:val="clear" w:color="auto" w:fill="FFFFFF"/>
        <w:spacing w:before="0" w:after="120"/>
      </w:pPr>
      <w:r>
        <w:rPr>
          <w:rFonts w:ascii="Calibri" w:hAnsi="Calibri" w:cs="Calibri"/>
          <w:color w:val="000000"/>
        </w:rPr>
        <w:t xml:space="preserve">ADDEY, C. </w:t>
      </w:r>
      <w:r w:rsidR="007347B4">
        <w:rPr>
          <w:rFonts w:ascii="Calibri" w:hAnsi="Calibri" w:cs="Calibri"/>
          <w:color w:val="000000"/>
        </w:rPr>
        <w:t>(</w:t>
      </w:r>
      <w:r>
        <w:rPr>
          <w:rFonts w:ascii="Calibri" w:hAnsi="Calibri" w:cs="Calibri"/>
          <w:color w:val="000000"/>
        </w:rPr>
        <w:t>ed</w:t>
      </w:r>
      <w:r w:rsidR="007347B4">
        <w:rPr>
          <w:rFonts w:ascii="Calibri" w:hAnsi="Calibri" w:cs="Calibri"/>
          <w:color w:val="000000"/>
        </w:rPr>
        <w:t>)</w:t>
      </w:r>
      <w:r>
        <w:rPr>
          <w:rFonts w:ascii="Calibri" w:hAnsi="Calibri" w:cs="Calibri"/>
          <w:color w:val="000000"/>
        </w:rPr>
        <w:t>, 2022. </w:t>
      </w:r>
      <w:r>
        <w:rPr>
          <w:rFonts w:ascii="Calibri" w:hAnsi="Calibri" w:cs="Calibri"/>
          <w:i/>
          <w:iCs/>
          <w:color w:val="000000"/>
        </w:rPr>
        <w:t>Divination and knowledge in Greco-Roman antiquity. </w:t>
      </w:r>
      <w:r>
        <w:rPr>
          <w:rFonts w:ascii="Calibri" w:hAnsi="Calibri" w:cs="Calibri"/>
          <w:color w:val="000000"/>
        </w:rPr>
        <w:t>1 edn. London: Routledge.</w:t>
      </w:r>
    </w:p>
    <w:p w14:paraId="4D9C740F" w14:textId="4FB87D11" w:rsidR="00111209" w:rsidRDefault="00111209" w:rsidP="00111209">
      <w:pPr>
        <w:pStyle w:val="NormalWeb"/>
        <w:shd w:val="clear" w:color="auto" w:fill="FFFFFF"/>
        <w:spacing w:before="0" w:after="120"/>
      </w:pPr>
      <w:r>
        <w:rPr>
          <w:rFonts w:ascii="Calibri" w:hAnsi="Calibri" w:cs="Calibri"/>
          <w:color w:val="000000"/>
        </w:rPr>
        <w:t>ALLEN, J.P</w:t>
      </w:r>
      <w:r w:rsidR="007347B4">
        <w:rPr>
          <w:rFonts w:ascii="Calibri" w:hAnsi="Calibri" w:cs="Calibri"/>
          <w:color w:val="000000"/>
        </w:rPr>
        <w:t>.</w:t>
      </w:r>
      <w:r>
        <w:rPr>
          <w:rFonts w:ascii="Calibri" w:hAnsi="Calibri" w:cs="Calibri"/>
          <w:color w:val="000000"/>
        </w:rPr>
        <w:t xml:space="preserve"> 1988. </w:t>
      </w:r>
      <w:r>
        <w:rPr>
          <w:rFonts w:ascii="Calibri" w:hAnsi="Calibri" w:cs="Calibri"/>
          <w:i/>
          <w:iCs/>
          <w:color w:val="000000"/>
        </w:rPr>
        <w:t>Genesis in Egypt. </w:t>
      </w:r>
      <w:r>
        <w:rPr>
          <w:rFonts w:ascii="Calibri" w:hAnsi="Calibri" w:cs="Calibri"/>
          <w:color w:val="000000"/>
        </w:rPr>
        <w:t>New haven, Connecticut: Yale University.</w:t>
      </w:r>
    </w:p>
    <w:p w14:paraId="061D3F8A" w14:textId="53520A1F" w:rsidR="00111209" w:rsidRDefault="00111209" w:rsidP="00111209">
      <w:pPr>
        <w:pStyle w:val="NormalWeb"/>
        <w:shd w:val="clear" w:color="auto" w:fill="FFFFFF"/>
        <w:spacing w:before="0" w:after="120"/>
      </w:pPr>
      <w:r>
        <w:rPr>
          <w:rFonts w:ascii="Calibri" w:hAnsi="Calibri" w:cs="Calibri"/>
          <w:color w:val="000000"/>
        </w:rPr>
        <w:t>ALLEN, J.P</w:t>
      </w:r>
      <w:r w:rsidR="007347B4">
        <w:rPr>
          <w:rFonts w:ascii="Calibri" w:hAnsi="Calibri" w:cs="Calibri"/>
          <w:color w:val="000000"/>
        </w:rPr>
        <w:t>.</w:t>
      </w:r>
      <w:r>
        <w:rPr>
          <w:rFonts w:ascii="Calibri" w:hAnsi="Calibri" w:cs="Calibri"/>
          <w:color w:val="000000"/>
        </w:rPr>
        <w:t xml:space="preserve"> 2001. Heliopolis. In: D.B. REDFORD, ed, </w:t>
      </w:r>
      <w:r>
        <w:rPr>
          <w:rFonts w:ascii="Calibri" w:hAnsi="Calibri" w:cs="Calibri"/>
          <w:i/>
          <w:iCs/>
          <w:color w:val="000000"/>
        </w:rPr>
        <w:t>The Oxford Encyclopedia of Ancient Egypt (vol. 2). </w:t>
      </w:r>
      <w:r>
        <w:rPr>
          <w:rFonts w:ascii="Calibri" w:hAnsi="Calibri" w:cs="Calibri"/>
          <w:color w:val="000000"/>
        </w:rPr>
        <w:t>Oxford: Oxford University Press, pp. 88-90.</w:t>
      </w:r>
    </w:p>
    <w:p w14:paraId="2B1B4DAD" w14:textId="0AB605FB" w:rsidR="00111209" w:rsidRDefault="00111209" w:rsidP="00111209">
      <w:pPr>
        <w:pStyle w:val="NormalWeb"/>
        <w:shd w:val="clear" w:color="auto" w:fill="FFFFFF"/>
        <w:spacing w:before="0" w:after="120"/>
      </w:pPr>
      <w:r>
        <w:rPr>
          <w:rFonts w:ascii="Calibri" w:hAnsi="Calibri" w:cs="Calibri"/>
          <w:color w:val="000000"/>
        </w:rPr>
        <w:t>ALLEN, J.P</w:t>
      </w:r>
      <w:r w:rsidR="007347B4">
        <w:rPr>
          <w:rFonts w:ascii="Calibri" w:hAnsi="Calibri" w:cs="Calibri"/>
          <w:color w:val="000000"/>
        </w:rPr>
        <w:t>.</w:t>
      </w:r>
      <w:r>
        <w:rPr>
          <w:rFonts w:ascii="Calibri" w:hAnsi="Calibri" w:cs="Calibri"/>
          <w:color w:val="000000"/>
        </w:rPr>
        <w:t xml:space="preserve"> 2005. </w:t>
      </w:r>
      <w:r>
        <w:rPr>
          <w:rFonts w:ascii="Calibri" w:hAnsi="Calibri" w:cs="Calibri"/>
          <w:i/>
          <w:iCs/>
          <w:color w:val="000000"/>
        </w:rPr>
        <w:t>The ancient Egyptian pyramid texts. </w:t>
      </w:r>
      <w:r>
        <w:rPr>
          <w:rFonts w:ascii="Calibri" w:hAnsi="Calibri" w:cs="Calibri"/>
          <w:color w:val="000000"/>
        </w:rPr>
        <w:t>Atlanta: Society of Biblical Literature.</w:t>
      </w:r>
    </w:p>
    <w:p w14:paraId="517FB6B2" w14:textId="7A891AD2" w:rsidR="00111209" w:rsidRDefault="00111209" w:rsidP="00111209">
      <w:pPr>
        <w:pStyle w:val="NormalWeb"/>
        <w:shd w:val="clear" w:color="auto" w:fill="FFFFFF"/>
        <w:spacing w:before="0" w:after="120"/>
      </w:pPr>
      <w:r>
        <w:rPr>
          <w:rFonts w:ascii="Calibri" w:hAnsi="Calibri" w:cs="Calibri"/>
          <w:color w:val="000000"/>
        </w:rPr>
        <w:t>ALLEN, J.P</w:t>
      </w:r>
      <w:r w:rsidR="007347B4">
        <w:rPr>
          <w:rFonts w:ascii="Calibri" w:hAnsi="Calibri" w:cs="Calibri"/>
          <w:color w:val="000000"/>
        </w:rPr>
        <w:t>.</w:t>
      </w:r>
      <w:r>
        <w:rPr>
          <w:rFonts w:ascii="Calibri" w:hAnsi="Calibri" w:cs="Calibri"/>
          <w:color w:val="000000"/>
        </w:rPr>
        <w:t xml:space="preserve"> 2015. Egyptian Cosmology and Cosmogony. In: C.L.N. RUGGLES, ed, </w:t>
      </w:r>
      <w:r>
        <w:rPr>
          <w:rFonts w:ascii="Calibri" w:hAnsi="Calibri" w:cs="Calibri"/>
          <w:i/>
          <w:iCs/>
          <w:color w:val="000000"/>
        </w:rPr>
        <w:t xml:space="preserve">Handbook of </w:t>
      </w:r>
      <w:proofErr w:type="spellStart"/>
      <w:r>
        <w:rPr>
          <w:rFonts w:ascii="Calibri" w:hAnsi="Calibri" w:cs="Calibri"/>
          <w:i/>
          <w:iCs/>
          <w:color w:val="000000"/>
        </w:rPr>
        <w:t>Archaeoastronomy</w:t>
      </w:r>
      <w:proofErr w:type="spellEnd"/>
      <w:r>
        <w:rPr>
          <w:rFonts w:ascii="Calibri" w:hAnsi="Calibri" w:cs="Calibri"/>
          <w:i/>
          <w:iCs/>
          <w:color w:val="000000"/>
        </w:rPr>
        <w:t xml:space="preserve"> and Ethnoastronomy. </w:t>
      </w:r>
      <w:r>
        <w:rPr>
          <w:rFonts w:ascii="Calibri" w:hAnsi="Calibri" w:cs="Calibri"/>
          <w:color w:val="000000"/>
        </w:rPr>
        <w:t>New York: Springer, pp. 1471-1475.</w:t>
      </w:r>
    </w:p>
    <w:p w14:paraId="2B90A421" w14:textId="77777777" w:rsidR="00111209" w:rsidRDefault="00111209" w:rsidP="00111209">
      <w:pPr>
        <w:pStyle w:val="NormalWeb"/>
        <w:shd w:val="clear" w:color="auto" w:fill="FFFFFF"/>
        <w:spacing w:before="0" w:after="120"/>
      </w:pPr>
      <w:r>
        <w:rPr>
          <w:rFonts w:ascii="Calibri" w:hAnsi="Calibri" w:cs="Calibri"/>
          <w:color w:val="000000"/>
        </w:rPr>
        <w:t>ASHRAF ABOUL-FETOOH MOSTAFA, 2012. Caves of the Nile Valley (Governorate of Assiut, Middle Egypt): a long-term interaction between human societies and their environment. </w:t>
      </w:r>
      <w:proofErr w:type="spellStart"/>
      <w:r>
        <w:rPr>
          <w:rFonts w:ascii="Calibri" w:hAnsi="Calibri" w:cs="Calibri"/>
          <w:i/>
          <w:iCs/>
          <w:color w:val="000000"/>
        </w:rPr>
        <w:t>Géomorphologie</w:t>
      </w:r>
      <w:proofErr w:type="spellEnd"/>
      <w:r>
        <w:rPr>
          <w:rFonts w:ascii="Calibri" w:hAnsi="Calibri" w:cs="Calibri"/>
          <w:i/>
          <w:iCs/>
          <w:color w:val="000000"/>
        </w:rPr>
        <w:t>, </w:t>
      </w:r>
      <w:r w:rsidRPr="007347B4">
        <w:rPr>
          <w:rFonts w:ascii="Calibri" w:hAnsi="Calibri" w:cs="Calibri"/>
          <w:color w:val="000000"/>
        </w:rPr>
        <w:t>18</w:t>
      </w:r>
      <w:r>
        <w:rPr>
          <w:rFonts w:ascii="Calibri" w:hAnsi="Calibri" w:cs="Calibri"/>
          <w:color w:val="000000"/>
        </w:rPr>
        <w:t>(1), pp. 37-44.</w:t>
      </w:r>
    </w:p>
    <w:p w14:paraId="66F55B2E" w14:textId="67C67754" w:rsidR="00111209" w:rsidRDefault="00111209" w:rsidP="00111209">
      <w:pPr>
        <w:pStyle w:val="NormalWeb"/>
        <w:shd w:val="clear" w:color="auto" w:fill="FFFFFF"/>
        <w:spacing w:before="0" w:after="120"/>
      </w:pPr>
      <w:r>
        <w:rPr>
          <w:rFonts w:ascii="Calibri" w:hAnsi="Calibri" w:cs="Calibri"/>
          <w:color w:val="000000"/>
        </w:rPr>
        <w:t>ASSMANN, J</w:t>
      </w:r>
      <w:r w:rsidR="007347B4">
        <w:rPr>
          <w:rFonts w:ascii="Calibri" w:hAnsi="Calibri" w:cs="Calibri"/>
          <w:color w:val="000000"/>
        </w:rPr>
        <w:t>.</w:t>
      </w:r>
      <w:r>
        <w:rPr>
          <w:rFonts w:ascii="Calibri" w:hAnsi="Calibri" w:cs="Calibri"/>
          <w:color w:val="000000"/>
        </w:rPr>
        <w:t xml:space="preserve"> 1994. Oracular desire in a time of darkness: Urban festivals and divine visibility in Ancient Egypt. </w:t>
      </w:r>
      <w:r>
        <w:rPr>
          <w:rFonts w:ascii="Calibri" w:hAnsi="Calibri" w:cs="Calibri"/>
          <w:i/>
          <w:iCs/>
          <w:color w:val="000000"/>
        </w:rPr>
        <w:t>Yearbook of Religious Anthropology 1. </w:t>
      </w:r>
      <w:r>
        <w:rPr>
          <w:rFonts w:ascii="Calibri" w:hAnsi="Calibri" w:cs="Calibri"/>
          <w:color w:val="000000"/>
        </w:rPr>
        <w:t>pp. 13-19.</w:t>
      </w:r>
    </w:p>
    <w:p w14:paraId="6DB7E1B4" w14:textId="0F559346" w:rsidR="00111209" w:rsidRDefault="00111209" w:rsidP="00111209">
      <w:pPr>
        <w:pStyle w:val="NormalWeb"/>
        <w:shd w:val="clear" w:color="auto" w:fill="FFFFFF"/>
        <w:spacing w:before="0" w:after="120"/>
      </w:pPr>
      <w:r>
        <w:rPr>
          <w:rFonts w:ascii="Calibri" w:hAnsi="Calibri" w:cs="Calibri"/>
          <w:color w:val="000000"/>
        </w:rPr>
        <w:t>ATHANASSIADI, P. 1993. Dreams, Theurgy and Freelance Divination: the Testimony of Iamblichus. </w:t>
      </w:r>
      <w:r>
        <w:rPr>
          <w:rFonts w:ascii="Calibri" w:hAnsi="Calibri" w:cs="Calibri"/>
          <w:i/>
          <w:iCs/>
          <w:color w:val="000000"/>
        </w:rPr>
        <w:t>The Journal of Roman studies, </w:t>
      </w:r>
      <w:r w:rsidRPr="007347B4">
        <w:rPr>
          <w:rFonts w:ascii="Calibri" w:hAnsi="Calibri" w:cs="Calibri"/>
          <w:color w:val="000000"/>
        </w:rPr>
        <w:t>83</w:t>
      </w:r>
      <w:r>
        <w:rPr>
          <w:rFonts w:ascii="Calibri" w:hAnsi="Calibri" w:cs="Calibri"/>
          <w:color w:val="000000"/>
        </w:rPr>
        <w:t>, pp. 115-130.</w:t>
      </w:r>
    </w:p>
    <w:p w14:paraId="425AA91B" w14:textId="078926FD" w:rsidR="00111209" w:rsidRDefault="00111209" w:rsidP="00111209">
      <w:pPr>
        <w:pStyle w:val="NormalWeb"/>
        <w:shd w:val="clear" w:color="auto" w:fill="FFFFFF"/>
        <w:spacing w:before="0" w:after="120"/>
      </w:pPr>
      <w:r>
        <w:rPr>
          <w:rFonts w:ascii="Calibri" w:hAnsi="Calibri" w:cs="Calibri"/>
          <w:color w:val="000000"/>
        </w:rPr>
        <w:lastRenderedPageBreak/>
        <w:t>BÁCS, T.A</w:t>
      </w:r>
      <w:r w:rsidR="007347B4">
        <w:rPr>
          <w:rFonts w:ascii="Calibri" w:hAnsi="Calibri" w:cs="Calibri"/>
          <w:color w:val="000000"/>
        </w:rPr>
        <w:t>.</w:t>
      </w:r>
      <w:r>
        <w:rPr>
          <w:rFonts w:ascii="Calibri" w:hAnsi="Calibri" w:cs="Calibri"/>
          <w:color w:val="000000"/>
        </w:rPr>
        <w:t xml:space="preserve"> 1990. Two Calendars of Lucky and Unlucky Days. </w:t>
      </w:r>
      <w:proofErr w:type="spellStart"/>
      <w:r>
        <w:rPr>
          <w:rFonts w:ascii="Calibri" w:hAnsi="Calibri" w:cs="Calibri"/>
          <w:i/>
          <w:iCs/>
          <w:color w:val="000000"/>
        </w:rPr>
        <w:t>Studien</w:t>
      </w:r>
      <w:proofErr w:type="spellEnd"/>
      <w:r>
        <w:rPr>
          <w:rFonts w:ascii="Calibri" w:hAnsi="Calibri" w:cs="Calibri"/>
          <w:i/>
          <w:iCs/>
          <w:color w:val="000000"/>
        </w:rPr>
        <w:t xml:space="preserve"> </w:t>
      </w:r>
      <w:proofErr w:type="spellStart"/>
      <w:r>
        <w:rPr>
          <w:rFonts w:ascii="Calibri" w:hAnsi="Calibri" w:cs="Calibri"/>
          <w:i/>
          <w:iCs/>
          <w:color w:val="000000"/>
        </w:rPr>
        <w:t>zur</w:t>
      </w:r>
      <w:proofErr w:type="spellEnd"/>
      <w:r>
        <w:rPr>
          <w:rFonts w:ascii="Calibri" w:hAnsi="Calibri" w:cs="Calibri"/>
          <w:i/>
          <w:iCs/>
          <w:color w:val="000000"/>
        </w:rPr>
        <w:t xml:space="preserve"> </w:t>
      </w:r>
      <w:proofErr w:type="spellStart"/>
      <w:r>
        <w:rPr>
          <w:rFonts w:ascii="Calibri" w:hAnsi="Calibri" w:cs="Calibri"/>
          <w:i/>
          <w:iCs/>
          <w:color w:val="000000"/>
        </w:rPr>
        <w:t>altägyptischen</w:t>
      </w:r>
      <w:proofErr w:type="spellEnd"/>
      <w:r>
        <w:rPr>
          <w:rFonts w:ascii="Calibri" w:hAnsi="Calibri" w:cs="Calibri"/>
          <w:i/>
          <w:iCs/>
          <w:color w:val="000000"/>
        </w:rPr>
        <w:t xml:space="preserve"> Kultur, </w:t>
      </w:r>
      <w:r w:rsidRPr="007347B4">
        <w:rPr>
          <w:rFonts w:ascii="Calibri" w:hAnsi="Calibri" w:cs="Calibri"/>
          <w:color w:val="000000"/>
        </w:rPr>
        <w:t>17</w:t>
      </w:r>
      <w:r>
        <w:rPr>
          <w:rFonts w:ascii="Calibri" w:hAnsi="Calibri" w:cs="Calibri"/>
          <w:color w:val="000000"/>
        </w:rPr>
        <w:t>, pp. 41-64.</w:t>
      </w:r>
    </w:p>
    <w:p w14:paraId="2B164E3F" w14:textId="0481128A" w:rsidR="00111209" w:rsidRDefault="00111209" w:rsidP="00111209">
      <w:pPr>
        <w:pStyle w:val="NormalWeb"/>
        <w:shd w:val="clear" w:color="auto" w:fill="FFFFFF"/>
        <w:spacing w:before="0" w:after="120"/>
      </w:pPr>
      <w:r>
        <w:rPr>
          <w:rFonts w:ascii="Calibri" w:hAnsi="Calibri" w:cs="Calibri"/>
          <w:color w:val="000000"/>
        </w:rPr>
        <w:t>BAINES, J</w:t>
      </w:r>
      <w:r w:rsidR="007347B4">
        <w:rPr>
          <w:rFonts w:ascii="Calibri" w:hAnsi="Calibri" w:cs="Calibri"/>
          <w:color w:val="000000"/>
        </w:rPr>
        <w:t>.</w:t>
      </w:r>
      <w:r>
        <w:rPr>
          <w:rFonts w:ascii="Calibri" w:hAnsi="Calibri" w:cs="Calibri"/>
          <w:color w:val="000000"/>
        </w:rPr>
        <w:t xml:space="preserve"> 1987. Practical Religion and Piety. </w:t>
      </w:r>
      <w:r>
        <w:rPr>
          <w:rFonts w:ascii="Calibri" w:hAnsi="Calibri" w:cs="Calibri"/>
          <w:i/>
          <w:iCs/>
          <w:color w:val="000000"/>
        </w:rPr>
        <w:t>Journal of Egyptian archaeology, </w:t>
      </w:r>
      <w:r>
        <w:rPr>
          <w:rFonts w:ascii="Calibri" w:hAnsi="Calibri" w:cs="Calibri"/>
          <w:b/>
          <w:bCs/>
          <w:color w:val="000000"/>
        </w:rPr>
        <w:t>73</w:t>
      </w:r>
      <w:r>
        <w:rPr>
          <w:rFonts w:ascii="Calibri" w:hAnsi="Calibri" w:cs="Calibri"/>
          <w:color w:val="000000"/>
        </w:rPr>
        <w:t>, pp. 79.</w:t>
      </w:r>
    </w:p>
    <w:p w14:paraId="11C48DC6" w14:textId="2B8DD9E1" w:rsidR="00111209" w:rsidRDefault="00111209" w:rsidP="00111209">
      <w:pPr>
        <w:pStyle w:val="NormalWeb"/>
        <w:shd w:val="clear" w:color="auto" w:fill="FFFFFF"/>
        <w:spacing w:before="0" w:after="120"/>
      </w:pPr>
      <w:r>
        <w:rPr>
          <w:rFonts w:ascii="Calibri" w:hAnsi="Calibri" w:cs="Calibri"/>
          <w:color w:val="000000"/>
        </w:rPr>
        <w:t>BELMONTE, J.A</w:t>
      </w:r>
      <w:r w:rsidR="007347B4">
        <w:rPr>
          <w:rFonts w:ascii="Calibri" w:hAnsi="Calibri" w:cs="Calibri"/>
          <w:color w:val="000000"/>
        </w:rPr>
        <w:t>.</w:t>
      </w:r>
      <w:r>
        <w:rPr>
          <w:rFonts w:ascii="Calibri" w:hAnsi="Calibri" w:cs="Calibri"/>
          <w:color w:val="000000"/>
        </w:rPr>
        <w:t xml:space="preserve"> 2009. In search of cosmic order: Astronomy and culture in Ancient Egypt. </w:t>
      </w:r>
      <w:r>
        <w:rPr>
          <w:rFonts w:ascii="Calibri" w:hAnsi="Calibri" w:cs="Calibri"/>
          <w:i/>
          <w:iCs/>
          <w:color w:val="000000"/>
        </w:rPr>
        <w:t>Proceedings of the International Astronomical Union</w:t>
      </w:r>
      <w:r w:rsidRPr="007347B4">
        <w:rPr>
          <w:rFonts w:ascii="Calibri" w:hAnsi="Calibri" w:cs="Calibri"/>
          <w:i/>
          <w:iCs/>
          <w:color w:val="000000"/>
        </w:rPr>
        <w:t>, </w:t>
      </w:r>
      <w:r w:rsidRPr="007347B4">
        <w:rPr>
          <w:rFonts w:ascii="Calibri" w:hAnsi="Calibri" w:cs="Calibri"/>
          <w:color w:val="000000"/>
        </w:rPr>
        <w:t>5</w:t>
      </w:r>
      <w:r>
        <w:rPr>
          <w:rFonts w:ascii="Calibri" w:hAnsi="Calibri" w:cs="Calibri"/>
          <w:color w:val="000000"/>
        </w:rPr>
        <w:t>(S2604), pp. 74-86.</w:t>
      </w:r>
    </w:p>
    <w:p w14:paraId="3C7F91F6" w14:textId="379B0844" w:rsidR="00111209" w:rsidRDefault="00111209" w:rsidP="00111209">
      <w:pPr>
        <w:pStyle w:val="NormalWeb"/>
        <w:shd w:val="clear" w:color="auto" w:fill="FFFFFF"/>
        <w:spacing w:before="0" w:after="120"/>
      </w:pPr>
      <w:r>
        <w:rPr>
          <w:rFonts w:ascii="Calibri" w:hAnsi="Calibri" w:cs="Calibri"/>
          <w:color w:val="000000"/>
        </w:rPr>
        <w:t>BETZ, E</w:t>
      </w:r>
      <w:r w:rsidR="007347B4">
        <w:rPr>
          <w:rFonts w:ascii="Calibri" w:hAnsi="Calibri" w:cs="Calibri"/>
          <w:color w:val="000000"/>
        </w:rPr>
        <w:t>.</w:t>
      </w:r>
      <w:r>
        <w:rPr>
          <w:rFonts w:ascii="Calibri" w:hAnsi="Calibri" w:cs="Calibri"/>
          <w:color w:val="000000"/>
        </w:rPr>
        <w:t xml:space="preserve"> 2023-last update, </w:t>
      </w:r>
      <w:proofErr w:type="spellStart"/>
      <w:r>
        <w:rPr>
          <w:rFonts w:ascii="Calibri" w:hAnsi="Calibri" w:cs="Calibri"/>
          <w:color w:val="000000"/>
        </w:rPr>
        <w:t>Nabta</w:t>
      </w:r>
      <w:proofErr w:type="spellEnd"/>
      <w:r>
        <w:rPr>
          <w:rFonts w:ascii="Calibri" w:hAnsi="Calibri" w:cs="Calibri"/>
          <w:color w:val="000000"/>
        </w:rPr>
        <w:t xml:space="preserve"> Playa: The world’s first astronomical site was built in Africa and is older than Stonehenge. Available: </w:t>
      </w:r>
      <w:r>
        <w:rPr>
          <w:rFonts w:ascii="Calibri" w:hAnsi="Calibri" w:cs="Calibri"/>
        </w:rPr>
        <w:t>https://www.astronomy.com/observing/nabta-playa-the-worlds-first-astronomical-site-was-built-in-africa-and-is-older-than-stonehenge/</w:t>
      </w:r>
      <w:r>
        <w:rPr>
          <w:rFonts w:ascii="Calibri" w:hAnsi="Calibri" w:cs="Calibri"/>
          <w:color w:val="000000"/>
        </w:rPr>
        <w:t> [April 20th, 2023].</w:t>
      </w:r>
    </w:p>
    <w:p w14:paraId="050F6A94" w14:textId="71DD2457" w:rsidR="00111209" w:rsidRDefault="00111209" w:rsidP="00111209">
      <w:pPr>
        <w:pStyle w:val="NormalWeb"/>
        <w:shd w:val="clear" w:color="auto" w:fill="FFFFFF"/>
        <w:spacing w:before="0" w:after="120"/>
      </w:pPr>
      <w:r>
        <w:rPr>
          <w:rFonts w:ascii="Calibri" w:hAnsi="Calibri" w:cs="Calibri"/>
          <w:color w:val="000000"/>
        </w:rPr>
        <w:t>BETZ, H.D</w:t>
      </w:r>
      <w:r w:rsidR="007347B4">
        <w:rPr>
          <w:rFonts w:ascii="Calibri" w:hAnsi="Calibri" w:cs="Calibri"/>
          <w:color w:val="000000"/>
        </w:rPr>
        <w:t>.</w:t>
      </w:r>
      <w:r>
        <w:rPr>
          <w:rFonts w:ascii="Calibri" w:hAnsi="Calibri" w:cs="Calibri"/>
          <w:color w:val="000000"/>
        </w:rPr>
        <w:t xml:space="preserve"> 1992. </w:t>
      </w:r>
      <w:r>
        <w:rPr>
          <w:rFonts w:ascii="Calibri" w:hAnsi="Calibri" w:cs="Calibri"/>
          <w:i/>
          <w:iCs/>
          <w:color w:val="000000"/>
        </w:rPr>
        <w:t>The Greek magical papyri in translation, including the Demotic spells / Vol.1, Texts. </w:t>
      </w:r>
      <w:r>
        <w:rPr>
          <w:rFonts w:ascii="Calibri" w:hAnsi="Calibri" w:cs="Calibri"/>
          <w:color w:val="000000"/>
        </w:rPr>
        <w:t>2 edn. Chicago: University of Chicago Press.</w:t>
      </w:r>
    </w:p>
    <w:p w14:paraId="3B786BEF" w14:textId="55B6B0C2" w:rsidR="00111209" w:rsidRDefault="00111209" w:rsidP="00111209">
      <w:pPr>
        <w:pStyle w:val="NormalWeb"/>
        <w:shd w:val="clear" w:color="auto" w:fill="FFFFFF"/>
        <w:spacing w:before="0" w:after="120"/>
      </w:pPr>
      <w:r>
        <w:rPr>
          <w:rFonts w:ascii="Calibri" w:hAnsi="Calibri" w:cs="Calibri"/>
          <w:color w:val="000000"/>
        </w:rPr>
        <w:t>BLACKMAN, A.M</w:t>
      </w:r>
      <w:r w:rsidR="007347B4">
        <w:rPr>
          <w:rFonts w:ascii="Calibri" w:hAnsi="Calibri" w:cs="Calibri"/>
          <w:color w:val="000000"/>
        </w:rPr>
        <w:t>.</w:t>
      </w:r>
      <w:r>
        <w:rPr>
          <w:rFonts w:ascii="Calibri" w:hAnsi="Calibri" w:cs="Calibri"/>
          <w:color w:val="000000"/>
        </w:rPr>
        <w:t xml:space="preserve"> 1926. Oracles in Ancient Egypt. </w:t>
      </w:r>
      <w:r>
        <w:rPr>
          <w:rFonts w:ascii="Calibri" w:hAnsi="Calibri" w:cs="Calibri"/>
          <w:i/>
          <w:iCs/>
          <w:color w:val="000000"/>
        </w:rPr>
        <w:t>Journal of Egyptian archaeology, </w:t>
      </w:r>
      <w:r w:rsidRPr="007347B4">
        <w:rPr>
          <w:rFonts w:ascii="Calibri" w:hAnsi="Calibri" w:cs="Calibri"/>
          <w:color w:val="000000"/>
        </w:rPr>
        <w:t>12</w:t>
      </w:r>
      <w:r>
        <w:rPr>
          <w:rFonts w:ascii="Calibri" w:hAnsi="Calibri" w:cs="Calibri"/>
          <w:color w:val="000000"/>
        </w:rPr>
        <w:t>(1), pp. 176-185.</w:t>
      </w:r>
    </w:p>
    <w:p w14:paraId="15D18432" w14:textId="2F82382D" w:rsidR="00111209" w:rsidRDefault="00111209" w:rsidP="00111209">
      <w:pPr>
        <w:pStyle w:val="NormalWeb"/>
        <w:shd w:val="clear" w:color="auto" w:fill="FFFFFF"/>
        <w:spacing w:before="0" w:after="120"/>
      </w:pPr>
      <w:r>
        <w:rPr>
          <w:rFonts w:ascii="Calibri" w:hAnsi="Calibri" w:cs="Calibri"/>
          <w:color w:val="000000"/>
        </w:rPr>
        <w:t>BRADY, B</w:t>
      </w:r>
      <w:r w:rsidR="007347B4">
        <w:rPr>
          <w:rFonts w:ascii="Calibri" w:hAnsi="Calibri" w:cs="Calibri"/>
          <w:color w:val="000000"/>
        </w:rPr>
        <w:t>.</w:t>
      </w:r>
      <w:r>
        <w:rPr>
          <w:rFonts w:ascii="Calibri" w:hAnsi="Calibri" w:cs="Calibri"/>
          <w:color w:val="000000"/>
        </w:rPr>
        <w:t xml:space="preserve"> 2014. </w:t>
      </w:r>
      <w:r>
        <w:rPr>
          <w:rFonts w:ascii="Calibri" w:hAnsi="Calibri" w:cs="Calibri"/>
          <w:i/>
          <w:iCs/>
          <w:color w:val="000000"/>
        </w:rPr>
        <w:t>Cosmos, chaosmos and astrology : Rethinking the nature of astrology. </w:t>
      </w:r>
      <w:r>
        <w:rPr>
          <w:rFonts w:ascii="Calibri" w:hAnsi="Calibri" w:cs="Calibri"/>
          <w:color w:val="000000"/>
        </w:rPr>
        <w:t>Lampeter: Sophia Centre Press.</w:t>
      </w:r>
    </w:p>
    <w:p w14:paraId="21C939DF" w14:textId="0FE86F2D" w:rsidR="00111209" w:rsidRDefault="00111209" w:rsidP="00111209">
      <w:pPr>
        <w:pStyle w:val="NormalWeb"/>
        <w:shd w:val="clear" w:color="auto" w:fill="FFFFFF"/>
        <w:spacing w:before="0" w:after="120"/>
      </w:pPr>
      <w:r>
        <w:rPr>
          <w:rFonts w:ascii="Calibri" w:hAnsi="Calibri" w:cs="Calibri"/>
          <w:color w:val="000000"/>
        </w:rPr>
        <w:t>BURZACOTT, J</w:t>
      </w:r>
      <w:r w:rsidR="007347B4">
        <w:rPr>
          <w:rFonts w:ascii="Calibri" w:hAnsi="Calibri" w:cs="Calibri"/>
          <w:color w:val="000000"/>
        </w:rPr>
        <w:t>.</w:t>
      </w:r>
      <w:r>
        <w:rPr>
          <w:rFonts w:ascii="Calibri" w:hAnsi="Calibri" w:cs="Calibri"/>
          <w:color w:val="000000"/>
        </w:rPr>
        <w:t xml:space="preserve"> 2017. The Dream Stela Restored. </w:t>
      </w:r>
      <w:r>
        <w:rPr>
          <w:rFonts w:ascii="Calibri" w:hAnsi="Calibri" w:cs="Calibri"/>
          <w:i/>
          <w:iCs/>
          <w:color w:val="000000"/>
        </w:rPr>
        <w:t xml:space="preserve">Nile Magazine. </w:t>
      </w:r>
      <w:r w:rsidRPr="004C0C50">
        <w:rPr>
          <w:rFonts w:ascii="Calibri" w:hAnsi="Calibri" w:cs="Calibri"/>
          <w:i/>
          <w:iCs/>
          <w:color w:val="000000"/>
        </w:rPr>
        <w:t>https://www.nilemagazine.com.au/2017-march/2017/3/4/the-dream-stela-restored</w:t>
      </w:r>
      <w:r>
        <w:rPr>
          <w:rFonts w:ascii="Calibri" w:hAnsi="Calibri" w:cs="Calibri"/>
          <w:color w:val="000000"/>
        </w:rPr>
        <w:t>.</w:t>
      </w:r>
    </w:p>
    <w:p w14:paraId="752CDD1E" w14:textId="1D6BDABF" w:rsidR="00111209" w:rsidRDefault="00111209" w:rsidP="00111209">
      <w:pPr>
        <w:pStyle w:val="NormalWeb"/>
        <w:shd w:val="clear" w:color="auto" w:fill="FFFFFF"/>
        <w:spacing w:before="0" w:after="120"/>
      </w:pPr>
      <w:r>
        <w:rPr>
          <w:rFonts w:ascii="Calibri" w:hAnsi="Calibri" w:cs="Calibri"/>
          <w:color w:val="000000"/>
        </w:rPr>
        <w:t>CAMPION, N</w:t>
      </w:r>
      <w:r w:rsidR="007347B4">
        <w:rPr>
          <w:rFonts w:ascii="Calibri" w:hAnsi="Calibri" w:cs="Calibri"/>
          <w:color w:val="000000"/>
        </w:rPr>
        <w:t>.</w:t>
      </w:r>
      <w:r>
        <w:rPr>
          <w:rFonts w:ascii="Calibri" w:hAnsi="Calibri" w:cs="Calibri"/>
          <w:color w:val="000000"/>
        </w:rPr>
        <w:t xml:space="preserve"> 2008. </w:t>
      </w:r>
      <w:r>
        <w:rPr>
          <w:rFonts w:ascii="Calibri" w:hAnsi="Calibri" w:cs="Calibri"/>
          <w:i/>
          <w:iCs/>
          <w:color w:val="000000"/>
        </w:rPr>
        <w:t>The dawn of astrology : a cultural history of western astrology. Vol. 1, the ancient and classical worlds. </w:t>
      </w:r>
      <w:r>
        <w:rPr>
          <w:rFonts w:ascii="Calibri" w:hAnsi="Calibri" w:cs="Calibri"/>
          <w:color w:val="000000"/>
        </w:rPr>
        <w:t>London: Continuum.</w:t>
      </w:r>
    </w:p>
    <w:p w14:paraId="08B6EFDA" w14:textId="77777777" w:rsidR="007347B4" w:rsidRDefault="007347B4" w:rsidP="007347B4">
      <w:pPr>
        <w:pStyle w:val="NormalWeb"/>
        <w:shd w:val="clear" w:color="auto" w:fill="FFFFFF"/>
        <w:spacing w:before="0" w:after="120"/>
      </w:pPr>
      <w:r>
        <w:rPr>
          <w:rFonts w:ascii="Calibri" w:hAnsi="Calibri" w:cs="Calibri"/>
          <w:color w:val="000000"/>
        </w:rPr>
        <w:t>CAMPION, N. 2012. </w:t>
      </w:r>
      <w:r>
        <w:rPr>
          <w:rFonts w:ascii="Calibri" w:hAnsi="Calibri" w:cs="Calibri"/>
          <w:i/>
          <w:iCs/>
          <w:color w:val="000000"/>
        </w:rPr>
        <w:t>Astrology and cosmology in the world's religions. </w:t>
      </w:r>
      <w:r>
        <w:rPr>
          <w:rFonts w:ascii="Calibri" w:hAnsi="Calibri" w:cs="Calibri"/>
          <w:color w:val="000000"/>
        </w:rPr>
        <w:t>New York: New York University Press.</w:t>
      </w:r>
    </w:p>
    <w:p w14:paraId="552BAE8D" w14:textId="7E5E1D07" w:rsidR="00111209" w:rsidRDefault="00111209" w:rsidP="00111209">
      <w:pPr>
        <w:pStyle w:val="NormalWeb"/>
        <w:shd w:val="clear" w:color="auto" w:fill="FFFFFF"/>
        <w:spacing w:before="0" w:after="120"/>
      </w:pPr>
      <w:r>
        <w:rPr>
          <w:rFonts w:ascii="Calibri" w:hAnsi="Calibri" w:cs="Calibri"/>
          <w:color w:val="000000"/>
        </w:rPr>
        <w:t>ČERNÝ, J</w:t>
      </w:r>
      <w:r w:rsidR="007347B4">
        <w:rPr>
          <w:rFonts w:ascii="Calibri" w:hAnsi="Calibri" w:cs="Calibri"/>
          <w:color w:val="000000"/>
        </w:rPr>
        <w:t>.</w:t>
      </w:r>
      <w:r>
        <w:rPr>
          <w:rFonts w:ascii="Calibri" w:hAnsi="Calibri" w:cs="Calibri"/>
          <w:color w:val="000000"/>
        </w:rPr>
        <w:t xml:space="preserve"> 1962. Egyptian Oracles. In: R.A. PARKER, ed, </w:t>
      </w:r>
      <w:r>
        <w:rPr>
          <w:rFonts w:ascii="Calibri" w:hAnsi="Calibri" w:cs="Calibri"/>
          <w:i/>
          <w:iCs/>
          <w:color w:val="000000"/>
        </w:rPr>
        <w:t xml:space="preserve">A </w:t>
      </w:r>
      <w:proofErr w:type="spellStart"/>
      <w:r>
        <w:rPr>
          <w:rFonts w:ascii="Calibri" w:hAnsi="Calibri" w:cs="Calibri"/>
          <w:i/>
          <w:iCs/>
          <w:color w:val="000000"/>
        </w:rPr>
        <w:t>Saite</w:t>
      </w:r>
      <w:proofErr w:type="spellEnd"/>
      <w:r>
        <w:rPr>
          <w:rFonts w:ascii="Calibri" w:hAnsi="Calibri" w:cs="Calibri"/>
          <w:i/>
          <w:iCs/>
          <w:color w:val="000000"/>
        </w:rPr>
        <w:t xml:space="preserve"> Oracle Papyrus from Thebes in the Brooklyn Muse. </w:t>
      </w:r>
      <w:r>
        <w:rPr>
          <w:rFonts w:ascii="Calibri" w:hAnsi="Calibri" w:cs="Calibri"/>
          <w:color w:val="000000"/>
        </w:rPr>
        <w:t>Providence: Brown University Press, pp. 35-48.</w:t>
      </w:r>
    </w:p>
    <w:p w14:paraId="07D42B5F" w14:textId="595CC919" w:rsidR="00111209" w:rsidRDefault="00111209" w:rsidP="00111209">
      <w:pPr>
        <w:pStyle w:val="NormalWeb"/>
        <w:shd w:val="clear" w:color="auto" w:fill="FFFFFF"/>
        <w:spacing w:before="0" w:after="120"/>
      </w:pPr>
      <w:r>
        <w:rPr>
          <w:rFonts w:ascii="Calibri" w:hAnsi="Calibri" w:cs="Calibri"/>
          <w:color w:val="000000"/>
        </w:rPr>
        <w:t>CICHON, J.M</w:t>
      </w:r>
      <w:r w:rsidR="007347B4">
        <w:rPr>
          <w:rFonts w:ascii="Calibri" w:hAnsi="Calibri" w:cs="Calibri"/>
          <w:color w:val="000000"/>
        </w:rPr>
        <w:t>.</w:t>
      </w:r>
      <w:r>
        <w:rPr>
          <w:rFonts w:ascii="Calibri" w:hAnsi="Calibri" w:cs="Calibri"/>
          <w:color w:val="000000"/>
        </w:rPr>
        <w:t xml:space="preserve"> 2022. </w:t>
      </w:r>
      <w:r>
        <w:rPr>
          <w:rFonts w:ascii="Calibri" w:hAnsi="Calibri" w:cs="Calibri"/>
          <w:i/>
          <w:iCs/>
          <w:color w:val="000000"/>
        </w:rPr>
        <w:t>Matriarchy in Bronze Age Crete. </w:t>
      </w:r>
      <w:r>
        <w:rPr>
          <w:rFonts w:ascii="Calibri" w:hAnsi="Calibri" w:cs="Calibri"/>
          <w:color w:val="000000"/>
        </w:rPr>
        <w:t xml:space="preserve">Oxford: </w:t>
      </w:r>
      <w:proofErr w:type="spellStart"/>
      <w:r>
        <w:rPr>
          <w:rFonts w:ascii="Calibri" w:hAnsi="Calibri" w:cs="Calibri"/>
          <w:color w:val="000000"/>
        </w:rPr>
        <w:t>Archaeopress</w:t>
      </w:r>
      <w:proofErr w:type="spellEnd"/>
      <w:r>
        <w:rPr>
          <w:rFonts w:ascii="Calibri" w:hAnsi="Calibri" w:cs="Calibri"/>
          <w:color w:val="000000"/>
        </w:rPr>
        <w:t xml:space="preserve"> Archaeology.</w:t>
      </w:r>
    </w:p>
    <w:p w14:paraId="71908E4F" w14:textId="77777777" w:rsidR="00111209" w:rsidRDefault="00111209" w:rsidP="00111209">
      <w:pPr>
        <w:pStyle w:val="NormalWeb"/>
        <w:shd w:val="clear" w:color="auto" w:fill="FFFFFF"/>
        <w:spacing w:before="0" w:after="120"/>
      </w:pPr>
      <w:r>
        <w:rPr>
          <w:rFonts w:ascii="Calibri" w:hAnsi="Calibri" w:cs="Calibri"/>
          <w:color w:val="000000"/>
        </w:rPr>
        <w:t>DARNELL, JOHN COLEMAN &amp; DARNELL, COLLEEN MANASSA, 2018. </w:t>
      </w:r>
      <w:r>
        <w:rPr>
          <w:rFonts w:ascii="Calibri" w:hAnsi="Calibri" w:cs="Calibri"/>
          <w:i/>
          <w:iCs/>
          <w:color w:val="000000"/>
        </w:rPr>
        <w:t>The Ancient Egyptian Netherworld Books. </w:t>
      </w:r>
      <w:r>
        <w:rPr>
          <w:rFonts w:ascii="Calibri" w:hAnsi="Calibri" w:cs="Calibri"/>
          <w:color w:val="000000"/>
        </w:rPr>
        <w:t>Atlanta: Society of Biblical Literature.</w:t>
      </w:r>
    </w:p>
    <w:p w14:paraId="51B072BF" w14:textId="77777777" w:rsidR="00111209" w:rsidRDefault="00111209" w:rsidP="00111209">
      <w:pPr>
        <w:pStyle w:val="NormalWeb"/>
        <w:shd w:val="clear" w:color="auto" w:fill="FFFFFF"/>
        <w:spacing w:before="0" w:after="120"/>
      </w:pPr>
      <w:r>
        <w:rPr>
          <w:rFonts w:ascii="Calibri" w:hAnsi="Calibri" w:cs="Calibri"/>
          <w:color w:val="000000"/>
        </w:rPr>
        <w:t>DUNAND, FRANÇOISE &amp; ZIVIE‐COCHE, CHRISTIANE, 2004. </w:t>
      </w:r>
      <w:r>
        <w:rPr>
          <w:rFonts w:ascii="Calibri" w:hAnsi="Calibri" w:cs="Calibri"/>
          <w:i/>
          <w:iCs/>
          <w:color w:val="000000"/>
        </w:rPr>
        <w:t>Gods and Men in Egypt: 3000 BCE 395 CE. </w:t>
      </w:r>
      <w:r>
        <w:rPr>
          <w:rFonts w:ascii="Calibri" w:hAnsi="Calibri" w:cs="Calibri"/>
          <w:color w:val="000000"/>
        </w:rPr>
        <w:t>Ithaca: Cornell University Press.</w:t>
      </w:r>
    </w:p>
    <w:p w14:paraId="792EE193" w14:textId="0A22A019" w:rsidR="00111209" w:rsidRDefault="00111209" w:rsidP="00111209">
      <w:pPr>
        <w:pStyle w:val="NormalWeb"/>
        <w:shd w:val="clear" w:color="auto" w:fill="FFFFFF"/>
        <w:spacing w:before="0" w:after="120"/>
      </w:pPr>
      <w:r>
        <w:rPr>
          <w:rFonts w:ascii="Calibri" w:hAnsi="Calibri" w:cs="Calibri"/>
          <w:color w:val="000000"/>
        </w:rPr>
        <w:t>EL-ASWAD, E</w:t>
      </w:r>
      <w:r w:rsidR="007347B4">
        <w:rPr>
          <w:rFonts w:ascii="Calibri" w:hAnsi="Calibri" w:cs="Calibri"/>
          <w:color w:val="000000"/>
        </w:rPr>
        <w:t>.</w:t>
      </w:r>
      <w:r>
        <w:rPr>
          <w:rFonts w:ascii="Calibri" w:hAnsi="Calibri" w:cs="Calibri"/>
          <w:color w:val="000000"/>
        </w:rPr>
        <w:t xml:space="preserve"> 1997. Archaic Egyptian Cosmology. </w:t>
      </w:r>
      <w:r>
        <w:rPr>
          <w:rFonts w:ascii="Calibri" w:hAnsi="Calibri" w:cs="Calibri"/>
          <w:i/>
          <w:iCs/>
          <w:color w:val="000000"/>
        </w:rPr>
        <w:t>Anthropos</w:t>
      </w:r>
      <w:r w:rsidRPr="007347B4">
        <w:rPr>
          <w:rFonts w:ascii="Calibri" w:hAnsi="Calibri" w:cs="Calibri"/>
          <w:i/>
          <w:iCs/>
          <w:color w:val="000000"/>
        </w:rPr>
        <w:t>, </w:t>
      </w:r>
      <w:r w:rsidRPr="007347B4">
        <w:rPr>
          <w:rFonts w:ascii="Calibri" w:hAnsi="Calibri" w:cs="Calibri"/>
          <w:color w:val="000000"/>
        </w:rPr>
        <w:t>92</w:t>
      </w:r>
      <w:r>
        <w:rPr>
          <w:rFonts w:ascii="Calibri" w:hAnsi="Calibri" w:cs="Calibri"/>
          <w:color w:val="000000"/>
        </w:rPr>
        <w:t>(1-3), pp. 69-81.</w:t>
      </w:r>
    </w:p>
    <w:p w14:paraId="1690BC97" w14:textId="45269754" w:rsidR="00111209" w:rsidRDefault="00111209" w:rsidP="00111209">
      <w:pPr>
        <w:pStyle w:val="NormalWeb"/>
        <w:shd w:val="clear" w:color="auto" w:fill="FFFFFF"/>
        <w:spacing w:before="0" w:after="120"/>
      </w:pPr>
      <w:r>
        <w:rPr>
          <w:rFonts w:ascii="Calibri" w:hAnsi="Calibri" w:cs="Calibri"/>
          <w:color w:val="000000"/>
        </w:rPr>
        <w:t>ERMAN, A</w:t>
      </w:r>
      <w:r w:rsidR="007347B4">
        <w:rPr>
          <w:rFonts w:ascii="Calibri" w:hAnsi="Calibri" w:cs="Calibri"/>
          <w:color w:val="000000"/>
        </w:rPr>
        <w:t>.</w:t>
      </w:r>
      <w:r>
        <w:rPr>
          <w:rFonts w:ascii="Calibri" w:hAnsi="Calibri" w:cs="Calibri"/>
          <w:color w:val="000000"/>
        </w:rPr>
        <w:t xml:space="preserve"> 1907. </w:t>
      </w:r>
      <w:r>
        <w:rPr>
          <w:rFonts w:ascii="Calibri" w:hAnsi="Calibri" w:cs="Calibri"/>
          <w:i/>
          <w:iCs/>
          <w:color w:val="000000"/>
        </w:rPr>
        <w:t>A Handbook of Egyptian Religion. </w:t>
      </w:r>
      <w:r>
        <w:rPr>
          <w:rFonts w:ascii="Calibri" w:hAnsi="Calibri" w:cs="Calibri"/>
          <w:color w:val="000000"/>
        </w:rPr>
        <w:t>London: Archibald Constable &amp; Co.</w:t>
      </w:r>
    </w:p>
    <w:p w14:paraId="499FADD1" w14:textId="2DE79AE7" w:rsidR="00111209" w:rsidRDefault="00111209" w:rsidP="00111209">
      <w:pPr>
        <w:pStyle w:val="NormalWeb"/>
        <w:shd w:val="clear" w:color="auto" w:fill="FFFFFF"/>
        <w:spacing w:before="0" w:after="120"/>
      </w:pPr>
      <w:r>
        <w:rPr>
          <w:rFonts w:ascii="Calibri" w:hAnsi="Calibri" w:cs="Calibri"/>
          <w:color w:val="000000"/>
        </w:rPr>
        <w:t>EVANS-PRITCHARD, E. and GILLIES, E</w:t>
      </w:r>
      <w:r w:rsidR="007347B4">
        <w:rPr>
          <w:rFonts w:ascii="Calibri" w:hAnsi="Calibri" w:cs="Calibri"/>
          <w:color w:val="000000"/>
        </w:rPr>
        <w:t>.</w:t>
      </w:r>
      <w:r>
        <w:rPr>
          <w:rFonts w:ascii="Calibri" w:hAnsi="Calibri" w:cs="Calibri"/>
          <w:color w:val="000000"/>
        </w:rPr>
        <w:t xml:space="preserve"> 1976. </w:t>
      </w:r>
      <w:r>
        <w:rPr>
          <w:rFonts w:ascii="Calibri" w:hAnsi="Calibri" w:cs="Calibri"/>
          <w:i/>
          <w:iCs/>
          <w:color w:val="000000"/>
        </w:rPr>
        <w:t>Witchcraft, oracles, and magic among the Azande. </w:t>
      </w:r>
      <w:r>
        <w:rPr>
          <w:rFonts w:ascii="Calibri" w:hAnsi="Calibri" w:cs="Calibri"/>
          <w:color w:val="000000"/>
        </w:rPr>
        <w:t>Oxford: Clarendon Press.</w:t>
      </w:r>
    </w:p>
    <w:p w14:paraId="0DDC1747" w14:textId="70F8B30C" w:rsidR="00111209" w:rsidRDefault="00111209" w:rsidP="00111209">
      <w:pPr>
        <w:pStyle w:val="NormalWeb"/>
        <w:shd w:val="clear" w:color="auto" w:fill="FFFFFF"/>
        <w:spacing w:before="0" w:after="120"/>
      </w:pPr>
      <w:r>
        <w:rPr>
          <w:rFonts w:ascii="Calibri" w:hAnsi="Calibri" w:cs="Calibri"/>
          <w:color w:val="000000"/>
        </w:rPr>
        <w:t>FAULKNER, R.O</w:t>
      </w:r>
      <w:r w:rsidR="007347B4">
        <w:rPr>
          <w:rFonts w:ascii="Calibri" w:hAnsi="Calibri" w:cs="Calibri"/>
          <w:color w:val="000000"/>
        </w:rPr>
        <w:t>.</w:t>
      </w:r>
      <w:r>
        <w:rPr>
          <w:rFonts w:ascii="Calibri" w:hAnsi="Calibri" w:cs="Calibri"/>
          <w:color w:val="000000"/>
        </w:rPr>
        <w:t xml:space="preserve"> 1973. </w:t>
      </w:r>
      <w:r>
        <w:rPr>
          <w:rFonts w:ascii="Calibri" w:hAnsi="Calibri" w:cs="Calibri"/>
          <w:i/>
          <w:iCs/>
          <w:color w:val="000000"/>
        </w:rPr>
        <w:t>The Ancient Egyptian Coffin Texts (Volume I). </w:t>
      </w:r>
      <w:r>
        <w:rPr>
          <w:rFonts w:ascii="Calibri" w:hAnsi="Calibri" w:cs="Calibri"/>
          <w:color w:val="000000"/>
        </w:rPr>
        <w:t>Warminster: Aris &amp; Phillips.</w:t>
      </w:r>
    </w:p>
    <w:p w14:paraId="4F75A4EE" w14:textId="7D055AC4" w:rsidR="00111209" w:rsidRDefault="00111209" w:rsidP="00111209">
      <w:pPr>
        <w:pStyle w:val="NormalWeb"/>
        <w:shd w:val="clear" w:color="auto" w:fill="FFFFFF"/>
        <w:spacing w:before="0" w:after="120"/>
      </w:pPr>
      <w:r>
        <w:rPr>
          <w:rFonts w:ascii="Calibri" w:hAnsi="Calibri" w:cs="Calibri"/>
          <w:color w:val="000000"/>
        </w:rPr>
        <w:t>FAULKNER, R.O</w:t>
      </w:r>
      <w:r w:rsidR="007347B4">
        <w:rPr>
          <w:rFonts w:ascii="Calibri" w:hAnsi="Calibri" w:cs="Calibri"/>
          <w:color w:val="000000"/>
        </w:rPr>
        <w:t>.</w:t>
      </w:r>
      <w:r>
        <w:rPr>
          <w:rFonts w:ascii="Calibri" w:hAnsi="Calibri" w:cs="Calibri"/>
          <w:color w:val="000000"/>
        </w:rPr>
        <w:t xml:space="preserve"> 1985. </w:t>
      </w:r>
      <w:r>
        <w:rPr>
          <w:rFonts w:ascii="Calibri" w:hAnsi="Calibri" w:cs="Calibri"/>
          <w:i/>
          <w:iCs/>
          <w:color w:val="000000"/>
        </w:rPr>
        <w:t>The Ancient Egyptian Book of the Dead . </w:t>
      </w:r>
      <w:r>
        <w:rPr>
          <w:rFonts w:ascii="Calibri" w:hAnsi="Calibri" w:cs="Calibri"/>
          <w:color w:val="000000"/>
        </w:rPr>
        <w:t>Revised edn. London: British Museum Publications.</w:t>
      </w:r>
    </w:p>
    <w:p w14:paraId="6F4529C1" w14:textId="03B411D0" w:rsidR="00111209" w:rsidRDefault="00111209" w:rsidP="00111209">
      <w:pPr>
        <w:pStyle w:val="NormalWeb"/>
        <w:shd w:val="clear" w:color="auto" w:fill="FFFFFF"/>
        <w:spacing w:before="0" w:after="120"/>
      </w:pPr>
      <w:r>
        <w:rPr>
          <w:rFonts w:ascii="Calibri" w:hAnsi="Calibri" w:cs="Calibri"/>
          <w:color w:val="000000"/>
        </w:rPr>
        <w:t>FAULKNER, R.O</w:t>
      </w:r>
      <w:r w:rsidR="007347B4">
        <w:rPr>
          <w:rFonts w:ascii="Calibri" w:hAnsi="Calibri" w:cs="Calibri"/>
          <w:color w:val="000000"/>
        </w:rPr>
        <w:t>.</w:t>
      </w:r>
      <w:r>
        <w:rPr>
          <w:rFonts w:ascii="Calibri" w:hAnsi="Calibri" w:cs="Calibri"/>
          <w:color w:val="000000"/>
        </w:rPr>
        <w:t xml:space="preserve"> 2019. </w:t>
      </w:r>
      <w:r>
        <w:rPr>
          <w:rFonts w:ascii="Calibri" w:hAnsi="Calibri" w:cs="Calibri"/>
          <w:i/>
          <w:iCs/>
          <w:color w:val="000000"/>
        </w:rPr>
        <w:t>A concise dictionary of Middle Egyptian. </w:t>
      </w:r>
      <w:r>
        <w:rPr>
          <w:rFonts w:ascii="Calibri" w:hAnsi="Calibri" w:cs="Calibri"/>
          <w:color w:val="000000"/>
        </w:rPr>
        <w:t>Oxford: Griffith Institute.</w:t>
      </w:r>
    </w:p>
    <w:p w14:paraId="4B5FD583" w14:textId="072BB49B"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FORREST, M.I</w:t>
      </w:r>
      <w:r w:rsidR="007347B4">
        <w:rPr>
          <w:rFonts w:ascii="Calibri" w:hAnsi="Calibri" w:cs="Calibri"/>
          <w:color w:val="000000"/>
        </w:rPr>
        <w:t>.</w:t>
      </w:r>
      <w:r>
        <w:rPr>
          <w:rFonts w:ascii="Calibri" w:hAnsi="Calibri" w:cs="Calibri"/>
          <w:color w:val="000000"/>
        </w:rPr>
        <w:t xml:space="preserve"> 2013. </w:t>
      </w:r>
      <w:r>
        <w:rPr>
          <w:rFonts w:ascii="Calibri" w:hAnsi="Calibri" w:cs="Calibri"/>
          <w:i/>
          <w:iCs/>
          <w:color w:val="000000"/>
        </w:rPr>
        <w:t>Isis Magic. </w:t>
      </w:r>
      <w:r>
        <w:rPr>
          <w:rFonts w:ascii="Calibri" w:hAnsi="Calibri" w:cs="Calibri"/>
          <w:color w:val="000000"/>
        </w:rPr>
        <w:t xml:space="preserve">Second edn. Portland, Oregon: </w:t>
      </w:r>
      <w:proofErr w:type="spellStart"/>
      <w:r>
        <w:rPr>
          <w:rFonts w:ascii="Calibri" w:hAnsi="Calibri" w:cs="Calibri"/>
          <w:color w:val="000000"/>
        </w:rPr>
        <w:t>Abiegnus</w:t>
      </w:r>
      <w:proofErr w:type="spellEnd"/>
      <w:r>
        <w:rPr>
          <w:rFonts w:ascii="Calibri" w:hAnsi="Calibri" w:cs="Calibri"/>
          <w:color w:val="000000"/>
        </w:rPr>
        <w:t xml:space="preserve"> House.</w:t>
      </w:r>
    </w:p>
    <w:p w14:paraId="368EDAEE" w14:textId="004F1E87" w:rsidR="00111209" w:rsidRDefault="00111209" w:rsidP="00111209">
      <w:pPr>
        <w:pStyle w:val="NormalWeb"/>
        <w:shd w:val="clear" w:color="auto" w:fill="FFFFFF"/>
        <w:spacing w:before="0" w:after="120"/>
      </w:pPr>
      <w:r>
        <w:rPr>
          <w:rFonts w:ascii="Roboto" w:hAnsi="Roboto"/>
          <w:color w:val="000000"/>
          <w:sz w:val="21"/>
          <w:szCs w:val="21"/>
          <w:shd w:val="clear" w:color="auto" w:fill="FFFFFF"/>
        </w:rPr>
        <w:lastRenderedPageBreak/>
        <w:t>FURLONG, D</w:t>
      </w:r>
      <w:r w:rsidR="007347B4">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2007. </w:t>
      </w:r>
      <w:r>
        <w:rPr>
          <w:rFonts w:ascii="Roboto" w:hAnsi="Roboto"/>
          <w:i/>
          <w:iCs/>
          <w:color w:val="000000"/>
          <w:sz w:val="21"/>
          <w:szCs w:val="21"/>
          <w:shd w:val="clear" w:color="auto" w:fill="FFFFFF"/>
        </w:rPr>
        <w:t>Egyptian Temple Orientation: Astronomical Alignments in the Temples of Egypt. </w:t>
      </w:r>
      <w:r>
        <w:rPr>
          <w:rFonts w:ascii="Roboto" w:hAnsi="Roboto"/>
          <w:color w:val="000000"/>
          <w:sz w:val="21"/>
          <w:szCs w:val="21"/>
          <w:shd w:val="clear" w:color="auto" w:fill="FFFFFF"/>
        </w:rPr>
        <w:t>Malvern: David Furlong Ltd.</w:t>
      </w:r>
    </w:p>
    <w:p w14:paraId="2171BC39" w14:textId="63425D64"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FRANKFURTER, D</w:t>
      </w:r>
      <w:r w:rsidR="007347B4">
        <w:rPr>
          <w:rFonts w:ascii="Calibri" w:hAnsi="Calibri" w:cs="Calibri"/>
          <w:color w:val="000000"/>
        </w:rPr>
        <w:t>.</w:t>
      </w:r>
      <w:r>
        <w:rPr>
          <w:rFonts w:ascii="Calibri" w:hAnsi="Calibri" w:cs="Calibri"/>
          <w:color w:val="000000"/>
        </w:rPr>
        <w:t xml:space="preserve"> 2005. Voices, Books and Dreams: The Diversification of Divination Media in late Antique Egypt. United States: BRILL, pp. 233-254.</w:t>
      </w:r>
    </w:p>
    <w:p w14:paraId="234E8F6E" w14:textId="6BD10B94" w:rsidR="00111209" w:rsidRDefault="00111209" w:rsidP="00111209">
      <w:pPr>
        <w:pStyle w:val="NormalWeb"/>
        <w:shd w:val="clear" w:color="auto" w:fill="FFFFFF"/>
        <w:spacing w:before="0" w:after="120"/>
      </w:pPr>
      <w:r>
        <w:rPr>
          <w:rFonts w:ascii="Calibri" w:hAnsi="Calibri" w:cs="Calibri"/>
          <w:color w:val="000000"/>
        </w:rPr>
        <w:t>GALUZINA, M</w:t>
      </w:r>
      <w:r w:rsidR="007347B4">
        <w:rPr>
          <w:rFonts w:ascii="Calibri" w:hAnsi="Calibri" w:cs="Calibri"/>
          <w:color w:val="000000"/>
        </w:rPr>
        <w:t>.</w:t>
      </w:r>
      <w:r>
        <w:rPr>
          <w:rFonts w:ascii="Calibri" w:hAnsi="Calibri" w:cs="Calibri"/>
          <w:color w:val="000000"/>
        </w:rPr>
        <w:t xml:space="preserve"> 2016. </w:t>
      </w:r>
      <w:r>
        <w:rPr>
          <w:rFonts w:ascii="Calibri" w:hAnsi="Calibri" w:cs="Calibri"/>
          <w:i/>
          <w:iCs/>
          <w:color w:val="000000"/>
        </w:rPr>
        <w:t>The God Sobek in Ptolemaic and Roman Times</w:t>
      </w:r>
      <w:r>
        <w:rPr>
          <w:rFonts w:ascii="Calibri" w:hAnsi="Calibri" w:cs="Calibri"/>
          <w:color w:val="000000"/>
        </w:rPr>
        <w:t xml:space="preserve">, </w:t>
      </w:r>
      <w:proofErr w:type="spellStart"/>
      <w:r>
        <w:rPr>
          <w:rFonts w:ascii="Calibri" w:hAnsi="Calibri" w:cs="Calibri"/>
          <w:color w:val="000000"/>
        </w:rPr>
        <w:t>Karlova</w:t>
      </w:r>
      <w:proofErr w:type="spellEnd"/>
      <w:r>
        <w:rPr>
          <w:rFonts w:ascii="Calibri" w:hAnsi="Calibri" w:cs="Calibri"/>
          <w:color w:val="000000"/>
        </w:rPr>
        <w:t xml:space="preserve"> University, Prague.</w:t>
      </w:r>
    </w:p>
    <w:p w14:paraId="17E135B2" w14:textId="5C6A2B92"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GILLAM, R.A. and JACOBSON, J</w:t>
      </w:r>
      <w:r w:rsidR="007347B4">
        <w:rPr>
          <w:rFonts w:ascii="Calibri" w:hAnsi="Calibri" w:cs="Calibri"/>
          <w:color w:val="000000"/>
        </w:rPr>
        <w:t>.</w:t>
      </w:r>
      <w:r>
        <w:rPr>
          <w:rFonts w:ascii="Calibri" w:hAnsi="Calibri" w:cs="Calibri"/>
          <w:color w:val="000000"/>
        </w:rPr>
        <w:t xml:space="preserve"> 2015. </w:t>
      </w:r>
      <w:r>
        <w:rPr>
          <w:rFonts w:ascii="Calibri" w:hAnsi="Calibri" w:cs="Calibri"/>
          <w:i/>
          <w:iCs/>
          <w:color w:val="000000"/>
        </w:rPr>
        <w:t>The Egyptian Oracle Project : ancient ceremony in augmented reality. </w:t>
      </w:r>
      <w:r>
        <w:rPr>
          <w:rFonts w:ascii="Calibri" w:hAnsi="Calibri" w:cs="Calibri"/>
          <w:color w:val="000000"/>
        </w:rPr>
        <w:t>London ;: Bloomsbury; Bloomsbury Academic, an imprint of Bloomsbury Publishing Plc.</w:t>
      </w:r>
    </w:p>
    <w:p w14:paraId="35D5B320" w14:textId="254EF53B" w:rsidR="00111209" w:rsidRDefault="00111209" w:rsidP="00111209">
      <w:pPr>
        <w:pStyle w:val="NormalWeb"/>
        <w:shd w:val="clear" w:color="auto" w:fill="FFFFFF"/>
        <w:spacing w:before="0" w:after="120"/>
      </w:pPr>
      <w:r>
        <w:rPr>
          <w:rFonts w:ascii="Roboto" w:hAnsi="Roboto"/>
          <w:color w:val="000000"/>
          <w:sz w:val="21"/>
          <w:szCs w:val="21"/>
          <w:shd w:val="clear" w:color="auto" w:fill="FFFFFF"/>
        </w:rPr>
        <w:t>GRAUR, O</w:t>
      </w:r>
      <w:r w:rsidR="007347B4">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2024. The ancient Egyptian personification of the Milky Way as the Sky Goddess Nut: an astronomical and cross-cultural analysis. </w:t>
      </w:r>
      <w:r>
        <w:rPr>
          <w:rFonts w:ascii="Roboto" w:hAnsi="Roboto"/>
          <w:i/>
          <w:iCs/>
          <w:color w:val="000000"/>
          <w:sz w:val="21"/>
          <w:szCs w:val="21"/>
          <w:shd w:val="clear" w:color="auto" w:fill="FFFFFF"/>
        </w:rPr>
        <w:t>Journal of Astronomical History and Heritage, </w:t>
      </w:r>
      <w:r>
        <w:rPr>
          <w:rFonts w:ascii="Roboto" w:hAnsi="Roboto"/>
          <w:b/>
          <w:bCs/>
          <w:color w:val="000000"/>
          <w:sz w:val="21"/>
          <w:szCs w:val="21"/>
          <w:shd w:val="clear" w:color="auto" w:fill="FFFFFF"/>
        </w:rPr>
        <w:t>27</w:t>
      </w:r>
      <w:r>
        <w:rPr>
          <w:rFonts w:ascii="Roboto" w:hAnsi="Roboto"/>
          <w:color w:val="000000"/>
          <w:sz w:val="21"/>
          <w:szCs w:val="21"/>
          <w:shd w:val="clear" w:color="auto" w:fill="FFFFFF"/>
        </w:rPr>
        <w:t>(1), pp. 28-45.</w:t>
      </w:r>
    </w:p>
    <w:p w14:paraId="624594B6" w14:textId="11BF2FC3"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GREENBAUM, DORIAN GIESELER &amp; ROSS, MICAH T</w:t>
      </w:r>
      <w:r w:rsidR="007347B4">
        <w:rPr>
          <w:rFonts w:ascii="Calibri" w:hAnsi="Calibri" w:cs="Calibri"/>
          <w:color w:val="000000"/>
        </w:rPr>
        <w:t>.</w:t>
      </w:r>
      <w:r w:rsidR="00F20DCB">
        <w:rPr>
          <w:rFonts w:ascii="Calibri" w:hAnsi="Calibri" w:cs="Calibri"/>
          <w:color w:val="000000"/>
        </w:rPr>
        <w:t xml:space="preserve"> 2010.</w:t>
      </w:r>
      <w:r>
        <w:rPr>
          <w:rFonts w:ascii="Calibri" w:hAnsi="Calibri" w:cs="Calibri"/>
          <w:color w:val="000000"/>
        </w:rPr>
        <w:t xml:space="preserve"> The Role of Egypt in the Development of the Horoscope . In: BAREŠ, LADISLAV, COPPENS, FILIP &amp; SMOLÁRIKOVÁ, KVĔTA, </w:t>
      </w:r>
      <w:r w:rsidR="007347B4">
        <w:rPr>
          <w:rFonts w:ascii="Calibri" w:hAnsi="Calibri" w:cs="Calibri"/>
          <w:color w:val="000000"/>
        </w:rPr>
        <w:t>(</w:t>
      </w:r>
      <w:r>
        <w:rPr>
          <w:rFonts w:ascii="Calibri" w:hAnsi="Calibri" w:cs="Calibri"/>
          <w:color w:val="000000"/>
        </w:rPr>
        <w:t>ed</w:t>
      </w:r>
      <w:r w:rsidR="007347B4">
        <w:rPr>
          <w:rFonts w:ascii="Calibri" w:hAnsi="Calibri" w:cs="Calibri"/>
          <w:color w:val="000000"/>
        </w:rPr>
        <w:t xml:space="preserve">s) </w:t>
      </w:r>
      <w:r>
        <w:rPr>
          <w:rFonts w:ascii="Calibri" w:hAnsi="Calibri" w:cs="Calibri"/>
          <w:color w:val="000000"/>
        </w:rPr>
        <w:t> </w:t>
      </w:r>
      <w:r>
        <w:rPr>
          <w:rFonts w:ascii="Calibri" w:hAnsi="Calibri" w:cs="Calibri"/>
          <w:i/>
          <w:iCs/>
          <w:color w:val="000000"/>
        </w:rPr>
        <w:t>Egypt in transition. Social and religious development of Egypt in the first millennium BCE. </w:t>
      </w:r>
      <w:r>
        <w:rPr>
          <w:rFonts w:ascii="Calibri" w:hAnsi="Calibri" w:cs="Calibri"/>
          <w:color w:val="000000"/>
        </w:rPr>
        <w:t>pp. 146-182.</w:t>
      </w:r>
    </w:p>
    <w:p w14:paraId="64ADF237" w14:textId="39ACA275" w:rsidR="00F20DCB" w:rsidRDefault="00F20DCB" w:rsidP="00111209">
      <w:pPr>
        <w:pStyle w:val="NormalWeb"/>
        <w:shd w:val="clear" w:color="auto" w:fill="FFFFFF"/>
        <w:spacing w:before="0" w:after="120"/>
      </w:pPr>
      <w:r>
        <w:rPr>
          <w:rFonts w:ascii="Roboto" w:hAnsi="Roboto"/>
          <w:color w:val="000000"/>
          <w:sz w:val="21"/>
          <w:szCs w:val="21"/>
          <w:shd w:val="clear" w:color="auto" w:fill="FFFFFF"/>
        </w:rPr>
        <w:t>GREENBAUM, D.G., 2016. </w:t>
      </w:r>
      <w:r>
        <w:rPr>
          <w:rFonts w:ascii="Roboto" w:hAnsi="Roboto"/>
          <w:i/>
          <w:iCs/>
          <w:color w:val="000000"/>
          <w:sz w:val="21"/>
          <w:szCs w:val="21"/>
          <w:shd w:val="clear" w:color="auto" w:fill="FFFFFF"/>
        </w:rPr>
        <w:t>The Daimon in Hellenistic astrology : origins and influence. </w:t>
      </w:r>
      <w:r>
        <w:rPr>
          <w:rFonts w:ascii="Roboto" w:hAnsi="Roboto"/>
          <w:color w:val="000000"/>
          <w:sz w:val="21"/>
          <w:szCs w:val="21"/>
          <w:shd w:val="clear" w:color="auto" w:fill="FFFFFF"/>
        </w:rPr>
        <w:t>Leiden, Netherlands ;: Brill.</w:t>
      </w:r>
    </w:p>
    <w:p w14:paraId="2266EBE7" w14:textId="5BA544DD" w:rsidR="00111209" w:rsidRDefault="00111209" w:rsidP="00111209">
      <w:pPr>
        <w:pStyle w:val="NormalWeb"/>
        <w:shd w:val="clear" w:color="auto" w:fill="FFFFFF"/>
        <w:spacing w:before="0" w:after="120"/>
      </w:pPr>
      <w:r>
        <w:rPr>
          <w:rFonts w:ascii="Calibri" w:hAnsi="Calibri" w:cs="Calibri"/>
          <w:color w:val="000000"/>
        </w:rPr>
        <w:t>GREGORY, S.R.W</w:t>
      </w:r>
      <w:r w:rsidR="007347B4">
        <w:rPr>
          <w:rFonts w:ascii="Calibri" w:hAnsi="Calibri" w:cs="Calibri"/>
          <w:color w:val="000000"/>
        </w:rPr>
        <w:t>.</w:t>
      </w:r>
      <w:r>
        <w:rPr>
          <w:rFonts w:ascii="Calibri" w:hAnsi="Calibri" w:cs="Calibri"/>
          <w:color w:val="000000"/>
        </w:rPr>
        <w:t xml:space="preserve"> 2022. </w:t>
      </w:r>
      <w:r>
        <w:rPr>
          <w:rFonts w:ascii="Calibri" w:hAnsi="Calibri" w:cs="Calibri"/>
          <w:i/>
          <w:iCs/>
          <w:color w:val="000000"/>
        </w:rPr>
        <w:t xml:space="preserve">Tutankhamun knew the names of the two great gods : </w:t>
      </w:r>
      <w:proofErr w:type="spellStart"/>
      <w:r>
        <w:rPr>
          <w:rFonts w:ascii="Calibri" w:hAnsi="Calibri" w:cs="Calibri"/>
          <w:i/>
          <w:iCs/>
          <w:color w:val="000000"/>
        </w:rPr>
        <w:t>d̲t</w:t>
      </w:r>
      <w:proofErr w:type="spellEnd"/>
      <w:r>
        <w:rPr>
          <w:rFonts w:ascii="Calibri" w:hAnsi="Calibri" w:cs="Calibri"/>
          <w:i/>
          <w:iCs/>
          <w:color w:val="000000"/>
        </w:rPr>
        <w:t xml:space="preserve"> and </w:t>
      </w:r>
      <w:proofErr w:type="spellStart"/>
      <w:r>
        <w:rPr>
          <w:rFonts w:ascii="Calibri" w:hAnsi="Calibri" w:cs="Calibri"/>
          <w:i/>
          <w:iCs/>
          <w:color w:val="000000"/>
        </w:rPr>
        <w:t>nḥh</w:t>
      </w:r>
      <w:proofErr w:type="spellEnd"/>
      <w:r>
        <w:rPr>
          <w:rFonts w:ascii="Calibri" w:hAnsi="Calibri" w:cs="Calibri"/>
          <w:i/>
          <w:iCs/>
          <w:color w:val="000000"/>
        </w:rPr>
        <w:t>̣ as fundamental concepts of pharaonic ideology. </w:t>
      </w:r>
      <w:r>
        <w:rPr>
          <w:rFonts w:ascii="Calibri" w:hAnsi="Calibri" w:cs="Calibri"/>
          <w:color w:val="000000"/>
        </w:rPr>
        <w:t xml:space="preserve">Oxford: </w:t>
      </w:r>
      <w:proofErr w:type="spellStart"/>
      <w:r>
        <w:rPr>
          <w:rFonts w:ascii="Calibri" w:hAnsi="Calibri" w:cs="Calibri"/>
          <w:color w:val="000000"/>
        </w:rPr>
        <w:t>Archaeopress</w:t>
      </w:r>
      <w:proofErr w:type="spellEnd"/>
      <w:r>
        <w:rPr>
          <w:rFonts w:ascii="Calibri" w:hAnsi="Calibri" w:cs="Calibri"/>
          <w:color w:val="000000"/>
        </w:rPr>
        <w:t>.</w:t>
      </w:r>
    </w:p>
    <w:p w14:paraId="6174B1F7" w14:textId="04C13450" w:rsidR="00111209" w:rsidRDefault="00111209" w:rsidP="00111209">
      <w:pPr>
        <w:pStyle w:val="NormalWeb"/>
        <w:shd w:val="clear" w:color="auto" w:fill="FFFFFF"/>
        <w:spacing w:before="0" w:after="120"/>
      </w:pPr>
      <w:r>
        <w:rPr>
          <w:rFonts w:ascii="Calibri" w:hAnsi="Calibri" w:cs="Calibri"/>
          <w:color w:val="000000"/>
        </w:rPr>
        <w:t>GRIFFITHS, J.G</w:t>
      </w:r>
      <w:r w:rsidR="007347B4">
        <w:rPr>
          <w:rFonts w:ascii="Calibri" w:hAnsi="Calibri" w:cs="Calibri"/>
          <w:color w:val="000000"/>
        </w:rPr>
        <w:t>.</w:t>
      </w:r>
      <w:r>
        <w:rPr>
          <w:rFonts w:ascii="Calibri" w:hAnsi="Calibri" w:cs="Calibri"/>
          <w:color w:val="000000"/>
        </w:rPr>
        <w:t xml:space="preserve"> 1966. Hecataeus and Herodotus on "A Gift of the River". </w:t>
      </w:r>
      <w:r>
        <w:rPr>
          <w:rFonts w:ascii="Calibri" w:hAnsi="Calibri" w:cs="Calibri"/>
          <w:i/>
          <w:iCs/>
          <w:color w:val="000000"/>
        </w:rPr>
        <w:t>Journal of Near Eastern studies, </w:t>
      </w:r>
      <w:r>
        <w:rPr>
          <w:rFonts w:ascii="Calibri" w:hAnsi="Calibri" w:cs="Calibri"/>
          <w:b/>
          <w:bCs/>
          <w:color w:val="000000"/>
        </w:rPr>
        <w:t>25</w:t>
      </w:r>
      <w:r>
        <w:rPr>
          <w:rFonts w:ascii="Calibri" w:hAnsi="Calibri" w:cs="Calibri"/>
          <w:color w:val="000000"/>
        </w:rPr>
        <w:t>(1), pp. 57-61.</w:t>
      </w:r>
    </w:p>
    <w:p w14:paraId="54DC41A5" w14:textId="49D63237" w:rsidR="00111209" w:rsidRDefault="00111209" w:rsidP="00111209">
      <w:pPr>
        <w:pStyle w:val="NormalWeb"/>
        <w:shd w:val="clear" w:color="auto" w:fill="FFFFFF"/>
        <w:spacing w:before="0" w:after="120"/>
      </w:pPr>
      <w:r>
        <w:rPr>
          <w:rFonts w:ascii="Calibri" w:hAnsi="Calibri" w:cs="Calibri"/>
          <w:color w:val="000000"/>
        </w:rPr>
        <w:t>HARDY, P.A</w:t>
      </w:r>
      <w:r w:rsidR="007347B4">
        <w:rPr>
          <w:rFonts w:ascii="Calibri" w:hAnsi="Calibri" w:cs="Calibri"/>
          <w:color w:val="000000"/>
        </w:rPr>
        <w:t>.</w:t>
      </w:r>
      <w:r>
        <w:rPr>
          <w:rFonts w:ascii="Calibri" w:hAnsi="Calibri" w:cs="Calibri"/>
          <w:color w:val="000000"/>
        </w:rPr>
        <w:t xml:space="preserve"> 2002. The Cairo Calendar as a Stellar Almanac. </w:t>
      </w:r>
      <w:proofErr w:type="spellStart"/>
      <w:r>
        <w:rPr>
          <w:rFonts w:ascii="Calibri" w:hAnsi="Calibri" w:cs="Calibri"/>
          <w:i/>
          <w:iCs/>
          <w:color w:val="000000"/>
        </w:rPr>
        <w:t>Archaeoastronomy</w:t>
      </w:r>
      <w:proofErr w:type="spellEnd"/>
      <w:r>
        <w:rPr>
          <w:rFonts w:ascii="Calibri" w:hAnsi="Calibri" w:cs="Calibri"/>
          <w:i/>
          <w:iCs/>
          <w:color w:val="000000"/>
        </w:rPr>
        <w:t xml:space="preserve"> (College Park), </w:t>
      </w:r>
      <w:r>
        <w:rPr>
          <w:rFonts w:ascii="Calibri" w:hAnsi="Calibri" w:cs="Calibri"/>
          <w:b/>
          <w:bCs/>
          <w:color w:val="000000"/>
        </w:rPr>
        <w:t>17</w:t>
      </w:r>
      <w:r>
        <w:rPr>
          <w:rFonts w:ascii="Calibri" w:hAnsi="Calibri" w:cs="Calibri"/>
          <w:color w:val="000000"/>
        </w:rPr>
        <w:t>, pp. 48-63.</w:t>
      </w:r>
    </w:p>
    <w:p w14:paraId="20CF4CE1" w14:textId="7F84A4DF" w:rsidR="00111209" w:rsidRDefault="00111209" w:rsidP="00111209">
      <w:pPr>
        <w:pStyle w:val="NormalWeb"/>
        <w:shd w:val="clear" w:color="auto" w:fill="FFFFFF"/>
        <w:spacing w:before="0" w:after="120"/>
      </w:pPr>
      <w:r>
        <w:rPr>
          <w:rFonts w:ascii="Calibri" w:hAnsi="Calibri" w:cs="Calibri"/>
          <w:color w:val="000000"/>
        </w:rPr>
        <w:t>HART, G</w:t>
      </w:r>
      <w:r w:rsidR="007347B4">
        <w:rPr>
          <w:rFonts w:ascii="Calibri" w:hAnsi="Calibri" w:cs="Calibri"/>
          <w:color w:val="000000"/>
        </w:rPr>
        <w:t>.</w:t>
      </w:r>
      <w:r>
        <w:rPr>
          <w:rFonts w:ascii="Calibri" w:hAnsi="Calibri" w:cs="Calibri"/>
          <w:color w:val="000000"/>
        </w:rPr>
        <w:t xml:space="preserve"> 2005. </w:t>
      </w:r>
      <w:r>
        <w:rPr>
          <w:rFonts w:ascii="Calibri" w:hAnsi="Calibri" w:cs="Calibri"/>
          <w:i/>
          <w:iCs/>
          <w:color w:val="000000"/>
        </w:rPr>
        <w:t>The Routledge Dictionary of Egyptian Gods and Goddesses. </w:t>
      </w:r>
      <w:r>
        <w:rPr>
          <w:rFonts w:ascii="Calibri" w:hAnsi="Calibri" w:cs="Calibri"/>
          <w:color w:val="000000"/>
        </w:rPr>
        <w:t>2nd edn. London: Routledge.</w:t>
      </w:r>
    </w:p>
    <w:p w14:paraId="4BC529D5" w14:textId="468B589F" w:rsidR="00111209" w:rsidRDefault="00111209" w:rsidP="00111209">
      <w:pPr>
        <w:pStyle w:val="NormalWeb"/>
        <w:shd w:val="clear" w:color="auto" w:fill="FFFFFF"/>
        <w:spacing w:before="0" w:after="120"/>
      </w:pPr>
      <w:r>
        <w:rPr>
          <w:rFonts w:ascii="Calibri" w:hAnsi="Calibri" w:cs="Calibri"/>
          <w:color w:val="000000"/>
        </w:rPr>
        <w:t>HORNUNG, E</w:t>
      </w:r>
      <w:r w:rsidR="007347B4">
        <w:rPr>
          <w:rFonts w:ascii="Calibri" w:hAnsi="Calibri" w:cs="Calibri"/>
          <w:color w:val="000000"/>
        </w:rPr>
        <w:t>.</w:t>
      </w:r>
      <w:r>
        <w:rPr>
          <w:rFonts w:ascii="Calibri" w:hAnsi="Calibri" w:cs="Calibri"/>
          <w:color w:val="000000"/>
        </w:rPr>
        <w:t xml:space="preserve"> 1999. </w:t>
      </w:r>
      <w:r>
        <w:rPr>
          <w:rFonts w:ascii="Calibri" w:hAnsi="Calibri" w:cs="Calibri"/>
          <w:i/>
          <w:iCs/>
          <w:color w:val="000000"/>
        </w:rPr>
        <w:t>The Ancient Egyptian Books of the Afterlife. </w:t>
      </w:r>
      <w:r>
        <w:rPr>
          <w:rFonts w:ascii="Calibri" w:hAnsi="Calibri" w:cs="Calibri"/>
          <w:color w:val="000000"/>
        </w:rPr>
        <w:t>Ithaca: Cornell University Press.</w:t>
      </w:r>
    </w:p>
    <w:p w14:paraId="65E29EE7" w14:textId="5595EA55" w:rsidR="00111209" w:rsidRDefault="00111209" w:rsidP="00111209">
      <w:pPr>
        <w:pStyle w:val="NormalWeb"/>
        <w:shd w:val="clear" w:color="auto" w:fill="FFFFFF"/>
        <w:spacing w:before="0" w:after="120"/>
      </w:pPr>
      <w:r>
        <w:rPr>
          <w:rFonts w:ascii="Calibri" w:hAnsi="Calibri" w:cs="Calibri"/>
          <w:color w:val="000000"/>
        </w:rPr>
        <w:t>JETSU, L. and PORCEDDU, S</w:t>
      </w:r>
      <w:r w:rsidR="007347B4">
        <w:rPr>
          <w:rFonts w:ascii="Calibri" w:hAnsi="Calibri" w:cs="Calibri"/>
          <w:color w:val="000000"/>
        </w:rPr>
        <w:t>.</w:t>
      </w:r>
      <w:r>
        <w:rPr>
          <w:rFonts w:ascii="Calibri" w:hAnsi="Calibri" w:cs="Calibri"/>
          <w:color w:val="000000"/>
        </w:rPr>
        <w:t xml:space="preserve"> 2015. Shifting Milestones of Natural Sciences: The Ancient Egyptian Discovery of Algol's Period Confirmed. </w:t>
      </w:r>
      <w:proofErr w:type="spellStart"/>
      <w:r>
        <w:rPr>
          <w:rFonts w:ascii="Calibri" w:hAnsi="Calibri" w:cs="Calibri"/>
          <w:i/>
          <w:iCs/>
          <w:color w:val="000000"/>
        </w:rPr>
        <w:t>PloS</w:t>
      </w:r>
      <w:proofErr w:type="spellEnd"/>
      <w:r>
        <w:rPr>
          <w:rFonts w:ascii="Calibri" w:hAnsi="Calibri" w:cs="Calibri"/>
          <w:i/>
          <w:iCs/>
          <w:color w:val="000000"/>
        </w:rPr>
        <w:t xml:space="preserve"> one, </w:t>
      </w:r>
      <w:r w:rsidRPr="007347B4">
        <w:rPr>
          <w:rFonts w:ascii="Calibri" w:hAnsi="Calibri" w:cs="Calibri"/>
          <w:color w:val="000000"/>
        </w:rPr>
        <w:t>10</w:t>
      </w:r>
      <w:r>
        <w:rPr>
          <w:rFonts w:ascii="Calibri" w:hAnsi="Calibri" w:cs="Calibri"/>
          <w:color w:val="000000"/>
        </w:rPr>
        <w:t>(12), pp. e0144140.</w:t>
      </w:r>
    </w:p>
    <w:p w14:paraId="41F6EB8B" w14:textId="34F26ABE" w:rsidR="00111209" w:rsidRDefault="00111209" w:rsidP="00111209">
      <w:pPr>
        <w:pStyle w:val="NormalWeb"/>
        <w:shd w:val="clear" w:color="auto" w:fill="FFFFFF"/>
        <w:spacing w:before="0" w:after="120"/>
      </w:pPr>
      <w:r>
        <w:rPr>
          <w:rFonts w:ascii="Calibri" w:hAnsi="Calibri" w:cs="Calibri"/>
          <w:color w:val="000000"/>
        </w:rPr>
        <w:t>JØRGENSEN, J.K.B</w:t>
      </w:r>
      <w:r w:rsidR="007347B4">
        <w:rPr>
          <w:rFonts w:ascii="Calibri" w:hAnsi="Calibri" w:cs="Calibri"/>
          <w:color w:val="000000"/>
        </w:rPr>
        <w:t>.</w:t>
      </w:r>
      <w:r>
        <w:rPr>
          <w:rFonts w:ascii="Calibri" w:hAnsi="Calibri" w:cs="Calibri"/>
          <w:color w:val="000000"/>
        </w:rPr>
        <w:t xml:space="preserve"> 2014. </w:t>
      </w:r>
      <w:r>
        <w:rPr>
          <w:rFonts w:ascii="Calibri" w:hAnsi="Calibri" w:cs="Calibri"/>
          <w:i/>
          <w:iCs/>
          <w:color w:val="000000"/>
        </w:rPr>
        <w:t>Egyptian Mythological Manuals</w:t>
      </w:r>
      <w:r>
        <w:rPr>
          <w:rFonts w:ascii="Calibri" w:hAnsi="Calibri" w:cs="Calibri"/>
          <w:i/>
          <w:iCs/>
          <w:color w:val="000000"/>
        </w:rPr>
        <w:br/>
        <w:t xml:space="preserve">Mythological structures and interpretative techniques in the </w:t>
      </w:r>
      <w:proofErr w:type="spellStart"/>
      <w:r>
        <w:rPr>
          <w:rFonts w:ascii="Calibri" w:hAnsi="Calibri" w:cs="Calibri"/>
          <w:i/>
          <w:iCs/>
          <w:color w:val="000000"/>
        </w:rPr>
        <w:t>Tebtunis</w:t>
      </w:r>
      <w:proofErr w:type="spellEnd"/>
      <w:r>
        <w:rPr>
          <w:rFonts w:ascii="Calibri" w:hAnsi="Calibri" w:cs="Calibri"/>
          <w:i/>
          <w:iCs/>
          <w:color w:val="000000"/>
        </w:rPr>
        <w:t xml:space="preserve"> Mythological</w:t>
      </w:r>
      <w:r>
        <w:rPr>
          <w:rFonts w:ascii="Calibri" w:hAnsi="Calibri" w:cs="Calibri"/>
          <w:i/>
          <w:iCs/>
          <w:color w:val="000000"/>
        </w:rPr>
        <w:br/>
        <w:t>manual, the manual of the Delta and related texts . </w:t>
      </w:r>
      <w:r>
        <w:rPr>
          <w:rFonts w:ascii="Calibri" w:hAnsi="Calibri" w:cs="Calibri"/>
          <w:color w:val="000000"/>
        </w:rPr>
        <w:t xml:space="preserve">Copenhagen: Det </w:t>
      </w:r>
      <w:proofErr w:type="spellStart"/>
      <w:r>
        <w:rPr>
          <w:rFonts w:ascii="Calibri" w:hAnsi="Calibri" w:cs="Calibri"/>
          <w:color w:val="000000"/>
        </w:rPr>
        <w:t>Humanistiske</w:t>
      </w:r>
      <w:proofErr w:type="spellEnd"/>
      <w:r>
        <w:rPr>
          <w:rFonts w:ascii="Calibri" w:hAnsi="Calibri" w:cs="Calibri"/>
          <w:color w:val="000000"/>
        </w:rPr>
        <w:t xml:space="preserve"> </w:t>
      </w:r>
      <w:proofErr w:type="spellStart"/>
      <w:r>
        <w:rPr>
          <w:rFonts w:ascii="Calibri" w:hAnsi="Calibri" w:cs="Calibri"/>
          <w:color w:val="000000"/>
        </w:rPr>
        <w:t>Fakultet</w:t>
      </w:r>
      <w:proofErr w:type="spellEnd"/>
      <w:r>
        <w:rPr>
          <w:rFonts w:ascii="Calibri" w:hAnsi="Calibri" w:cs="Calibri"/>
          <w:color w:val="000000"/>
        </w:rPr>
        <w:t xml:space="preserve">, </w:t>
      </w:r>
      <w:proofErr w:type="spellStart"/>
      <w:r>
        <w:rPr>
          <w:rFonts w:ascii="Calibri" w:hAnsi="Calibri" w:cs="Calibri"/>
          <w:color w:val="000000"/>
        </w:rPr>
        <w:t>Københavns</w:t>
      </w:r>
      <w:proofErr w:type="spellEnd"/>
      <w:r>
        <w:rPr>
          <w:rFonts w:ascii="Calibri" w:hAnsi="Calibri" w:cs="Calibri"/>
          <w:color w:val="000000"/>
        </w:rPr>
        <w:t xml:space="preserve"> </w:t>
      </w:r>
      <w:proofErr w:type="spellStart"/>
      <w:r>
        <w:rPr>
          <w:rFonts w:ascii="Calibri" w:hAnsi="Calibri" w:cs="Calibri"/>
          <w:color w:val="000000"/>
        </w:rPr>
        <w:t>Universitet</w:t>
      </w:r>
      <w:proofErr w:type="spellEnd"/>
      <w:r>
        <w:rPr>
          <w:rFonts w:ascii="Calibri" w:hAnsi="Calibri" w:cs="Calibri"/>
          <w:color w:val="000000"/>
        </w:rPr>
        <w:t>.</w:t>
      </w:r>
    </w:p>
    <w:p w14:paraId="38B7155A" w14:textId="3AD480E4" w:rsidR="00111209" w:rsidRDefault="00111209" w:rsidP="00111209">
      <w:pPr>
        <w:pStyle w:val="NormalWeb"/>
        <w:shd w:val="clear" w:color="auto" w:fill="FFFFFF"/>
        <w:spacing w:before="0" w:after="120"/>
      </w:pPr>
      <w:r>
        <w:rPr>
          <w:rFonts w:ascii="Calibri" w:hAnsi="Calibri" w:cs="Calibri"/>
          <w:color w:val="000000"/>
        </w:rPr>
        <w:t>KARENGA, M.N</w:t>
      </w:r>
      <w:r w:rsidR="007347B4">
        <w:rPr>
          <w:rFonts w:ascii="Calibri" w:hAnsi="Calibri" w:cs="Calibri"/>
          <w:color w:val="000000"/>
        </w:rPr>
        <w:t>.</w:t>
      </w:r>
      <w:r>
        <w:rPr>
          <w:rFonts w:ascii="Calibri" w:hAnsi="Calibri" w:cs="Calibri"/>
          <w:color w:val="000000"/>
        </w:rPr>
        <w:t xml:space="preserve"> 1994. </w:t>
      </w:r>
      <w:r>
        <w:rPr>
          <w:rFonts w:ascii="Calibri" w:hAnsi="Calibri" w:cs="Calibri"/>
          <w:i/>
          <w:iCs/>
          <w:color w:val="000000"/>
        </w:rPr>
        <w:t>Maat, the moral ideal in ancient Egypt : a study in classical African ethics</w:t>
      </w:r>
      <w:r>
        <w:rPr>
          <w:rFonts w:ascii="Calibri" w:hAnsi="Calibri" w:cs="Calibri"/>
          <w:color w:val="000000"/>
        </w:rPr>
        <w:t>, University of Southern California.</w:t>
      </w:r>
    </w:p>
    <w:p w14:paraId="62BB0013" w14:textId="079EB7A5" w:rsidR="00111209" w:rsidRDefault="00111209" w:rsidP="00111209">
      <w:pPr>
        <w:pStyle w:val="NormalWeb"/>
        <w:shd w:val="clear" w:color="auto" w:fill="FFFFFF"/>
        <w:spacing w:before="0" w:after="120"/>
      </w:pPr>
      <w:r>
        <w:rPr>
          <w:rFonts w:ascii="Calibri" w:hAnsi="Calibri" w:cs="Calibri"/>
          <w:color w:val="000000"/>
        </w:rPr>
        <w:t>KIRK, G.S</w:t>
      </w:r>
      <w:r w:rsidR="007347B4">
        <w:rPr>
          <w:rFonts w:ascii="Calibri" w:hAnsi="Calibri" w:cs="Calibri"/>
          <w:color w:val="000000"/>
        </w:rPr>
        <w:t>.</w:t>
      </w:r>
      <w:r>
        <w:rPr>
          <w:rFonts w:ascii="Calibri" w:hAnsi="Calibri" w:cs="Calibri"/>
          <w:color w:val="000000"/>
        </w:rPr>
        <w:t xml:space="preserve"> 1973. </w:t>
      </w:r>
      <w:r>
        <w:rPr>
          <w:rFonts w:ascii="Calibri" w:hAnsi="Calibri" w:cs="Calibri"/>
          <w:i/>
          <w:iCs/>
          <w:color w:val="000000"/>
        </w:rPr>
        <w:t>Myth : its meaning and functions in ancient and other cultures. </w:t>
      </w:r>
      <w:r>
        <w:rPr>
          <w:rFonts w:ascii="Calibri" w:hAnsi="Calibri" w:cs="Calibri"/>
          <w:color w:val="000000"/>
        </w:rPr>
        <w:t>1 edn. Cambridge: Cambridge University Press.</w:t>
      </w:r>
    </w:p>
    <w:p w14:paraId="3AFEC5B3" w14:textId="36882EF6" w:rsidR="00111209" w:rsidRDefault="00111209" w:rsidP="00111209">
      <w:pPr>
        <w:pStyle w:val="NormalWeb"/>
        <w:shd w:val="clear" w:color="auto" w:fill="FFFFFF"/>
        <w:spacing w:before="0" w:after="120"/>
      </w:pPr>
      <w:r>
        <w:rPr>
          <w:rFonts w:ascii="Calibri" w:hAnsi="Calibri" w:cs="Calibri"/>
          <w:color w:val="000000"/>
        </w:rPr>
        <w:t>KOOTZ, A</w:t>
      </w:r>
      <w:r w:rsidR="007347B4">
        <w:rPr>
          <w:rFonts w:ascii="Calibri" w:hAnsi="Calibri" w:cs="Calibri"/>
          <w:color w:val="000000"/>
        </w:rPr>
        <w:t>.</w:t>
      </w:r>
      <w:r>
        <w:rPr>
          <w:rFonts w:ascii="Calibri" w:hAnsi="Calibri" w:cs="Calibri"/>
          <w:color w:val="000000"/>
        </w:rPr>
        <w:t xml:space="preserve"> 2021. The Body as a Toolbox in Ancient Egypt. </w:t>
      </w:r>
      <w:proofErr w:type="spellStart"/>
      <w:r>
        <w:rPr>
          <w:rFonts w:ascii="Calibri" w:hAnsi="Calibri" w:cs="Calibri"/>
          <w:i/>
          <w:iCs/>
          <w:color w:val="000000"/>
        </w:rPr>
        <w:t>Afrikanistik</w:t>
      </w:r>
      <w:proofErr w:type="spellEnd"/>
      <w:r>
        <w:rPr>
          <w:rFonts w:ascii="Calibri" w:hAnsi="Calibri" w:cs="Calibri"/>
          <w:i/>
          <w:iCs/>
          <w:color w:val="000000"/>
        </w:rPr>
        <w:t xml:space="preserve"> </w:t>
      </w:r>
      <w:proofErr w:type="spellStart"/>
      <w:r>
        <w:rPr>
          <w:rFonts w:ascii="Calibri" w:hAnsi="Calibri" w:cs="Calibri"/>
          <w:i/>
          <w:iCs/>
          <w:color w:val="000000"/>
        </w:rPr>
        <w:t>Aegyptologie</w:t>
      </w:r>
      <w:proofErr w:type="spellEnd"/>
      <w:r>
        <w:rPr>
          <w:rFonts w:ascii="Calibri" w:hAnsi="Calibri" w:cs="Calibri"/>
          <w:i/>
          <w:iCs/>
          <w:color w:val="000000"/>
        </w:rPr>
        <w:t xml:space="preserve"> Online, </w:t>
      </w:r>
      <w:r w:rsidRPr="007347B4">
        <w:rPr>
          <w:rFonts w:ascii="Calibri" w:hAnsi="Calibri" w:cs="Calibri"/>
          <w:color w:val="000000"/>
        </w:rPr>
        <w:t>2021</w:t>
      </w:r>
      <w:r>
        <w:rPr>
          <w:rFonts w:ascii="Calibri" w:hAnsi="Calibri" w:cs="Calibri"/>
          <w:color w:val="000000"/>
        </w:rPr>
        <w:t>(1).</w:t>
      </w:r>
    </w:p>
    <w:p w14:paraId="5AF333F9" w14:textId="063109F8" w:rsidR="00111209" w:rsidRDefault="00111209" w:rsidP="00111209">
      <w:pPr>
        <w:pStyle w:val="NormalWeb"/>
        <w:shd w:val="clear" w:color="auto" w:fill="FFFFFF"/>
        <w:spacing w:before="0" w:after="120"/>
      </w:pPr>
      <w:r>
        <w:rPr>
          <w:rFonts w:ascii="Calibri" w:hAnsi="Calibri" w:cs="Calibri"/>
          <w:color w:val="000000"/>
        </w:rPr>
        <w:lastRenderedPageBreak/>
        <w:t>KRUCHTEN, J</w:t>
      </w:r>
      <w:r w:rsidR="007347B4">
        <w:rPr>
          <w:rFonts w:ascii="Calibri" w:hAnsi="Calibri" w:cs="Calibri"/>
          <w:color w:val="000000"/>
        </w:rPr>
        <w:t>.</w:t>
      </w:r>
      <w:r>
        <w:rPr>
          <w:rFonts w:ascii="Calibri" w:hAnsi="Calibri" w:cs="Calibri"/>
          <w:color w:val="000000"/>
        </w:rPr>
        <w:t xml:space="preserve"> 2001. Oracles. In: D.B. REDFORD, ed, </w:t>
      </w:r>
      <w:r>
        <w:rPr>
          <w:rFonts w:ascii="Calibri" w:hAnsi="Calibri" w:cs="Calibri"/>
          <w:i/>
          <w:iCs/>
          <w:color w:val="000000"/>
        </w:rPr>
        <w:t>The Oxford Encyclopedia of Ancient Egypt (vol. 2). </w:t>
      </w:r>
      <w:r>
        <w:rPr>
          <w:rFonts w:ascii="Calibri" w:hAnsi="Calibri" w:cs="Calibri"/>
          <w:color w:val="000000"/>
        </w:rPr>
        <w:t>Oxford: Oxford University Press, pp. 609-612.</w:t>
      </w:r>
    </w:p>
    <w:p w14:paraId="3F1DD064" w14:textId="2B863D74"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KUHN, R.L</w:t>
      </w:r>
      <w:r w:rsidR="007347B4">
        <w:rPr>
          <w:rFonts w:ascii="Calibri" w:hAnsi="Calibri" w:cs="Calibri"/>
          <w:color w:val="000000"/>
        </w:rPr>
        <w:t>.</w:t>
      </w:r>
      <w:r>
        <w:rPr>
          <w:rFonts w:ascii="Calibri" w:hAnsi="Calibri" w:cs="Calibri"/>
          <w:color w:val="000000"/>
        </w:rPr>
        <w:t xml:space="preserve"> August 26, 2022-last update, The Illusion of Time: What's Real? </w:t>
      </w:r>
      <w:r w:rsidRPr="00D64DC3">
        <w:rPr>
          <w:rFonts w:ascii="Calibri" w:hAnsi="Calibri" w:cs="Calibri"/>
          <w:color w:val="000000"/>
        </w:rPr>
        <w:t xml:space="preserve">https://www.space.com/29859-the-illusion-of-time.html </w:t>
      </w:r>
      <w:r>
        <w:rPr>
          <w:rFonts w:ascii="Calibri" w:hAnsi="Calibri" w:cs="Calibri"/>
          <w:color w:val="000000"/>
        </w:rPr>
        <w:t>[March 12th, 2024].</w:t>
      </w:r>
    </w:p>
    <w:p w14:paraId="75D06C9C" w14:textId="386AF061" w:rsidR="00111209" w:rsidRDefault="00111209" w:rsidP="00111209">
      <w:pPr>
        <w:shd w:val="clear" w:color="auto" w:fill="FFFFFF"/>
        <w:suppressAutoHyphens w:val="0"/>
        <w:autoSpaceDN/>
        <w:spacing w:after="173" w:line="240" w:lineRule="auto"/>
        <w:rPr>
          <w:rFonts w:ascii="Roboto" w:eastAsia="Times New Roman" w:hAnsi="Roboto"/>
          <w:color w:val="000000"/>
          <w:sz w:val="21"/>
          <w:szCs w:val="21"/>
          <w:lang w:eastAsia="en-GB"/>
        </w:rPr>
      </w:pPr>
      <w:r w:rsidRPr="00916A25">
        <w:rPr>
          <w:rFonts w:ascii="Roboto" w:eastAsia="Times New Roman" w:hAnsi="Roboto"/>
          <w:color w:val="000000"/>
          <w:sz w:val="21"/>
          <w:szCs w:val="21"/>
          <w:lang w:eastAsia="en-GB"/>
        </w:rPr>
        <w:t>LEWIS-WILLIAMS, J</w:t>
      </w:r>
      <w:r w:rsidR="007347B4">
        <w:rPr>
          <w:rFonts w:ascii="Roboto" w:eastAsia="Times New Roman" w:hAnsi="Roboto"/>
          <w:color w:val="000000"/>
          <w:sz w:val="21"/>
          <w:szCs w:val="21"/>
          <w:lang w:eastAsia="en-GB"/>
        </w:rPr>
        <w:t>.</w:t>
      </w:r>
      <w:r w:rsidRPr="00916A25">
        <w:rPr>
          <w:rFonts w:ascii="Roboto" w:eastAsia="Times New Roman" w:hAnsi="Roboto"/>
          <w:color w:val="000000"/>
          <w:sz w:val="21"/>
          <w:szCs w:val="21"/>
          <w:lang w:eastAsia="en-GB"/>
        </w:rPr>
        <w:t xml:space="preserve"> 2004. </w:t>
      </w:r>
      <w:r w:rsidRPr="00916A25">
        <w:rPr>
          <w:rFonts w:ascii="Roboto" w:eastAsia="Times New Roman" w:hAnsi="Roboto"/>
          <w:i/>
          <w:iCs/>
          <w:color w:val="000000"/>
          <w:sz w:val="21"/>
          <w:szCs w:val="21"/>
          <w:lang w:eastAsia="en-GB"/>
        </w:rPr>
        <w:t>The mind in the cave : consciousness and the origins of art. </w:t>
      </w:r>
      <w:r w:rsidRPr="00916A25">
        <w:rPr>
          <w:rFonts w:ascii="Roboto" w:eastAsia="Times New Roman" w:hAnsi="Roboto"/>
          <w:color w:val="000000"/>
          <w:sz w:val="21"/>
          <w:szCs w:val="21"/>
          <w:lang w:eastAsia="en-GB"/>
        </w:rPr>
        <w:t>1 edn. London: Thames &amp; Hudson.</w:t>
      </w:r>
    </w:p>
    <w:p w14:paraId="4229763D" w14:textId="52B60521" w:rsidR="000F1324" w:rsidRPr="000F1324" w:rsidRDefault="000F1324" w:rsidP="000F1324">
      <w:pPr>
        <w:shd w:val="clear" w:color="auto" w:fill="FFFFFF"/>
        <w:suppressAutoHyphens w:val="0"/>
        <w:autoSpaceDN/>
        <w:spacing w:after="173" w:line="240" w:lineRule="auto"/>
        <w:rPr>
          <w:rFonts w:ascii="Roboto" w:eastAsia="Times New Roman" w:hAnsi="Roboto"/>
          <w:color w:val="000000"/>
          <w:sz w:val="21"/>
          <w:szCs w:val="21"/>
          <w:lang w:eastAsia="en-GB"/>
        </w:rPr>
      </w:pPr>
      <w:r w:rsidRPr="000F1324">
        <w:rPr>
          <w:rFonts w:ascii="Roboto" w:eastAsia="Times New Roman" w:hAnsi="Roboto"/>
          <w:color w:val="000000"/>
          <w:sz w:val="21"/>
          <w:szCs w:val="21"/>
          <w:lang w:eastAsia="en-GB"/>
        </w:rPr>
        <w:t>LICHTHEIM, M</w:t>
      </w:r>
      <w:r w:rsidR="007347B4">
        <w:rPr>
          <w:rFonts w:ascii="Roboto" w:eastAsia="Times New Roman" w:hAnsi="Roboto"/>
          <w:color w:val="000000"/>
          <w:sz w:val="21"/>
          <w:szCs w:val="21"/>
          <w:lang w:eastAsia="en-GB"/>
        </w:rPr>
        <w:t>.</w:t>
      </w:r>
      <w:r w:rsidRPr="000F1324">
        <w:rPr>
          <w:rFonts w:ascii="Roboto" w:eastAsia="Times New Roman" w:hAnsi="Roboto"/>
          <w:color w:val="000000"/>
          <w:sz w:val="21"/>
          <w:szCs w:val="21"/>
          <w:lang w:eastAsia="en-GB"/>
        </w:rPr>
        <w:t xml:space="preserve"> 2019. </w:t>
      </w:r>
      <w:r w:rsidRPr="000F1324">
        <w:rPr>
          <w:rFonts w:ascii="Roboto" w:eastAsia="Times New Roman" w:hAnsi="Roboto"/>
          <w:i/>
          <w:iCs/>
          <w:color w:val="000000"/>
          <w:sz w:val="21"/>
          <w:szCs w:val="21"/>
          <w:lang w:eastAsia="en-GB"/>
        </w:rPr>
        <w:t>Ancient Egyptian Literature. </w:t>
      </w:r>
      <w:r w:rsidRPr="000F1324">
        <w:rPr>
          <w:rFonts w:ascii="Roboto" w:eastAsia="Times New Roman" w:hAnsi="Roboto"/>
          <w:color w:val="000000"/>
          <w:sz w:val="21"/>
          <w:szCs w:val="21"/>
          <w:lang w:eastAsia="en-GB"/>
        </w:rPr>
        <w:t>1 edn. University of California Press.</w:t>
      </w:r>
    </w:p>
    <w:p w14:paraId="57E3862B" w14:textId="220FC650"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LLOYD, A.B</w:t>
      </w:r>
      <w:r w:rsidR="007347B4">
        <w:rPr>
          <w:rFonts w:ascii="Calibri" w:hAnsi="Calibri" w:cs="Calibri"/>
          <w:color w:val="000000"/>
        </w:rPr>
        <w:t>.</w:t>
      </w:r>
      <w:r>
        <w:rPr>
          <w:rFonts w:ascii="Calibri" w:hAnsi="Calibri" w:cs="Calibri"/>
          <w:color w:val="000000"/>
        </w:rPr>
        <w:t xml:space="preserve"> 2006. </w:t>
      </w:r>
      <w:r>
        <w:rPr>
          <w:rFonts w:ascii="Calibri" w:hAnsi="Calibri" w:cs="Calibri"/>
          <w:i/>
          <w:iCs/>
          <w:color w:val="000000"/>
        </w:rPr>
        <w:t>Heka</w:t>
      </w:r>
      <w:r>
        <w:rPr>
          <w:rFonts w:ascii="Calibri" w:hAnsi="Calibri" w:cs="Calibri"/>
          <w:color w:val="000000"/>
        </w:rPr>
        <w:t>, Dreams, and Prophecy in Ancient Egyptian Stories. In: K. SZPAKOWSKA, ed, </w:t>
      </w:r>
      <w:r>
        <w:rPr>
          <w:rFonts w:ascii="Calibri" w:hAnsi="Calibri" w:cs="Calibri"/>
          <w:i/>
          <w:iCs/>
          <w:color w:val="000000"/>
        </w:rPr>
        <w:t>Through a Glass Darkly: Dreams, Magic and Prophecy in Ancient Egypt. </w:t>
      </w:r>
      <w:r>
        <w:rPr>
          <w:rFonts w:ascii="Calibri" w:hAnsi="Calibri" w:cs="Calibri"/>
          <w:color w:val="000000"/>
        </w:rPr>
        <w:t>Swansea: Classical Press of Wales, pp. 71-94.</w:t>
      </w:r>
    </w:p>
    <w:p w14:paraId="432C9747" w14:textId="41A911DD" w:rsidR="009E1E22" w:rsidRDefault="009E1E22" w:rsidP="00111209">
      <w:pPr>
        <w:pStyle w:val="NormalWeb"/>
        <w:shd w:val="clear" w:color="auto" w:fill="FFFFFF"/>
        <w:spacing w:before="0" w:after="120"/>
      </w:pPr>
      <w:proofErr w:type="spellStart"/>
      <w:r>
        <w:rPr>
          <w:rFonts w:ascii="Roboto" w:hAnsi="Roboto"/>
          <w:color w:val="000000"/>
          <w:sz w:val="21"/>
          <w:szCs w:val="21"/>
          <w:shd w:val="clear" w:color="auto" w:fill="FFFFFF"/>
        </w:rPr>
        <w:t>McCLAIN</w:t>
      </w:r>
      <w:proofErr w:type="spellEnd"/>
      <w:r>
        <w:rPr>
          <w:rFonts w:ascii="Roboto" w:hAnsi="Roboto"/>
          <w:color w:val="000000"/>
          <w:sz w:val="21"/>
          <w:szCs w:val="21"/>
          <w:shd w:val="clear" w:color="auto" w:fill="FFFFFF"/>
        </w:rPr>
        <w:t>, B., 2011. Cosmogony (Late to Ptolemaic and Roman Periods). </w:t>
      </w:r>
      <w:r>
        <w:rPr>
          <w:rFonts w:ascii="Roboto" w:hAnsi="Roboto"/>
          <w:i/>
          <w:iCs/>
          <w:color w:val="000000"/>
          <w:sz w:val="21"/>
          <w:szCs w:val="21"/>
          <w:shd w:val="clear" w:color="auto" w:fill="FFFFFF"/>
        </w:rPr>
        <w:t>UCLA Encyclopedia of Egyptology, </w:t>
      </w:r>
      <w:r>
        <w:rPr>
          <w:rFonts w:ascii="Roboto" w:hAnsi="Roboto"/>
          <w:b/>
          <w:bCs/>
          <w:color w:val="000000"/>
          <w:sz w:val="21"/>
          <w:szCs w:val="21"/>
          <w:shd w:val="clear" w:color="auto" w:fill="FFFFFF"/>
        </w:rPr>
        <w:t>1</w:t>
      </w:r>
      <w:r>
        <w:rPr>
          <w:rFonts w:ascii="Roboto" w:hAnsi="Roboto"/>
          <w:color w:val="000000"/>
          <w:sz w:val="21"/>
          <w:szCs w:val="21"/>
          <w:shd w:val="clear" w:color="auto" w:fill="FFFFFF"/>
        </w:rPr>
        <w:t>(1).</w:t>
      </w:r>
    </w:p>
    <w:p w14:paraId="4E9F163B" w14:textId="3AC42610" w:rsidR="00111209" w:rsidRDefault="00111209" w:rsidP="00111209">
      <w:pPr>
        <w:pStyle w:val="NormalWeb"/>
        <w:shd w:val="clear" w:color="auto" w:fill="FFFFFF"/>
        <w:spacing w:before="0" w:after="120"/>
      </w:pPr>
      <w:r>
        <w:rPr>
          <w:rFonts w:ascii="Calibri" w:hAnsi="Calibri" w:cs="Calibri"/>
          <w:color w:val="000000"/>
        </w:rPr>
        <w:t>MAGLI, G</w:t>
      </w:r>
      <w:r w:rsidR="007347B4">
        <w:rPr>
          <w:rFonts w:ascii="Calibri" w:hAnsi="Calibri" w:cs="Calibri"/>
          <w:color w:val="000000"/>
        </w:rPr>
        <w:t>.</w:t>
      </w:r>
      <w:r>
        <w:rPr>
          <w:rFonts w:ascii="Calibri" w:hAnsi="Calibri" w:cs="Calibri"/>
          <w:color w:val="000000"/>
        </w:rPr>
        <w:t xml:space="preserve"> 2013. </w:t>
      </w:r>
      <w:r>
        <w:rPr>
          <w:rFonts w:ascii="Calibri" w:hAnsi="Calibri" w:cs="Calibri"/>
          <w:i/>
          <w:iCs/>
          <w:color w:val="000000"/>
        </w:rPr>
        <w:t>Architecture, astronomy and sacred landscape in ancient Egypt. </w:t>
      </w:r>
      <w:r>
        <w:rPr>
          <w:rFonts w:ascii="Calibri" w:hAnsi="Calibri" w:cs="Calibri"/>
          <w:color w:val="000000"/>
        </w:rPr>
        <w:t>Cambridge: Cambridge University Press.</w:t>
      </w:r>
    </w:p>
    <w:p w14:paraId="4824C3E1" w14:textId="0EBFE32E" w:rsidR="00111209" w:rsidRDefault="00111209" w:rsidP="00111209">
      <w:pPr>
        <w:pStyle w:val="NormalWeb"/>
        <w:shd w:val="clear" w:color="auto" w:fill="FFFFFF"/>
        <w:spacing w:before="0" w:after="120"/>
      </w:pPr>
      <w:r>
        <w:rPr>
          <w:rFonts w:ascii="Calibri" w:hAnsi="Calibri" w:cs="Calibri"/>
          <w:color w:val="000000"/>
        </w:rPr>
        <w:t>MALVILLE, J.M</w:t>
      </w:r>
      <w:r w:rsidR="007347B4">
        <w:rPr>
          <w:rFonts w:ascii="Calibri" w:hAnsi="Calibri" w:cs="Calibri"/>
          <w:color w:val="000000"/>
        </w:rPr>
        <w:t>.</w:t>
      </w:r>
      <w:r>
        <w:rPr>
          <w:rFonts w:ascii="Calibri" w:hAnsi="Calibri" w:cs="Calibri"/>
          <w:color w:val="000000"/>
        </w:rPr>
        <w:t xml:space="preserve"> WENDORF, F</w:t>
      </w:r>
      <w:r w:rsidR="007347B4">
        <w:rPr>
          <w:rFonts w:ascii="Calibri" w:hAnsi="Calibri" w:cs="Calibri"/>
          <w:color w:val="000000"/>
        </w:rPr>
        <w:t>.</w:t>
      </w:r>
      <w:r>
        <w:rPr>
          <w:rFonts w:ascii="Calibri" w:hAnsi="Calibri" w:cs="Calibri"/>
          <w:color w:val="000000"/>
        </w:rPr>
        <w:t xml:space="preserve"> MAZAR, A.A. and SCHILD, R</w:t>
      </w:r>
      <w:r w:rsidR="007347B4">
        <w:rPr>
          <w:rFonts w:ascii="Calibri" w:hAnsi="Calibri" w:cs="Calibri"/>
          <w:color w:val="000000"/>
        </w:rPr>
        <w:t>.</w:t>
      </w:r>
      <w:r>
        <w:rPr>
          <w:rFonts w:ascii="Calibri" w:hAnsi="Calibri" w:cs="Calibri"/>
          <w:color w:val="000000"/>
        </w:rPr>
        <w:t xml:space="preserve"> 1998. Megaliths and Neolithic astronomy in southern Egypt. </w:t>
      </w:r>
      <w:r>
        <w:rPr>
          <w:rFonts w:ascii="Calibri" w:hAnsi="Calibri" w:cs="Calibri"/>
          <w:i/>
          <w:iCs/>
          <w:color w:val="000000"/>
        </w:rPr>
        <w:t>Nature, </w:t>
      </w:r>
      <w:r w:rsidRPr="007347B4">
        <w:rPr>
          <w:rFonts w:ascii="Calibri" w:hAnsi="Calibri" w:cs="Calibri"/>
          <w:color w:val="000000"/>
        </w:rPr>
        <w:t>392</w:t>
      </w:r>
      <w:r>
        <w:rPr>
          <w:rFonts w:ascii="Calibri" w:hAnsi="Calibri" w:cs="Calibri"/>
          <w:color w:val="000000"/>
        </w:rPr>
        <w:t>(6675), pp. 488-491.</w:t>
      </w:r>
    </w:p>
    <w:p w14:paraId="457B5E89" w14:textId="593E54E2" w:rsidR="00111209" w:rsidRDefault="00111209" w:rsidP="00111209">
      <w:pPr>
        <w:pStyle w:val="NormalWeb"/>
        <w:shd w:val="clear" w:color="auto" w:fill="FFFFFF"/>
        <w:spacing w:before="0" w:after="120"/>
      </w:pPr>
      <w:r>
        <w:rPr>
          <w:rFonts w:ascii="Calibri" w:hAnsi="Calibri" w:cs="Calibri"/>
          <w:color w:val="000000"/>
        </w:rPr>
        <w:t>MALVILLE, J. M</w:t>
      </w:r>
      <w:r w:rsidR="007347B4">
        <w:rPr>
          <w:rFonts w:ascii="Calibri" w:hAnsi="Calibri" w:cs="Calibri"/>
          <w:color w:val="000000"/>
        </w:rPr>
        <w:t>.</w:t>
      </w:r>
      <w:r>
        <w:rPr>
          <w:rFonts w:ascii="Calibri" w:hAnsi="Calibri" w:cs="Calibri"/>
          <w:color w:val="000000"/>
        </w:rPr>
        <w:t xml:space="preserve"> SCHILD, R, WENDORF, F</w:t>
      </w:r>
      <w:r w:rsidR="007347B4">
        <w:rPr>
          <w:rFonts w:ascii="Calibri" w:hAnsi="Calibri" w:cs="Calibri"/>
          <w:color w:val="000000"/>
        </w:rPr>
        <w:t>.</w:t>
      </w:r>
      <w:r>
        <w:rPr>
          <w:rFonts w:ascii="Calibri" w:hAnsi="Calibri" w:cs="Calibri"/>
          <w:color w:val="000000"/>
        </w:rPr>
        <w:t xml:space="preserve"> &amp; BRENMER, R, 2007. Astronomy of </w:t>
      </w:r>
      <w:proofErr w:type="spellStart"/>
      <w:r>
        <w:rPr>
          <w:rFonts w:ascii="Calibri" w:hAnsi="Calibri" w:cs="Calibri"/>
          <w:color w:val="000000"/>
        </w:rPr>
        <w:t>Nabta</w:t>
      </w:r>
      <w:proofErr w:type="spellEnd"/>
      <w:r>
        <w:rPr>
          <w:rFonts w:ascii="Calibri" w:hAnsi="Calibri" w:cs="Calibri"/>
          <w:color w:val="000000"/>
        </w:rPr>
        <w:t xml:space="preserve"> Playa. </w:t>
      </w:r>
      <w:r>
        <w:rPr>
          <w:rFonts w:ascii="Calibri" w:hAnsi="Calibri" w:cs="Calibri"/>
          <w:i/>
          <w:iCs/>
          <w:color w:val="000000"/>
        </w:rPr>
        <w:t>African Skies, </w:t>
      </w:r>
      <w:r>
        <w:rPr>
          <w:rFonts w:ascii="Calibri" w:hAnsi="Calibri" w:cs="Calibri"/>
          <w:color w:val="000000"/>
        </w:rPr>
        <w:t>(11), pp. 2-7.</w:t>
      </w:r>
    </w:p>
    <w:p w14:paraId="28E698C5" w14:textId="7DBC58A4" w:rsidR="00111209" w:rsidRDefault="00111209" w:rsidP="00111209">
      <w:pPr>
        <w:pStyle w:val="NormalWeb"/>
        <w:shd w:val="clear" w:color="auto" w:fill="FFFFFF"/>
        <w:spacing w:before="0" w:after="120"/>
      </w:pPr>
      <w:r>
        <w:rPr>
          <w:rFonts w:ascii="Calibri" w:hAnsi="Calibri" w:cs="Calibri"/>
          <w:color w:val="000000"/>
        </w:rPr>
        <w:t>MATTHEWS, C</w:t>
      </w:r>
      <w:r w:rsidR="007347B4">
        <w:rPr>
          <w:rFonts w:ascii="Calibri" w:hAnsi="Calibri" w:cs="Calibri"/>
          <w:color w:val="000000"/>
        </w:rPr>
        <w:t>.</w:t>
      </w:r>
      <w:r>
        <w:rPr>
          <w:rFonts w:ascii="Calibri" w:hAnsi="Calibri" w:cs="Calibri"/>
          <w:color w:val="000000"/>
        </w:rPr>
        <w:t xml:space="preserve"> 1991. </w:t>
      </w:r>
      <w:r>
        <w:rPr>
          <w:rFonts w:ascii="Calibri" w:hAnsi="Calibri" w:cs="Calibri"/>
          <w:i/>
          <w:iCs/>
          <w:color w:val="000000"/>
        </w:rPr>
        <w:t>Sophia, Goddess of Wisdom: the Divine Feminine from Black Goddess to World-Soul. . </w:t>
      </w:r>
      <w:r>
        <w:rPr>
          <w:rFonts w:ascii="Calibri" w:hAnsi="Calibri" w:cs="Calibri"/>
          <w:color w:val="000000"/>
        </w:rPr>
        <w:t>1 edn. London: Grafton Books.</w:t>
      </w:r>
    </w:p>
    <w:p w14:paraId="317F7FBB" w14:textId="52A04878" w:rsidR="00111209" w:rsidRDefault="00111209" w:rsidP="00111209">
      <w:pPr>
        <w:pStyle w:val="NormalWeb"/>
        <w:shd w:val="clear" w:color="auto" w:fill="FFFFFF"/>
        <w:spacing w:before="0" w:after="120"/>
      </w:pPr>
      <w:r>
        <w:rPr>
          <w:rFonts w:ascii="Calibri" w:hAnsi="Calibri" w:cs="Calibri"/>
          <w:color w:val="000000"/>
        </w:rPr>
        <w:t>MURRAY, M</w:t>
      </w:r>
      <w:r w:rsidR="007347B4">
        <w:rPr>
          <w:rFonts w:ascii="Calibri" w:hAnsi="Calibri" w:cs="Calibri"/>
          <w:color w:val="000000"/>
        </w:rPr>
        <w:t>.</w:t>
      </w:r>
      <w:r>
        <w:rPr>
          <w:rFonts w:ascii="Calibri" w:hAnsi="Calibri" w:cs="Calibri"/>
          <w:color w:val="000000"/>
        </w:rPr>
        <w:t xml:space="preserve"> 1964. </w:t>
      </w:r>
      <w:r>
        <w:rPr>
          <w:rFonts w:ascii="Calibri" w:hAnsi="Calibri" w:cs="Calibri"/>
          <w:i/>
          <w:iCs/>
          <w:color w:val="000000"/>
        </w:rPr>
        <w:t>The Splendour that was Egypt. </w:t>
      </w:r>
      <w:r>
        <w:rPr>
          <w:rFonts w:ascii="Calibri" w:hAnsi="Calibri" w:cs="Calibri"/>
          <w:color w:val="000000"/>
        </w:rPr>
        <w:t xml:space="preserve">Revised edition edn. London: </w:t>
      </w:r>
      <w:proofErr w:type="spellStart"/>
      <w:r>
        <w:rPr>
          <w:rFonts w:ascii="Calibri" w:hAnsi="Calibri" w:cs="Calibri"/>
          <w:color w:val="000000"/>
        </w:rPr>
        <w:t>Sidgewick</w:t>
      </w:r>
      <w:proofErr w:type="spellEnd"/>
      <w:r>
        <w:rPr>
          <w:rFonts w:ascii="Calibri" w:hAnsi="Calibri" w:cs="Calibri"/>
          <w:color w:val="000000"/>
        </w:rPr>
        <w:t xml:space="preserve"> &amp; Jackson.</w:t>
      </w:r>
    </w:p>
    <w:p w14:paraId="45778015" w14:textId="01899692" w:rsidR="00111209" w:rsidRDefault="00111209" w:rsidP="00111209">
      <w:pPr>
        <w:pStyle w:val="NormalWeb"/>
        <w:shd w:val="clear" w:color="auto" w:fill="FFFFFF"/>
        <w:spacing w:before="0" w:after="120"/>
      </w:pPr>
      <w:r>
        <w:rPr>
          <w:rFonts w:ascii="Calibri" w:hAnsi="Calibri" w:cs="Calibri"/>
          <w:color w:val="000000"/>
        </w:rPr>
        <w:t>NAYDLER, J</w:t>
      </w:r>
      <w:r w:rsidR="007347B4">
        <w:rPr>
          <w:rFonts w:ascii="Calibri" w:hAnsi="Calibri" w:cs="Calibri"/>
          <w:color w:val="000000"/>
        </w:rPr>
        <w:t>.</w:t>
      </w:r>
      <w:r>
        <w:rPr>
          <w:rFonts w:ascii="Calibri" w:hAnsi="Calibri" w:cs="Calibri"/>
          <w:color w:val="000000"/>
        </w:rPr>
        <w:t xml:space="preserve"> 1996. </w:t>
      </w:r>
      <w:r>
        <w:rPr>
          <w:rFonts w:ascii="Calibri" w:hAnsi="Calibri" w:cs="Calibri"/>
          <w:i/>
          <w:iCs/>
          <w:color w:val="000000"/>
        </w:rPr>
        <w:t>Temple of the Cosmos. </w:t>
      </w:r>
      <w:r>
        <w:rPr>
          <w:rFonts w:ascii="Calibri" w:hAnsi="Calibri" w:cs="Calibri"/>
          <w:color w:val="000000"/>
        </w:rPr>
        <w:t>Rochester, Vermont: Inner Traditions.</w:t>
      </w:r>
    </w:p>
    <w:p w14:paraId="7B4E3AE7" w14:textId="77777777" w:rsidR="00A20C5E" w:rsidRDefault="00A20C5E" w:rsidP="00A20C5E">
      <w:pPr>
        <w:pStyle w:val="NormalWeb"/>
        <w:shd w:val="clear" w:color="auto" w:fill="FFFFFF"/>
        <w:spacing w:before="0" w:after="120"/>
      </w:pPr>
      <w:r>
        <w:rPr>
          <w:rFonts w:ascii="Calibri" w:hAnsi="Calibri" w:cs="Calibri"/>
          <w:color w:val="000000"/>
        </w:rPr>
        <w:t>NAYDLER, J. 2005. </w:t>
      </w:r>
      <w:r>
        <w:rPr>
          <w:rFonts w:ascii="Calibri" w:hAnsi="Calibri" w:cs="Calibri"/>
          <w:i/>
          <w:iCs/>
          <w:color w:val="000000"/>
        </w:rPr>
        <w:t>Shamanic Wisdom in the Pyramid Texts. </w:t>
      </w:r>
      <w:r>
        <w:rPr>
          <w:rFonts w:ascii="Calibri" w:hAnsi="Calibri" w:cs="Calibri"/>
          <w:color w:val="000000"/>
        </w:rPr>
        <w:t>Rochester, Vermont: Inner Traditions.</w:t>
      </w:r>
    </w:p>
    <w:p w14:paraId="14797090" w14:textId="00A18A6D" w:rsidR="00111209" w:rsidRDefault="00111209" w:rsidP="00111209">
      <w:pPr>
        <w:pStyle w:val="NormalWeb"/>
        <w:shd w:val="clear" w:color="auto" w:fill="FFFFFF"/>
        <w:spacing w:before="0" w:after="120"/>
      </w:pPr>
      <w:r>
        <w:rPr>
          <w:rFonts w:ascii="Calibri" w:hAnsi="Calibri" w:cs="Calibri"/>
          <w:color w:val="000000"/>
        </w:rPr>
        <w:t>NIWIŃSKI, A</w:t>
      </w:r>
      <w:r w:rsidR="007347B4">
        <w:rPr>
          <w:rFonts w:ascii="Calibri" w:hAnsi="Calibri" w:cs="Calibri"/>
          <w:color w:val="000000"/>
        </w:rPr>
        <w:t>.</w:t>
      </w:r>
      <w:r>
        <w:rPr>
          <w:rFonts w:ascii="Calibri" w:hAnsi="Calibri" w:cs="Calibri"/>
          <w:color w:val="000000"/>
        </w:rPr>
        <w:t xml:space="preserve"> 2014. Did the Pat-People and the Rekhyt-people Have Different Burial Customs. In: JUCHA, MARIUSZ A, DĘBOWSKA-LUDWIN, JOANNA, KOŁODZIEJCZYK, PIOTR, </w:t>
      </w:r>
      <w:r w:rsidR="007347B4">
        <w:rPr>
          <w:rFonts w:ascii="Calibri" w:hAnsi="Calibri" w:cs="Calibri"/>
          <w:color w:val="000000"/>
        </w:rPr>
        <w:t>(</w:t>
      </w:r>
      <w:r>
        <w:rPr>
          <w:rFonts w:ascii="Calibri" w:hAnsi="Calibri" w:cs="Calibri"/>
          <w:color w:val="000000"/>
        </w:rPr>
        <w:t>ed</w:t>
      </w:r>
      <w:r w:rsidR="007347B4">
        <w:rPr>
          <w:rFonts w:ascii="Calibri" w:hAnsi="Calibri" w:cs="Calibri"/>
          <w:color w:val="000000"/>
        </w:rPr>
        <w:t>s)</w:t>
      </w:r>
      <w:r>
        <w:rPr>
          <w:rFonts w:ascii="Calibri" w:hAnsi="Calibri" w:cs="Calibri"/>
          <w:color w:val="000000"/>
        </w:rPr>
        <w:t>, </w:t>
      </w:r>
      <w:r>
        <w:rPr>
          <w:rFonts w:ascii="Calibri" w:hAnsi="Calibri" w:cs="Calibri"/>
          <w:i/>
          <w:iCs/>
          <w:color w:val="000000"/>
        </w:rPr>
        <w:t xml:space="preserve">AEGYPTUS EST IMAGO CAELI Studies Presented to Krzysztof M. </w:t>
      </w:r>
      <w:proofErr w:type="spellStart"/>
      <w:r>
        <w:rPr>
          <w:rFonts w:ascii="Calibri" w:hAnsi="Calibri" w:cs="Calibri"/>
          <w:i/>
          <w:iCs/>
          <w:color w:val="000000"/>
        </w:rPr>
        <w:t>Cialowicz</w:t>
      </w:r>
      <w:proofErr w:type="spellEnd"/>
      <w:r>
        <w:rPr>
          <w:rFonts w:ascii="Calibri" w:hAnsi="Calibri" w:cs="Calibri"/>
          <w:i/>
          <w:iCs/>
          <w:color w:val="000000"/>
        </w:rPr>
        <w:t xml:space="preserve"> on His 60th Birthday. </w:t>
      </w:r>
      <w:r>
        <w:rPr>
          <w:rFonts w:ascii="Calibri" w:hAnsi="Calibri" w:cs="Calibri"/>
          <w:color w:val="000000"/>
        </w:rPr>
        <w:t>Kraków: pp. 254-260.</w:t>
      </w:r>
    </w:p>
    <w:p w14:paraId="11E00102" w14:textId="080BC7B4" w:rsidR="00111209" w:rsidRDefault="00111209" w:rsidP="00111209">
      <w:pPr>
        <w:pStyle w:val="NormalWeb"/>
        <w:shd w:val="clear" w:color="auto" w:fill="FFFFFF"/>
        <w:spacing w:before="0" w:after="120"/>
      </w:pPr>
      <w:r>
        <w:rPr>
          <w:rFonts w:ascii="Calibri" w:hAnsi="Calibri" w:cs="Calibri"/>
          <w:color w:val="000000"/>
        </w:rPr>
        <w:t>NOEGEL, S.B</w:t>
      </w:r>
      <w:r w:rsidR="007347B4">
        <w:rPr>
          <w:rFonts w:ascii="Calibri" w:hAnsi="Calibri" w:cs="Calibri"/>
          <w:color w:val="000000"/>
        </w:rPr>
        <w:t>.</w:t>
      </w:r>
      <w:r>
        <w:rPr>
          <w:rFonts w:ascii="Calibri" w:hAnsi="Calibri" w:cs="Calibri"/>
          <w:color w:val="000000"/>
        </w:rPr>
        <w:t xml:space="preserve"> 2006. On Puns and Divination: Egyptian Dream Exegesis from a Comparative Perspective. In: K. SZPAKOWSKA, ed, </w:t>
      </w:r>
      <w:r>
        <w:rPr>
          <w:rFonts w:ascii="Calibri" w:hAnsi="Calibri" w:cs="Calibri"/>
          <w:i/>
          <w:iCs/>
          <w:color w:val="000000"/>
        </w:rPr>
        <w:t>Through a Glass Darkly: Dreams, Magic and Prophecy in Ancient Egypt. </w:t>
      </w:r>
      <w:r>
        <w:rPr>
          <w:rFonts w:ascii="Calibri" w:hAnsi="Calibri" w:cs="Calibri"/>
          <w:color w:val="000000"/>
        </w:rPr>
        <w:t>Swansea: Classical Press of Wales, pp. 95-119.</w:t>
      </w:r>
    </w:p>
    <w:p w14:paraId="59936225" w14:textId="5849D152" w:rsidR="00111209" w:rsidRDefault="00111209" w:rsidP="00111209">
      <w:pPr>
        <w:pStyle w:val="NormalWeb"/>
        <w:shd w:val="clear" w:color="auto" w:fill="FFFFFF"/>
        <w:spacing w:before="0" w:after="120"/>
      </w:pPr>
      <w:r>
        <w:rPr>
          <w:rFonts w:ascii="Calibri" w:hAnsi="Calibri" w:cs="Calibri"/>
          <w:color w:val="000000"/>
        </w:rPr>
        <w:t>O'CONNOR, D.B</w:t>
      </w:r>
      <w:r w:rsidR="007347B4">
        <w:rPr>
          <w:rFonts w:ascii="Calibri" w:hAnsi="Calibri" w:cs="Calibri"/>
          <w:color w:val="000000"/>
        </w:rPr>
        <w:t>.</w:t>
      </w:r>
      <w:r>
        <w:rPr>
          <w:rFonts w:ascii="Calibri" w:hAnsi="Calibri" w:cs="Calibri"/>
          <w:color w:val="000000"/>
        </w:rPr>
        <w:t xml:space="preserve"> 2011. </w:t>
      </w:r>
      <w:r>
        <w:rPr>
          <w:rFonts w:ascii="Calibri" w:hAnsi="Calibri" w:cs="Calibri"/>
          <w:i/>
          <w:iCs/>
          <w:color w:val="000000"/>
        </w:rPr>
        <w:t>Abydos : Egypt's first pharaohs and the cult of Osiris. </w:t>
      </w:r>
      <w:r>
        <w:rPr>
          <w:rFonts w:ascii="Calibri" w:hAnsi="Calibri" w:cs="Calibri"/>
          <w:color w:val="000000"/>
        </w:rPr>
        <w:t>London ;: Thames &amp; Hudson.</w:t>
      </w:r>
    </w:p>
    <w:p w14:paraId="06291D08" w14:textId="6EA982EF" w:rsidR="00111209" w:rsidRDefault="00111209" w:rsidP="00111209">
      <w:pPr>
        <w:pStyle w:val="NormalWeb"/>
        <w:shd w:val="clear" w:color="auto" w:fill="FFFFFF"/>
        <w:spacing w:before="0" w:after="120"/>
      </w:pPr>
      <w:r>
        <w:rPr>
          <w:rFonts w:ascii="Calibri" w:hAnsi="Calibri" w:cs="Calibri"/>
          <w:color w:val="000000"/>
        </w:rPr>
        <w:t>PARKER, R.A</w:t>
      </w:r>
      <w:r w:rsidR="007347B4">
        <w:rPr>
          <w:rFonts w:ascii="Calibri" w:hAnsi="Calibri" w:cs="Calibri"/>
          <w:color w:val="000000"/>
        </w:rPr>
        <w:t>.</w:t>
      </w:r>
      <w:r>
        <w:rPr>
          <w:rFonts w:ascii="Calibri" w:hAnsi="Calibri" w:cs="Calibri"/>
          <w:color w:val="000000"/>
        </w:rPr>
        <w:t xml:space="preserve"> 1950. </w:t>
      </w:r>
      <w:r>
        <w:rPr>
          <w:rFonts w:ascii="Calibri" w:hAnsi="Calibri" w:cs="Calibri"/>
          <w:i/>
          <w:iCs/>
          <w:color w:val="000000"/>
        </w:rPr>
        <w:t>The Calendars of Ancient Egypt. </w:t>
      </w:r>
      <w:r>
        <w:rPr>
          <w:rFonts w:ascii="Calibri" w:hAnsi="Calibri" w:cs="Calibri"/>
          <w:color w:val="000000"/>
        </w:rPr>
        <w:t>Chicago: Oriental Institute of the University of Chicago.</w:t>
      </w:r>
    </w:p>
    <w:p w14:paraId="724B6B7C" w14:textId="6C234E60" w:rsidR="00111209" w:rsidRDefault="00111209" w:rsidP="00111209">
      <w:pPr>
        <w:pStyle w:val="NormalWeb"/>
        <w:shd w:val="clear" w:color="auto" w:fill="FFFFFF"/>
        <w:spacing w:before="0" w:after="120"/>
      </w:pPr>
      <w:r>
        <w:rPr>
          <w:rFonts w:ascii="Calibri" w:hAnsi="Calibri" w:cs="Calibri"/>
          <w:color w:val="000000"/>
        </w:rPr>
        <w:t>PERRY, G</w:t>
      </w:r>
      <w:r w:rsidR="007347B4">
        <w:rPr>
          <w:rFonts w:ascii="Calibri" w:hAnsi="Calibri" w:cs="Calibri"/>
          <w:color w:val="000000"/>
        </w:rPr>
        <w:t>.</w:t>
      </w:r>
      <w:r>
        <w:rPr>
          <w:rFonts w:ascii="Calibri" w:hAnsi="Calibri" w:cs="Calibri"/>
          <w:color w:val="000000"/>
        </w:rPr>
        <w:t xml:space="preserve"> POLITO, V. and THOMPSON, W.F</w:t>
      </w:r>
      <w:r w:rsidR="007347B4">
        <w:rPr>
          <w:rFonts w:ascii="Calibri" w:hAnsi="Calibri" w:cs="Calibri"/>
          <w:color w:val="000000"/>
        </w:rPr>
        <w:t>.</w:t>
      </w:r>
      <w:r>
        <w:rPr>
          <w:rFonts w:ascii="Calibri" w:hAnsi="Calibri" w:cs="Calibri"/>
          <w:color w:val="000000"/>
        </w:rPr>
        <w:t xml:space="preserve"> 2021. Rhythmic Chanting and Mystical States across Traditions. </w:t>
      </w:r>
      <w:r>
        <w:rPr>
          <w:rFonts w:ascii="Calibri" w:hAnsi="Calibri" w:cs="Calibri"/>
          <w:i/>
          <w:iCs/>
          <w:color w:val="000000"/>
        </w:rPr>
        <w:t>Brain sciences, </w:t>
      </w:r>
      <w:r w:rsidRPr="007347B4">
        <w:rPr>
          <w:rFonts w:ascii="Calibri" w:hAnsi="Calibri" w:cs="Calibri"/>
          <w:color w:val="000000"/>
        </w:rPr>
        <w:t>11</w:t>
      </w:r>
      <w:r>
        <w:rPr>
          <w:rFonts w:ascii="Calibri" w:hAnsi="Calibri" w:cs="Calibri"/>
          <w:color w:val="000000"/>
        </w:rPr>
        <w:t>(1), pp. 101.</w:t>
      </w:r>
    </w:p>
    <w:p w14:paraId="52675AFF" w14:textId="2DD253B9" w:rsidR="00111209" w:rsidRDefault="00111209" w:rsidP="00111209">
      <w:pPr>
        <w:pStyle w:val="NormalWeb"/>
        <w:shd w:val="clear" w:color="auto" w:fill="FFFFFF"/>
        <w:spacing w:before="0" w:after="120"/>
      </w:pPr>
      <w:r>
        <w:rPr>
          <w:rFonts w:ascii="Calibri" w:hAnsi="Calibri" w:cs="Calibri"/>
          <w:color w:val="000000"/>
        </w:rPr>
        <w:t>PINCH, G</w:t>
      </w:r>
      <w:r w:rsidR="007347B4">
        <w:rPr>
          <w:rFonts w:ascii="Calibri" w:hAnsi="Calibri" w:cs="Calibri"/>
          <w:color w:val="000000"/>
        </w:rPr>
        <w:t>.</w:t>
      </w:r>
      <w:r>
        <w:rPr>
          <w:rFonts w:ascii="Calibri" w:hAnsi="Calibri" w:cs="Calibri"/>
          <w:color w:val="000000"/>
        </w:rPr>
        <w:t xml:space="preserve"> 2002. </w:t>
      </w:r>
      <w:r>
        <w:rPr>
          <w:rFonts w:ascii="Calibri" w:hAnsi="Calibri" w:cs="Calibri"/>
          <w:i/>
          <w:iCs/>
          <w:color w:val="000000"/>
        </w:rPr>
        <w:t>Egyptian mythology : a guide to the gods, goddesses, and traditions of ancient Egypt. </w:t>
      </w:r>
      <w:r>
        <w:rPr>
          <w:rFonts w:ascii="Calibri" w:hAnsi="Calibri" w:cs="Calibri"/>
          <w:color w:val="000000"/>
        </w:rPr>
        <w:t>Oxford ;: Oxford University Press.</w:t>
      </w:r>
    </w:p>
    <w:p w14:paraId="621AD8A7" w14:textId="2A7BAD64" w:rsidR="00111209" w:rsidRDefault="00111209" w:rsidP="00111209">
      <w:pPr>
        <w:pStyle w:val="NormalWeb"/>
        <w:shd w:val="clear" w:color="auto" w:fill="FFFFFF"/>
        <w:spacing w:before="0" w:after="120"/>
      </w:pPr>
      <w:r>
        <w:rPr>
          <w:rFonts w:ascii="Calibri" w:hAnsi="Calibri" w:cs="Calibri"/>
          <w:color w:val="000000"/>
        </w:rPr>
        <w:lastRenderedPageBreak/>
        <w:t>PONTING, C</w:t>
      </w:r>
      <w:r w:rsidR="007347B4">
        <w:rPr>
          <w:rFonts w:ascii="Calibri" w:hAnsi="Calibri" w:cs="Calibri"/>
          <w:color w:val="000000"/>
        </w:rPr>
        <w:t>.</w:t>
      </w:r>
      <w:r>
        <w:rPr>
          <w:rFonts w:ascii="Calibri" w:hAnsi="Calibri" w:cs="Calibri"/>
          <w:color w:val="000000"/>
        </w:rPr>
        <w:t xml:space="preserve"> 1993. </w:t>
      </w:r>
      <w:r>
        <w:rPr>
          <w:rFonts w:ascii="Calibri" w:hAnsi="Calibri" w:cs="Calibri"/>
          <w:i/>
          <w:iCs/>
          <w:color w:val="000000"/>
        </w:rPr>
        <w:t>A green history of the world : the environment and the collapse of great civilizations. </w:t>
      </w:r>
      <w:r>
        <w:rPr>
          <w:rFonts w:ascii="Calibri" w:hAnsi="Calibri" w:cs="Calibri"/>
          <w:color w:val="000000"/>
        </w:rPr>
        <w:t>London: Penguin.</w:t>
      </w:r>
    </w:p>
    <w:p w14:paraId="3AF66DB6" w14:textId="4F2FFFAD" w:rsidR="00111209" w:rsidRDefault="00111209" w:rsidP="00111209">
      <w:pPr>
        <w:pStyle w:val="NormalWeb"/>
        <w:shd w:val="clear" w:color="auto" w:fill="FFFFFF"/>
        <w:spacing w:before="0" w:after="120"/>
      </w:pPr>
      <w:r>
        <w:rPr>
          <w:rFonts w:ascii="Calibri" w:hAnsi="Calibri" w:cs="Calibri"/>
          <w:color w:val="000000"/>
        </w:rPr>
        <w:t>REDFORD, D.B</w:t>
      </w:r>
      <w:r w:rsidR="007347B4">
        <w:rPr>
          <w:rFonts w:ascii="Calibri" w:hAnsi="Calibri" w:cs="Calibri"/>
          <w:color w:val="000000"/>
        </w:rPr>
        <w:t>.</w:t>
      </w:r>
      <w:r>
        <w:rPr>
          <w:rFonts w:ascii="Calibri" w:hAnsi="Calibri" w:cs="Calibri"/>
          <w:color w:val="000000"/>
        </w:rPr>
        <w:t xml:space="preserve"> ed, 2001. </w:t>
      </w:r>
      <w:r>
        <w:rPr>
          <w:rFonts w:ascii="Calibri" w:hAnsi="Calibri" w:cs="Calibri"/>
          <w:i/>
          <w:iCs/>
          <w:color w:val="000000"/>
        </w:rPr>
        <w:t>The Oxford Encyclopedia of Ancient Egypt . </w:t>
      </w:r>
      <w:r>
        <w:rPr>
          <w:rFonts w:ascii="Calibri" w:hAnsi="Calibri" w:cs="Calibri"/>
          <w:color w:val="000000"/>
        </w:rPr>
        <w:t>Oxford: Oxford University Press.</w:t>
      </w:r>
    </w:p>
    <w:p w14:paraId="1ADBC04D" w14:textId="18A9FE8F" w:rsidR="00111209" w:rsidRDefault="00111209" w:rsidP="00111209">
      <w:pPr>
        <w:pStyle w:val="NormalWeb"/>
        <w:shd w:val="clear" w:color="auto" w:fill="FFFFFF"/>
        <w:spacing w:before="0" w:after="120"/>
      </w:pPr>
      <w:r>
        <w:rPr>
          <w:rFonts w:ascii="Calibri" w:hAnsi="Calibri" w:cs="Calibri"/>
          <w:color w:val="000000"/>
        </w:rPr>
        <w:t>RENBERG, G.H</w:t>
      </w:r>
      <w:r w:rsidR="007347B4">
        <w:rPr>
          <w:rFonts w:ascii="Calibri" w:hAnsi="Calibri" w:cs="Calibri"/>
          <w:color w:val="000000"/>
        </w:rPr>
        <w:t>.</w:t>
      </w:r>
      <w:r>
        <w:rPr>
          <w:rFonts w:ascii="Calibri" w:hAnsi="Calibri" w:cs="Calibri"/>
          <w:color w:val="000000"/>
        </w:rPr>
        <w:t xml:space="preserve"> 2017. </w:t>
      </w:r>
      <w:r>
        <w:rPr>
          <w:rFonts w:ascii="Calibri" w:hAnsi="Calibri" w:cs="Calibri"/>
          <w:i/>
          <w:iCs/>
          <w:color w:val="000000"/>
        </w:rPr>
        <w:t xml:space="preserve">Where dreams may </w:t>
      </w:r>
      <w:proofErr w:type="gramStart"/>
      <w:r>
        <w:rPr>
          <w:rFonts w:ascii="Calibri" w:hAnsi="Calibri" w:cs="Calibri"/>
          <w:i/>
          <w:iCs/>
          <w:color w:val="000000"/>
        </w:rPr>
        <w:t>come:</w:t>
      </w:r>
      <w:proofErr w:type="gramEnd"/>
      <w:r>
        <w:rPr>
          <w:rFonts w:ascii="Calibri" w:hAnsi="Calibri" w:cs="Calibri"/>
          <w:i/>
          <w:iCs/>
          <w:color w:val="000000"/>
        </w:rPr>
        <w:t xml:space="preserve"> incubation sanctuaries in the Greco-Roman world. </w:t>
      </w:r>
      <w:r>
        <w:rPr>
          <w:rFonts w:ascii="Calibri" w:hAnsi="Calibri" w:cs="Calibri"/>
          <w:color w:val="000000"/>
        </w:rPr>
        <w:t>Leiden, Netherlands: Brill.</w:t>
      </w:r>
    </w:p>
    <w:p w14:paraId="7B6D1400" w14:textId="677311C0"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RITNER, R.K</w:t>
      </w:r>
      <w:r w:rsidR="007347B4">
        <w:rPr>
          <w:rFonts w:ascii="Calibri" w:hAnsi="Calibri" w:cs="Calibri"/>
          <w:color w:val="000000"/>
        </w:rPr>
        <w:t>.</w:t>
      </w:r>
      <w:r>
        <w:rPr>
          <w:rFonts w:ascii="Calibri" w:hAnsi="Calibri" w:cs="Calibri"/>
          <w:color w:val="000000"/>
        </w:rPr>
        <w:t xml:space="preserve"> 1993. </w:t>
      </w:r>
      <w:r>
        <w:rPr>
          <w:rFonts w:ascii="Calibri" w:hAnsi="Calibri" w:cs="Calibri"/>
          <w:i/>
          <w:iCs/>
          <w:color w:val="000000"/>
        </w:rPr>
        <w:t>The mechanics of ancient Egyptian magical practice. </w:t>
      </w:r>
      <w:r>
        <w:rPr>
          <w:rFonts w:ascii="Calibri" w:hAnsi="Calibri" w:cs="Calibri"/>
          <w:color w:val="000000"/>
        </w:rPr>
        <w:t>Chicago, Ill: Oriental Institute of University of Chicago.</w:t>
      </w:r>
    </w:p>
    <w:p w14:paraId="22A52F86" w14:textId="1029CC8B" w:rsidR="00111209" w:rsidRDefault="00111209" w:rsidP="00111209">
      <w:pPr>
        <w:pStyle w:val="NormalWeb"/>
        <w:shd w:val="clear" w:color="auto" w:fill="FFFFFF"/>
        <w:spacing w:before="0" w:after="120"/>
      </w:pPr>
      <w:r>
        <w:rPr>
          <w:rFonts w:ascii="Calibri" w:hAnsi="Calibri" w:cs="Calibri"/>
          <w:color w:val="000000"/>
        </w:rPr>
        <w:t>RITNER, R.K</w:t>
      </w:r>
      <w:r w:rsidR="007347B4">
        <w:rPr>
          <w:rFonts w:ascii="Calibri" w:hAnsi="Calibri" w:cs="Calibri"/>
          <w:color w:val="000000"/>
        </w:rPr>
        <w:t>.</w:t>
      </w:r>
      <w:r>
        <w:rPr>
          <w:rFonts w:ascii="Calibri" w:hAnsi="Calibri" w:cs="Calibri"/>
          <w:color w:val="000000"/>
        </w:rPr>
        <w:t xml:space="preserve"> 2002. Necromancy in Ancient Egypt. In</w:t>
      </w:r>
      <w:r w:rsidRPr="004C0C50">
        <w:rPr>
          <w:rFonts w:ascii="Calibri" w:hAnsi="Calibri" w:cs="Calibri"/>
          <w:color w:val="000000"/>
        </w:rPr>
        <w:t xml:space="preserve"> </w:t>
      </w:r>
      <w:r>
        <w:rPr>
          <w:rFonts w:ascii="Calibri" w:hAnsi="Calibri" w:cs="Calibri"/>
          <w:color w:val="000000"/>
        </w:rPr>
        <w:t>CIRAOLO, L. and SEIDEL, J</w:t>
      </w:r>
      <w:r w:rsidR="007347B4">
        <w:rPr>
          <w:rFonts w:ascii="Calibri" w:hAnsi="Calibri" w:cs="Calibri"/>
          <w:color w:val="000000"/>
        </w:rPr>
        <w:t>.</w:t>
      </w:r>
      <w:r>
        <w:rPr>
          <w:rFonts w:ascii="Calibri" w:hAnsi="Calibri" w:cs="Calibri"/>
          <w:color w:val="000000"/>
        </w:rPr>
        <w:t xml:space="preserve"> 2002. </w:t>
      </w:r>
      <w:r>
        <w:rPr>
          <w:rFonts w:ascii="Calibri" w:hAnsi="Calibri" w:cs="Calibri"/>
          <w:i/>
          <w:iCs/>
          <w:color w:val="000000"/>
        </w:rPr>
        <w:t xml:space="preserve">Magic and Divination in the Ancient World, </w:t>
      </w:r>
      <w:r>
        <w:rPr>
          <w:rFonts w:ascii="Calibri" w:hAnsi="Calibri" w:cs="Calibri"/>
          <w:color w:val="000000"/>
        </w:rPr>
        <w:t>, pp. 89-96.</w:t>
      </w:r>
      <w:r>
        <w:rPr>
          <w:rFonts w:ascii="Calibri" w:hAnsi="Calibri" w:cs="Calibri"/>
          <w:i/>
          <w:iCs/>
          <w:color w:val="000000"/>
        </w:rPr>
        <w:t> </w:t>
      </w:r>
      <w:r>
        <w:rPr>
          <w:rFonts w:ascii="Calibri" w:hAnsi="Calibri" w:cs="Calibri"/>
          <w:color w:val="000000"/>
        </w:rPr>
        <w:t>Leiden, The Netherlands: Brill.</w:t>
      </w:r>
    </w:p>
    <w:p w14:paraId="361CF455" w14:textId="3305000A" w:rsidR="00111209" w:rsidRDefault="00111209" w:rsidP="00111209">
      <w:pPr>
        <w:pStyle w:val="NormalWeb"/>
        <w:shd w:val="clear" w:color="auto" w:fill="FFFFFF"/>
        <w:spacing w:before="0" w:after="120"/>
      </w:pPr>
      <w:r>
        <w:rPr>
          <w:rFonts w:ascii="Roboto" w:hAnsi="Roboto"/>
          <w:color w:val="000000"/>
          <w:sz w:val="21"/>
          <w:szCs w:val="21"/>
          <w:shd w:val="clear" w:color="auto" w:fill="FFFFFF"/>
        </w:rPr>
        <w:t>ROBINS, G</w:t>
      </w:r>
      <w:r w:rsidR="007347B4">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1993. </w:t>
      </w:r>
      <w:r>
        <w:rPr>
          <w:rFonts w:ascii="Roboto" w:hAnsi="Roboto"/>
          <w:i/>
          <w:iCs/>
          <w:color w:val="000000"/>
          <w:sz w:val="21"/>
          <w:szCs w:val="21"/>
          <w:shd w:val="clear" w:color="auto" w:fill="FFFFFF"/>
        </w:rPr>
        <w:t>Women in ancient Egypt. </w:t>
      </w:r>
      <w:r>
        <w:rPr>
          <w:rFonts w:ascii="Roboto" w:hAnsi="Roboto"/>
          <w:color w:val="000000"/>
          <w:sz w:val="21"/>
          <w:szCs w:val="21"/>
          <w:shd w:val="clear" w:color="auto" w:fill="FFFFFF"/>
        </w:rPr>
        <w:t>London: British Museum Press.</w:t>
      </w:r>
    </w:p>
    <w:p w14:paraId="0FD633C1" w14:textId="5152BECD" w:rsidR="00111209" w:rsidRDefault="00111209" w:rsidP="00111209">
      <w:pPr>
        <w:pStyle w:val="NormalWeb"/>
        <w:shd w:val="clear" w:color="auto" w:fill="FFFFFF"/>
        <w:spacing w:before="0" w:after="120"/>
      </w:pPr>
      <w:r>
        <w:rPr>
          <w:rFonts w:ascii="Calibri" w:hAnsi="Calibri" w:cs="Calibri"/>
          <w:color w:val="000000"/>
        </w:rPr>
        <w:t>ROBLEE, M</w:t>
      </w:r>
      <w:r w:rsidR="007347B4">
        <w:rPr>
          <w:rFonts w:ascii="Calibri" w:hAnsi="Calibri" w:cs="Calibri"/>
          <w:color w:val="000000"/>
        </w:rPr>
        <w:t>.</w:t>
      </w:r>
      <w:r>
        <w:rPr>
          <w:rFonts w:ascii="Calibri" w:hAnsi="Calibri" w:cs="Calibri"/>
          <w:color w:val="000000"/>
        </w:rPr>
        <w:t xml:space="preserve"> 2020. Divination is Divinization: The ancient Egyptian </w:t>
      </w:r>
      <w:proofErr w:type="spellStart"/>
      <w:r>
        <w:rPr>
          <w:rFonts w:ascii="Calibri" w:hAnsi="Calibri" w:cs="Calibri"/>
          <w:color w:val="000000"/>
        </w:rPr>
        <w:t>pḥ-nṯr</w:t>
      </w:r>
      <w:proofErr w:type="spellEnd"/>
      <w:r>
        <w:rPr>
          <w:rFonts w:ascii="Calibri" w:hAnsi="Calibri" w:cs="Calibri"/>
          <w:color w:val="000000"/>
        </w:rPr>
        <w:t xml:space="preserve"> oracle and the “Mithras Liturgy” in Late Roman Egypt. In: FRANZISKA NAETHER, ed, </w:t>
      </w:r>
      <w:r>
        <w:rPr>
          <w:rFonts w:ascii="Calibri" w:hAnsi="Calibri" w:cs="Calibri"/>
          <w:i/>
          <w:iCs/>
          <w:color w:val="000000"/>
        </w:rPr>
        <w:t>Cult Practices in Ancient Literatures: Egyptian, Near Eastern and Graeco-Roman Narratives in a Cross-Cultural Perspective. </w:t>
      </w:r>
      <w:r>
        <w:rPr>
          <w:rFonts w:ascii="Calibri" w:hAnsi="Calibri" w:cs="Calibri"/>
          <w:color w:val="000000"/>
        </w:rPr>
        <w:t>Amherst: University of Massachusetts (online).</w:t>
      </w:r>
    </w:p>
    <w:p w14:paraId="278C228B" w14:textId="1662CCC6" w:rsidR="00111209" w:rsidRDefault="00111209" w:rsidP="00111209">
      <w:pPr>
        <w:pStyle w:val="NormalWeb"/>
        <w:shd w:val="clear" w:color="auto" w:fill="FFFFFF"/>
        <w:spacing w:before="0" w:after="120"/>
      </w:pPr>
      <w:r>
        <w:rPr>
          <w:rFonts w:ascii="Calibri" w:hAnsi="Calibri" w:cs="Calibri"/>
          <w:color w:val="000000"/>
        </w:rPr>
        <w:t>RYHOLT, K</w:t>
      </w:r>
      <w:r w:rsidR="007347B4">
        <w:rPr>
          <w:rFonts w:ascii="Calibri" w:hAnsi="Calibri" w:cs="Calibri"/>
          <w:color w:val="000000"/>
        </w:rPr>
        <w:t>.</w:t>
      </w:r>
      <w:r>
        <w:rPr>
          <w:rFonts w:ascii="Calibri" w:hAnsi="Calibri" w:cs="Calibri"/>
          <w:color w:val="000000"/>
        </w:rPr>
        <w:t xml:space="preserve"> 2023. Sothis Divination in Ancient Egypt. In: SCHIØDT, SOFIE, JACOB, AMBER AND RYHOLT, KIM, </w:t>
      </w:r>
      <w:r w:rsidR="007347B4">
        <w:rPr>
          <w:rFonts w:ascii="Calibri" w:hAnsi="Calibri" w:cs="Calibri"/>
          <w:color w:val="000000"/>
        </w:rPr>
        <w:t>(</w:t>
      </w:r>
      <w:r>
        <w:rPr>
          <w:rFonts w:ascii="Calibri" w:hAnsi="Calibri" w:cs="Calibri"/>
          <w:color w:val="000000"/>
        </w:rPr>
        <w:t>ed</w:t>
      </w:r>
      <w:r w:rsidR="007347B4">
        <w:rPr>
          <w:rFonts w:ascii="Calibri" w:hAnsi="Calibri" w:cs="Calibri"/>
          <w:color w:val="000000"/>
        </w:rPr>
        <w:t xml:space="preserve">s) </w:t>
      </w:r>
      <w:r>
        <w:rPr>
          <w:rFonts w:ascii="Calibri" w:hAnsi="Calibri" w:cs="Calibri"/>
          <w:color w:val="000000"/>
        </w:rPr>
        <w:t> </w:t>
      </w:r>
      <w:r>
        <w:rPr>
          <w:rFonts w:ascii="Calibri" w:hAnsi="Calibri" w:cs="Calibri"/>
          <w:i/>
          <w:iCs/>
          <w:color w:val="000000"/>
        </w:rPr>
        <w:t>Scientific Traditions in Ancient Mediterranean and Near East. </w:t>
      </w:r>
      <w:r>
        <w:rPr>
          <w:rFonts w:ascii="Calibri" w:hAnsi="Calibri" w:cs="Calibri"/>
          <w:color w:val="000000"/>
        </w:rPr>
        <w:t>pp. 323-366.</w:t>
      </w:r>
    </w:p>
    <w:p w14:paraId="46160783" w14:textId="067082EB"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SPALINGER, A</w:t>
      </w:r>
      <w:r w:rsidR="007347B4">
        <w:rPr>
          <w:rFonts w:ascii="Calibri" w:hAnsi="Calibri" w:cs="Calibri"/>
          <w:color w:val="000000"/>
        </w:rPr>
        <w:t>.</w:t>
      </w:r>
      <w:r>
        <w:rPr>
          <w:rFonts w:ascii="Calibri" w:hAnsi="Calibri" w:cs="Calibri"/>
          <w:color w:val="000000"/>
        </w:rPr>
        <w:t xml:space="preserve"> 2002. Ancient Egyptian Calendars: How Many Were There? </w:t>
      </w:r>
      <w:r>
        <w:rPr>
          <w:rFonts w:ascii="Calibri" w:hAnsi="Calibri" w:cs="Calibri"/>
          <w:i/>
          <w:iCs/>
          <w:color w:val="000000"/>
        </w:rPr>
        <w:t>Journal of the American Research Center in Egypt, </w:t>
      </w:r>
      <w:r w:rsidRPr="007347B4">
        <w:rPr>
          <w:rFonts w:ascii="Calibri" w:hAnsi="Calibri" w:cs="Calibri"/>
          <w:color w:val="000000"/>
        </w:rPr>
        <w:t>39</w:t>
      </w:r>
      <w:r>
        <w:rPr>
          <w:rFonts w:ascii="Calibri" w:hAnsi="Calibri" w:cs="Calibri"/>
          <w:color w:val="000000"/>
        </w:rPr>
        <w:t>, pp. 241-250.</w:t>
      </w:r>
    </w:p>
    <w:p w14:paraId="562AFE56" w14:textId="3406317D" w:rsidR="00111209" w:rsidRDefault="00111209" w:rsidP="00111209">
      <w:pPr>
        <w:pStyle w:val="NormalWeb"/>
        <w:shd w:val="clear" w:color="auto" w:fill="FFFFFF"/>
        <w:spacing w:before="0" w:after="120"/>
        <w:rPr>
          <w:rFonts w:ascii="Roboto" w:hAnsi="Roboto"/>
          <w:color w:val="000000"/>
          <w:sz w:val="21"/>
          <w:szCs w:val="21"/>
          <w:shd w:val="clear" w:color="auto" w:fill="FFFFFF"/>
        </w:rPr>
      </w:pPr>
      <w:r>
        <w:rPr>
          <w:rFonts w:ascii="Roboto" w:hAnsi="Roboto"/>
          <w:color w:val="000000"/>
          <w:sz w:val="21"/>
          <w:szCs w:val="21"/>
          <w:shd w:val="clear" w:color="auto" w:fill="FFFFFF"/>
        </w:rPr>
        <w:t>SZPAKOWSKA, K</w:t>
      </w:r>
      <w:r w:rsidR="007347B4">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2003. </w:t>
      </w:r>
      <w:r>
        <w:rPr>
          <w:rFonts w:ascii="Roboto" w:hAnsi="Roboto"/>
          <w:i/>
          <w:iCs/>
          <w:color w:val="000000"/>
          <w:sz w:val="21"/>
          <w:szCs w:val="21"/>
          <w:shd w:val="clear" w:color="auto" w:fill="FFFFFF"/>
        </w:rPr>
        <w:t>Behind Closed Eyes: Dreams and Nightmares in Ancient Egypt. </w:t>
      </w:r>
      <w:r>
        <w:rPr>
          <w:rFonts w:ascii="Roboto" w:hAnsi="Roboto"/>
          <w:color w:val="000000"/>
          <w:sz w:val="21"/>
          <w:szCs w:val="21"/>
          <w:shd w:val="clear" w:color="auto" w:fill="FFFFFF"/>
        </w:rPr>
        <w:t>Swansea: Classical Press of Wales.</w:t>
      </w:r>
    </w:p>
    <w:p w14:paraId="4A6C099A" w14:textId="1E8090E4" w:rsidR="00111209" w:rsidRDefault="00111209" w:rsidP="00111209">
      <w:pPr>
        <w:pStyle w:val="NormalWeb"/>
        <w:shd w:val="clear" w:color="auto" w:fill="FFFFFF"/>
        <w:spacing w:before="0" w:after="120"/>
      </w:pPr>
      <w:r>
        <w:rPr>
          <w:rFonts w:ascii="Calibri" w:hAnsi="Calibri" w:cs="Calibri"/>
          <w:color w:val="000000"/>
        </w:rPr>
        <w:t>SZPAKOWSKA, K</w:t>
      </w:r>
      <w:r w:rsidR="007347B4">
        <w:rPr>
          <w:rFonts w:ascii="Calibri" w:hAnsi="Calibri" w:cs="Calibri"/>
          <w:color w:val="000000"/>
        </w:rPr>
        <w:t>.</w:t>
      </w:r>
      <w:r>
        <w:rPr>
          <w:rFonts w:ascii="Calibri" w:hAnsi="Calibri" w:cs="Calibri"/>
          <w:color w:val="000000"/>
        </w:rPr>
        <w:t xml:space="preserve"> ed, 2006. </w:t>
      </w:r>
      <w:r>
        <w:rPr>
          <w:rFonts w:ascii="Calibri" w:hAnsi="Calibri" w:cs="Calibri"/>
          <w:i/>
          <w:iCs/>
          <w:color w:val="000000"/>
        </w:rPr>
        <w:t>Through a Glass Darkly: Magic, Dreams and Prophecy in Ancient Egypt. </w:t>
      </w:r>
      <w:r>
        <w:rPr>
          <w:rFonts w:ascii="Calibri" w:hAnsi="Calibri" w:cs="Calibri"/>
          <w:color w:val="000000"/>
        </w:rPr>
        <w:t>Swansea: Classical Press of Wales.</w:t>
      </w:r>
    </w:p>
    <w:p w14:paraId="2DB9230D" w14:textId="40BE10B1" w:rsidR="00111209" w:rsidRDefault="00111209" w:rsidP="00111209">
      <w:pPr>
        <w:pStyle w:val="NormalWeb"/>
        <w:shd w:val="clear" w:color="auto" w:fill="FFFFFF"/>
        <w:spacing w:before="0" w:after="120"/>
      </w:pPr>
      <w:r>
        <w:rPr>
          <w:rFonts w:ascii="Calibri" w:hAnsi="Calibri" w:cs="Calibri"/>
          <w:color w:val="000000"/>
        </w:rPr>
        <w:t>SZPAKOWSKA, K</w:t>
      </w:r>
      <w:r w:rsidR="007347B4">
        <w:rPr>
          <w:rFonts w:ascii="Calibri" w:hAnsi="Calibri" w:cs="Calibri"/>
          <w:color w:val="000000"/>
        </w:rPr>
        <w:t>.</w:t>
      </w:r>
      <w:r>
        <w:rPr>
          <w:rFonts w:ascii="Calibri" w:hAnsi="Calibri" w:cs="Calibri"/>
          <w:color w:val="000000"/>
        </w:rPr>
        <w:t xml:space="preserve"> 2010. Religion in Society: Pharaonic. In: A. LLOYD, ed, </w:t>
      </w:r>
      <w:r>
        <w:rPr>
          <w:rFonts w:ascii="Calibri" w:hAnsi="Calibri" w:cs="Calibri"/>
          <w:i/>
          <w:iCs/>
          <w:color w:val="000000"/>
        </w:rPr>
        <w:t>A Companion to Ancient Egypt. </w:t>
      </w:r>
      <w:r>
        <w:rPr>
          <w:rFonts w:ascii="Calibri" w:hAnsi="Calibri" w:cs="Calibri"/>
          <w:color w:val="000000"/>
        </w:rPr>
        <w:t>London: Blackwell, pp. 507-525.</w:t>
      </w:r>
    </w:p>
    <w:p w14:paraId="328275DA" w14:textId="699350C3" w:rsidR="00111209" w:rsidRDefault="00111209" w:rsidP="00111209">
      <w:pPr>
        <w:pStyle w:val="NormalWeb"/>
        <w:shd w:val="clear" w:color="auto" w:fill="FFFFFF"/>
        <w:spacing w:before="0" w:after="120"/>
      </w:pPr>
      <w:r>
        <w:rPr>
          <w:rFonts w:ascii="Calibri" w:hAnsi="Calibri" w:cs="Calibri"/>
          <w:color w:val="000000"/>
        </w:rPr>
        <w:t>TALLET, G</w:t>
      </w:r>
      <w:r w:rsidR="007347B4">
        <w:rPr>
          <w:rFonts w:ascii="Calibri" w:hAnsi="Calibri" w:cs="Calibri"/>
          <w:color w:val="000000"/>
        </w:rPr>
        <w:t>.</w:t>
      </w:r>
      <w:r>
        <w:rPr>
          <w:rFonts w:ascii="Calibri" w:hAnsi="Calibri" w:cs="Calibri"/>
          <w:color w:val="000000"/>
        </w:rPr>
        <w:t xml:space="preserve"> 2012. Oracles. In: C. RIGGS, ed, </w:t>
      </w:r>
      <w:r>
        <w:rPr>
          <w:rFonts w:ascii="Calibri" w:hAnsi="Calibri" w:cs="Calibri"/>
          <w:i/>
          <w:iCs/>
          <w:color w:val="000000"/>
        </w:rPr>
        <w:t>The Oxford Handbook of Roman Egypt. </w:t>
      </w:r>
      <w:r>
        <w:rPr>
          <w:rFonts w:ascii="Calibri" w:hAnsi="Calibri" w:cs="Calibri"/>
          <w:color w:val="000000"/>
        </w:rPr>
        <w:t>Oxford: Oxford University Press, pp. 398-418.</w:t>
      </w:r>
    </w:p>
    <w:p w14:paraId="51EFF4A6" w14:textId="13028EC7" w:rsidR="00111209" w:rsidRDefault="00111209" w:rsidP="00111209">
      <w:pPr>
        <w:pStyle w:val="NormalWeb"/>
        <w:shd w:val="clear" w:color="auto" w:fill="FFFFFF"/>
        <w:spacing w:before="0" w:after="120"/>
      </w:pPr>
      <w:r>
        <w:rPr>
          <w:rFonts w:ascii="Calibri" w:hAnsi="Calibri" w:cs="Calibri"/>
          <w:color w:val="000000"/>
        </w:rPr>
        <w:t>TEDLOCK, B</w:t>
      </w:r>
      <w:r w:rsidR="007347B4">
        <w:rPr>
          <w:rFonts w:ascii="Calibri" w:hAnsi="Calibri" w:cs="Calibri"/>
          <w:color w:val="000000"/>
        </w:rPr>
        <w:t>.</w:t>
      </w:r>
      <w:r>
        <w:rPr>
          <w:rFonts w:ascii="Calibri" w:hAnsi="Calibri" w:cs="Calibri"/>
          <w:color w:val="000000"/>
        </w:rPr>
        <w:t xml:space="preserve"> 2001. Divination as a Way of Knowing: Embodiment, Visualisation, Narrative, and Interpretation. </w:t>
      </w:r>
      <w:r>
        <w:rPr>
          <w:rFonts w:ascii="Calibri" w:hAnsi="Calibri" w:cs="Calibri"/>
          <w:i/>
          <w:iCs/>
          <w:color w:val="000000"/>
        </w:rPr>
        <w:t>Folklore (London), </w:t>
      </w:r>
      <w:r>
        <w:rPr>
          <w:rFonts w:ascii="Calibri" w:hAnsi="Calibri" w:cs="Calibri"/>
          <w:b/>
          <w:bCs/>
          <w:color w:val="000000"/>
        </w:rPr>
        <w:t>112</w:t>
      </w:r>
      <w:r>
        <w:rPr>
          <w:rFonts w:ascii="Calibri" w:hAnsi="Calibri" w:cs="Calibri"/>
          <w:color w:val="000000"/>
        </w:rPr>
        <w:t>(2), pp. 189-197.</w:t>
      </w:r>
    </w:p>
    <w:p w14:paraId="7D8976F1" w14:textId="0B5A646E" w:rsidR="00111209" w:rsidRDefault="00111209" w:rsidP="00111209">
      <w:pPr>
        <w:pStyle w:val="NormalWeb"/>
        <w:shd w:val="clear" w:color="auto" w:fill="FFFFFF"/>
        <w:spacing w:before="0" w:after="120"/>
      </w:pPr>
      <w:r>
        <w:rPr>
          <w:rFonts w:ascii="Calibri" w:hAnsi="Calibri" w:cs="Calibri"/>
          <w:color w:val="000000"/>
        </w:rPr>
        <w:t>TEETER, E</w:t>
      </w:r>
      <w:r w:rsidR="007347B4">
        <w:rPr>
          <w:rFonts w:ascii="Calibri" w:hAnsi="Calibri" w:cs="Calibri"/>
          <w:color w:val="000000"/>
        </w:rPr>
        <w:t>.</w:t>
      </w:r>
      <w:r>
        <w:rPr>
          <w:rFonts w:ascii="Calibri" w:hAnsi="Calibri" w:cs="Calibri"/>
          <w:color w:val="000000"/>
        </w:rPr>
        <w:t xml:space="preserve"> 1997. </w:t>
      </w:r>
      <w:r>
        <w:rPr>
          <w:rFonts w:ascii="Calibri" w:hAnsi="Calibri" w:cs="Calibri"/>
          <w:i/>
          <w:iCs/>
          <w:color w:val="000000"/>
        </w:rPr>
        <w:t>The Presentation of Maat: Ritual and legitimacy in Ancient Egypt. </w:t>
      </w:r>
      <w:r>
        <w:rPr>
          <w:rFonts w:ascii="Calibri" w:hAnsi="Calibri" w:cs="Calibri"/>
          <w:color w:val="000000"/>
        </w:rPr>
        <w:t>Chicago: University of Chicago Press.</w:t>
      </w:r>
    </w:p>
    <w:p w14:paraId="1DA4F84F" w14:textId="0E47114A" w:rsidR="00111209" w:rsidRDefault="00111209" w:rsidP="00111209">
      <w:pPr>
        <w:pStyle w:val="NormalWeb"/>
        <w:shd w:val="clear" w:color="auto" w:fill="FFFFFF"/>
        <w:spacing w:before="0" w:after="120"/>
      </w:pPr>
      <w:r>
        <w:rPr>
          <w:rFonts w:ascii="Calibri" w:hAnsi="Calibri" w:cs="Calibri"/>
          <w:color w:val="000000"/>
        </w:rPr>
        <w:t>TOBIN, V.A</w:t>
      </w:r>
      <w:r w:rsidR="007347B4">
        <w:rPr>
          <w:rFonts w:ascii="Calibri" w:hAnsi="Calibri" w:cs="Calibri"/>
          <w:color w:val="000000"/>
        </w:rPr>
        <w:t>.</w:t>
      </w:r>
      <w:r>
        <w:rPr>
          <w:rFonts w:ascii="Calibri" w:hAnsi="Calibri" w:cs="Calibri"/>
          <w:color w:val="000000"/>
        </w:rPr>
        <w:t xml:space="preserve"> 2001. Myths: Creation Myths. In: D.B. REDFORD, ed, </w:t>
      </w:r>
      <w:r>
        <w:rPr>
          <w:rFonts w:ascii="Calibri" w:hAnsi="Calibri" w:cs="Calibri"/>
          <w:i/>
          <w:iCs/>
          <w:color w:val="000000"/>
        </w:rPr>
        <w:t>Oxford Encyclopedia of Ancient Egypt Vol II. </w:t>
      </w:r>
      <w:r>
        <w:rPr>
          <w:rFonts w:ascii="Calibri" w:hAnsi="Calibri" w:cs="Calibri"/>
          <w:color w:val="000000"/>
        </w:rPr>
        <w:t>Oxford: Oxford University Press, pp. 469-472.</w:t>
      </w:r>
    </w:p>
    <w:p w14:paraId="5CD6B2CF" w14:textId="5913FF13" w:rsidR="00111209" w:rsidRDefault="00111209" w:rsidP="00111209">
      <w:pPr>
        <w:pStyle w:val="NormalWeb"/>
        <w:shd w:val="clear" w:color="auto" w:fill="FFFFFF"/>
        <w:spacing w:before="0" w:after="120"/>
      </w:pPr>
      <w:r>
        <w:rPr>
          <w:rFonts w:ascii="Calibri" w:hAnsi="Calibri" w:cs="Calibri"/>
          <w:color w:val="000000"/>
        </w:rPr>
        <w:t>TROCHE, J</w:t>
      </w:r>
      <w:r w:rsidR="007347B4">
        <w:rPr>
          <w:rFonts w:ascii="Calibri" w:hAnsi="Calibri" w:cs="Calibri"/>
          <w:color w:val="000000"/>
        </w:rPr>
        <w:t>.</w:t>
      </w:r>
      <w:r>
        <w:rPr>
          <w:rFonts w:ascii="Calibri" w:hAnsi="Calibri" w:cs="Calibri"/>
          <w:color w:val="000000"/>
        </w:rPr>
        <w:t xml:space="preserve"> 2018-last update, Letters to the Dead. Available: </w:t>
      </w:r>
      <w:r>
        <w:rPr>
          <w:rFonts w:ascii="Calibri" w:hAnsi="Calibri" w:cs="Calibri"/>
        </w:rPr>
        <w:t>https://escholarship.org/uc/item/6bh8w50t.</w:t>
      </w:r>
    </w:p>
    <w:p w14:paraId="33968D4F" w14:textId="387BB47E" w:rsidR="00111209" w:rsidRDefault="00111209" w:rsidP="00111209">
      <w:pPr>
        <w:pStyle w:val="NormalWeb"/>
        <w:shd w:val="clear" w:color="auto" w:fill="FFFFFF"/>
        <w:spacing w:before="0" w:after="120"/>
      </w:pPr>
      <w:r>
        <w:rPr>
          <w:rFonts w:ascii="Calibri" w:hAnsi="Calibri" w:cs="Calibri"/>
          <w:color w:val="000000"/>
        </w:rPr>
        <w:t>TYLDESLEY, J.A</w:t>
      </w:r>
      <w:r w:rsidR="007347B4">
        <w:rPr>
          <w:rFonts w:ascii="Calibri" w:hAnsi="Calibri" w:cs="Calibri"/>
          <w:color w:val="000000"/>
        </w:rPr>
        <w:t>.</w:t>
      </w:r>
      <w:r>
        <w:rPr>
          <w:rFonts w:ascii="Calibri" w:hAnsi="Calibri" w:cs="Calibri"/>
          <w:color w:val="000000"/>
        </w:rPr>
        <w:t xml:space="preserve"> 1998. </w:t>
      </w:r>
      <w:proofErr w:type="spellStart"/>
      <w:r>
        <w:rPr>
          <w:rFonts w:ascii="Calibri" w:hAnsi="Calibri" w:cs="Calibri"/>
          <w:i/>
          <w:iCs/>
          <w:color w:val="000000"/>
        </w:rPr>
        <w:t>Hatchepsut</w:t>
      </w:r>
      <w:proofErr w:type="spellEnd"/>
      <w:r>
        <w:rPr>
          <w:rFonts w:ascii="Calibri" w:hAnsi="Calibri" w:cs="Calibri"/>
          <w:i/>
          <w:iCs/>
          <w:color w:val="000000"/>
        </w:rPr>
        <w:t xml:space="preserve"> : the female pharaoh. </w:t>
      </w:r>
      <w:r>
        <w:rPr>
          <w:rFonts w:ascii="Calibri" w:hAnsi="Calibri" w:cs="Calibri"/>
          <w:color w:val="000000"/>
        </w:rPr>
        <w:t>London: Penguin.</w:t>
      </w:r>
    </w:p>
    <w:p w14:paraId="31B7EEEF" w14:textId="2066CA44" w:rsidR="00111209" w:rsidRDefault="00111209" w:rsidP="00111209">
      <w:pPr>
        <w:pStyle w:val="NormalWeb"/>
        <w:shd w:val="clear" w:color="auto" w:fill="FFFFFF"/>
        <w:spacing w:before="0" w:after="120"/>
        <w:rPr>
          <w:rFonts w:ascii="Calibri" w:hAnsi="Calibri" w:cs="Calibri"/>
          <w:color w:val="000000"/>
        </w:rPr>
      </w:pPr>
      <w:r>
        <w:rPr>
          <w:rFonts w:ascii="Calibri" w:hAnsi="Calibri" w:cs="Calibri"/>
          <w:color w:val="000000"/>
        </w:rPr>
        <w:t>UPKONG, J.S</w:t>
      </w:r>
      <w:r w:rsidR="007347B4">
        <w:rPr>
          <w:rFonts w:ascii="Calibri" w:hAnsi="Calibri" w:cs="Calibri"/>
          <w:color w:val="000000"/>
        </w:rPr>
        <w:t>.</w:t>
      </w:r>
      <w:r>
        <w:rPr>
          <w:rFonts w:ascii="Calibri" w:hAnsi="Calibri" w:cs="Calibri"/>
          <w:color w:val="000000"/>
        </w:rPr>
        <w:t xml:space="preserve"> 1983. The Problem of God and Sacrifice in African Traditional Religion. </w:t>
      </w:r>
      <w:r>
        <w:rPr>
          <w:rFonts w:ascii="Calibri" w:hAnsi="Calibri" w:cs="Calibri"/>
          <w:i/>
          <w:iCs/>
          <w:color w:val="000000"/>
        </w:rPr>
        <w:t>Journal of Religion in Africa, </w:t>
      </w:r>
      <w:r>
        <w:rPr>
          <w:rFonts w:ascii="Calibri" w:hAnsi="Calibri" w:cs="Calibri"/>
          <w:b/>
          <w:bCs/>
          <w:color w:val="000000"/>
        </w:rPr>
        <w:t>XIV</w:t>
      </w:r>
      <w:r>
        <w:rPr>
          <w:rFonts w:ascii="Calibri" w:hAnsi="Calibri" w:cs="Calibri"/>
          <w:color w:val="000000"/>
        </w:rPr>
        <w:t>(3), pp. 187-203.</w:t>
      </w:r>
    </w:p>
    <w:p w14:paraId="78561B7D" w14:textId="65E47869" w:rsidR="00111209" w:rsidRDefault="00111209" w:rsidP="00111209">
      <w:pPr>
        <w:pStyle w:val="NormalWeb"/>
        <w:shd w:val="clear" w:color="auto" w:fill="FFFFFF"/>
        <w:spacing w:before="0" w:after="120"/>
      </w:pPr>
      <w:r>
        <w:rPr>
          <w:rFonts w:ascii="Roboto" w:hAnsi="Roboto"/>
          <w:color w:val="000000"/>
          <w:sz w:val="21"/>
          <w:szCs w:val="21"/>
          <w:shd w:val="clear" w:color="auto" w:fill="FFFFFF"/>
        </w:rPr>
        <w:lastRenderedPageBreak/>
        <w:t>USTINOVA, Y</w:t>
      </w:r>
      <w:r w:rsidR="007347B4">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2009. </w:t>
      </w:r>
      <w:r>
        <w:rPr>
          <w:rFonts w:ascii="Roboto" w:hAnsi="Roboto"/>
          <w:i/>
          <w:iCs/>
          <w:color w:val="000000"/>
          <w:sz w:val="21"/>
          <w:szCs w:val="21"/>
          <w:shd w:val="clear" w:color="auto" w:fill="FFFFFF"/>
        </w:rPr>
        <w:t>Caves and the ancient Greek mind: Descending underground in the search for ultimate truth. </w:t>
      </w:r>
      <w:r>
        <w:rPr>
          <w:rFonts w:ascii="Roboto" w:hAnsi="Roboto"/>
          <w:color w:val="000000"/>
          <w:sz w:val="21"/>
          <w:szCs w:val="21"/>
          <w:shd w:val="clear" w:color="auto" w:fill="FFFFFF"/>
        </w:rPr>
        <w:t>Oxford: Oxford University Press.</w:t>
      </w:r>
    </w:p>
    <w:p w14:paraId="1A69945B" w14:textId="6A590F70" w:rsidR="00111209" w:rsidRDefault="00111209" w:rsidP="00111209">
      <w:pPr>
        <w:pStyle w:val="NormalWeb"/>
        <w:shd w:val="clear" w:color="auto" w:fill="FFFFFF"/>
        <w:spacing w:before="0" w:after="120"/>
      </w:pPr>
      <w:r>
        <w:rPr>
          <w:rFonts w:ascii="Calibri" w:hAnsi="Calibri" w:cs="Calibri"/>
          <w:color w:val="000000"/>
        </w:rPr>
        <w:t>WALKER, B.G</w:t>
      </w:r>
      <w:r w:rsidR="007347B4">
        <w:rPr>
          <w:rFonts w:ascii="Calibri" w:hAnsi="Calibri" w:cs="Calibri"/>
          <w:color w:val="000000"/>
        </w:rPr>
        <w:t>.</w:t>
      </w:r>
      <w:r>
        <w:rPr>
          <w:rFonts w:ascii="Calibri" w:hAnsi="Calibri" w:cs="Calibri"/>
          <w:color w:val="000000"/>
        </w:rPr>
        <w:t xml:space="preserve"> 1983. </w:t>
      </w:r>
      <w:r>
        <w:rPr>
          <w:rFonts w:ascii="Calibri" w:hAnsi="Calibri" w:cs="Calibri"/>
          <w:i/>
          <w:iCs/>
          <w:color w:val="000000"/>
        </w:rPr>
        <w:t>The Woman's Encyclopedia of Myths and Secrets. </w:t>
      </w:r>
      <w:r>
        <w:rPr>
          <w:rFonts w:ascii="Calibri" w:hAnsi="Calibri" w:cs="Calibri"/>
          <w:color w:val="000000"/>
        </w:rPr>
        <w:t>New York: Harper and Row.</w:t>
      </w:r>
    </w:p>
    <w:p w14:paraId="5F6D29F8" w14:textId="4E5D91C8" w:rsidR="00111209" w:rsidRDefault="00111209" w:rsidP="00111209">
      <w:pPr>
        <w:pStyle w:val="NormalWeb"/>
        <w:shd w:val="clear" w:color="auto" w:fill="FFFFFF"/>
        <w:spacing w:before="0" w:after="120"/>
      </w:pPr>
      <w:r>
        <w:rPr>
          <w:rFonts w:ascii="Calibri" w:hAnsi="Calibri" w:cs="Calibri"/>
          <w:color w:val="000000"/>
        </w:rPr>
        <w:t>WELLS, R.A</w:t>
      </w:r>
      <w:r w:rsidR="007347B4">
        <w:rPr>
          <w:rFonts w:ascii="Calibri" w:hAnsi="Calibri" w:cs="Calibri"/>
          <w:color w:val="000000"/>
        </w:rPr>
        <w:t>.</w:t>
      </w:r>
      <w:r>
        <w:rPr>
          <w:rFonts w:ascii="Calibri" w:hAnsi="Calibri" w:cs="Calibri"/>
          <w:color w:val="000000"/>
        </w:rPr>
        <w:t xml:space="preserve"> 2001. Horoscopes. In: D.B. REDFORD, ed, </w:t>
      </w:r>
      <w:r>
        <w:rPr>
          <w:rFonts w:ascii="Calibri" w:hAnsi="Calibri" w:cs="Calibri"/>
          <w:i/>
          <w:iCs/>
          <w:color w:val="000000"/>
        </w:rPr>
        <w:t>The Oxford Encyclopedia of Ancient Egypt (vol. 2). </w:t>
      </w:r>
      <w:r>
        <w:rPr>
          <w:rFonts w:ascii="Calibri" w:hAnsi="Calibri" w:cs="Calibri"/>
          <w:color w:val="000000"/>
        </w:rPr>
        <w:t>Oxford: Oxford University Press, pp. 117-119.</w:t>
      </w:r>
    </w:p>
    <w:p w14:paraId="79EFF0CC" w14:textId="1E278AC7" w:rsidR="00111209" w:rsidRDefault="00111209" w:rsidP="00111209">
      <w:pPr>
        <w:pStyle w:val="NormalWeb"/>
        <w:shd w:val="clear" w:color="auto" w:fill="FFFFFF"/>
        <w:spacing w:before="0" w:after="120"/>
      </w:pPr>
      <w:r>
        <w:rPr>
          <w:rFonts w:ascii="Calibri" w:hAnsi="Calibri" w:cs="Calibri"/>
          <w:color w:val="000000"/>
        </w:rPr>
        <w:t>WENDORF, F. and SCHILD, R</w:t>
      </w:r>
      <w:r w:rsidR="007347B4">
        <w:rPr>
          <w:rFonts w:ascii="Calibri" w:hAnsi="Calibri" w:cs="Calibri"/>
          <w:color w:val="000000"/>
        </w:rPr>
        <w:t>.</w:t>
      </w:r>
      <w:r>
        <w:rPr>
          <w:rFonts w:ascii="Calibri" w:hAnsi="Calibri" w:cs="Calibri"/>
          <w:color w:val="000000"/>
        </w:rPr>
        <w:t xml:space="preserve"> 1998. </w:t>
      </w:r>
      <w:proofErr w:type="spellStart"/>
      <w:r>
        <w:rPr>
          <w:rFonts w:ascii="Calibri" w:hAnsi="Calibri" w:cs="Calibri"/>
          <w:color w:val="000000"/>
        </w:rPr>
        <w:t>Nabta</w:t>
      </w:r>
      <w:proofErr w:type="spellEnd"/>
      <w:r>
        <w:rPr>
          <w:rFonts w:ascii="Calibri" w:hAnsi="Calibri" w:cs="Calibri"/>
          <w:color w:val="000000"/>
        </w:rPr>
        <w:t xml:space="preserve"> Playa and its role in Northeastern African Prehistory: The dawn of African </w:t>
      </w:r>
      <w:proofErr w:type="spellStart"/>
      <w:r>
        <w:rPr>
          <w:rFonts w:ascii="Calibri" w:hAnsi="Calibri" w:cs="Calibri"/>
          <w:color w:val="000000"/>
        </w:rPr>
        <w:t>pastoralisms</w:t>
      </w:r>
      <w:proofErr w:type="spellEnd"/>
      <w:r>
        <w:rPr>
          <w:rFonts w:ascii="Calibri" w:hAnsi="Calibri" w:cs="Calibri"/>
          <w:color w:val="000000"/>
        </w:rPr>
        <w:t>. </w:t>
      </w:r>
      <w:r>
        <w:rPr>
          <w:rFonts w:ascii="Calibri" w:hAnsi="Calibri" w:cs="Calibri"/>
          <w:i/>
          <w:iCs/>
          <w:color w:val="000000"/>
        </w:rPr>
        <w:t>Journal of anthropological archaeology, </w:t>
      </w:r>
      <w:r>
        <w:rPr>
          <w:rFonts w:ascii="Calibri" w:hAnsi="Calibri" w:cs="Calibri"/>
          <w:b/>
          <w:bCs/>
          <w:color w:val="000000"/>
        </w:rPr>
        <w:t>17</w:t>
      </w:r>
      <w:r>
        <w:rPr>
          <w:rFonts w:ascii="Calibri" w:hAnsi="Calibri" w:cs="Calibri"/>
          <w:color w:val="000000"/>
        </w:rPr>
        <w:t>(2), pp. 97-123.</w:t>
      </w:r>
    </w:p>
    <w:p w14:paraId="04F5BCEC" w14:textId="20B1DAED" w:rsidR="00111209" w:rsidRDefault="00111209" w:rsidP="00111209">
      <w:pPr>
        <w:pStyle w:val="NormalWeb"/>
        <w:shd w:val="clear" w:color="auto" w:fill="FFFFFF"/>
        <w:spacing w:before="0" w:after="120"/>
      </w:pPr>
      <w:r>
        <w:rPr>
          <w:rFonts w:ascii="Calibri" w:hAnsi="Calibri" w:cs="Calibri"/>
          <w:color w:val="000000"/>
        </w:rPr>
        <w:t>WERBNER, R.P</w:t>
      </w:r>
      <w:r w:rsidR="007347B4">
        <w:rPr>
          <w:rFonts w:ascii="Calibri" w:hAnsi="Calibri" w:cs="Calibri"/>
          <w:color w:val="000000"/>
        </w:rPr>
        <w:t>.</w:t>
      </w:r>
      <w:r>
        <w:rPr>
          <w:rFonts w:ascii="Calibri" w:hAnsi="Calibri" w:cs="Calibri"/>
          <w:color w:val="000000"/>
        </w:rPr>
        <w:t xml:space="preserve"> 2015. </w:t>
      </w:r>
      <w:r>
        <w:rPr>
          <w:rFonts w:ascii="Calibri" w:hAnsi="Calibri" w:cs="Calibri"/>
          <w:i/>
          <w:iCs/>
          <w:color w:val="000000"/>
        </w:rPr>
        <w:t>Divination's grasp : African encounters with the Almost Said. </w:t>
      </w:r>
      <w:r>
        <w:rPr>
          <w:rFonts w:ascii="Calibri" w:hAnsi="Calibri" w:cs="Calibri"/>
          <w:color w:val="000000"/>
        </w:rPr>
        <w:t>Bloomington, Indiana: Indiana University Press.</w:t>
      </w:r>
    </w:p>
    <w:p w14:paraId="625D521E" w14:textId="23EC9A14" w:rsidR="00111209" w:rsidRDefault="00111209" w:rsidP="00111209">
      <w:pPr>
        <w:pStyle w:val="NormalWeb"/>
        <w:shd w:val="clear" w:color="auto" w:fill="FFFFFF"/>
        <w:spacing w:before="0" w:after="120"/>
      </w:pPr>
      <w:r>
        <w:rPr>
          <w:rFonts w:ascii="Calibri" w:hAnsi="Calibri" w:cs="Calibri"/>
          <w:color w:val="000000"/>
        </w:rPr>
        <w:t>WESSELMAN, H</w:t>
      </w:r>
      <w:r w:rsidR="007347B4">
        <w:rPr>
          <w:rFonts w:ascii="Calibri" w:hAnsi="Calibri" w:cs="Calibri"/>
          <w:color w:val="000000"/>
        </w:rPr>
        <w:t>.</w:t>
      </w:r>
      <w:r>
        <w:rPr>
          <w:rFonts w:ascii="Calibri" w:hAnsi="Calibri" w:cs="Calibri"/>
          <w:color w:val="000000"/>
        </w:rPr>
        <w:t xml:space="preserve"> 2011. My Encounters with Sekhmet. In: KANT, C. C</w:t>
      </w:r>
      <w:r w:rsidR="007347B4">
        <w:rPr>
          <w:rFonts w:ascii="Calibri" w:hAnsi="Calibri" w:cs="Calibri"/>
          <w:color w:val="000000"/>
        </w:rPr>
        <w:t>.</w:t>
      </w:r>
      <w:r>
        <w:rPr>
          <w:rFonts w:ascii="Calibri" w:hAnsi="Calibri" w:cs="Calibri"/>
          <w:color w:val="000000"/>
        </w:rPr>
        <w:t xml:space="preserve"> &amp; KEY, Anne, eds</w:t>
      </w:r>
      <w:r w:rsidR="007347B4">
        <w:rPr>
          <w:rFonts w:ascii="Calibri" w:hAnsi="Calibri" w:cs="Calibri"/>
          <w:color w:val="000000"/>
        </w:rPr>
        <w:t>.</w:t>
      </w:r>
      <w:r>
        <w:rPr>
          <w:rFonts w:ascii="Calibri" w:hAnsi="Calibri" w:cs="Calibri"/>
          <w:color w:val="000000"/>
        </w:rPr>
        <w:t> </w:t>
      </w:r>
      <w:r>
        <w:rPr>
          <w:rFonts w:ascii="Calibri" w:hAnsi="Calibri" w:cs="Calibri"/>
          <w:i/>
          <w:iCs/>
          <w:color w:val="000000"/>
        </w:rPr>
        <w:t>Heart of the Sun: An Anthology in Exaltation of Sekhmet. </w:t>
      </w:r>
      <w:r>
        <w:rPr>
          <w:rFonts w:ascii="Calibri" w:hAnsi="Calibri" w:cs="Calibri"/>
          <w:color w:val="000000"/>
        </w:rPr>
        <w:t>Bloomington, Indiana: iUniverse, pp. 104-111.</w:t>
      </w:r>
    </w:p>
    <w:p w14:paraId="3124456E" w14:textId="1123CC22" w:rsidR="00111209" w:rsidRDefault="00111209" w:rsidP="00111209">
      <w:pPr>
        <w:pStyle w:val="NormalWeb"/>
        <w:shd w:val="clear" w:color="auto" w:fill="FFFFFF"/>
        <w:spacing w:before="0" w:after="120"/>
      </w:pPr>
      <w:r>
        <w:rPr>
          <w:rFonts w:ascii="Calibri" w:hAnsi="Calibri" w:cs="Calibri"/>
          <w:color w:val="000000"/>
        </w:rPr>
        <w:t>WILKINSON, R.H</w:t>
      </w:r>
      <w:r w:rsidR="007347B4">
        <w:rPr>
          <w:rFonts w:ascii="Calibri" w:hAnsi="Calibri" w:cs="Calibri"/>
          <w:color w:val="000000"/>
        </w:rPr>
        <w:t>.</w:t>
      </w:r>
      <w:r>
        <w:rPr>
          <w:rFonts w:ascii="Calibri" w:hAnsi="Calibri" w:cs="Calibri"/>
          <w:color w:val="000000"/>
        </w:rPr>
        <w:t xml:space="preserve"> 2003. </w:t>
      </w:r>
      <w:r>
        <w:rPr>
          <w:rFonts w:ascii="Calibri" w:hAnsi="Calibri" w:cs="Calibri"/>
          <w:i/>
          <w:iCs/>
          <w:color w:val="000000"/>
        </w:rPr>
        <w:t>The complete gods and goddesses of ancient Egypt. </w:t>
      </w:r>
      <w:r>
        <w:rPr>
          <w:rFonts w:ascii="Calibri" w:hAnsi="Calibri" w:cs="Calibri"/>
          <w:color w:val="000000"/>
        </w:rPr>
        <w:t>London: Thames &amp; Hudson.</w:t>
      </w:r>
    </w:p>
    <w:p w14:paraId="57886274" w14:textId="2B686298" w:rsidR="00111209" w:rsidRDefault="00111209" w:rsidP="00111209">
      <w:pPr>
        <w:pStyle w:val="NormalWeb"/>
        <w:shd w:val="clear" w:color="auto" w:fill="FFFFFF"/>
        <w:spacing w:before="0" w:after="120"/>
      </w:pPr>
      <w:r>
        <w:rPr>
          <w:rFonts w:ascii="Calibri" w:hAnsi="Calibri" w:cs="Calibri"/>
          <w:color w:val="000000"/>
        </w:rPr>
        <w:t>WILKINSON, R.H</w:t>
      </w:r>
      <w:r w:rsidR="007347B4">
        <w:rPr>
          <w:rFonts w:ascii="Calibri" w:hAnsi="Calibri" w:cs="Calibri"/>
          <w:color w:val="000000"/>
        </w:rPr>
        <w:t>.</w:t>
      </w:r>
      <w:r>
        <w:rPr>
          <w:rFonts w:ascii="Calibri" w:hAnsi="Calibri" w:cs="Calibri"/>
          <w:color w:val="000000"/>
        </w:rPr>
        <w:t xml:space="preserve"> 2000. </w:t>
      </w:r>
      <w:r>
        <w:rPr>
          <w:rFonts w:ascii="Calibri" w:hAnsi="Calibri" w:cs="Calibri"/>
          <w:i/>
          <w:iCs/>
          <w:color w:val="000000"/>
        </w:rPr>
        <w:t>The complete temples of ancient Egypt. </w:t>
      </w:r>
      <w:r>
        <w:rPr>
          <w:rFonts w:ascii="Calibri" w:hAnsi="Calibri" w:cs="Calibri"/>
          <w:color w:val="000000"/>
        </w:rPr>
        <w:t>London: Thames &amp; Hudson.</w:t>
      </w:r>
    </w:p>
    <w:p w14:paraId="7BD19F2B" w14:textId="20106FEE" w:rsidR="00111209" w:rsidRDefault="00111209" w:rsidP="00111209">
      <w:pPr>
        <w:pStyle w:val="NormalWeb"/>
        <w:shd w:val="clear" w:color="auto" w:fill="FFFFFF"/>
        <w:spacing w:before="0" w:after="120"/>
      </w:pPr>
      <w:r>
        <w:rPr>
          <w:rFonts w:ascii="Calibri" w:hAnsi="Calibri" w:cs="Calibri"/>
          <w:color w:val="000000"/>
        </w:rPr>
        <w:t>ŽABKAR, L.V</w:t>
      </w:r>
      <w:r w:rsidR="007347B4">
        <w:rPr>
          <w:rFonts w:ascii="Calibri" w:hAnsi="Calibri" w:cs="Calibri"/>
          <w:color w:val="000000"/>
        </w:rPr>
        <w:t>.</w:t>
      </w:r>
      <w:r>
        <w:rPr>
          <w:rFonts w:ascii="Calibri" w:hAnsi="Calibri" w:cs="Calibri"/>
          <w:color w:val="000000"/>
        </w:rPr>
        <w:t xml:space="preserve"> 1968. </w:t>
      </w:r>
      <w:r>
        <w:rPr>
          <w:rFonts w:ascii="Calibri" w:hAnsi="Calibri" w:cs="Calibri"/>
          <w:i/>
          <w:iCs/>
          <w:color w:val="000000"/>
        </w:rPr>
        <w:t>A Study of the Ba Concept in Ancient Egyptian Texts. </w:t>
      </w:r>
      <w:r>
        <w:rPr>
          <w:rFonts w:ascii="Calibri" w:hAnsi="Calibri" w:cs="Calibri"/>
          <w:color w:val="000000"/>
        </w:rPr>
        <w:t>Chicago: University of Chicago Press.</w:t>
      </w:r>
    </w:p>
    <w:p w14:paraId="6824FCF9" w14:textId="77777777" w:rsidR="007347B4" w:rsidRDefault="007347B4" w:rsidP="007347B4">
      <w:pPr>
        <w:pStyle w:val="NormalWeb"/>
        <w:shd w:val="clear" w:color="auto" w:fill="FFFFFF"/>
        <w:spacing w:before="0" w:after="120"/>
      </w:pPr>
      <w:r>
        <w:rPr>
          <w:rFonts w:ascii="Calibri" w:hAnsi="Calibri" w:cs="Calibri"/>
          <w:color w:val="000000"/>
        </w:rPr>
        <w:t>ŽABKAR, L.V. 1983. Six Hymns to Isis in the Sanctuary of Her Temple at Philae and Their Theological Significance. Part I. </w:t>
      </w:r>
      <w:r>
        <w:rPr>
          <w:rFonts w:ascii="Calibri" w:hAnsi="Calibri" w:cs="Calibri"/>
          <w:i/>
          <w:iCs/>
          <w:color w:val="000000"/>
        </w:rPr>
        <w:t>Journal of Egyptian archaeology, </w:t>
      </w:r>
      <w:r>
        <w:rPr>
          <w:rFonts w:ascii="Calibri" w:hAnsi="Calibri" w:cs="Calibri"/>
          <w:b/>
          <w:bCs/>
          <w:color w:val="000000"/>
        </w:rPr>
        <w:t>69</w:t>
      </w:r>
      <w:r>
        <w:rPr>
          <w:rFonts w:ascii="Calibri" w:hAnsi="Calibri" w:cs="Calibri"/>
          <w:color w:val="000000"/>
        </w:rPr>
        <w:t>, pp. 115.</w:t>
      </w:r>
    </w:p>
    <w:p w14:paraId="33D439D8" w14:textId="4BF45BA2" w:rsidR="00111209" w:rsidRDefault="00111209" w:rsidP="00111209">
      <w:pPr>
        <w:pStyle w:val="NormalWeb"/>
        <w:shd w:val="clear" w:color="auto" w:fill="FFFFFF"/>
        <w:spacing w:before="0" w:after="120"/>
      </w:pPr>
      <w:r>
        <w:rPr>
          <w:rFonts w:ascii="Calibri" w:hAnsi="Calibri" w:cs="Calibri"/>
          <w:color w:val="000000"/>
        </w:rPr>
        <w:t>ZAGO, S</w:t>
      </w:r>
      <w:r w:rsidR="007347B4">
        <w:rPr>
          <w:rFonts w:ascii="Calibri" w:hAnsi="Calibri" w:cs="Calibri"/>
          <w:color w:val="000000"/>
        </w:rPr>
        <w:t>.</w:t>
      </w:r>
      <w:r>
        <w:rPr>
          <w:rFonts w:ascii="Calibri" w:hAnsi="Calibri" w:cs="Calibri"/>
          <w:color w:val="000000"/>
        </w:rPr>
        <w:t xml:space="preserve"> 2018. Imagining the Beyond: The Conceptualization of Duat between the Old and Middle Kingdoms. </w:t>
      </w:r>
      <w:r>
        <w:rPr>
          <w:rFonts w:ascii="Calibri" w:hAnsi="Calibri" w:cs="Calibri"/>
          <w:i/>
          <w:iCs/>
          <w:color w:val="000000"/>
        </w:rPr>
        <w:t>Journal of the American Research Centre in Egypt, </w:t>
      </w:r>
      <w:r>
        <w:rPr>
          <w:rFonts w:ascii="Calibri" w:hAnsi="Calibri" w:cs="Calibri"/>
          <w:b/>
          <w:bCs/>
          <w:color w:val="000000"/>
        </w:rPr>
        <w:t>54</w:t>
      </w:r>
      <w:r>
        <w:rPr>
          <w:rFonts w:ascii="Calibri" w:hAnsi="Calibri" w:cs="Calibri"/>
          <w:color w:val="000000"/>
        </w:rPr>
        <w:t>(3), pp. 203-217.</w:t>
      </w:r>
    </w:p>
    <w:p w14:paraId="6FBBEBCE" w14:textId="67C4FE1C" w:rsidR="00111209" w:rsidRDefault="00111209" w:rsidP="00111209">
      <w:pPr>
        <w:pStyle w:val="NormalWeb"/>
        <w:shd w:val="clear" w:color="auto" w:fill="FFFFFF"/>
        <w:spacing w:before="0" w:after="120"/>
      </w:pPr>
      <w:r>
        <w:rPr>
          <w:rFonts w:ascii="Calibri" w:hAnsi="Calibri" w:cs="Calibri"/>
          <w:color w:val="000000"/>
        </w:rPr>
        <w:t>ZUESSE, E.M</w:t>
      </w:r>
      <w:r w:rsidR="007347B4">
        <w:rPr>
          <w:rFonts w:ascii="Calibri" w:hAnsi="Calibri" w:cs="Calibri"/>
          <w:color w:val="000000"/>
        </w:rPr>
        <w:t>.</w:t>
      </w:r>
      <w:r>
        <w:rPr>
          <w:rFonts w:ascii="Calibri" w:hAnsi="Calibri" w:cs="Calibri"/>
          <w:color w:val="000000"/>
        </w:rPr>
        <w:t xml:space="preserve"> 1975. Divination and Deity in African Religions. </w:t>
      </w:r>
      <w:r>
        <w:rPr>
          <w:rFonts w:ascii="Calibri" w:hAnsi="Calibri" w:cs="Calibri"/>
          <w:i/>
          <w:iCs/>
          <w:color w:val="000000"/>
        </w:rPr>
        <w:t>History of Religions, </w:t>
      </w:r>
      <w:r>
        <w:rPr>
          <w:rFonts w:ascii="Calibri" w:hAnsi="Calibri" w:cs="Calibri"/>
          <w:b/>
          <w:bCs/>
          <w:color w:val="000000"/>
        </w:rPr>
        <w:t>15</w:t>
      </w:r>
      <w:r>
        <w:rPr>
          <w:rFonts w:ascii="Calibri" w:hAnsi="Calibri" w:cs="Calibri"/>
          <w:color w:val="000000"/>
        </w:rPr>
        <w:t>(2), pp. 158-182.</w:t>
      </w:r>
    </w:p>
    <w:p w14:paraId="12D072C4" w14:textId="77777777" w:rsidR="00537F32" w:rsidRDefault="00537F32">
      <w:pPr>
        <w:spacing w:after="0" w:line="480" w:lineRule="auto"/>
        <w:rPr>
          <w:rFonts w:cs="Calibri"/>
          <w:sz w:val="24"/>
          <w:szCs w:val="24"/>
        </w:rPr>
      </w:pPr>
    </w:p>
    <w:sectPr w:rsidR="00537F32">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82F22" w14:textId="77777777" w:rsidR="003A637F" w:rsidRDefault="003A637F">
      <w:pPr>
        <w:spacing w:after="0" w:line="240" w:lineRule="auto"/>
      </w:pPr>
      <w:r>
        <w:separator/>
      </w:r>
    </w:p>
  </w:endnote>
  <w:endnote w:type="continuationSeparator" w:id="0">
    <w:p w14:paraId="2F8DD000" w14:textId="77777777" w:rsidR="003A637F" w:rsidRDefault="003A6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5652A" w14:textId="77777777" w:rsidR="0082110E" w:rsidRDefault="00000000">
    <w:pPr>
      <w:pStyle w:val="Footer"/>
    </w:pPr>
    <w:r>
      <w:t>HPCA7027 – Essay 2</w:t>
    </w:r>
    <w:r>
      <w:tab/>
      <w:t>2310535</w:t>
    </w:r>
    <w:r>
      <w:tab/>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p w14:paraId="0276A65F" w14:textId="77777777" w:rsidR="0082110E" w:rsidRDefault="00821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6AC8B" w14:textId="77777777" w:rsidR="003A637F" w:rsidRDefault="003A637F">
      <w:pPr>
        <w:spacing w:after="0" w:line="240" w:lineRule="auto"/>
      </w:pPr>
      <w:r>
        <w:rPr>
          <w:color w:val="000000"/>
        </w:rPr>
        <w:separator/>
      </w:r>
    </w:p>
  </w:footnote>
  <w:footnote w:type="continuationSeparator" w:id="0">
    <w:p w14:paraId="7F4D0142" w14:textId="77777777" w:rsidR="003A637F" w:rsidRDefault="003A637F">
      <w:pPr>
        <w:spacing w:after="0" w:line="240" w:lineRule="auto"/>
      </w:pPr>
      <w:r>
        <w:continuationSeparator/>
      </w:r>
    </w:p>
  </w:footnote>
  <w:footnote w:id="1">
    <w:p w14:paraId="5FD84140" w14:textId="0CB81C68" w:rsidR="00941C03" w:rsidRPr="00D800E8" w:rsidRDefault="00941C03" w:rsidP="00D800E8">
      <w:pPr>
        <w:pStyle w:val="FootnoteText"/>
        <w:spacing w:after="120"/>
        <w:rPr>
          <w:sz w:val="22"/>
          <w:szCs w:val="22"/>
        </w:rPr>
      </w:pPr>
      <w:r w:rsidRPr="00D800E8">
        <w:rPr>
          <w:rStyle w:val="FootnoteReference"/>
          <w:sz w:val="22"/>
          <w:szCs w:val="22"/>
        </w:rPr>
        <w:footnoteRef/>
      </w:r>
      <w:r w:rsidRPr="00D800E8">
        <w:rPr>
          <w:sz w:val="22"/>
          <w:szCs w:val="22"/>
        </w:rPr>
        <w:t xml:space="preserve"> 46</w:t>
      </w:r>
      <w:r w:rsidR="00646C1C">
        <w:rPr>
          <w:sz w:val="22"/>
          <w:szCs w:val="22"/>
        </w:rPr>
        <w:t xml:space="preserve">66 </w:t>
      </w:r>
      <w:r w:rsidRPr="00D800E8">
        <w:rPr>
          <w:sz w:val="22"/>
          <w:szCs w:val="22"/>
        </w:rPr>
        <w:t>words excluding footnotes and bibliography.</w:t>
      </w:r>
    </w:p>
  </w:footnote>
  <w:footnote w:id="2">
    <w:p w14:paraId="277A77EE" w14:textId="4F6A2253" w:rsidR="00537F32" w:rsidRDefault="00000000">
      <w:pPr>
        <w:pStyle w:val="FootnoteText"/>
        <w:spacing w:after="120"/>
      </w:pPr>
      <w:r>
        <w:rPr>
          <w:rStyle w:val="FootnoteReference"/>
        </w:rPr>
        <w:footnoteRef/>
      </w:r>
      <w:r>
        <w:rPr>
          <w:sz w:val="22"/>
          <w:szCs w:val="22"/>
        </w:rPr>
        <w:t xml:space="preserve"> Cosmology may therefore be defined </w:t>
      </w:r>
      <w:r w:rsidR="00645CA1">
        <w:rPr>
          <w:sz w:val="22"/>
          <w:szCs w:val="22"/>
        </w:rPr>
        <w:t xml:space="preserve">in general </w:t>
      </w:r>
      <w:r>
        <w:rPr>
          <w:sz w:val="22"/>
          <w:szCs w:val="22"/>
        </w:rPr>
        <w:t xml:space="preserve">as a subset of ‘mythology’ (although this author considers most usage of that term at best deeply flawed). </w:t>
      </w:r>
      <w:r w:rsidR="00645CA1">
        <w:rPr>
          <w:sz w:val="22"/>
          <w:szCs w:val="22"/>
        </w:rPr>
        <w:t xml:space="preserve">Ancient Cosmology need not have much correspondence with </w:t>
      </w:r>
      <w:r w:rsidR="00B9521F">
        <w:rPr>
          <w:sz w:val="22"/>
          <w:szCs w:val="22"/>
        </w:rPr>
        <w:t xml:space="preserve">the </w:t>
      </w:r>
      <w:r w:rsidR="00645CA1">
        <w:rPr>
          <w:sz w:val="22"/>
          <w:szCs w:val="22"/>
        </w:rPr>
        <w:t>modern</w:t>
      </w:r>
      <w:r w:rsidR="00B9521F">
        <w:rPr>
          <w:sz w:val="22"/>
          <w:szCs w:val="22"/>
        </w:rPr>
        <w:t>,</w:t>
      </w:r>
      <w:r w:rsidR="00645CA1">
        <w:rPr>
          <w:sz w:val="22"/>
          <w:szCs w:val="22"/>
        </w:rPr>
        <w:t xml:space="preserve"> primarily astronomical</w:t>
      </w:r>
      <w:r w:rsidR="00B9521F">
        <w:rPr>
          <w:sz w:val="22"/>
          <w:szCs w:val="22"/>
        </w:rPr>
        <w:t>,</w:t>
      </w:r>
      <w:r w:rsidR="00645CA1">
        <w:rPr>
          <w:sz w:val="22"/>
          <w:szCs w:val="22"/>
        </w:rPr>
        <w:t xml:space="preserve"> usage of the term. </w:t>
      </w:r>
    </w:p>
  </w:footnote>
  <w:footnote w:id="3">
    <w:p w14:paraId="2057BA5B" w14:textId="77777777" w:rsidR="00537F32" w:rsidRDefault="00000000">
      <w:pPr>
        <w:pStyle w:val="FootnoteText"/>
        <w:spacing w:after="120"/>
      </w:pPr>
      <w:r>
        <w:rPr>
          <w:rStyle w:val="FootnoteReference"/>
        </w:rPr>
        <w:footnoteRef/>
      </w:r>
      <w:r>
        <w:rPr>
          <w:sz w:val="22"/>
          <w:szCs w:val="22"/>
        </w:rPr>
        <w:t xml:space="preserve"> For Egypt, cosmology comprises a much greater proportion of ‘mythology in total’ than for the ‘exemplar’ of Greece.</w:t>
      </w:r>
    </w:p>
  </w:footnote>
  <w:footnote w:id="4">
    <w:p w14:paraId="6095072E" w14:textId="77777777" w:rsidR="00537F32" w:rsidRDefault="00000000">
      <w:pPr>
        <w:spacing w:after="120" w:line="240" w:lineRule="auto"/>
      </w:pPr>
      <w:r>
        <w:rPr>
          <w:rStyle w:val="FootnoteReference"/>
        </w:rPr>
        <w:footnoteRef/>
      </w:r>
      <w:r>
        <w:t xml:space="preserve"> K</w:t>
      </w:r>
      <w:r>
        <w:rPr>
          <w:rFonts w:cs="Calibri"/>
        </w:rPr>
        <w:t>irk, 1973, pp. 208-209.</w:t>
      </w:r>
    </w:p>
  </w:footnote>
  <w:footnote w:id="5">
    <w:p w14:paraId="50414C8C" w14:textId="77777777" w:rsidR="00537F32" w:rsidRDefault="00000000">
      <w:pPr>
        <w:pStyle w:val="FootnoteText"/>
        <w:spacing w:after="120"/>
      </w:pPr>
      <w:r>
        <w:rPr>
          <w:rStyle w:val="FootnoteReference"/>
        </w:rPr>
        <w:footnoteRef/>
      </w:r>
      <w:r>
        <w:rPr>
          <w:sz w:val="22"/>
          <w:szCs w:val="22"/>
        </w:rPr>
        <w:t xml:space="preserve"> This term is widespread in conventional Egyptology: from Allen(1988, p. ix) to </w:t>
      </w:r>
      <w:proofErr w:type="spellStart"/>
      <w:r>
        <w:rPr>
          <w:rFonts w:cs="Calibri"/>
          <w:sz w:val="22"/>
          <w:szCs w:val="22"/>
        </w:rPr>
        <w:t>Žabkar</w:t>
      </w:r>
      <w:proofErr w:type="spellEnd"/>
      <w:r>
        <w:rPr>
          <w:rFonts w:cs="Calibri"/>
          <w:sz w:val="22"/>
          <w:szCs w:val="22"/>
        </w:rPr>
        <w:t xml:space="preserve"> (1968, p. 39)</w:t>
      </w:r>
      <w:r>
        <w:rPr>
          <w:sz w:val="22"/>
          <w:szCs w:val="22"/>
        </w:rPr>
        <w:t>.</w:t>
      </w:r>
    </w:p>
  </w:footnote>
  <w:footnote w:id="6">
    <w:p w14:paraId="742272B8" w14:textId="77777777" w:rsidR="00537F32" w:rsidRDefault="00000000">
      <w:pPr>
        <w:pStyle w:val="FootnoteText"/>
        <w:spacing w:after="120"/>
      </w:pPr>
      <w:r>
        <w:rPr>
          <w:rStyle w:val="FootnoteReference"/>
        </w:rPr>
        <w:footnoteRef/>
      </w:r>
      <w:r>
        <w:rPr>
          <w:sz w:val="22"/>
          <w:szCs w:val="22"/>
        </w:rPr>
        <w:t xml:space="preserve"> Campion, 2012, p. 83. This term should be considered ‘descriptive’ however. The usage of the term by Assmann and others is by no means universally accepted. A ‘monotheistic pantheism’ in which a tiny part of a single ‘God’ is present in everything is arguably very different from Egyptian polytheistic perspectives.</w:t>
      </w:r>
    </w:p>
  </w:footnote>
  <w:footnote w:id="7">
    <w:p w14:paraId="6897F135" w14:textId="77777777" w:rsidR="00537F32" w:rsidRDefault="00000000">
      <w:pPr>
        <w:pStyle w:val="FootnoteText"/>
        <w:spacing w:after="120"/>
      </w:pPr>
      <w:r>
        <w:rPr>
          <w:rStyle w:val="FootnoteReference"/>
        </w:rPr>
        <w:footnoteRef/>
      </w:r>
      <w:r>
        <w:rPr>
          <w:sz w:val="22"/>
          <w:szCs w:val="22"/>
        </w:rPr>
        <w:t xml:space="preserve"> Campion 2008, p. 88.</w:t>
      </w:r>
    </w:p>
  </w:footnote>
  <w:footnote w:id="8">
    <w:p w14:paraId="280D5B8B" w14:textId="77777777" w:rsidR="00537F32" w:rsidRDefault="00000000">
      <w:pPr>
        <w:pStyle w:val="FootnoteText"/>
        <w:spacing w:after="120"/>
      </w:pPr>
      <w:r>
        <w:rPr>
          <w:rStyle w:val="FootnoteReference"/>
        </w:rPr>
        <w:footnoteRef/>
      </w:r>
      <w:r>
        <w:rPr>
          <w:sz w:val="22"/>
          <w:szCs w:val="22"/>
        </w:rPr>
        <w:t xml:space="preserve"> This phrase apparently from the ‘pre-Socratic’ philosopher Thales, as quoted by Plato (Laws, 899b) and Aristotle (</w:t>
      </w:r>
      <w:r w:rsidRPr="00645CA1">
        <w:rPr>
          <w:i/>
          <w:iCs/>
          <w:sz w:val="22"/>
          <w:szCs w:val="22"/>
        </w:rPr>
        <w:t>De Anima</w:t>
      </w:r>
      <w:r>
        <w:rPr>
          <w:sz w:val="22"/>
          <w:szCs w:val="22"/>
        </w:rPr>
        <w:t xml:space="preserve">, 411a). The ancient view is that Thales derived his wisdom from Egypt: Plutarch, </w:t>
      </w:r>
      <w:r>
        <w:rPr>
          <w:i/>
          <w:iCs/>
          <w:sz w:val="22"/>
          <w:szCs w:val="22"/>
        </w:rPr>
        <w:t>De Iside et Osiride</w:t>
      </w:r>
      <w:r>
        <w:rPr>
          <w:sz w:val="22"/>
          <w:szCs w:val="22"/>
        </w:rPr>
        <w:t>, 354E / 10.</w:t>
      </w:r>
    </w:p>
  </w:footnote>
  <w:footnote w:id="9">
    <w:p w14:paraId="237D9C72" w14:textId="77777777" w:rsidR="00537F32" w:rsidRDefault="00000000">
      <w:pPr>
        <w:pStyle w:val="FootnoteText"/>
        <w:spacing w:after="120"/>
      </w:pPr>
      <w:r>
        <w:rPr>
          <w:rStyle w:val="FootnoteReference"/>
        </w:rPr>
        <w:footnoteRef/>
      </w:r>
      <w:r>
        <w:rPr>
          <w:sz w:val="22"/>
          <w:szCs w:val="22"/>
        </w:rPr>
        <w:t xml:space="preserve"> Wilkinson, 2003, p. 6, pp. 70-71 suggests a figure of 1500 named deities in Egypt, with his own catalogue providing more details of 300 or so.</w:t>
      </w:r>
    </w:p>
  </w:footnote>
  <w:footnote w:id="10">
    <w:p w14:paraId="24E776B1" w14:textId="77777777" w:rsidR="00537F32" w:rsidRDefault="00000000">
      <w:pPr>
        <w:pStyle w:val="FootnoteText"/>
        <w:spacing w:after="120"/>
      </w:pPr>
      <w:r>
        <w:rPr>
          <w:rStyle w:val="FootnoteReference"/>
        </w:rPr>
        <w:footnoteRef/>
      </w:r>
      <w:r>
        <w:rPr>
          <w:sz w:val="22"/>
          <w:szCs w:val="22"/>
        </w:rPr>
        <w:t xml:space="preserve"> Allen, 1988, p. 8 (his emphases): “the Egyptians lived in a universe composed not of </w:t>
      </w:r>
      <w:r>
        <w:rPr>
          <w:i/>
          <w:iCs/>
          <w:sz w:val="22"/>
          <w:szCs w:val="22"/>
        </w:rPr>
        <w:t>things</w:t>
      </w:r>
      <w:r>
        <w:rPr>
          <w:sz w:val="22"/>
          <w:szCs w:val="22"/>
        </w:rPr>
        <w:t xml:space="preserve">, but of </w:t>
      </w:r>
      <w:r>
        <w:rPr>
          <w:i/>
          <w:iCs/>
          <w:sz w:val="22"/>
          <w:szCs w:val="22"/>
        </w:rPr>
        <w:t>beings</w:t>
      </w:r>
      <w:r>
        <w:rPr>
          <w:sz w:val="22"/>
          <w:szCs w:val="22"/>
        </w:rPr>
        <w:t>”.</w:t>
      </w:r>
    </w:p>
  </w:footnote>
  <w:footnote w:id="11">
    <w:p w14:paraId="5EC11D65" w14:textId="77777777" w:rsidR="00537F32" w:rsidRDefault="00000000">
      <w:pPr>
        <w:pStyle w:val="FootnoteText"/>
        <w:spacing w:after="120"/>
      </w:pPr>
      <w:r>
        <w:rPr>
          <w:rStyle w:val="FootnoteReference"/>
        </w:rPr>
        <w:footnoteRef/>
      </w:r>
      <w:r>
        <w:rPr>
          <w:sz w:val="22"/>
          <w:szCs w:val="22"/>
        </w:rPr>
        <w:t xml:space="preserve"> Campion, 2008, p. 88.</w:t>
      </w:r>
    </w:p>
  </w:footnote>
  <w:footnote w:id="12">
    <w:p w14:paraId="5CE9167D" w14:textId="40FA01E5" w:rsidR="004639F3" w:rsidRPr="004639F3" w:rsidRDefault="004639F3" w:rsidP="004639F3">
      <w:pPr>
        <w:pStyle w:val="FootnoteText"/>
        <w:spacing w:after="120"/>
        <w:rPr>
          <w:sz w:val="22"/>
          <w:szCs w:val="22"/>
        </w:rPr>
      </w:pPr>
      <w:r w:rsidRPr="004639F3">
        <w:rPr>
          <w:rStyle w:val="FootnoteReference"/>
          <w:sz w:val="22"/>
          <w:szCs w:val="22"/>
        </w:rPr>
        <w:footnoteRef/>
      </w:r>
      <w:r w:rsidRPr="004639F3">
        <w:rPr>
          <w:sz w:val="22"/>
          <w:szCs w:val="22"/>
        </w:rPr>
        <w:t xml:space="preserve"> Kuhn, 2022.</w:t>
      </w:r>
    </w:p>
  </w:footnote>
  <w:footnote w:id="13">
    <w:p w14:paraId="31919544" w14:textId="77777777" w:rsidR="00537F32" w:rsidRDefault="00000000">
      <w:pPr>
        <w:pStyle w:val="FootnoteText"/>
        <w:spacing w:after="120"/>
      </w:pPr>
      <w:r>
        <w:rPr>
          <w:rStyle w:val="FootnoteReference"/>
        </w:rPr>
        <w:footnoteRef/>
      </w:r>
      <w:r>
        <w:rPr>
          <w:sz w:val="22"/>
          <w:szCs w:val="22"/>
        </w:rPr>
        <w:t xml:space="preserve"> Gregory, 2022, p. 88, pl. 29 shows these beings in the interior of the first shrine of Tutankhamun, and the associated text. The text is given in full on p. 90. Gregory argues for an interpretation of the neheh/djet opposition differently from the Egyptological standard: not as synonyms but rather that neheh is the time of physical reality, whilst djet is that of the atemporal spiritual world. </w:t>
      </w:r>
    </w:p>
  </w:footnote>
  <w:footnote w:id="14">
    <w:p w14:paraId="391828EC" w14:textId="4676026A" w:rsidR="00537F32" w:rsidRDefault="00000000">
      <w:pPr>
        <w:pStyle w:val="FootnoteText"/>
        <w:spacing w:after="120"/>
      </w:pPr>
      <w:r>
        <w:rPr>
          <w:rStyle w:val="FootnoteReference"/>
        </w:rPr>
        <w:footnoteRef/>
      </w:r>
      <w:r>
        <w:rPr>
          <w:sz w:val="22"/>
          <w:szCs w:val="22"/>
        </w:rPr>
        <w:t xml:space="preserve"> Modern dictionaries often use terms like ‘occult’ or ‘supernatural’, which constitute a judgement as to </w:t>
      </w:r>
      <w:r w:rsidR="00645CA1">
        <w:rPr>
          <w:sz w:val="22"/>
          <w:szCs w:val="22"/>
        </w:rPr>
        <w:t xml:space="preserve">the </w:t>
      </w:r>
      <w:r>
        <w:rPr>
          <w:sz w:val="22"/>
          <w:szCs w:val="22"/>
        </w:rPr>
        <w:t xml:space="preserve">merit of divination, customary in the dominant modern context of monotheistic religion and scientific materialism, but </w:t>
      </w:r>
      <w:r w:rsidR="00B9521F">
        <w:rPr>
          <w:sz w:val="22"/>
          <w:szCs w:val="22"/>
        </w:rPr>
        <w:t xml:space="preserve">wholly </w:t>
      </w:r>
      <w:r>
        <w:rPr>
          <w:sz w:val="22"/>
          <w:szCs w:val="22"/>
        </w:rPr>
        <w:t>inappropriate with respect to ancient and Pagan religions.</w:t>
      </w:r>
    </w:p>
  </w:footnote>
  <w:footnote w:id="15">
    <w:p w14:paraId="6EE6A9B1" w14:textId="77777777" w:rsidR="00537F32" w:rsidRDefault="00000000">
      <w:pPr>
        <w:pStyle w:val="FootnoteText"/>
        <w:spacing w:after="120"/>
      </w:pPr>
      <w:r>
        <w:rPr>
          <w:rStyle w:val="FootnoteReference"/>
        </w:rPr>
        <w:footnoteRef/>
      </w:r>
      <w:r>
        <w:rPr>
          <w:sz w:val="22"/>
          <w:szCs w:val="22"/>
        </w:rPr>
        <w:t xml:space="preserve"> Szpakowska, 2006, p. xiii.</w:t>
      </w:r>
    </w:p>
  </w:footnote>
  <w:footnote w:id="16">
    <w:p w14:paraId="2208E1D7" w14:textId="25C2FFE0" w:rsidR="00537F32" w:rsidRDefault="00000000">
      <w:pPr>
        <w:pStyle w:val="FootnoteText"/>
        <w:spacing w:after="120"/>
      </w:pPr>
      <w:r>
        <w:rPr>
          <w:rStyle w:val="FootnoteReference"/>
        </w:rPr>
        <w:footnoteRef/>
      </w:r>
      <w:r>
        <w:rPr>
          <w:sz w:val="22"/>
          <w:szCs w:val="22"/>
        </w:rPr>
        <w:t xml:space="preserve"> Zuesse, 1975, p. 158. He uses the term ‘localised’ as an attempt to avoid pejorative terms such as ‘primitive</w:t>
      </w:r>
      <w:r w:rsidR="00645CA1">
        <w:rPr>
          <w:sz w:val="22"/>
          <w:szCs w:val="22"/>
        </w:rPr>
        <w:t>’</w:t>
      </w:r>
      <w:r>
        <w:rPr>
          <w:sz w:val="22"/>
          <w:szCs w:val="22"/>
        </w:rPr>
        <w:t xml:space="preserve">. Tedlock, 2001, p. 194-195, similarly disparages scholars who ‘explain away’ divination ‘after the fact’. </w:t>
      </w:r>
    </w:p>
  </w:footnote>
  <w:footnote w:id="17">
    <w:p w14:paraId="49CCB65E" w14:textId="4DF9E655" w:rsidR="00537F32" w:rsidRDefault="00000000">
      <w:pPr>
        <w:pStyle w:val="FootnoteText"/>
        <w:spacing w:after="120"/>
      </w:pPr>
      <w:r>
        <w:rPr>
          <w:rStyle w:val="FootnoteReference"/>
        </w:rPr>
        <w:footnoteRef/>
      </w:r>
      <w:r>
        <w:rPr>
          <w:rFonts w:cs="Calibri"/>
          <w:sz w:val="22"/>
          <w:szCs w:val="22"/>
        </w:rPr>
        <w:t xml:space="preserve"> Murray, 1964, p. 137.</w:t>
      </w:r>
      <w:r w:rsidR="006A599A">
        <w:rPr>
          <w:rFonts w:cs="Calibri"/>
          <w:sz w:val="22"/>
          <w:szCs w:val="22"/>
        </w:rPr>
        <w:t xml:space="preserve"> Szpakowska, 2003, p. 3, criticizes notions in earlier Egyptology both that dreams were “purely a divinatory tool” and that “oneiromancy was prevalent throughout Egyptian history”.</w:t>
      </w:r>
    </w:p>
  </w:footnote>
  <w:footnote w:id="18">
    <w:p w14:paraId="4D7D1601" w14:textId="77777777" w:rsidR="00537F32" w:rsidRDefault="00000000">
      <w:pPr>
        <w:pStyle w:val="FootnoteText"/>
        <w:spacing w:after="120"/>
      </w:pPr>
      <w:r>
        <w:rPr>
          <w:rStyle w:val="FootnoteReference"/>
        </w:rPr>
        <w:footnoteRef/>
      </w:r>
      <w:r>
        <w:rPr>
          <w:rFonts w:cs="Calibri"/>
          <w:sz w:val="22"/>
          <w:szCs w:val="22"/>
        </w:rPr>
        <w:t xml:space="preserve"> Murray, 1964, p. 114. ‘Scrying’ is the more modern popular general usage for lecanomancy and similar procedures.</w:t>
      </w:r>
    </w:p>
  </w:footnote>
  <w:footnote w:id="19">
    <w:p w14:paraId="52C206BE" w14:textId="77777777" w:rsidR="00537F32" w:rsidRDefault="00000000">
      <w:pPr>
        <w:pStyle w:val="FootnoteText"/>
        <w:spacing w:after="120"/>
      </w:pPr>
      <w:r>
        <w:rPr>
          <w:rStyle w:val="FootnoteReference"/>
        </w:rPr>
        <w:footnoteRef/>
      </w:r>
      <w:r>
        <w:rPr>
          <w:rFonts w:cs="Calibri"/>
          <w:sz w:val="22"/>
          <w:szCs w:val="22"/>
        </w:rPr>
        <w:t xml:space="preserve"> This title documented by Faulkner, 2019, p. 64.</w:t>
      </w:r>
    </w:p>
  </w:footnote>
  <w:footnote w:id="20">
    <w:p w14:paraId="788993D1" w14:textId="77777777" w:rsidR="00537F32" w:rsidRDefault="00000000">
      <w:pPr>
        <w:spacing w:after="120" w:line="240" w:lineRule="auto"/>
      </w:pPr>
      <w:r>
        <w:rPr>
          <w:rStyle w:val="FootnoteReference"/>
        </w:rPr>
        <w:footnoteRef/>
      </w:r>
      <w:r>
        <w:t xml:space="preserve"> K</w:t>
      </w:r>
      <w:r>
        <w:rPr>
          <w:rFonts w:cs="Calibri"/>
        </w:rPr>
        <w:t>irk, 1973, pp. 208-209.</w:t>
      </w:r>
    </w:p>
  </w:footnote>
  <w:footnote w:id="21">
    <w:p w14:paraId="78D91410" w14:textId="77777777" w:rsidR="00F20DCB" w:rsidRPr="00FB4FF7" w:rsidRDefault="00F20DCB" w:rsidP="00F20DCB">
      <w:pPr>
        <w:pStyle w:val="NormalWeb"/>
        <w:shd w:val="clear" w:color="auto" w:fill="FFFFFF"/>
        <w:spacing w:before="0" w:after="120"/>
        <w:rPr>
          <w:rFonts w:asciiTheme="minorHAnsi" w:hAnsiTheme="minorHAnsi" w:cstheme="minorHAnsi"/>
          <w:sz w:val="22"/>
          <w:szCs w:val="22"/>
        </w:rPr>
      </w:pPr>
      <w:r w:rsidRPr="00FB4FF7">
        <w:rPr>
          <w:rStyle w:val="FootnoteReference"/>
          <w:rFonts w:asciiTheme="minorHAnsi" w:hAnsiTheme="minorHAnsi" w:cstheme="minorHAnsi"/>
          <w:sz w:val="22"/>
          <w:szCs w:val="22"/>
        </w:rPr>
        <w:footnoteRef/>
      </w:r>
      <w:r w:rsidRPr="00FB4FF7">
        <w:rPr>
          <w:rFonts w:asciiTheme="minorHAnsi" w:hAnsiTheme="minorHAnsi" w:cstheme="minorHAnsi"/>
          <w:sz w:val="22"/>
          <w:szCs w:val="22"/>
        </w:rPr>
        <w:t xml:space="preserve"> Papyrus Merton 2.81, lines 3-5 (Greek text on website).</w:t>
      </w:r>
      <w:r>
        <w:rPr>
          <w:rFonts w:asciiTheme="minorHAnsi" w:hAnsiTheme="minorHAnsi" w:cstheme="minorHAnsi"/>
          <w:sz w:val="22"/>
          <w:szCs w:val="22"/>
        </w:rPr>
        <w:t xml:space="preserve"> </w:t>
      </w:r>
      <w:r w:rsidRPr="00FB4FF7">
        <w:rPr>
          <w:rFonts w:asciiTheme="minorHAnsi" w:hAnsiTheme="minorHAnsi" w:cstheme="minorHAnsi"/>
          <w:color w:val="000000"/>
          <w:sz w:val="22"/>
          <w:szCs w:val="22"/>
        </w:rPr>
        <w:t>Available: </w:t>
      </w:r>
      <w:r w:rsidRPr="00FB4FF7">
        <w:rPr>
          <w:rFonts w:asciiTheme="minorHAnsi" w:hAnsiTheme="minorHAnsi" w:cstheme="minorHAnsi"/>
          <w:sz w:val="22"/>
          <w:szCs w:val="22"/>
        </w:rPr>
        <w:t>https://papyri.info/ddbdp/p.mert;2;81</w:t>
      </w:r>
      <w:r w:rsidRPr="00FB4FF7">
        <w:rPr>
          <w:rFonts w:asciiTheme="minorHAnsi" w:hAnsiTheme="minorHAnsi" w:cstheme="minorHAnsi"/>
          <w:color w:val="000000"/>
          <w:sz w:val="22"/>
          <w:szCs w:val="22"/>
        </w:rPr>
        <w:t> [March 26th, 2024].</w:t>
      </w:r>
    </w:p>
  </w:footnote>
  <w:footnote w:id="22">
    <w:p w14:paraId="50F8AF3D" w14:textId="77777777" w:rsidR="00537F32" w:rsidRDefault="00000000">
      <w:pPr>
        <w:pStyle w:val="FootnoteText"/>
        <w:spacing w:after="120"/>
      </w:pPr>
      <w:r>
        <w:rPr>
          <w:rStyle w:val="FootnoteReference"/>
        </w:rPr>
        <w:footnoteRef/>
      </w:r>
      <w:r>
        <w:rPr>
          <w:rFonts w:cs="Calibri"/>
          <w:sz w:val="22"/>
          <w:szCs w:val="22"/>
        </w:rPr>
        <w:t xml:space="preserve"> Frankfurter, 2005, p. 234. Earlier, p. 233 he cites the astounding bigotry of </w:t>
      </w:r>
      <w:proofErr w:type="spellStart"/>
      <w:r>
        <w:rPr>
          <w:rFonts w:cs="Calibri"/>
          <w:sz w:val="22"/>
          <w:szCs w:val="22"/>
        </w:rPr>
        <w:t>A.A.Barb</w:t>
      </w:r>
      <w:proofErr w:type="spellEnd"/>
      <w:r>
        <w:rPr>
          <w:rFonts w:cs="Calibri"/>
          <w:sz w:val="22"/>
          <w:szCs w:val="22"/>
        </w:rPr>
        <w:t xml:space="preserve">, who compared the oracles of late antiquity to rotten food. </w:t>
      </w:r>
    </w:p>
  </w:footnote>
  <w:footnote w:id="23">
    <w:p w14:paraId="0871416F" w14:textId="66D05BDB" w:rsidR="00F20DCB" w:rsidRDefault="00F20DCB" w:rsidP="00D24BC5">
      <w:pPr>
        <w:pStyle w:val="FootnoteText"/>
        <w:spacing w:after="120"/>
      </w:pPr>
      <w:r w:rsidRPr="00D24BC5">
        <w:rPr>
          <w:rStyle w:val="FootnoteReference"/>
          <w:sz w:val="22"/>
          <w:szCs w:val="22"/>
        </w:rPr>
        <w:footnoteRef/>
      </w:r>
      <w:r w:rsidRPr="00D24BC5">
        <w:rPr>
          <w:sz w:val="22"/>
          <w:szCs w:val="22"/>
        </w:rPr>
        <w:t xml:space="preserve">Greenbaum, 2016, pp. </w:t>
      </w:r>
      <w:r w:rsidR="00D24BC5" w:rsidRPr="00D24BC5">
        <w:rPr>
          <w:sz w:val="22"/>
          <w:szCs w:val="22"/>
        </w:rPr>
        <w:t>77-95. The Tyche Zodiac sculpture (fig. 3.4, p. 93) presents effectively presents Isis / Tyche as central being of the universe</w:t>
      </w:r>
      <w:r w:rsidR="00D24BC5">
        <w:t>.</w:t>
      </w:r>
    </w:p>
  </w:footnote>
  <w:footnote w:id="24">
    <w:p w14:paraId="721E8B16" w14:textId="77777777" w:rsidR="00537F32" w:rsidRDefault="00000000">
      <w:pPr>
        <w:pStyle w:val="FootnoteText"/>
        <w:spacing w:after="120"/>
      </w:pPr>
      <w:r>
        <w:rPr>
          <w:rStyle w:val="FootnoteReference"/>
        </w:rPr>
        <w:footnoteRef/>
      </w:r>
      <w:r>
        <w:rPr>
          <w:rFonts w:cs="Calibri"/>
          <w:sz w:val="22"/>
          <w:szCs w:val="22"/>
        </w:rPr>
        <w:t xml:space="preserve"> Brady, 2014, p. 21.</w:t>
      </w:r>
    </w:p>
  </w:footnote>
  <w:footnote w:id="25">
    <w:p w14:paraId="59452C4D" w14:textId="2D842A9F" w:rsidR="009E1E22" w:rsidRPr="009E1E22" w:rsidRDefault="009E1E22" w:rsidP="009E1E22">
      <w:pPr>
        <w:pStyle w:val="FootnoteText"/>
        <w:spacing w:after="120"/>
        <w:rPr>
          <w:sz w:val="22"/>
          <w:szCs w:val="22"/>
        </w:rPr>
      </w:pPr>
      <w:r w:rsidRPr="009E1E22">
        <w:rPr>
          <w:rStyle w:val="FootnoteReference"/>
          <w:sz w:val="22"/>
          <w:szCs w:val="22"/>
        </w:rPr>
        <w:footnoteRef/>
      </w:r>
      <w:r w:rsidRPr="009E1E22">
        <w:rPr>
          <w:sz w:val="22"/>
          <w:szCs w:val="22"/>
        </w:rPr>
        <w:t xml:space="preserve"> McClain, 2011, </w:t>
      </w:r>
      <w:r>
        <w:rPr>
          <w:sz w:val="22"/>
          <w:szCs w:val="22"/>
        </w:rPr>
        <w:t xml:space="preserve">p. 1, </w:t>
      </w:r>
      <w:r w:rsidRPr="009E1E22">
        <w:rPr>
          <w:sz w:val="22"/>
          <w:szCs w:val="22"/>
        </w:rPr>
        <w:t xml:space="preserve">comments that </w:t>
      </w:r>
      <w:r>
        <w:rPr>
          <w:sz w:val="22"/>
          <w:szCs w:val="22"/>
        </w:rPr>
        <w:t>“</w:t>
      </w:r>
      <w:r w:rsidRPr="009E1E22">
        <w:rPr>
          <w:sz w:val="22"/>
          <w:szCs w:val="22"/>
        </w:rPr>
        <w:t>at no point in Pharaonic history were Egyptian beliefs in the world’s origins suddenly transformed into something significantly other than they had previously been”</w:t>
      </w:r>
      <w:r>
        <w:rPr>
          <w:sz w:val="22"/>
          <w:szCs w:val="22"/>
        </w:rPr>
        <w:t xml:space="preserve"> and cites </w:t>
      </w:r>
      <w:proofErr w:type="spellStart"/>
      <w:r>
        <w:rPr>
          <w:sz w:val="22"/>
          <w:szCs w:val="22"/>
        </w:rPr>
        <w:t>Derchain</w:t>
      </w:r>
      <w:proofErr w:type="spellEnd"/>
      <w:r>
        <w:rPr>
          <w:sz w:val="22"/>
          <w:szCs w:val="22"/>
        </w:rPr>
        <w:t xml:space="preserve"> that “a presentation of historical evolution is barely conceivable”</w:t>
      </w:r>
      <w:r w:rsidRPr="009E1E22">
        <w:rPr>
          <w:sz w:val="22"/>
          <w:szCs w:val="22"/>
        </w:rPr>
        <w:t>.</w:t>
      </w:r>
      <w:r>
        <w:rPr>
          <w:sz w:val="22"/>
          <w:szCs w:val="22"/>
        </w:rPr>
        <w:t xml:space="preserve"> </w:t>
      </w:r>
    </w:p>
  </w:footnote>
  <w:footnote w:id="26">
    <w:p w14:paraId="0E2E1139" w14:textId="6DA97418" w:rsidR="009E1E22" w:rsidRPr="00FB7ECE" w:rsidRDefault="009E1E22" w:rsidP="00FB7ECE">
      <w:pPr>
        <w:pStyle w:val="FootnoteText"/>
        <w:spacing w:after="120"/>
        <w:rPr>
          <w:sz w:val="22"/>
          <w:szCs w:val="22"/>
        </w:rPr>
      </w:pPr>
      <w:r w:rsidRPr="00FB7ECE">
        <w:rPr>
          <w:rStyle w:val="FootnoteReference"/>
          <w:sz w:val="22"/>
          <w:szCs w:val="22"/>
        </w:rPr>
        <w:footnoteRef/>
      </w:r>
      <w:r w:rsidRPr="00FB7ECE">
        <w:rPr>
          <w:sz w:val="22"/>
          <w:szCs w:val="22"/>
        </w:rPr>
        <w:t xml:space="preserve"> McClain, 2011, p. 3, </w:t>
      </w:r>
      <w:r w:rsidR="00FB7ECE" w:rsidRPr="00FB7ECE">
        <w:rPr>
          <w:sz w:val="22"/>
          <w:szCs w:val="22"/>
        </w:rPr>
        <w:t>for example, comments on the Memphite cosmology as elevating Ptah as demiurge, with the objective of stressing Memphis as royal city.</w:t>
      </w:r>
    </w:p>
  </w:footnote>
  <w:footnote w:id="27">
    <w:p w14:paraId="18CAB086" w14:textId="77777777" w:rsidR="00537F32" w:rsidRDefault="00000000">
      <w:pPr>
        <w:pStyle w:val="FootnoteText"/>
        <w:spacing w:after="120"/>
      </w:pPr>
      <w:r>
        <w:rPr>
          <w:rStyle w:val="FootnoteReference"/>
        </w:rPr>
        <w:footnoteRef/>
      </w:r>
      <w:r>
        <w:rPr>
          <w:sz w:val="22"/>
          <w:szCs w:val="22"/>
        </w:rPr>
        <w:t xml:space="preserve"> Allen, 2015, pp. 1473-1474. Despite Allen’s usual level of scholarship, no source texts are adduced for this ‘earliest’ form. The Mound is known as </w:t>
      </w:r>
      <w:proofErr w:type="spellStart"/>
      <w:r>
        <w:rPr>
          <w:sz w:val="22"/>
          <w:szCs w:val="22"/>
        </w:rPr>
        <w:t>Tatanen</w:t>
      </w:r>
      <w:proofErr w:type="spellEnd"/>
      <w:r>
        <w:rPr>
          <w:sz w:val="22"/>
          <w:szCs w:val="22"/>
        </w:rPr>
        <w:t xml:space="preserve"> (Land Becoming Distinct, but later identified with Ptah) and the Lily as Nefertum (Completely Young, but also ‘Atum is Beautiful’). Pyramid Text W150 </w:t>
      </w:r>
      <w:r>
        <w:rPr>
          <w:rFonts w:cs="Calibri"/>
          <w:sz w:val="22"/>
          <w:szCs w:val="22"/>
        </w:rPr>
        <w:t>(note Allen’s numbering by pharaoh/pyramid differs from most references – subsequently his references are used) mentions Nefertum but not quite as suggested. Hart, 2005, p. 99, claims Nefertum as child of Wadjet at Buto (conceivably a form of Neith) but also gives no primary source.</w:t>
      </w:r>
    </w:p>
  </w:footnote>
  <w:footnote w:id="28">
    <w:p w14:paraId="32E2BCF4" w14:textId="71FE020A" w:rsidR="00537F32" w:rsidRDefault="00000000">
      <w:pPr>
        <w:pStyle w:val="FootnoteText"/>
        <w:spacing w:after="120"/>
      </w:pPr>
      <w:r>
        <w:rPr>
          <w:rStyle w:val="FootnoteReference"/>
        </w:rPr>
        <w:footnoteRef/>
      </w:r>
      <w:r>
        <w:rPr>
          <w:rFonts w:cs="Calibri"/>
          <w:sz w:val="22"/>
          <w:szCs w:val="22"/>
        </w:rPr>
        <w:t xml:space="preserve"> For example, Pinch, 2002, pp. 21-22, but she gives no primary reference for the equivalence. It is difficult to imagine how the phoenix / </w:t>
      </w:r>
      <w:proofErr w:type="spellStart"/>
      <w:r>
        <w:rPr>
          <w:rFonts w:cs="Calibri"/>
          <w:sz w:val="22"/>
          <w:szCs w:val="22"/>
        </w:rPr>
        <w:t>bennu</w:t>
      </w:r>
      <w:proofErr w:type="spellEnd"/>
      <w:r>
        <w:rPr>
          <w:rFonts w:cs="Calibri"/>
          <w:sz w:val="22"/>
          <w:szCs w:val="22"/>
        </w:rPr>
        <w:t xml:space="preserve">-bird could alight in such a location. The idea may well be a misunderstanding, the reality of the inner sanctum was something entirely dark, more resembling a cave or the depths of </w:t>
      </w:r>
      <w:proofErr w:type="spellStart"/>
      <w:r>
        <w:rPr>
          <w:rFonts w:cs="Calibri"/>
          <w:i/>
          <w:iCs/>
          <w:sz w:val="22"/>
          <w:szCs w:val="22"/>
        </w:rPr>
        <w:t>nw</w:t>
      </w:r>
      <w:proofErr w:type="spellEnd"/>
      <w:r>
        <w:rPr>
          <w:rFonts w:cs="Calibri"/>
          <w:i/>
          <w:iCs/>
          <w:sz w:val="22"/>
          <w:szCs w:val="22"/>
        </w:rPr>
        <w:t>[j]</w:t>
      </w:r>
      <w:r>
        <w:rPr>
          <w:rFonts w:cs="Calibri"/>
          <w:sz w:val="22"/>
          <w:szCs w:val="22"/>
        </w:rPr>
        <w:t xml:space="preserve"> (Nu), the primal waters.</w:t>
      </w:r>
      <w:r w:rsidR="005248D0">
        <w:rPr>
          <w:rFonts w:cs="Calibri"/>
          <w:sz w:val="22"/>
          <w:szCs w:val="22"/>
        </w:rPr>
        <w:t xml:space="preserve"> As a cave it would indeed be a suitable place for induction of oracular trance (Ustinova, 2009, p. 32). </w:t>
      </w:r>
    </w:p>
  </w:footnote>
  <w:footnote w:id="29">
    <w:p w14:paraId="3F779FED" w14:textId="77777777" w:rsidR="00537F32" w:rsidRDefault="00000000">
      <w:pPr>
        <w:pStyle w:val="FootnoteText"/>
        <w:spacing w:after="120"/>
      </w:pPr>
      <w:r>
        <w:rPr>
          <w:rStyle w:val="FootnoteReference"/>
        </w:rPr>
        <w:footnoteRef/>
      </w:r>
      <w:r>
        <w:rPr>
          <w:rFonts w:cs="Calibri"/>
          <w:sz w:val="22"/>
          <w:szCs w:val="22"/>
        </w:rPr>
        <w:t xml:space="preserve"> </w:t>
      </w:r>
      <w:r>
        <w:rPr>
          <w:rFonts w:cs="Calibri"/>
          <w:color w:val="151515"/>
          <w:sz w:val="22"/>
          <w:szCs w:val="22"/>
        </w:rPr>
        <w:t>Near present-day Cairo, the name used since Herodotus; t</w:t>
      </w:r>
      <w:r>
        <w:rPr>
          <w:rFonts w:cs="Calibri"/>
          <w:sz w:val="22"/>
          <w:szCs w:val="22"/>
        </w:rPr>
        <w:t>he Egyptian name would seem to mean ‘(City of ) the Pillars’, actually v</w:t>
      </w:r>
      <w:r>
        <w:rPr>
          <w:rFonts w:cs="Calibri"/>
          <w:color w:val="151515"/>
          <w:sz w:val="22"/>
          <w:szCs w:val="22"/>
        </w:rPr>
        <w:t>ery similar to the Egyptian names of Denderah, Hermonthis and Latopolis. Presumably the pillars were obelisks, most now looted. It is postulated that religious observance was to watch the appearance of the sunrise coinciding with the pyramideon tip of the structure, spreading brilliance upon the world. Surprisingly, there does not seem to have been Egyptological research to locate foresight or backsight positions, nor the dates and directions for which this phenomenon would be most impressive. Egyptologists indeed seem to have been hostile to any alignment research and astroarchaeology in general until recent times (Campion, 2008, p. 95).</w:t>
      </w:r>
    </w:p>
  </w:footnote>
  <w:footnote w:id="30">
    <w:p w14:paraId="6B3F2548" w14:textId="77777777" w:rsidR="00537F32" w:rsidRDefault="00000000">
      <w:pPr>
        <w:pStyle w:val="FootnoteText"/>
        <w:spacing w:after="120"/>
      </w:pPr>
      <w:r>
        <w:rPr>
          <w:rStyle w:val="FootnoteReference"/>
        </w:rPr>
        <w:footnoteRef/>
      </w:r>
      <w:r>
        <w:rPr>
          <w:rFonts w:cs="Calibri"/>
          <w:sz w:val="22"/>
          <w:szCs w:val="22"/>
        </w:rPr>
        <w:t xml:space="preserve"> His name appears to mean ‘the completed one’ (Allen, 1988, p. 9).</w:t>
      </w:r>
    </w:p>
  </w:footnote>
  <w:footnote w:id="31">
    <w:p w14:paraId="7086215B" w14:textId="2A2673E6" w:rsidR="00537F32" w:rsidRDefault="00000000">
      <w:pPr>
        <w:pStyle w:val="FootnoteText"/>
        <w:spacing w:after="120"/>
      </w:pPr>
      <w:r>
        <w:rPr>
          <w:rStyle w:val="FootnoteReference"/>
        </w:rPr>
        <w:footnoteRef/>
      </w:r>
      <w:r>
        <w:rPr>
          <w:rFonts w:cs="Calibri"/>
          <w:sz w:val="22"/>
          <w:szCs w:val="22"/>
        </w:rPr>
        <w:t xml:space="preserve"> For example, Allen, 2005, p. 164, Pyramid Text P475 refers to masturbation; p. 269, Pyramid Text N359 refers to sneezing. </w:t>
      </w:r>
    </w:p>
  </w:footnote>
  <w:footnote w:id="32">
    <w:p w14:paraId="64BA96F8" w14:textId="77777777" w:rsidR="00537F32" w:rsidRDefault="00000000">
      <w:pPr>
        <w:pStyle w:val="FootnoteText"/>
        <w:spacing w:after="120"/>
      </w:pPr>
      <w:r>
        <w:rPr>
          <w:rStyle w:val="FootnoteReference"/>
        </w:rPr>
        <w:footnoteRef/>
      </w:r>
      <w:r>
        <w:rPr>
          <w:sz w:val="22"/>
          <w:szCs w:val="22"/>
        </w:rPr>
        <w:t xml:space="preserve"> His name frequently and confusingly translated as the highly contested (and for this writer, largely unacceptable) term ‘magic’, better left untranslated. Lloyd. 2006, p. 71, comments on ‘magic’ being “to us” as “at best ridiculous and at worst, reprehensible”. </w:t>
      </w:r>
    </w:p>
  </w:footnote>
  <w:footnote w:id="33">
    <w:p w14:paraId="653E8C1F" w14:textId="77777777" w:rsidR="00537F32" w:rsidRDefault="00000000">
      <w:pPr>
        <w:pStyle w:val="FootnoteText"/>
        <w:spacing w:after="120"/>
      </w:pPr>
      <w:r>
        <w:rPr>
          <w:rStyle w:val="FootnoteReference"/>
        </w:rPr>
        <w:footnoteRef/>
      </w:r>
      <w:r>
        <w:rPr>
          <w:sz w:val="22"/>
          <w:szCs w:val="22"/>
        </w:rPr>
        <w:t xml:space="preserve"> Faulkner, 1973, CT 261, p. 199.</w:t>
      </w:r>
    </w:p>
  </w:footnote>
  <w:footnote w:id="34">
    <w:p w14:paraId="2B926DE9" w14:textId="77777777" w:rsidR="00537F32" w:rsidRDefault="00000000">
      <w:pPr>
        <w:pStyle w:val="FootnoteText"/>
        <w:spacing w:after="120"/>
      </w:pPr>
      <w:r>
        <w:rPr>
          <w:rStyle w:val="FootnoteReference"/>
        </w:rPr>
        <w:footnoteRef/>
      </w:r>
      <w:r>
        <w:rPr>
          <w:rFonts w:cs="Calibri"/>
          <w:sz w:val="22"/>
          <w:szCs w:val="22"/>
        </w:rPr>
        <w:t xml:space="preserve"> They are therefore original exemplars of the Orphic concept “Child of Earth and of the Starry Heaven”.</w:t>
      </w:r>
    </w:p>
  </w:footnote>
  <w:footnote w:id="35">
    <w:p w14:paraId="2B8F45A8" w14:textId="728BFC8F" w:rsidR="00537F32" w:rsidRDefault="00000000">
      <w:pPr>
        <w:pStyle w:val="FootnoteText"/>
        <w:spacing w:after="120"/>
      </w:pPr>
      <w:r>
        <w:rPr>
          <w:rStyle w:val="FootnoteReference"/>
        </w:rPr>
        <w:footnoteRef/>
      </w:r>
      <w:r>
        <w:rPr>
          <w:rFonts w:cs="Calibri"/>
          <w:sz w:val="22"/>
          <w:szCs w:val="22"/>
        </w:rPr>
        <w:t xml:space="preserve"> A variation has an ‘Elder Horus’ </w:t>
      </w:r>
      <w:r w:rsidR="00B9521F">
        <w:rPr>
          <w:rFonts w:cs="Calibri"/>
          <w:sz w:val="22"/>
          <w:szCs w:val="22"/>
        </w:rPr>
        <w:t xml:space="preserve">also </w:t>
      </w:r>
      <w:r>
        <w:rPr>
          <w:rFonts w:cs="Calibri"/>
          <w:sz w:val="22"/>
          <w:szCs w:val="22"/>
        </w:rPr>
        <w:t>born of Nuit. The difference between this being and his ‘nephew’ seems fudged by writers on ‘Egyptian Mythology’, for example, Wilkinson, 2003, pp. 200-203.</w:t>
      </w:r>
    </w:p>
  </w:footnote>
  <w:footnote w:id="36">
    <w:p w14:paraId="327018D8" w14:textId="77777777" w:rsidR="00537F32" w:rsidRDefault="00000000">
      <w:pPr>
        <w:pStyle w:val="FootnoteText"/>
        <w:spacing w:after="120"/>
      </w:pPr>
      <w:r>
        <w:rPr>
          <w:rStyle w:val="FootnoteReference"/>
        </w:rPr>
        <w:footnoteRef/>
      </w:r>
      <w:r>
        <w:rPr>
          <w:rFonts w:cs="Calibri"/>
          <w:sz w:val="22"/>
          <w:szCs w:val="22"/>
        </w:rPr>
        <w:t xml:space="preserve"> Wilkinson, 2003, p. 205. Campion, 2012, p. 82, refers to ancient Egypt as a ‘solar society’.</w:t>
      </w:r>
    </w:p>
  </w:footnote>
  <w:footnote w:id="37">
    <w:p w14:paraId="1175F601" w14:textId="77777777" w:rsidR="00537F32" w:rsidRDefault="00000000">
      <w:pPr>
        <w:pStyle w:val="FootnoteText"/>
        <w:spacing w:after="120"/>
      </w:pPr>
      <w:r>
        <w:rPr>
          <w:rStyle w:val="FootnoteReference"/>
        </w:rPr>
        <w:footnoteRef/>
      </w:r>
      <w:r>
        <w:rPr>
          <w:sz w:val="22"/>
          <w:szCs w:val="22"/>
        </w:rPr>
        <w:t xml:space="preserve"> As </w:t>
      </w:r>
      <w:r>
        <w:rPr>
          <w:rFonts w:cs="Calibri"/>
          <w:sz w:val="22"/>
          <w:szCs w:val="22"/>
        </w:rPr>
        <w:t>used in writing the royal name ‘serekhs’ since the First Dynasty.</w:t>
      </w:r>
    </w:p>
  </w:footnote>
  <w:footnote w:id="38">
    <w:p w14:paraId="756B4E8A" w14:textId="77777777" w:rsidR="00537F32" w:rsidRDefault="00000000">
      <w:pPr>
        <w:pStyle w:val="FootnoteText"/>
        <w:spacing w:after="120"/>
      </w:pPr>
      <w:r>
        <w:rPr>
          <w:rStyle w:val="FootnoteReference"/>
        </w:rPr>
        <w:footnoteRef/>
      </w:r>
      <w:r>
        <w:rPr>
          <w:sz w:val="22"/>
          <w:szCs w:val="22"/>
        </w:rPr>
        <w:t xml:space="preserve"> For example, Pyramid Texts W150 (Allen, 2005, p. 33), W163 (Allen, 2005, p. 43).</w:t>
      </w:r>
    </w:p>
  </w:footnote>
  <w:footnote w:id="39">
    <w:p w14:paraId="30B0FD98" w14:textId="77777777" w:rsidR="00537F32" w:rsidRDefault="00000000">
      <w:pPr>
        <w:pStyle w:val="FootnoteText"/>
        <w:spacing w:after="120"/>
      </w:pPr>
      <w:r>
        <w:rPr>
          <w:rStyle w:val="FootnoteReference"/>
        </w:rPr>
        <w:footnoteRef/>
      </w:r>
      <w:r>
        <w:rPr>
          <w:sz w:val="22"/>
          <w:szCs w:val="22"/>
        </w:rPr>
        <w:t xml:space="preserve"> Naydler, 2005, pp. 80, 376.</w:t>
      </w:r>
    </w:p>
  </w:footnote>
  <w:footnote w:id="40">
    <w:p w14:paraId="10FD74A2" w14:textId="77777777" w:rsidR="00537F32" w:rsidRDefault="00000000">
      <w:pPr>
        <w:pStyle w:val="FootnoteText"/>
        <w:spacing w:after="120"/>
      </w:pPr>
      <w:r>
        <w:rPr>
          <w:rStyle w:val="FootnoteReference"/>
        </w:rPr>
        <w:footnoteRef/>
      </w:r>
      <w:r>
        <w:rPr>
          <w:rFonts w:cs="Calibri"/>
          <w:sz w:val="22"/>
          <w:szCs w:val="22"/>
        </w:rPr>
        <w:t xml:space="preserve"> For example, Walker, 1983, p. 183, entry on ‘Creation’.</w:t>
      </w:r>
    </w:p>
  </w:footnote>
  <w:footnote w:id="41">
    <w:p w14:paraId="6670181B" w14:textId="77777777" w:rsidR="00537F32" w:rsidRDefault="00000000">
      <w:pPr>
        <w:pStyle w:val="FootnoteText"/>
        <w:spacing w:after="120"/>
      </w:pPr>
      <w:r>
        <w:rPr>
          <w:rStyle w:val="FootnoteReference"/>
        </w:rPr>
        <w:footnoteRef/>
      </w:r>
      <w:r>
        <w:rPr>
          <w:sz w:val="22"/>
          <w:szCs w:val="22"/>
        </w:rPr>
        <w:t xml:space="preserve"> In fact, Nu(n) is generally portrayed as male also, even ‘Father of the Gods’ (Wilkinson, 2003, p. 117) though in the Hermopolitan Ogdoad as having a ‘feminine counterpart’ </w:t>
      </w:r>
      <w:proofErr w:type="spellStart"/>
      <w:r>
        <w:rPr>
          <w:sz w:val="22"/>
          <w:szCs w:val="22"/>
        </w:rPr>
        <w:t>Naunet</w:t>
      </w:r>
      <w:proofErr w:type="spellEnd"/>
      <w:r>
        <w:rPr>
          <w:sz w:val="22"/>
          <w:szCs w:val="22"/>
        </w:rPr>
        <w:t xml:space="preserve">. This could well be considered a patriarchalisation. </w:t>
      </w:r>
      <w:r>
        <w:rPr>
          <w:rFonts w:cs="Calibri"/>
          <w:sz w:val="22"/>
          <w:szCs w:val="22"/>
        </w:rPr>
        <w:t>In some versions of the stories Atum is accompanied in the Waters by a very umbilical Great serpent. (Naydler, 1996, p. 37, fig. 3.1, illustration from a Nineteenth Dynasty papyrus, credited as from Budge’s ‘Book of the Dead’, 1985 edition.)</w:t>
      </w:r>
    </w:p>
  </w:footnote>
  <w:footnote w:id="42">
    <w:p w14:paraId="7559B8EB" w14:textId="77777777" w:rsidR="00537F32" w:rsidRDefault="00000000">
      <w:pPr>
        <w:pStyle w:val="FootnoteText"/>
        <w:spacing w:after="120"/>
      </w:pPr>
      <w:r>
        <w:rPr>
          <w:rStyle w:val="FootnoteReference"/>
        </w:rPr>
        <w:footnoteRef/>
      </w:r>
      <w:r>
        <w:rPr>
          <w:sz w:val="22"/>
          <w:szCs w:val="22"/>
        </w:rPr>
        <w:t xml:space="preserve"> </w:t>
      </w:r>
      <w:proofErr w:type="spellStart"/>
      <w:r>
        <w:rPr>
          <w:sz w:val="22"/>
          <w:szCs w:val="22"/>
        </w:rPr>
        <w:t>Dunand</w:t>
      </w:r>
      <w:proofErr w:type="spellEnd"/>
      <w:r>
        <w:rPr>
          <w:sz w:val="22"/>
          <w:szCs w:val="22"/>
        </w:rPr>
        <w:t xml:space="preserve"> &amp; Zivie-Coche, 2004, p. 46.</w:t>
      </w:r>
    </w:p>
  </w:footnote>
  <w:footnote w:id="43">
    <w:p w14:paraId="0E180BE8" w14:textId="0CAE6489" w:rsidR="00537F32" w:rsidRDefault="00000000">
      <w:pPr>
        <w:pStyle w:val="FootnoteText"/>
        <w:spacing w:after="120"/>
      </w:pPr>
      <w:r>
        <w:rPr>
          <w:rStyle w:val="FootnoteReference"/>
        </w:rPr>
        <w:footnoteRef/>
      </w:r>
      <w:r>
        <w:rPr>
          <w:rFonts w:cs="Calibri"/>
          <w:sz w:val="22"/>
          <w:szCs w:val="22"/>
        </w:rPr>
        <w:t xml:space="preserve"> Faulkner, 2019, p. 298 gives ‘</w:t>
      </w:r>
      <w:proofErr w:type="spellStart"/>
      <w:r>
        <w:rPr>
          <w:rFonts w:cs="Calibri"/>
          <w:i/>
          <w:iCs/>
          <w:sz w:val="22"/>
          <w:szCs w:val="22"/>
        </w:rPr>
        <w:t>tf</w:t>
      </w:r>
      <w:proofErr w:type="spellEnd"/>
      <w:r>
        <w:rPr>
          <w:rFonts w:cs="Calibri"/>
          <w:sz w:val="22"/>
          <w:szCs w:val="22"/>
        </w:rPr>
        <w:t>’ as meaning ‘that (yonder)’.</w:t>
      </w:r>
      <w:r w:rsidR="007D0478">
        <w:rPr>
          <w:rFonts w:cs="Calibri"/>
          <w:sz w:val="22"/>
          <w:szCs w:val="22"/>
        </w:rPr>
        <w:t xml:space="preserve"> Graur, 2024, p. 28 notes that the glyph for ‘sky’ (</w:t>
      </w:r>
      <w:r w:rsidR="007D0478" w:rsidRPr="007D0478">
        <w:rPr>
          <w:rFonts w:cs="Calibri"/>
          <w:i/>
          <w:iCs/>
          <w:sz w:val="22"/>
          <w:szCs w:val="22"/>
        </w:rPr>
        <w:t>pt</w:t>
      </w:r>
      <w:r w:rsidR="007D0478">
        <w:rPr>
          <w:rFonts w:cs="Calibri"/>
          <w:sz w:val="22"/>
          <w:szCs w:val="22"/>
        </w:rPr>
        <w:t>) is included in the names of both Nun and Nut.</w:t>
      </w:r>
    </w:p>
  </w:footnote>
  <w:footnote w:id="44">
    <w:p w14:paraId="4B8D7290" w14:textId="77777777" w:rsidR="00537F32" w:rsidRDefault="00000000">
      <w:pPr>
        <w:pStyle w:val="FootnoteText"/>
        <w:spacing w:after="120"/>
      </w:pPr>
      <w:r>
        <w:rPr>
          <w:rStyle w:val="FootnoteReference"/>
        </w:rPr>
        <w:footnoteRef/>
      </w:r>
      <w:r>
        <w:rPr>
          <w:sz w:val="22"/>
          <w:szCs w:val="22"/>
        </w:rPr>
        <w:t xml:space="preserve"> In the Ptolemaic temple of Isis at Philae, the primal creative role is assigned to Isis, whose cult has by that time ‘syncretised’ that of Neith. (</w:t>
      </w:r>
      <w:proofErr w:type="spellStart"/>
      <w:r>
        <w:rPr>
          <w:rFonts w:cs="Calibri"/>
          <w:sz w:val="22"/>
          <w:szCs w:val="22"/>
        </w:rPr>
        <w:t>Ž</w:t>
      </w:r>
      <w:r>
        <w:rPr>
          <w:sz w:val="22"/>
          <w:szCs w:val="22"/>
        </w:rPr>
        <w:t>abkar</w:t>
      </w:r>
      <w:proofErr w:type="spellEnd"/>
      <w:r>
        <w:rPr>
          <w:sz w:val="22"/>
          <w:szCs w:val="22"/>
        </w:rPr>
        <w:t>, 1983, p. 134).</w:t>
      </w:r>
    </w:p>
  </w:footnote>
  <w:footnote w:id="45">
    <w:p w14:paraId="0C70C965" w14:textId="77777777" w:rsidR="00537F32" w:rsidRDefault="00000000">
      <w:pPr>
        <w:pStyle w:val="FootnoteText"/>
        <w:spacing w:after="120"/>
      </w:pPr>
      <w:r>
        <w:rPr>
          <w:rStyle w:val="FootnoteReference"/>
        </w:rPr>
        <w:footnoteRef/>
      </w:r>
      <w:r>
        <w:rPr>
          <w:rFonts w:cs="Calibri"/>
          <w:sz w:val="22"/>
          <w:szCs w:val="22"/>
        </w:rPr>
        <w:t xml:space="preserve">‘Coming Forth by Day’, usually misnamed ‘Book of the Dead’. </w:t>
      </w:r>
      <w:r>
        <w:rPr>
          <w:sz w:val="22"/>
          <w:szCs w:val="22"/>
        </w:rPr>
        <w:t>Faulkner, 1985, p. 175.</w:t>
      </w:r>
    </w:p>
  </w:footnote>
  <w:footnote w:id="46">
    <w:p w14:paraId="6155F0D6" w14:textId="144BC6D3" w:rsidR="00D46091" w:rsidRDefault="00D46091" w:rsidP="00D46091">
      <w:pPr>
        <w:pStyle w:val="FootnoteText"/>
        <w:spacing w:after="120"/>
      </w:pPr>
      <w:r>
        <w:rPr>
          <w:rStyle w:val="FootnoteReference"/>
        </w:rPr>
        <w:footnoteRef/>
      </w:r>
      <w:r>
        <w:rPr>
          <w:sz w:val="22"/>
          <w:szCs w:val="22"/>
        </w:rPr>
        <w:t xml:space="preserve"> Arguably a little inconsistently, the (permanent) separation of Geb and Nut is also said to have happened at the ‘time’ of the Heavenly Cow story </w:t>
      </w:r>
      <w:r w:rsidR="005230DC">
        <w:rPr>
          <w:sz w:val="22"/>
          <w:szCs w:val="22"/>
        </w:rPr>
        <w:t>(n. 6</w:t>
      </w:r>
      <w:r w:rsidR="00272FC5">
        <w:rPr>
          <w:sz w:val="22"/>
          <w:szCs w:val="22"/>
        </w:rPr>
        <w:t>8</w:t>
      </w:r>
      <w:r w:rsidR="005230DC">
        <w:rPr>
          <w:sz w:val="22"/>
          <w:szCs w:val="22"/>
        </w:rPr>
        <w:t xml:space="preserve"> </w:t>
      </w:r>
      <w:r>
        <w:rPr>
          <w:sz w:val="22"/>
          <w:szCs w:val="22"/>
        </w:rPr>
        <w:t>below).</w:t>
      </w:r>
    </w:p>
  </w:footnote>
  <w:footnote w:id="47">
    <w:p w14:paraId="15EC920A" w14:textId="77777777" w:rsidR="00537F32" w:rsidRDefault="00000000">
      <w:pPr>
        <w:pStyle w:val="FootnoteText"/>
        <w:spacing w:after="120"/>
      </w:pPr>
      <w:r>
        <w:rPr>
          <w:rStyle w:val="FootnoteReference"/>
        </w:rPr>
        <w:footnoteRef/>
      </w:r>
      <w:r>
        <w:rPr>
          <w:sz w:val="22"/>
          <w:szCs w:val="22"/>
        </w:rPr>
        <w:t xml:space="preserve"> Zago, 2018, p. 204, notes that scholars have still not yet reached agreement as to what Egyptians meant by this term. It is not actually portrayed until New Kingdom royal tombs.</w:t>
      </w:r>
    </w:p>
  </w:footnote>
  <w:footnote w:id="48">
    <w:p w14:paraId="2FAB346B" w14:textId="77777777" w:rsidR="00537F32" w:rsidRDefault="00000000">
      <w:pPr>
        <w:pStyle w:val="FootnoteText"/>
        <w:spacing w:after="120"/>
      </w:pPr>
      <w:r>
        <w:rPr>
          <w:rStyle w:val="FootnoteReference"/>
        </w:rPr>
        <w:footnoteRef/>
      </w:r>
      <w:r>
        <w:rPr>
          <w:rFonts w:cs="Calibri"/>
          <w:sz w:val="22"/>
          <w:szCs w:val="22"/>
        </w:rPr>
        <w:t xml:space="preserve"> ‘The Contendings of Horus and Seth’ are found in Papyrus Chester Beatty I, of Twentieth Dynasty date. Redford describes this as “robust, even crude” and as “pastiche shoddily put together” (Redford, vol I, pp. 294-295). Plutarch’s </w:t>
      </w:r>
      <w:r>
        <w:rPr>
          <w:rFonts w:cs="Calibri"/>
          <w:i/>
          <w:iCs/>
          <w:sz w:val="22"/>
          <w:szCs w:val="22"/>
        </w:rPr>
        <w:t xml:space="preserve">De Iside et Osiride </w:t>
      </w:r>
      <w:r>
        <w:rPr>
          <w:rFonts w:cs="Calibri"/>
          <w:sz w:val="22"/>
          <w:szCs w:val="22"/>
        </w:rPr>
        <w:t>provides a relatively complete version of the story, which is otherwise only fragmentary, but his version is very late and arguably based on a ‘symbolic’ concept of ‘mythology’ not held three thousand years (or more) previously.</w:t>
      </w:r>
    </w:p>
  </w:footnote>
  <w:footnote w:id="49">
    <w:p w14:paraId="5606BBD8" w14:textId="77777777" w:rsidR="00537F32" w:rsidRDefault="00000000">
      <w:pPr>
        <w:pStyle w:val="FootnoteText"/>
        <w:spacing w:after="120"/>
      </w:pPr>
      <w:r>
        <w:rPr>
          <w:rStyle w:val="FootnoteReference"/>
        </w:rPr>
        <w:footnoteRef/>
      </w:r>
      <w:r>
        <w:rPr>
          <w:rFonts w:cs="Calibri"/>
          <w:sz w:val="22"/>
          <w:szCs w:val="22"/>
        </w:rPr>
        <w:t xml:space="preserve"> The very definition of the term ‘matriarchal’ is inevitably contentious, as is its actuality. Cichon, 2022, pp  x </w:t>
      </w:r>
      <w:r>
        <w:rPr>
          <w:rFonts w:cs="Calibri"/>
          <w:sz w:val="22"/>
          <w:szCs w:val="22"/>
        </w:rPr>
        <w:noBreakHyphen/>
        <w:t>xvii follows modern usage, especially Sanday, Gimbutas and Goettner-Abendroth, not as ‘complete reversal of patriarchy’ but rather as “where the cosmological and the social are linked by a primordial founding ancestress, mother goddess or ancestral queen” and where “ cosmological order pivots around female-oriented symbols”.</w:t>
      </w:r>
    </w:p>
  </w:footnote>
  <w:footnote w:id="50">
    <w:p w14:paraId="5B61388A" w14:textId="7DA075A8" w:rsidR="00537F32" w:rsidRDefault="00000000">
      <w:pPr>
        <w:pStyle w:val="FootnoteText"/>
        <w:spacing w:after="120"/>
      </w:pPr>
      <w:r>
        <w:rPr>
          <w:rStyle w:val="FootnoteReference"/>
        </w:rPr>
        <w:footnoteRef/>
      </w:r>
      <w:r>
        <w:rPr>
          <w:sz w:val="22"/>
          <w:szCs w:val="22"/>
        </w:rPr>
        <w:t xml:space="preserve"> As indicated by Herodotus II.35. </w:t>
      </w:r>
      <w:r w:rsidR="00EB60D4">
        <w:rPr>
          <w:sz w:val="22"/>
          <w:szCs w:val="22"/>
        </w:rPr>
        <w:t>Robins, 1993, takes a conservative view, acknowledging legal and religious roles, but generally (p. 191) that “women occupied a subservient position in relation to men throughout ancient Egyptian history”. She describes the idea of a male creator as ‘interesting’ (p. 17) but makes no sociological implication.</w:t>
      </w:r>
    </w:p>
  </w:footnote>
  <w:footnote w:id="51">
    <w:p w14:paraId="3BC2F5A0" w14:textId="77777777" w:rsidR="00537F32" w:rsidRDefault="00000000">
      <w:pPr>
        <w:pStyle w:val="FootnoteText"/>
        <w:spacing w:after="120"/>
      </w:pPr>
      <w:r>
        <w:rPr>
          <w:rStyle w:val="FootnoteReference"/>
        </w:rPr>
        <w:footnoteRef/>
      </w:r>
      <w:r>
        <w:rPr>
          <w:rFonts w:cs="Calibri"/>
          <w:sz w:val="22"/>
          <w:szCs w:val="22"/>
        </w:rPr>
        <w:t xml:space="preserve"> The carved texts are believed to have been copied from somewhat earlier original versions  presumably of papyrus or other perishable material (Allen, 2005, pp. 4</w:t>
      </w:r>
      <w:r>
        <w:rPr>
          <w:rFonts w:cs="Calibri"/>
          <w:sz w:val="22"/>
          <w:szCs w:val="22"/>
        </w:rPr>
        <w:noBreakHyphen/>
        <w:t>5).</w:t>
      </w:r>
    </w:p>
  </w:footnote>
  <w:footnote w:id="52">
    <w:p w14:paraId="4155DFC1" w14:textId="77777777" w:rsidR="00537F32" w:rsidRDefault="00000000">
      <w:pPr>
        <w:pStyle w:val="FootnoteText"/>
        <w:spacing w:after="120"/>
      </w:pPr>
      <w:r>
        <w:rPr>
          <w:rStyle w:val="FootnoteReference"/>
        </w:rPr>
        <w:footnoteRef/>
      </w:r>
      <w:r>
        <w:rPr>
          <w:rFonts w:cs="Calibri"/>
          <w:sz w:val="22"/>
          <w:szCs w:val="22"/>
        </w:rPr>
        <w:t xml:space="preserve"> A merge of theologies might be suspected in that Horus and Re seem almost indistinguishable in iconographic terms, both strongly associated with the Goddess Hathor. There is indeed also a ‘female Horus’, </w:t>
      </w:r>
      <w:proofErr w:type="spellStart"/>
      <w:r>
        <w:rPr>
          <w:rFonts w:cs="Calibri"/>
          <w:sz w:val="22"/>
          <w:szCs w:val="22"/>
        </w:rPr>
        <w:t>Horit</w:t>
      </w:r>
      <w:proofErr w:type="spellEnd"/>
      <w:r>
        <w:rPr>
          <w:rFonts w:cs="Calibri"/>
          <w:sz w:val="22"/>
          <w:szCs w:val="22"/>
        </w:rPr>
        <w:t xml:space="preserve"> ( Jørgensen, pp. 122-153). The name Hathor means ‘House of Horus’, suggesting mother / wife; She is wife / daughter and ‘Eye’ of Re. Sociologically, She is also a ‘Cow-Goddess’ or predynastic pastoralists and has further roles appropriate for a primal Great Goddess (Wilkinson, 2003, pp. 139-144).</w:t>
      </w:r>
    </w:p>
  </w:footnote>
  <w:footnote w:id="53">
    <w:p w14:paraId="1675C6C8" w14:textId="77777777" w:rsidR="00537F32" w:rsidRDefault="00000000">
      <w:pPr>
        <w:pStyle w:val="FootnoteText"/>
        <w:spacing w:after="120"/>
      </w:pPr>
      <w:r>
        <w:rPr>
          <w:rStyle w:val="FootnoteReference"/>
        </w:rPr>
        <w:footnoteRef/>
      </w:r>
      <w:r>
        <w:rPr>
          <w:sz w:val="22"/>
          <w:szCs w:val="22"/>
        </w:rPr>
        <w:t xml:space="preserve"> Not unusually however, the contrary dichotomy is argued (for example, Wendorf &amp; Schild, 1998, p. 116).</w:t>
      </w:r>
      <w:r>
        <w:rPr>
          <w:rFonts w:cs="Calibri"/>
          <w:color w:val="151515"/>
          <w:sz w:val="22"/>
          <w:szCs w:val="22"/>
        </w:rPr>
        <w:t xml:space="preserve"> Seth was favoured by the Delta-based Hyksos and early Nineteenth Dynasty pharaohs (Pinch, 2002, p. 23).</w:t>
      </w:r>
    </w:p>
  </w:footnote>
  <w:footnote w:id="54">
    <w:p w14:paraId="3F57AE10" w14:textId="77777777" w:rsidR="00537F32" w:rsidRDefault="00000000">
      <w:pPr>
        <w:spacing w:after="120" w:line="240" w:lineRule="auto"/>
      </w:pPr>
      <w:r>
        <w:rPr>
          <w:rStyle w:val="FootnoteReference"/>
        </w:rPr>
        <w:footnoteRef/>
      </w:r>
      <w:r>
        <w:t xml:space="preserve"> The nature of Seth is an enormously complex question. Pre-dynastic material from Naqada seems to imply Seth as principal deity of that town, from which the unification expressed in the First Dynasty is thought to have proceeded. The Horus-Seth conflict as relating to the unification of the ‘Two Lands’ is thought to date at least back to the Second Dynasty, whose last monarch, Khasekhemwy used both deities on his serekh and ‘pluralized’ his name, perhaps after another civil war.</w:t>
      </w:r>
    </w:p>
  </w:footnote>
  <w:footnote w:id="55">
    <w:p w14:paraId="21BD79A0" w14:textId="19F13697" w:rsidR="00537F32" w:rsidRDefault="00000000">
      <w:pPr>
        <w:pStyle w:val="FootnoteText"/>
        <w:spacing w:after="120"/>
      </w:pPr>
      <w:r>
        <w:rPr>
          <w:rStyle w:val="FootnoteReference"/>
        </w:rPr>
        <w:footnoteRef/>
      </w:r>
      <w:r>
        <w:rPr>
          <w:sz w:val="22"/>
          <w:szCs w:val="22"/>
        </w:rPr>
        <w:t xml:space="preserve"> It may be noted that in representations of Nut, the head, usually on the </w:t>
      </w:r>
      <w:r w:rsidR="005230DC">
        <w:rPr>
          <w:sz w:val="22"/>
          <w:szCs w:val="22"/>
        </w:rPr>
        <w:t>right-hand</w:t>
      </w:r>
      <w:r>
        <w:rPr>
          <w:sz w:val="22"/>
          <w:szCs w:val="22"/>
        </w:rPr>
        <w:t xml:space="preserve"> side of the image, must be west, hence from a perspective of looking from north to Her in the south. (Most European geographical representations have east on the right).</w:t>
      </w:r>
    </w:p>
  </w:footnote>
  <w:footnote w:id="56">
    <w:p w14:paraId="562E3B38" w14:textId="4973238F" w:rsidR="007D0478" w:rsidRPr="007D0478" w:rsidRDefault="007D0478" w:rsidP="007D0478">
      <w:pPr>
        <w:pStyle w:val="FootnoteText"/>
        <w:spacing w:after="120"/>
        <w:rPr>
          <w:sz w:val="22"/>
          <w:szCs w:val="22"/>
        </w:rPr>
      </w:pPr>
      <w:r w:rsidRPr="007D0478">
        <w:rPr>
          <w:rStyle w:val="FootnoteReference"/>
          <w:sz w:val="22"/>
          <w:szCs w:val="22"/>
        </w:rPr>
        <w:footnoteRef/>
      </w:r>
      <w:r w:rsidRPr="007D0478">
        <w:rPr>
          <w:sz w:val="22"/>
          <w:szCs w:val="22"/>
        </w:rPr>
        <w:t xml:space="preserve"> Graur, 2024, p. 31, </w:t>
      </w:r>
      <w:r>
        <w:rPr>
          <w:sz w:val="22"/>
          <w:szCs w:val="22"/>
        </w:rPr>
        <w:t xml:space="preserve">discusses </w:t>
      </w:r>
      <w:r w:rsidRPr="007D0478">
        <w:rPr>
          <w:sz w:val="22"/>
          <w:szCs w:val="22"/>
        </w:rPr>
        <w:t>suggest</w:t>
      </w:r>
      <w:r>
        <w:rPr>
          <w:sz w:val="22"/>
          <w:szCs w:val="22"/>
        </w:rPr>
        <w:t>ion</w:t>
      </w:r>
      <w:r w:rsidRPr="007D0478">
        <w:rPr>
          <w:sz w:val="22"/>
          <w:szCs w:val="22"/>
        </w:rPr>
        <w:t xml:space="preserve">s </w:t>
      </w:r>
      <w:r>
        <w:rPr>
          <w:sz w:val="22"/>
          <w:szCs w:val="22"/>
        </w:rPr>
        <w:t xml:space="preserve">of </w:t>
      </w:r>
      <w:r w:rsidRPr="007D0478">
        <w:rPr>
          <w:sz w:val="22"/>
          <w:szCs w:val="22"/>
        </w:rPr>
        <w:t>the Lotus / Sun as directly a child of Nut and Geb (in his capacity as Goose</w:t>
      </w:r>
      <w:r>
        <w:rPr>
          <w:sz w:val="22"/>
          <w:szCs w:val="22"/>
        </w:rPr>
        <w:t xml:space="preserve"> or Swan</w:t>
      </w:r>
      <w:r w:rsidRPr="007D0478">
        <w:rPr>
          <w:sz w:val="22"/>
          <w:szCs w:val="22"/>
        </w:rPr>
        <w:t>)</w:t>
      </w:r>
      <w:r>
        <w:rPr>
          <w:sz w:val="22"/>
          <w:szCs w:val="22"/>
        </w:rPr>
        <w:t xml:space="preserve"> – the modern constellation Cygnus being appropriately positioned at the bifurcation of the Milky Way.</w:t>
      </w:r>
    </w:p>
  </w:footnote>
  <w:footnote w:id="57">
    <w:p w14:paraId="129F2434" w14:textId="07D255C1" w:rsidR="00537F32" w:rsidRDefault="00000000">
      <w:pPr>
        <w:pStyle w:val="FootnoteText"/>
        <w:spacing w:after="120"/>
      </w:pPr>
      <w:r>
        <w:rPr>
          <w:rStyle w:val="FootnoteReference"/>
        </w:rPr>
        <w:footnoteRef/>
      </w:r>
      <w:r>
        <w:rPr>
          <w:rFonts w:cs="Calibri"/>
          <w:sz w:val="22"/>
          <w:szCs w:val="22"/>
        </w:rPr>
        <w:t xml:space="preserve"> .Darnell &amp; Darnell, p.1, citing two articles (sources in German) by Bárta. </w:t>
      </w:r>
      <w:r w:rsidR="005230DC">
        <w:rPr>
          <w:rFonts w:cs="Calibri"/>
          <w:sz w:val="22"/>
          <w:szCs w:val="22"/>
        </w:rPr>
        <w:t>The Osiris-Seth conflict might otherwise be though to ‘descend’ from the cosmological to the ‘royal succession’ mythology of Mesopotamia and Greece.</w:t>
      </w:r>
    </w:p>
  </w:footnote>
  <w:footnote w:id="58">
    <w:p w14:paraId="7E3C9AC1" w14:textId="77777777" w:rsidR="00537F32" w:rsidRDefault="00000000">
      <w:pPr>
        <w:pStyle w:val="FootnoteText"/>
        <w:spacing w:after="120"/>
      </w:pPr>
      <w:r>
        <w:rPr>
          <w:rStyle w:val="FootnoteReference"/>
        </w:rPr>
        <w:footnoteRef/>
      </w:r>
      <w:r>
        <w:rPr>
          <w:rFonts w:cs="Calibri"/>
          <w:sz w:val="22"/>
          <w:szCs w:val="22"/>
        </w:rPr>
        <w:t xml:space="preserve"> Naydler, 1996, pp. 26-31. Allen, 1988, p. 8, also endorses this perspective: “The Duat is not merely a mysterious region through which the sun passes at night, but the god Osiris”.</w:t>
      </w:r>
    </w:p>
  </w:footnote>
  <w:footnote w:id="59">
    <w:p w14:paraId="7609E355" w14:textId="77777777" w:rsidR="00537F32" w:rsidRDefault="00000000">
      <w:pPr>
        <w:pStyle w:val="FootnoteText"/>
        <w:spacing w:after="120"/>
      </w:pPr>
      <w:r>
        <w:rPr>
          <w:rStyle w:val="FootnoteReference"/>
        </w:rPr>
        <w:footnoteRef/>
      </w:r>
      <w:r>
        <w:rPr>
          <w:rFonts w:cs="Calibri"/>
          <w:sz w:val="22"/>
          <w:szCs w:val="22"/>
        </w:rPr>
        <w:t xml:space="preserve"> De Iside et Osiride, 363D/32. Further, 366A/38, calls the Nile ‘effusion of Osiris’.</w:t>
      </w:r>
    </w:p>
  </w:footnote>
  <w:footnote w:id="60">
    <w:p w14:paraId="74633294" w14:textId="77777777" w:rsidR="00537F32" w:rsidRDefault="00000000">
      <w:pPr>
        <w:pStyle w:val="NormalWeb"/>
        <w:shd w:val="clear" w:color="auto" w:fill="FFFFFF"/>
        <w:spacing w:before="0" w:after="120"/>
      </w:pPr>
      <w:r>
        <w:rPr>
          <w:rStyle w:val="FootnoteReference"/>
        </w:rPr>
        <w:footnoteRef/>
      </w:r>
      <w:r>
        <w:rPr>
          <w:rFonts w:ascii="Calibri" w:hAnsi="Calibri" w:cs="Calibri"/>
          <w:sz w:val="22"/>
          <w:szCs w:val="22"/>
        </w:rPr>
        <w:t xml:space="preserve"> Pinch, 2002, pp. 66-68. This idea appears to be based on a homonymous wordplay, so might well be an intellectualism rather than a more ancient tradition. (The actual glyphs are quite different: Faulkner, 2019,  p. 149 for both.) Coffin Text 1130 seems clearest, CT714 is similar. Kootz, 2021, translates CT1130 as “</w:t>
      </w:r>
      <w:r>
        <w:rPr>
          <w:rFonts w:ascii="Calibri" w:hAnsi="Calibri" w:cs="Calibri"/>
          <w:color w:val="000000"/>
          <w:sz w:val="22"/>
          <w:szCs w:val="22"/>
          <w:shd w:val="clear" w:color="auto" w:fill="FFFFFF"/>
        </w:rPr>
        <w:t>human beings (</w:t>
      </w:r>
      <w:proofErr w:type="spellStart"/>
      <w:r>
        <w:rPr>
          <w:rStyle w:val="athena"/>
          <w:rFonts w:ascii="Calibri" w:hAnsi="Calibri" w:cs="Calibri"/>
          <w:i/>
          <w:iCs/>
          <w:color w:val="000000"/>
          <w:sz w:val="22"/>
          <w:szCs w:val="22"/>
          <w:shd w:val="clear" w:color="auto" w:fill="FFFFFF"/>
        </w:rPr>
        <w:t>rmṯ.w</w:t>
      </w:r>
      <w:proofErr w:type="spellEnd"/>
      <w:r>
        <w:rPr>
          <w:rFonts w:ascii="Calibri" w:hAnsi="Calibri" w:cs="Calibri"/>
          <w:color w:val="000000"/>
          <w:sz w:val="22"/>
          <w:szCs w:val="22"/>
          <w:shd w:val="clear" w:color="auto" w:fill="FFFFFF"/>
        </w:rPr>
        <w:t>) are from the tears (</w:t>
      </w:r>
      <w:proofErr w:type="spellStart"/>
      <w:r>
        <w:rPr>
          <w:rStyle w:val="athena"/>
          <w:rFonts w:ascii="Calibri" w:hAnsi="Calibri" w:cs="Calibri"/>
          <w:i/>
          <w:iCs/>
          <w:color w:val="000000"/>
          <w:sz w:val="22"/>
          <w:szCs w:val="22"/>
          <w:shd w:val="clear" w:color="auto" w:fill="FFFFFF"/>
        </w:rPr>
        <w:t>rm.wt</w:t>
      </w:r>
      <w:proofErr w:type="spellEnd"/>
      <w:r>
        <w:rPr>
          <w:rFonts w:ascii="Calibri" w:hAnsi="Calibri" w:cs="Calibri"/>
          <w:color w:val="000000"/>
          <w:sz w:val="22"/>
          <w:szCs w:val="22"/>
          <w:shd w:val="clear" w:color="auto" w:fill="FFFFFF"/>
        </w:rPr>
        <w:t>) of my eye”.</w:t>
      </w:r>
    </w:p>
  </w:footnote>
  <w:footnote w:id="61">
    <w:p w14:paraId="1C985DF7" w14:textId="77777777" w:rsidR="00537F32" w:rsidRDefault="00000000">
      <w:pPr>
        <w:pStyle w:val="FootnoteText"/>
        <w:spacing w:after="120"/>
      </w:pPr>
      <w:r>
        <w:rPr>
          <w:rStyle w:val="FootnoteReference"/>
        </w:rPr>
        <w:footnoteRef/>
      </w:r>
      <w:r>
        <w:rPr>
          <w:rFonts w:cs="Calibri"/>
          <w:sz w:val="22"/>
          <w:szCs w:val="22"/>
        </w:rPr>
        <w:t xml:space="preserve"> Coffin Text 80 seems to equate the identity of Tefnut and Ma’at.</w:t>
      </w:r>
    </w:p>
  </w:footnote>
  <w:footnote w:id="62">
    <w:p w14:paraId="1C598C7F" w14:textId="77777777" w:rsidR="00537F32" w:rsidRDefault="00000000">
      <w:pPr>
        <w:pStyle w:val="FootnoteText"/>
        <w:spacing w:after="120"/>
      </w:pPr>
      <w:r>
        <w:rPr>
          <w:rStyle w:val="FootnoteReference"/>
        </w:rPr>
        <w:footnoteRef/>
      </w:r>
      <w:r>
        <w:rPr>
          <w:rFonts w:cs="Calibri"/>
          <w:sz w:val="22"/>
          <w:szCs w:val="22"/>
        </w:rPr>
        <w:t xml:space="preserve"> It is significant that the ‘opposite’ of order, in the worldly sense rather as than cosmic ‘chaos’, is ‘</w:t>
      </w:r>
      <w:proofErr w:type="spellStart"/>
      <w:r>
        <w:rPr>
          <w:rFonts w:cs="Calibri"/>
          <w:sz w:val="22"/>
          <w:szCs w:val="22"/>
        </w:rPr>
        <w:t>Isfet</w:t>
      </w:r>
      <w:proofErr w:type="spellEnd"/>
      <w:r>
        <w:rPr>
          <w:rFonts w:cs="Calibri"/>
          <w:sz w:val="22"/>
          <w:szCs w:val="22"/>
        </w:rPr>
        <w:t>’, but this does not appear as any deity.</w:t>
      </w:r>
    </w:p>
  </w:footnote>
  <w:footnote w:id="63">
    <w:p w14:paraId="326FADB8" w14:textId="77777777" w:rsidR="00537F32" w:rsidRDefault="00000000">
      <w:pPr>
        <w:pStyle w:val="FootnoteText"/>
        <w:spacing w:after="120"/>
      </w:pPr>
      <w:r>
        <w:rPr>
          <w:rStyle w:val="FootnoteReference"/>
        </w:rPr>
        <w:footnoteRef/>
      </w:r>
      <w:r>
        <w:rPr>
          <w:rFonts w:cs="Calibri"/>
          <w:sz w:val="22"/>
          <w:szCs w:val="22"/>
        </w:rPr>
        <w:t xml:space="preserve"> Matthews, 1991, p.48-50.</w:t>
      </w:r>
    </w:p>
  </w:footnote>
  <w:footnote w:id="64">
    <w:p w14:paraId="01682D8F" w14:textId="77777777" w:rsidR="00537F32" w:rsidRDefault="00000000">
      <w:pPr>
        <w:pStyle w:val="FootnoteText"/>
        <w:spacing w:after="120"/>
      </w:pPr>
      <w:r>
        <w:rPr>
          <w:rStyle w:val="FootnoteReference"/>
        </w:rPr>
        <w:footnoteRef/>
      </w:r>
      <w:r>
        <w:rPr>
          <w:rFonts w:cs="Calibri"/>
          <w:sz w:val="22"/>
          <w:szCs w:val="22"/>
        </w:rPr>
        <w:t xml:space="preserve"> Szpakowska, 2010, p. 509.</w:t>
      </w:r>
    </w:p>
  </w:footnote>
  <w:footnote w:id="65">
    <w:p w14:paraId="14A885E4" w14:textId="77777777" w:rsidR="00537F32" w:rsidRDefault="00000000">
      <w:pPr>
        <w:pStyle w:val="FootnoteText"/>
        <w:spacing w:after="120"/>
      </w:pPr>
      <w:r>
        <w:rPr>
          <w:rStyle w:val="FootnoteReference"/>
        </w:rPr>
        <w:footnoteRef/>
      </w:r>
      <w:r>
        <w:rPr>
          <w:rFonts w:cs="Calibri"/>
          <w:sz w:val="22"/>
          <w:szCs w:val="22"/>
        </w:rPr>
        <w:t xml:space="preserve"> Karenga, 1994, p. 86.</w:t>
      </w:r>
    </w:p>
  </w:footnote>
  <w:footnote w:id="66">
    <w:p w14:paraId="2025457C" w14:textId="77777777" w:rsidR="00537F32" w:rsidRDefault="00000000">
      <w:pPr>
        <w:pStyle w:val="FootnoteText"/>
        <w:spacing w:after="120"/>
      </w:pPr>
      <w:r>
        <w:rPr>
          <w:rStyle w:val="FootnoteReference"/>
        </w:rPr>
        <w:footnoteRef/>
      </w:r>
      <w:r>
        <w:rPr>
          <w:sz w:val="22"/>
          <w:szCs w:val="22"/>
        </w:rPr>
        <w:t xml:space="preserve"> Teeter, 1997, p. 3.</w:t>
      </w:r>
    </w:p>
  </w:footnote>
  <w:footnote w:id="67">
    <w:p w14:paraId="50E77A3A" w14:textId="77777777" w:rsidR="00537F32" w:rsidRDefault="00000000">
      <w:pPr>
        <w:pStyle w:val="FootnoteText"/>
        <w:spacing w:after="120"/>
      </w:pPr>
      <w:r>
        <w:rPr>
          <w:rStyle w:val="FootnoteReference"/>
        </w:rPr>
        <w:footnoteRef/>
      </w:r>
      <w:r>
        <w:rPr>
          <w:rFonts w:cs="Calibri"/>
          <w:sz w:val="22"/>
          <w:szCs w:val="22"/>
        </w:rPr>
        <w:t xml:space="preserve"> Karenga, 1994, pp. 16-17, 44.</w:t>
      </w:r>
    </w:p>
  </w:footnote>
  <w:footnote w:id="68">
    <w:p w14:paraId="5B48F2E6" w14:textId="77777777" w:rsidR="00537F32" w:rsidRDefault="00000000">
      <w:pPr>
        <w:pStyle w:val="FootnoteText"/>
        <w:spacing w:after="120"/>
      </w:pPr>
      <w:r>
        <w:rPr>
          <w:rStyle w:val="FootnoteReference"/>
        </w:rPr>
        <w:footnoteRef/>
      </w:r>
      <w:r>
        <w:rPr>
          <w:rFonts w:cs="Calibri"/>
          <w:sz w:val="22"/>
          <w:szCs w:val="22"/>
        </w:rPr>
        <w:t xml:space="preserve"> For example: “</w:t>
      </w:r>
      <w:r>
        <w:rPr>
          <w:rFonts w:cs="Calibri"/>
          <w:color w:val="242424"/>
          <w:spacing w:val="-1"/>
          <w:sz w:val="22"/>
          <w:szCs w:val="22"/>
          <w:shd w:val="clear" w:color="auto" w:fill="FFFFFF"/>
        </w:rPr>
        <w:t xml:space="preserve">God alone is worthy of our adoration because He made it all”. https://medium.com/@markthog/worship-the-creator-or-creation-fa10f0471e5. </w:t>
      </w:r>
      <w:r>
        <w:rPr>
          <w:rFonts w:cs="Calibri"/>
          <w:sz w:val="22"/>
          <w:szCs w:val="22"/>
        </w:rPr>
        <w:t xml:space="preserve">Eliade has argued alternatively that there is a tendency, especially in Africa, for a creator deity to become </w:t>
      </w:r>
      <w:r>
        <w:rPr>
          <w:rFonts w:cs="Calibri"/>
          <w:i/>
          <w:iCs/>
          <w:sz w:val="22"/>
          <w:szCs w:val="22"/>
        </w:rPr>
        <w:t xml:space="preserve">deus </w:t>
      </w:r>
      <w:proofErr w:type="spellStart"/>
      <w:r>
        <w:rPr>
          <w:rFonts w:cs="Calibri"/>
          <w:i/>
          <w:iCs/>
          <w:sz w:val="22"/>
          <w:szCs w:val="22"/>
        </w:rPr>
        <w:t>otiosus</w:t>
      </w:r>
      <w:proofErr w:type="spellEnd"/>
      <w:r>
        <w:rPr>
          <w:rFonts w:cs="Calibri"/>
          <w:sz w:val="22"/>
          <w:szCs w:val="22"/>
        </w:rPr>
        <w:t>, that is, inactive or even senile, no longer involved in the world (</w:t>
      </w:r>
      <w:proofErr w:type="spellStart"/>
      <w:r>
        <w:rPr>
          <w:rFonts w:cs="Calibri"/>
          <w:sz w:val="22"/>
          <w:szCs w:val="22"/>
        </w:rPr>
        <w:t>Upkong</w:t>
      </w:r>
      <w:proofErr w:type="spellEnd"/>
      <w:r>
        <w:rPr>
          <w:rFonts w:cs="Calibri"/>
          <w:sz w:val="22"/>
          <w:szCs w:val="22"/>
        </w:rPr>
        <w:t xml:space="preserve">, 1983, p. 188.) A similar tendency has been argued with respect to Deistic Christianity. Egyptian myths certainly show this in the story of Isis learning the ‘true name’ of Re (Found in </w:t>
      </w:r>
      <w:r>
        <w:rPr>
          <w:rFonts w:cs="Calibri"/>
          <w:sz w:val="22"/>
          <w:szCs w:val="22"/>
          <w:lang w:eastAsia="en-GB"/>
        </w:rPr>
        <w:t>Papyrus Turin 1993 and Papyrus Chester Beatty 11, also on three ostraca</w:t>
      </w:r>
      <w:r>
        <w:rPr>
          <w:rStyle w:val="FootnoteReference"/>
          <w:rFonts w:cs="Calibri"/>
          <w:sz w:val="22"/>
          <w:szCs w:val="22"/>
        </w:rPr>
        <w:t xml:space="preserve"> </w:t>
      </w:r>
      <w:r>
        <w:rPr>
          <w:rFonts w:cs="Calibri"/>
          <w:sz w:val="22"/>
          <w:szCs w:val="22"/>
        </w:rPr>
        <w:t>), and in the story of the Heavenly Cow, in which the Gods depart from the Earth (Earliest version on the shrine I of Tutankhamun. Hornung, 1999, pp. 148-151).</w:t>
      </w:r>
    </w:p>
  </w:footnote>
  <w:footnote w:id="69">
    <w:p w14:paraId="15FAD226" w14:textId="77777777" w:rsidR="00316FBE" w:rsidRDefault="00316FBE" w:rsidP="00316FBE">
      <w:pPr>
        <w:pStyle w:val="FootnoteText"/>
        <w:spacing w:after="120"/>
      </w:pPr>
      <w:r>
        <w:rPr>
          <w:rStyle w:val="FootnoteReference"/>
        </w:rPr>
        <w:footnoteRef/>
      </w:r>
      <w:r>
        <w:rPr>
          <w:rFonts w:cs="Calibri"/>
          <w:sz w:val="22"/>
          <w:szCs w:val="22"/>
        </w:rPr>
        <w:t xml:space="preserve"> Tobin, 2001, p. 469.</w:t>
      </w:r>
    </w:p>
  </w:footnote>
  <w:footnote w:id="70">
    <w:p w14:paraId="19B4DBAA" w14:textId="77777777" w:rsidR="00537F32" w:rsidRDefault="00000000">
      <w:pPr>
        <w:pStyle w:val="FootnoteText"/>
        <w:spacing w:after="120"/>
      </w:pPr>
      <w:r>
        <w:rPr>
          <w:rStyle w:val="FootnoteReference"/>
        </w:rPr>
        <w:footnoteRef/>
      </w:r>
      <w:r>
        <w:rPr>
          <w:rFonts w:cs="Calibri"/>
          <w:sz w:val="22"/>
          <w:szCs w:val="22"/>
        </w:rPr>
        <w:t xml:space="preserve"> J. Gwyn Griffiths, 1966, p. 57, suggests no geography lesson on Egypt is ever given without this opening. </w:t>
      </w:r>
    </w:p>
  </w:footnote>
  <w:footnote w:id="71">
    <w:p w14:paraId="4A5BBC9C" w14:textId="0E7A5E13" w:rsidR="00537F32" w:rsidRDefault="00000000">
      <w:pPr>
        <w:pStyle w:val="FootnoteText"/>
        <w:spacing w:after="120"/>
      </w:pPr>
      <w:r>
        <w:rPr>
          <w:rStyle w:val="FootnoteReference"/>
        </w:rPr>
        <w:footnoteRef/>
      </w:r>
      <w:r>
        <w:rPr>
          <w:rFonts w:cs="Calibri"/>
          <w:sz w:val="22"/>
          <w:szCs w:val="22"/>
        </w:rPr>
        <w:t xml:space="preserve"> Crops could not grow without it, rainfall being rare. There was nonetheless an ‘insurance’ that rain-dependent agriculture did not have: a limited inundation would still result in a usable if smaller harvest, whilst failure of rains for other civilisations could imply total </w:t>
      </w:r>
      <w:r w:rsidR="001A2DAE">
        <w:rPr>
          <w:rFonts w:cs="Calibri"/>
          <w:sz w:val="22"/>
          <w:szCs w:val="22"/>
        </w:rPr>
        <w:t xml:space="preserve">harvest </w:t>
      </w:r>
      <w:r>
        <w:rPr>
          <w:rFonts w:cs="Calibri"/>
          <w:sz w:val="22"/>
          <w:szCs w:val="22"/>
        </w:rPr>
        <w:t xml:space="preserve">failure and serious famine. (Ponting, 1993, p. 85, claims a 2m lowering of flood resulted in a loss of one third of irrigated land – hence two thirds remained.) </w:t>
      </w:r>
    </w:p>
  </w:footnote>
  <w:footnote w:id="72">
    <w:p w14:paraId="3C5F7AD3" w14:textId="77777777" w:rsidR="00537F32" w:rsidRDefault="00000000">
      <w:pPr>
        <w:pStyle w:val="FootnoteText"/>
        <w:spacing w:after="120"/>
      </w:pPr>
      <w:r>
        <w:rPr>
          <w:rStyle w:val="FootnoteReference"/>
        </w:rPr>
        <w:footnoteRef/>
      </w:r>
      <w:r>
        <w:rPr>
          <w:rFonts w:cs="Calibri"/>
          <w:sz w:val="22"/>
          <w:szCs w:val="22"/>
        </w:rPr>
        <w:t xml:space="preserve"> Although the word ‘geomancy’ should literally mean ‘earth divination’, it is also used for all forms of ‘sacred geography’, the ascription of ‘meaning’ into the landscape and interaction with the ‘energies’ thereof.</w:t>
      </w:r>
    </w:p>
  </w:footnote>
  <w:footnote w:id="73">
    <w:p w14:paraId="35F7B570" w14:textId="7BF7F424" w:rsidR="00537F32" w:rsidRDefault="00000000">
      <w:pPr>
        <w:pStyle w:val="FootnoteText"/>
        <w:spacing w:after="120"/>
      </w:pPr>
      <w:r>
        <w:rPr>
          <w:rStyle w:val="FootnoteReference"/>
        </w:rPr>
        <w:footnoteRef/>
      </w:r>
      <w:r>
        <w:rPr>
          <w:rFonts w:cs="Calibri"/>
          <w:sz w:val="22"/>
          <w:szCs w:val="22"/>
        </w:rPr>
        <w:t xml:space="preserve"> Abdel-Hadi &amp; Yehia, 1998, p. 337. These authors also link the ‘Field of Rushes’ to visible nebulae and the Eye of Horus to stars such as Arcturus or Vega. </w:t>
      </w:r>
      <w:r w:rsidR="007D0478">
        <w:rPr>
          <w:rFonts w:cs="Calibri"/>
          <w:sz w:val="22"/>
          <w:szCs w:val="22"/>
        </w:rPr>
        <w:t>Precise associations of stellar-sphere features to deities remain matters of discussion. Graur, 2024, pp. 32, 42, argues that the connection of Nut to the Milky Way is ‘comfortably within multicultural conceptions’</w:t>
      </w:r>
      <w:r w:rsidR="001761F9">
        <w:rPr>
          <w:rFonts w:cs="Calibri"/>
          <w:sz w:val="22"/>
          <w:szCs w:val="22"/>
        </w:rPr>
        <w:t>.</w:t>
      </w:r>
    </w:p>
  </w:footnote>
  <w:footnote w:id="74">
    <w:p w14:paraId="7AF859C8" w14:textId="77777777" w:rsidR="00537F32" w:rsidRDefault="00000000">
      <w:pPr>
        <w:pStyle w:val="FootnoteText"/>
        <w:spacing w:after="120"/>
      </w:pPr>
      <w:r>
        <w:rPr>
          <w:rStyle w:val="FootnoteReference"/>
        </w:rPr>
        <w:footnoteRef/>
      </w:r>
      <w:r>
        <w:rPr>
          <w:rFonts w:cs="Calibri"/>
          <w:sz w:val="22"/>
          <w:szCs w:val="22"/>
        </w:rPr>
        <w:t xml:space="preserve"> O’Connor, 2011, pp. 139, provides a map, though ignoring the issue of alignment. The Nile is actually some 10km distant so that to do this accurately was a significant engineering achievement. Egyptologists often refer to these river orientations as ‘local north’ though in this case it could equally well be ‘local’ east, south or west. For a temple, facing the river at a right angle would make its axis then ‘local east-west’ (Wilkinson, 2000, p. 72), a notion that must obscure the intention of the temple builders. </w:t>
      </w:r>
    </w:p>
  </w:footnote>
  <w:footnote w:id="75">
    <w:p w14:paraId="24995487" w14:textId="77777777" w:rsidR="00537F32" w:rsidRDefault="00000000">
      <w:pPr>
        <w:pStyle w:val="FootnoteText"/>
        <w:spacing w:after="120"/>
      </w:pPr>
      <w:r>
        <w:rPr>
          <w:rStyle w:val="FootnoteReference"/>
        </w:rPr>
        <w:footnoteRef/>
      </w:r>
      <w:r>
        <w:rPr>
          <w:rFonts w:cs="Calibri"/>
          <w:sz w:val="22"/>
          <w:szCs w:val="22"/>
        </w:rPr>
        <w:t xml:space="preserve"> O’Connor, 2011, p. 163 (map).He later (p. 200) suggests ‘connections’ but fails to articulate any substance to these.</w:t>
      </w:r>
    </w:p>
  </w:footnote>
  <w:footnote w:id="76">
    <w:p w14:paraId="294C9716" w14:textId="1D43D03F" w:rsidR="00537F32" w:rsidRDefault="00000000">
      <w:pPr>
        <w:pStyle w:val="FootnoteText"/>
        <w:spacing w:after="120"/>
      </w:pPr>
      <w:r>
        <w:rPr>
          <w:rStyle w:val="FootnoteReference"/>
        </w:rPr>
        <w:footnoteRef/>
      </w:r>
      <w:r>
        <w:rPr>
          <w:rFonts w:cs="Calibri"/>
          <w:sz w:val="22"/>
          <w:szCs w:val="22"/>
        </w:rPr>
        <w:t xml:space="preserve"> Belmonte, 2009, p. 84. He also comments, similarly to Campion above</w:t>
      </w:r>
      <w:r w:rsidR="001761F9">
        <w:rPr>
          <w:rFonts w:cs="Calibri"/>
          <w:sz w:val="22"/>
          <w:szCs w:val="22"/>
        </w:rPr>
        <w:t xml:space="preserve"> (n. 2</w:t>
      </w:r>
      <w:r w:rsidR="00272FC5">
        <w:rPr>
          <w:rFonts w:cs="Calibri"/>
          <w:sz w:val="22"/>
          <w:szCs w:val="22"/>
        </w:rPr>
        <w:t>9</w:t>
      </w:r>
      <w:r w:rsidR="001761F9">
        <w:rPr>
          <w:rFonts w:cs="Calibri"/>
          <w:sz w:val="22"/>
          <w:szCs w:val="22"/>
        </w:rPr>
        <w:t>)</w:t>
      </w:r>
      <w:r>
        <w:rPr>
          <w:rFonts w:cs="Calibri"/>
          <w:sz w:val="22"/>
          <w:szCs w:val="22"/>
        </w:rPr>
        <w:t>, that the question has been “not one of the favourite disciplines of Egyptologists in the past.</w:t>
      </w:r>
    </w:p>
  </w:footnote>
  <w:footnote w:id="77">
    <w:p w14:paraId="7A4CEAE0" w14:textId="77777777" w:rsidR="00537F32" w:rsidRDefault="00000000">
      <w:pPr>
        <w:pStyle w:val="FootnoteText"/>
        <w:spacing w:after="120"/>
      </w:pPr>
      <w:r>
        <w:rPr>
          <w:rStyle w:val="FootnoteReference"/>
        </w:rPr>
        <w:footnoteRef/>
      </w:r>
      <w:r>
        <w:rPr>
          <w:rFonts w:cs="Calibri"/>
          <w:sz w:val="22"/>
          <w:szCs w:val="22"/>
        </w:rPr>
        <w:t xml:space="preserve"> Furlong, 2007, p.4: all the temples of Upper Egypt align to within a degree of either winter or summer solstice – actual azimuths are affected by the exact height of the local horizon. At Karnak, the corresponding midwinter sunrise alignment is of course blocked by the temple itself. </w:t>
      </w:r>
    </w:p>
  </w:footnote>
  <w:footnote w:id="78">
    <w:p w14:paraId="73DB82F1" w14:textId="77777777" w:rsidR="00537F32" w:rsidRDefault="00000000">
      <w:pPr>
        <w:pStyle w:val="FootnoteText"/>
        <w:spacing w:after="120"/>
      </w:pPr>
      <w:r>
        <w:rPr>
          <w:rStyle w:val="FootnoteReference"/>
        </w:rPr>
        <w:footnoteRef/>
      </w:r>
      <w:r>
        <w:rPr>
          <w:rFonts w:cs="Calibri"/>
          <w:sz w:val="22"/>
          <w:szCs w:val="22"/>
        </w:rPr>
        <w:t xml:space="preserve">. Wilkinson, 2000, p. 155. Similarly, the change in axial directions of later building at the Luxor temples is immediately apparent. </w:t>
      </w:r>
    </w:p>
  </w:footnote>
  <w:footnote w:id="79">
    <w:p w14:paraId="473B4339" w14:textId="7038FBC0" w:rsidR="00537F32" w:rsidRDefault="00000000">
      <w:pPr>
        <w:pStyle w:val="FootnoteText"/>
        <w:spacing w:after="120"/>
      </w:pPr>
      <w:r>
        <w:rPr>
          <w:rStyle w:val="FootnoteReference"/>
        </w:rPr>
        <w:footnoteRef/>
      </w:r>
      <w:r>
        <w:rPr>
          <w:rFonts w:cs="Calibri"/>
          <w:sz w:val="22"/>
          <w:szCs w:val="22"/>
        </w:rPr>
        <w:t xml:space="preserve"> Presumed to function similarly to the ‘pillars’ of Jwnw (</w:t>
      </w:r>
      <w:r w:rsidR="003E2DED">
        <w:rPr>
          <w:rFonts w:cs="Calibri"/>
          <w:sz w:val="22"/>
          <w:szCs w:val="22"/>
        </w:rPr>
        <w:t>n</w:t>
      </w:r>
      <w:r w:rsidR="00EE6F9A">
        <w:rPr>
          <w:rFonts w:cs="Calibri"/>
          <w:sz w:val="22"/>
          <w:szCs w:val="22"/>
        </w:rPr>
        <w:t>.</w:t>
      </w:r>
      <w:r w:rsidR="003E2DED">
        <w:rPr>
          <w:rFonts w:cs="Calibri"/>
          <w:sz w:val="22"/>
          <w:szCs w:val="22"/>
        </w:rPr>
        <w:t xml:space="preserve"> 2</w:t>
      </w:r>
      <w:r w:rsidR="00272FC5">
        <w:rPr>
          <w:rFonts w:cs="Calibri"/>
          <w:sz w:val="22"/>
          <w:szCs w:val="22"/>
        </w:rPr>
        <w:t>9</w:t>
      </w:r>
      <w:r w:rsidR="003E2DED">
        <w:rPr>
          <w:rFonts w:cs="Calibri"/>
          <w:sz w:val="22"/>
          <w:szCs w:val="22"/>
        </w:rPr>
        <w:t xml:space="preserve"> above).</w:t>
      </w:r>
    </w:p>
  </w:footnote>
  <w:footnote w:id="80">
    <w:p w14:paraId="478EBC4C" w14:textId="77777777" w:rsidR="00537F32" w:rsidRDefault="00000000">
      <w:pPr>
        <w:spacing w:after="120" w:line="240" w:lineRule="auto"/>
      </w:pPr>
      <w:r>
        <w:rPr>
          <w:rStyle w:val="FootnoteReference"/>
        </w:rPr>
        <w:footnoteRef/>
      </w:r>
      <w:r>
        <w:rPr>
          <w:rFonts w:cs="Calibri"/>
        </w:rPr>
        <w:t xml:space="preserve"> The Cardinal alignment applies to almost all the pyramids (more than 100 in total are known), from Djoser’s Step Pyramid (Magli, 2013, p. 38) extending into the Middle Kingdom, not just the Khufu-Khafre-Menkaure triad on the Giza plateau for which it is well-known. Stellar alignment was also significant: for example, the northern ‘air shafts’ of the Khufu pyramid corresponds to culmination of the star Thuban at building date (Magli, 2013, p. 80). </w:t>
      </w:r>
    </w:p>
  </w:footnote>
  <w:footnote w:id="81">
    <w:p w14:paraId="49DA7A3D" w14:textId="002D3895" w:rsidR="00537F32" w:rsidRDefault="00000000">
      <w:pPr>
        <w:pStyle w:val="FootnoteText"/>
        <w:spacing w:after="120"/>
      </w:pPr>
      <w:r>
        <w:rPr>
          <w:rStyle w:val="FootnoteReference"/>
        </w:rPr>
        <w:footnoteRef/>
      </w:r>
      <w:r>
        <w:rPr>
          <w:sz w:val="22"/>
          <w:szCs w:val="22"/>
        </w:rPr>
        <w:t xml:space="preserve"> </w:t>
      </w:r>
      <w:r w:rsidR="00EE6F9A">
        <w:rPr>
          <w:sz w:val="22"/>
          <w:szCs w:val="22"/>
        </w:rPr>
        <w:t>Th</w:t>
      </w:r>
      <w:r w:rsidRPr="00EE6F9A">
        <w:rPr>
          <w:sz w:val="22"/>
          <w:szCs w:val="22"/>
        </w:rPr>
        <w:t xml:space="preserve">ere is </w:t>
      </w:r>
      <w:r w:rsidRPr="00EE6F9A">
        <w:rPr>
          <w:rFonts w:cs="Calibri"/>
          <w:sz w:val="22"/>
          <w:szCs w:val="22"/>
        </w:rPr>
        <w:t xml:space="preserve">a major ‘bend’ </w:t>
      </w:r>
      <w:r>
        <w:rPr>
          <w:rFonts w:cs="Calibri"/>
          <w:sz w:val="22"/>
          <w:szCs w:val="22"/>
        </w:rPr>
        <w:t>around Koptos and also a ‘double bend’ further south in Nubia.</w:t>
      </w:r>
    </w:p>
  </w:footnote>
  <w:footnote w:id="82">
    <w:p w14:paraId="5D904CB3" w14:textId="77777777" w:rsidR="00537F32" w:rsidRDefault="00000000">
      <w:pPr>
        <w:pStyle w:val="FootnoteText"/>
        <w:spacing w:after="120"/>
      </w:pPr>
      <w:r>
        <w:rPr>
          <w:rStyle w:val="FootnoteReference"/>
        </w:rPr>
        <w:footnoteRef/>
      </w:r>
      <w:r>
        <w:rPr>
          <w:rFonts w:cs="Calibri"/>
          <w:sz w:val="22"/>
          <w:szCs w:val="22"/>
        </w:rPr>
        <w:t xml:space="preserve"> </w:t>
      </w:r>
      <w:proofErr w:type="spellStart"/>
      <w:r w:rsidRPr="00EE6F9A">
        <w:rPr>
          <w:rFonts w:cs="Calibri"/>
          <w:sz w:val="22"/>
          <w:szCs w:val="22"/>
          <w:shd w:val="clear" w:color="auto" w:fill="FFFFFF"/>
        </w:rPr>
        <w:t>Niwiński</w:t>
      </w:r>
      <w:proofErr w:type="spellEnd"/>
      <w:r w:rsidRPr="00EE6F9A">
        <w:rPr>
          <w:rFonts w:cs="Calibri"/>
          <w:sz w:val="22"/>
          <w:szCs w:val="22"/>
        </w:rPr>
        <w:t xml:space="preserve">, </w:t>
      </w:r>
      <w:r>
        <w:rPr>
          <w:rFonts w:cs="Calibri"/>
          <w:sz w:val="22"/>
          <w:szCs w:val="22"/>
        </w:rPr>
        <w:t>p. 2014, p. 255, citing Bonnet, 1952, 633-637(source in French).</w:t>
      </w:r>
    </w:p>
  </w:footnote>
  <w:footnote w:id="83">
    <w:p w14:paraId="03DB675E" w14:textId="77777777" w:rsidR="00537F32" w:rsidRDefault="00000000">
      <w:pPr>
        <w:pStyle w:val="FootnoteText"/>
        <w:spacing w:after="120"/>
      </w:pPr>
      <w:r>
        <w:rPr>
          <w:rStyle w:val="FootnoteReference"/>
        </w:rPr>
        <w:footnoteRef/>
      </w:r>
      <w:r>
        <w:rPr>
          <w:rFonts w:cs="Calibri"/>
          <w:sz w:val="22"/>
          <w:szCs w:val="22"/>
        </w:rPr>
        <w:t xml:space="preserve"> And are still considered so: for Forrest, 2013, pp. 275-276, ‘Making Nile Water’ is an important part of modern Isiac practice. Herodotus II.90 claims that a corpse recovered from the river is believed ‘something more than human’.</w:t>
      </w:r>
    </w:p>
  </w:footnote>
  <w:footnote w:id="84">
    <w:p w14:paraId="131929B0" w14:textId="3594CEDA" w:rsidR="00537F32" w:rsidRDefault="00000000">
      <w:pPr>
        <w:pStyle w:val="FootnoteText"/>
        <w:spacing w:after="120"/>
      </w:pPr>
      <w:r>
        <w:rPr>
          <w:rStyle w:val="FootnoteReference"/>
        </w:rPr>
        <w:footnoteRef/>
      </w:r>
      <w:r>
        <w:rPr>
          <w:rFonts w:cs="Calibri"/>
          <w:sz w:val="22"/>
          <w:szCs w:val="22"/>
        </w:rPr>
        <w:t xml:space="preserve"> </w:t>
      </w:r>
      <w:proofErr w:type="spellStart"/>
      <w:r>
        <w:rPr>
          <w:rFonts w:cs="Calibri"/>
          <w:color w:val="53565A"/>
          <w:sz w:val="22"/>
          <w:szCs w:val="22"/>
          <w:shd w:val="clear" w:color="auto" w:fill="FFFFFF"/>
        </w:rPr>
        <w:t>Niwiński</w:t>
      </w:r>
      <w:proofErr w:type="spellEnd"/>
      <w:r>
        <w:rPr>
          <w:rFonts w:cs="Calibri"/>
          <w:color w:val="53565A"/>
          <w:sz w:val="22"/>
          <w:szCs w:val="22"/>
          <w:shd w:val="clear" w:color="auto" w:fill="FFFFFF"/>
        </w:rPr>
        <w:t xml:space="preserve">, 2014. </w:t>
      </w:r>
      <w:r>
        <w:rPr>
          <w:rFonts w:cs="Calibri"/>
          <w:sz w:val="22"/>
          <w:szCs w:val="22"/>
          <w:shd w:val="clear" w:color="auto" w:fill="FFFFFF"/>
        </w:rPr>
        <w:t xml:space="preserve">Most famous of those destined for the River was Antinous, ‘favourite’ of Hadrian: his subsequent ‘deification’ and cult further challenges the standard Egyptological narrative regarding afterlife – physical preservation of the body was clearly not a requirement for existence in </w:t>
      </w:r>
      <w:r w:rsidR="001A2DAE">
        <w:rPr>
          <w:rFonts w:cs="Calibri"/>
          <w:sz w:val="22"/>
          <w:szCs w:val="22"/>
          <w:shd w:val="clear" w:color="auto" w:fill="FFFFFF"/>
        </w:rPr>
        <w:t xml:space="preserve">Duat / </w:t>
      </w:r>
      <w:r>
        <w:rPr>
          <w:rFonts w:cs="Calibri"/>
          <w:sz w:val="22"/>
          <w:szCs w:val="22"/>
          <w:shd w:val="clear" w:color="auto" w:fill="FFFFFF"/>
        </w:rPr>
        <w:t>Djet.</w:t>
      </w:r>
    </w:p>
  </w:footnote>
  <w:footnote w:id="85">
    <w:p w14:paraId="476102AE" w14:textId="77777777" w:rsidR="00537F32" w:rsidRDefault="00000000">
      <w:pPr>
        <w:pStyle w:val="FootnoteText"/>
        <w:spacing w:after="120"/>
      </w:pPr>
      <w:r>
        <w:rPr>
          <w:rStyle w:val="FootnoteReference"/>
        </w:rPr>
        <w:footnoteRef/>
      </w:r>
      <w:r>
        <w:rPr>
          <w:rFonts w:cs="Calibri"/>
          <w:sz w:val="22"/>
          <w:szCs w:val="22"/>
        </w:rPr>
        <w:t xml:space="preserve"> Herodotus, II.59 and II. 155-156. There appears also to be a different ‘Letopolis’ known in Egyptian as</w:t>
      </w:r>
      <w:r>
        <w:rPr>
          <w:rFonts w:cs="Calibri"/>
          <w:color w:val="333333"/>
          <w:sz w:val="22"/>
          <w:szCs w:val="22"/>
          <w:shd w:val="clear" w:color="auto" w:fill="FFFFFF"/>
        </w:rPr>
        <w:t xml:space="preserve"> Khem</w:t>
      </w:r>
      <w:r>
        <w:rPr>
          <w:rFonts w:cs="Calibri"/>
          <w:color w:val="151515"/>
          <w:sz w:val="22"/>
          <w:szCs w:val="22"/>
        </w:rPr>
        <w:t xml:space="preserve"> close to the apex of the Delta.</w:t>
      </w:r>
    </w:p>
  </w:footnote>
  <w:footnote w:id="86">
    <w:p w14:paraId="6FB09A76" w14:textId="77777777" w:rsidR="00537F32" w:rsidRDefault="00000000">
      <w:pPr>
        <w:pStyle w:val="FootnoteText"/>
        <w:spacing w:after="120"/>
      </w:pPr>
      <w:r>
        <w:rPr>
          <w:rStyle w:val="FootnoteReference"/>
        </w:rPr>
        <w:footnoteRef/>
      </w:r>
      <w:r>
        <w:rPr>
          <w:rFonts w:cs="Calibri"/>
          <w:sz w:val="22"/>
          <w:szCs w:val="22"/>
        </w:rPr>
        <w:t xml:space="preserve"> Herodotus II,54 does indeed claim that the original Dodona priestess was abducted from Egypt.</w:t>
      </w:r>
    </w:p>
  </w:footnote>
  <w:footnote w:id="87">
    <w:p w14:paraId="6522851F" w14:textId="77777777" w:rsidR="00537F32" w:rsidRDefault="00000000">
      <w:pPr>
        <w:pStyle w:val="FootnoteText"/>
        <w:spacing w:after="120"/>
      </w:pPr>
      <w:r>
        <w:rPr>
          <w:rStyle w:val="FootnoteReference"/>
        </w:rPr>
        <w:footnoteRef/>
      </w:r>
      <w:r>
        <w:rPr>
          <w:sz w:val="22"/>
          <w:szCs w:val="22"/>
        </w:rPr>
        <w:t xml:space="preserve"> Ustinova, 2009, pp. 28-41, introduces the concept of altered states in caves, pp. 53-155, describe Greek oracular caves in great detail. C</w:t>
      </w:r>
      <w:r>
        <w:rPr>
          <w:rFonts w:cs="Calibri"/>
          <w:color w:val="151515"/>
          <w:sz w:val="22"/>
          <w:szCs w:val="22"/>
        </w:rPr>
        <w:t>aves do exist in Egypt, but in a different geology, not much used for any purpose other than as tombs, in comparison with the valley floor (Ashraf, 2012).</w:t>
      </w:r>
    </w:p>
  </w:footnote>
  <w:footnote w:id="88">
    <w:p w14:paraId="7859D199" w14:textId="77777777" w:rsidR="00537F32" w:rsidRDefault="00000000">
      <w:pPr>
        <w:pStyle w:val="FootnoteText"/>
        <w:spacing w:after="120"/>
      </w:pPr>
      <w:r>
        <w:rPr>
          <w:rStyle w:val="FootnoteReference"/>
        </w:rPr>
        <w:footnoteRef/>
      </w:r>
      <w:r>
        <w:rPr>
          <w:sz w:val="22"/>
          <w:szCs w:val="22"/>
        </w:rPr>
        <w:t xml:space="preserve"> Although Egypt did not always have a unified and strong monarchy, the association of temples with state and monarchy is not contested, even when some areas were ‘ruled’ by temple. Inquiries of a ‘political’ nature were similarly prohibited under Roman occupation (Frankfurter, 2005, p. 241) .</w:t>
      </w:r>
    </w:p>
  </w:footnote>
  <w:footnote w:id="89">
    <w:p w14:paraId="01911350" w14:textId="77777777" w:rsidR="00EE6F9A" w:rsidRDefault="00EE6F9A" w:rsidP="00EE6F9A">
      <w:pPr>
        <w:pStyle w:val="FootnoteText"/>
        <w:spacing w:after="120"/>
      </w:pPr>
      <w:r>
        <w:rPr>
          <w:rStyle w:val="FootnoteReference"/>
        </w:rPr>
        <w:footnoteRef/>
      </w:r>
      <w:r>
        <w:rPr>
          <w:rFonts w:cs="Calibri"/>
          <w:sz w:val="22"/>
          <w:szCs w:val="22"/>
        </w:rPr>
        <w:t xml:space="preserve"> Herodotus </w:t>
      </w:r>
      <w:proofErr w:type="gramStart"/>
      <w:r>
        <w:rPr>
          <w:rFonts w:cs="Calibri"/>
          <w:sz w:val="22"/>
          <w:szCs w:val="22"/>
        </w:rPr>
        <w:t>tells</w:t>
      </w:r>
      <w:proofErr w:type="gramEnd"/>
      <w:r>
        <w:rPr>
          <w:rFonts w:cs="Calibri"/>
          <w:sz w:val="22"/>
          <w:szCs w:val="22"/>
        </w:rPr>
        <w:t xml:space="preserve"> that this also was founded, simultaneously with Dodona, by another Egyptian abductee and further, of Cambyses disastrous failure to destroy the oracle which apparently rejected his rulership. It was later most famous for the visit of Alexander in search of legitimation, and still highly regarded by the time of Plutarch, visited by characters in ‘On the Eclipse of Oracles’. Though surrounded by extensive aridity, the oasis is a substantial habitable area of about 200km</w:t>
      </w:r>
      <w:r>
        <w:rPr>
          <w:rFonts w:cs="Calibri"/>
          <w:sz w:val="22"/>
          <w:szCs w:val="22"/>
          <w:vertAlign w:val="superscript"/>
        </w:rPr>
        <w:t>2</w:t>
      </w:r>
      <w:r>
        <w:rPr>
          <w:rFonts w:cs="Calibri"/>
          <w:sz w:val="22"/>
          <w:szCs w:val="22"/>
        </w:rPr>
        <w:t xml:space="preserve"> settled since at least 10</w:t>
      </w:r>
      <w:r>
        <w:rPr>
          <w:rFonts w:cs="Calibri"/>
          <w:sz w:val="22"/>
          <w:szCs w:val="22"/>
          <w:vertAlign w:val="superscript"/>
        </w:rPr>
        <w:t>th</w:t>
      </w:r>
      <w:r>
        <w:rPr>
          <w:rFonts w:cs="Calibri"/>
          <w:sz w:val="22"/>
          <w:szCs w:val="22"/>
        </w:rPr>
        <w:t xml:space="preserve"> millennium bce. The earliest evidence of Egyptian connections dates from the 26</w:t>
      </w:r>
      <w:r>
        <w:rPr>
          <w:rFonts w:cs="Calibri"/>
          <w:sz w:val="22"/>
          <w:szCs w:val="22"/>
          <w:vertAlign w:val="superscript"/>
        </w:rPr>
        <w:t>th</w:t>
      </w:r>
      <w:r>
        <w:rPr>
          <w:rFonts w:cs="Calibri"/>
          <w:sz w:val="22"/>
          <w:szCs w:val="22"/>
        </w:rPr>
        <w:t xml:space="preserve"> Dynasty, the temple built 663BCE.</w:t>
      </w:r>
    </w:p>
  </w:footnote>
  <w:footnote w:id="90">
    <w:p w14:paraId="05E26941" w14:textId="77777777" w:rsidR="00537F32" w:rsidRDefault="00000000">
      <w:pPr>
        <w:pStyle w:val="FootnoteText"/>
        <w:spacing w:after="120"/>
      </w:pPr>
      <w:r>
        <w:rPr>
          <w:rStyle w:val="FootnoteReference"/>
        </w:rPr>
        <w:footnoteRef/>
      </w:r>
      <w:r>
        <w:rPr>
          <w:rFonts w:cs="Calibri"/>
          <w:sz w:val="22"/>
          <w:szCs w:val="22"/>
        </w:rPr>
        <w:t xml:space="preserve"> Herodotus, IV, 181. The phenomenon is nowadays ‘explained’ as due to the presence of effervescent gases.</w:t>
      </w:r>
    </w:p>
  </w:footnote>
  <w:footnote w:id="91">
    <w:p w14:paraId="59EC9FE7" w14:textId="7AC4431E" w:rsidR="00537F32" w:rsidRDefault="00000000">
      <w:pPr>
        <w:pStyle w:val="FootnoteText"/>
        <w:spacing w:after="120"/>
      </w:pPr>
      <w:r>
        <w:rPr>
          <w:rStyle w:val="FootnoteReference"/>
        </w:rPr>
        <w:footnoteRef/>
      </w:r>
      <w:r>
        <w:rPr>
          <w:sz w:val="22"/>
          <w:szCs w:val="22"/>
        </w:rPr>
        <w:t xml:space="preserve"> The original account is from </w:t>
      </w:r>
      <w:proofErr w:type="spellStart"/>
      <w:r>
        <w:rPr>
          <w:sz w:val="22"/>
          <w:szCs w:val="22"/>
        </w:rPr>
        <w:t>Kallisthenes</w:t>
      </w:r>
      <w:proofErr w:type="spellEnd"/>
      <w:r>
        <w:rPr>
          <w:sz w:val="22"/>
          <w:szCs w:val="22"/>
        </w:rPr>
        <w:t>, now lost, cited by Diodorus, 17.50.7. Chanting is widespread in modern shamanic practice</w:t>
      </w:r>
      <w:r w:rsidR="00EE6F9A">
        <w:rPr>
          <w:sz w:val="22"/>
          <w:szCs w:val="22"/>
        </w:rPr>
        <w:t>: a</w:t>
      </w:r>
      <w:r>
        <w:rPr>
          <w:sz w:val="22"/>
          <w:szCs w:val="22"/>
        </w:rPr>
        <w:t xml:space="preserve"> ‘scientific’ account of this may be found in Perry, et.al</w:t>
      </w:r>
      <w:r w:rsidR="007347B4">
        <w:rPr>
          <w:sz w:val="22"/>
          <w:szCs w:val="22"/>
        </w:rPr>
        <w:t>.</w:t>
      </w:r>
      <w:r>
        <w:rPr>
          <w:sz w:val="22"/>
          <w:szCs w:val="22"/>
        </w:rPr>
        <w:t xml:space="preserve"> 2021.</w:t>
      </w:r>
    </w:p>
  </w:footnote>
  <w:footnote w:id="92">
    <w:p w14:paraId="65BF5115" w14:textId="77777777" w:rsidR="00537F32" w:rsidRDefault="00000000">
      <w:pPr>
        <w:pStyle w:val="FootnoteText"/>
        <w:spacing w:after="120"/>
      </w:pPr>
      <w:r>
        <w:rPr>
          <w:rStyle w:val="FootnoteReference"/>
        </w:rPr>
        <w:footnoteRef/>
      </w:r>
      <w:r>
        <w:rPr>
          <w:sz w:val="22"/>
          <w:szCs w:val="22"/>
        </w:rPr>
        <w:t>T</w:t>
      </w:r>
      <w:r>
        <w:rPr>
          <w:rFonts w:eastAsia="Times New Roman" w:cs="Calibri"/>
          <w:color w:val="202122"/>
          <w:sz w:val="22"/>
          <w:szCs w:val="22"/>
          <w:lang w:eastAsia="en-GB"/>
        </w:rPr>
        <w:t>hat is, communication with the ancestors, rather than corpse-raising. Ritner, 2002, p. 94, describes necromantic consultations even extending to animals.</w:t>
      </w:r>
    </w:p>
  </w:footnote>
  <w:footnote w:id="93">
    <w:p w14:paraId="77968F9B" w14:textId="77777777" w:rsidR="00537F32" w:rsidRDefault="00000000">
      <w:pPr>
        <w:pStyle w:val="FootnoteText"/>
        <w:spacing w:after="120"/>
      </w:pPr>
      <w:r>
        <w:rPr>
          <w:rStyle w:val="FootnoteReference"/>
        </w:rPr>
        <w:footnoteRef/>
      </w:r>
      <w:r>
        <w:rPr>
          <w:sz w:val="22"/>
          <w:szCs w:val="22"/>
        </w:rPr>
        <w:t xml:space="preserve"> Werbner, 2015, p. 4: “only the dead see truly…their higher vision…closer to</w:t>
      </w:r>
      <w:proofErr w:type="gramStart"/>
      <w:r>
        <w:rPr>
          <w:sz w:val="22"/>
          <w:szCs w:val="22"/>
        </w:rPr>
        <w:t xml:space="preserve"> ..</w:t>
      </w:r>
      <w:proofErr w:type="gramEnd"/>
      <w:r>
        <w:rPr>
          <w:sz w:val="22"/>
          <w:szCs w:val="22"/>
        </w:rPr>
        <w:t>heaven…beyond mortal earthbound blindness”.</w:t>
      </w:r>
    </w:p>
  </w:footnote>
  <w:footnote w:id="94">
    <w:p w14:paraId="66102C9C" w14:textId="77777777" w:rsidR="00537F32" w:rsidRDefault="00000000">
      <w:pPr>
        <w:pStyle w:val="FootnoteText"/>
        <w:spacing w:after="120"/>
      </w:pPr>
      <w:r>
        <w:rPr>
          <w:rStyle w:val="FootnoteReference"/>
        </w:rPr>
        <w:footnoteRef/>
      </w:r>
      <w:r>
        <w:rPr>
          <w:sz w:val="22"/>
          <w:szCs w:val="22"/>
        </w:rPr>
        <w:t xml:space="preserve"> Ritner,2002, p. 96,</w:t>
      </w:r>
    </w:p>
  </w:footnote>
  <w:footnote w:id="95">
    <w:p w14:paraId="158C4DE4" w14:textId="77777777" w:rsidR="00537F32" w:rsidRDefault="00000000">
      <w:pPr>
        <w:pStyle w:val="FootnoteText"/>
        <w:spacing w:after="120"/>
      </w:pPr>
      <w:r>
        <w:rPr>
          <w:rStyle w:val="FootnoteReference"/>
        </w:rPr>
        <w:footnoteRef/>
      </w:r>
      <w:r>
        <w:rPr>
          <w:sz w:val="22"/>
          <w:szCs w:val="22"/>
        </w:rPr>
        <w:t xml:space="preserve"> Ritner, 2002, p. 90.</w:t>
      </w:r>
    </w:p>
  </w:footnote>
  <w:footnote w:id="96">
    <w:p w14:paraId="4294E8EA" w14:textId="77777777" w:rsidR="00537F32" w:rsidRDefault="00000000">
      <w:pPr>
        <w:pStyle w:val="FootnoteText"/>
        <w:spacing w:after="120"/>
      </w:pPr>
      <w:r>
        <w:rPr>
          <w:rStyle w:val="FootnoteReference"/>
        </w:rPr>
        <w:footnoteRef/>
      </w:r>
      <w:r>
        <w:rPr>
          <w:sz w:val="22"/>
          <w:szCs w:val="22"/>
        </w:rPr>
        <w:t xml:space="preserve"> This is not, of course, the standard Egyptological explanation of mummification.</w:t>
      </w:r>
    </w:p>
  </w:footnote>
  <w:footnote w:id="97">
    <w:p w14:paraId="65B81E9D" w14:textId="77777777" w:rsidR="00537F32" w:rsidRDefault="00000000">
      <w:pPr>
        <w:pStyle w:val="FootnoteText"/>
        <w:spacing w:after="120"/>
      </w:pPr>
      <w:r>
        <w:rPr>
          <w:rStyle w:val="FootnoteReference"/>
        </w:rPr>
        <w:footnoteRef/>
      </w:r>
      <w:r>
        <w:rPr>
          <w:sz w:val="22"/>
          <w:szCs w:val="22"/>
        </w:rPr>
        <w:t xml:space="preserve"> Betz, 1992, pp. 324-325.</w:t>
      </w:r>
    </w:p>
  </w:footnote>
  <w:footnote w:id="98">
    <w:p w14:paraId="637B636C" w14:textId="77777777" w:rsidR="00537F32" w:rsidRDefault="00000000">
      <w:pPr>
        <w:pStyle w:val="FootnoteText"/>
        <w:spacing w:after="120"/>
      </w:pPr>
      <w:r>
        <w:rPr>
          <w:rStyle w:val="FootnoteReference"/>
        </w:rPr>
        <w:footnoteRef/>
      </w:r>
      <w:r>
        <w:rPr>
          <w:sz w:val="22"/>
          <w:szCs w:val="22"/>
        </w:rPr>
        <w:t xml:space="preserve"> Troche, 2018.</w:t>
      </w:r>
    </w:p>
  </w:footnote>
  <w:footnote w:id="99">
    <w:p w14:paraId="0FA1FFC7" w14:textId="33542E11" w:rsidR="00537F32" w:rsidRDefault="00000000">
      <w:pPr>
        <w:pStyle w:val="FootnoteText"/>
        <w:spacing w:after="120"/>
      </w:pPr>
      <w:r>
        <w:rPr>
          <w:rStyle w:val="FootnoteReference"/>
        </w:rPr>
        <w:footnoteRef/>
      </w:r>
      <w:r>
        <w:rPr>
          <w:sz w:val="22"/>
          <w:szCs w:val="22"/>
        </w:rPr>
        <w:t xml:space="preserve"> </w:t>
      </w:r>
      <w:r>
        <w:rPr>
          <w:rFonts w:eastAsia="Times New Roman" w:cs="Calibri"/>
          <w:sz w:val="22"/>
          <w:szCs w:val="22"/>
          <w:lang w:eastAsia="en-GB"/>
        </w:rPr>
        <w:t>Černý</w:t>
      </w:r>
      <w:r w:rsidR="001F60FB">
        <w:rPr>
          <w:rFonts w:eastAsia="Times New Roman" w:cs="Calibri"/>
          <w:sz w:val="22"/>
          <w:szCs w:val="22"/>
          <w:lang w:eastAsia="en-GB"/>
        </w:rPr>
        <w:t xml:space="preserve">, </w:t>
      </w:r>
      <w:r>
        <w:rPr>
          <w:rFonts w:eastAsia="Times New Roman" w:cs="Calibri"/>
          <w:sz w:val="22"/>
          <w:szCs w:val="22"/>
          <w:lang w:eastAsia="en-GB"/>
        </w:rPr>
        <w:t>1962</w:t>
      </w:r>
      <w:r w:rsidR="001F60FB">
        <w:rPr>
          <w:rFonts w:eastAsia="Times New Roman" w:cs="Calibri"/>
          <w:sz w:val="22"/>
          <w:szCs w:val="22"/>
          <w:lang w:eastAsia="en-GB"/>
        </w:rPr>
        <w:t>, p</w:t>
      </w:r>
      <w:r>
        <w:rPr>
          <w:rFonts w:eastAsia="Times New Roman" w:cs="Calibri"/>
          <w:sz w:val="22"/>
          <w:szCs w:val="22"/>
          <w:lang w:eastAsia="en-GB"/>
        </w:rPr>
        <w:t xml:space="preserve">. 35. </w:t>
      </w:r>
    </w:p>
  </w:footnote>
  <w:footnote w:id="100">
    <w:p w14:paraId="54DE2B17" w14:textId="77777777" w:rsidR="00537F32" w:rsidRDefault="00000000">
      <w:pPr>
        <w:pStyle w:val="FootnoteText"/>
        <w:spacing w:after="120"/>
      </w:pPr>
      <w:r>
        <w:rPr>
          <w:rStyle w:val="FootnoteReference"/>
        </w:rPr>
        <w:footnoteRef/>
      </w:r>
      <w:r>
        <w:rPr>
          <w:rFonts w:cs="Calibri"/>
          <w:sz w:val="22"/>
          <w:szCs w:val="22"/>
        </w:rPr>
        <w:t xml:space="preserve"> Kruchten, 2001, p. 609.</w:t>
      </w:r>
    </w:p>
  </w:footnote>
  <w:footnote w:id="101">
    <w:p w14:paraId="6A27FB3A" w14:textId="77777777" w:rsidR="00537F32" w:rsidRDefault="00000000">
      <w:pPr>
        <w:spacing w:after="120" w:line="240" w:lineRule="auto"/>
      </w:pPr>
      <w:r>
        <w:rPr>
          <w:rStyle w:val="FootnoteReference"/>
        </w:rPr>
        <w:footnoteRef/>
      </w:r>
      <w:r>
        <w:rPr>
          <w:rFonts w:cs="Calibri"/>
        </w:rPr>
        <w:t xml:space="preserve"> Not subject to mortal limitations, a deity could be fully present in more than one location. </w:t>
      </w:r>
      <w:r>
        <w:rPr>
          <w:rFonts w:cs="Calibri"/>
          <w:shd w:val="clear" w:color="auto" w:fill="FFFFFF"/>
          <w:lang w:val="egy"/>
        </w:rPr>
        <w:t xml:space="preserve">At Deir el-Medina, founded by Amenhotep I, there were up to six shrines dedicated to the deified founder. </w:t>
      </w:r>
    </w:p>
  </w:footnote>
  <w:footnote w:id="102">
    <w:p w14:paraId="1ADDD32A" w14:textId="77777777" w:rsidR="00537F32" w:rsidRDefault="00000000">
      <w:pPr>
        <w:pStyle w:val="FootnoteText"/>
        <w:spacing w:after="120"/>
      </w:pPr>
      <w:r>
        <w:rPr>
          <w:rStyle w:val="FootnoteReference"/>
        </w:rPr>
        <w:footnoteRef/>
      </w:r>
      <w:r>
        <w:rPr>
          <w:sz w:val="22"/>
          <w:szCs w:val="22"/>
        </w:rPr>
        <w:t xml:space="preserve"> Extended physical exertion of this character is potentially sufficient to establish some degree of ‘altered state of consciousness’ in the bearers.</w:t>
      </w:r>
    </w:p>
  </w:footnote>
  <w:footnote w:id="103">
    <w:p w14:paraId="4AFAA5BC" w14:textId="6F48F0C1" w:rsidR="00537F32" w:rsidRDefault="00000000">
      <w:pPr>
        <w:pStyle w:val="FootnoteText"/>
        <w:spacing w:after="120"/>
      </w:pPr>
      <w:r>
        <w:rPr>
          <w:rStyle w:val="FootnoteReference"/>
        </w:rPr>
        <w:footnoteRef/>
      </w:r>
      <w:r>
        <w:rPr>
          <w:sz w:val="22"/>
          <w:szCs w:val="22"/>
        </w:rPr>
        <w:t xml:space="preserve"> The processions </w:t>
      </w:r>
      <w:r w:rsidR="00A42CA8">
        <w:rPr>
          <w:sz w:val="22"/>
          <w:szCs w:val="22"/>
        </w:rPr>
        <w:t xml:space="preserve">at Abydos </w:t>
      </w:r>
      <w:r>
        <w:rPr>
          <w:sz w:val="22"/>
          <w:szCs w:val="22"/>
        </w:rPr>
        <w:t>are evidenced from the Middle Kingdom (O’Connor. 2011, p. 91) continuing throughout the New Kingdom (p. 114) and late period (p.131).</w:t>
      </w:r>
    </w:p>
  </w:footnote>
  <w:footnote w:id="104">
    <w:p w14:paraId="0CB4EEF9" w14:textId="77777777" w:rsidR="00537F32" w:rsidRDefault="00000000">
      <w:pPr>
        <w:pStyle w:val="FootnoteText"/>
        <w:spacing w:after="120"/>
      </w:pPr>
      <w:r>
        <w:rPr>
          <w:rStyle w:val="FootnoteReference"/>
        </w:rPr>
        <w:footnoteRef/>
      </w:r>
      <w:r>
        <w:rPr>
          <w:sz w:val="22"/>
          <w:szCs w:val="22"/>
        </w:rPr>
        <w:t xml:space="preserve"> Assmann, 1994, pp. 20-21</w:t>
      </w:r>
    </w:p>
  </w:footnote>
  <w:footnote w:id="105">
    <w:p w14:paraId="1440797C" w14:textId="77777777" w:rsidR="00537F32" w:rsidRDefault="00000000">
      <w:pPr>
        <w:pStyle w:val="FootnoteText"/>
        <w:spacing w:after="120"/>
      </w:pPr>
      <w:r>
        <w:rPr>
          <w:rStyle w:val="FootnoteReference"/>
        </w:rPr>
        <w:footnoteRef/>
      </w:r>
      <w:r>
        <w:rPr>
          <w:sz w:val="22"/>
          <w:szCs w:val="22"/>
        </w:rPr>
        <w:t xml:space="preserve"> Ritner, 1993, p. 214.</w:t>
      </w:r>
    </w:p>
  </w:footnote>
  <w:footnote w:id="106">
    <w:p w14:paraId="08815847" w14:textId="77777777" w:rsidR="00537F32" w:rsidRDefault="00000000">
      <w:pPr>
        <w:spacing w:after="120" w:line="240" w:lineRule="auto"/>
      </w:pPr>
      <w:r>
        <w:rPr>
          <w:rStyle w:val="FootnoteReference"/>
        </w:rPr>
        <w:footnoteRef/>
      </w:r>
      <w:r>
        <w:t xml:space="preserve"> These qualities may explain the deprecation of </w:t>
      </w:r>
      <w:r>
        <w:rPr>
          <w:rFonts w:cs="Calibri"/>
        </w:rPr>
        <w:t>the processional oracle in earlier academic perspective, its popular significance poorly recognised.</w:t>
      </w:r>
    </w:p>
  </w:footnote>
  <w:footnote w:id="107">
    <w:p w14:paraId="6524412E" w14:textId="77777777" w:rsidR="00537F32" w:rsidRDefault="00000000">
      <w:pPr>
        <w:pStyle w:val="FootnoteText"/>
        <w:spacing w:after="120"/>
      </w:pPr>
      <w:r>
        <w:rPr>
          <w:rStyle w:val="FootnoteReference"/>
        </w:rPr>
        <w:footnoteRef/>
      </w:r>
      <w:r>
        <w:rPr>
          <w:sz w:val="22"/>
          <w:szCs w:val="22"/>
        </w:rPr>
        <w:t xml:space="preserve"> By the time of Ramesses III, the festival lasted for 27 days. Both the festival and Luxor temple are named for the ‘southern harem’. </w:t>
      </w:r>
    </w:p>
  </w:footnote>
  <w:footnote w:id="108">
    <w:p w14:paraId="3AE5740D" w14:textId="3BDA9601" w:rsidR="00537F32" w:rsidRDefault="00000000">
      <w:pPr>
        <w:pStyle w:val="FootnoteText"/>
        <w:spacing w:after="120"/>
      </w:pPr>
      <w:r>
        <w:rPr>
          <w:rStyle w:val="FootnoteReference"/>
        </w:rPr>
        <w:footnoteRef/>
      </w:r>
      <w:r>
        <w:rPr>
          <w:sz w:val="22"/>
          <w:szCs w:val="22"/>
        </w:rPr>
        <w:t xml:space="preserve"> Blackman, 1925, p. 252. Intriguingly, the culprit denies the divine pronouncement and ‘appeals’ to several further oracles, all unsuccessfully. </w:t>
      </w:r>
      <w:r>
        <w:rPr>
          <w:rFonts w:cs="Calibri"/>
          <w:sz w:val="22"/>
          <w:szCs w:val="22"/>
        </w:rPr>
        <w:t>This text also demonstrates the existence of multiple ‘local’ Amun oracles in the vicinity of Thebes as well as the ‘national’ one at Karnak, n</w:t>
      </w:r>
      <w:r>
        <w:rPr>
          <w:sz w:val="22"/>
          <w:szCs w:val="22"/>
        </w:rPr>
        <w:t>amed as ‘Amun of Pe-</w:t>
      </w:r>
      <w:proofErr w:type="spellStart"/>
      <w:r>
        <w:rPr>
          <w:sz w:val="22"/>
          <w:szCs w:val="22"/>
        </w:rPr>
        <w:t>Khenty</w:t>
      </w:r>
      <w:proofErr w:type="spellEnd"/>
      <w:r>
        <w:rPr>
          <w:sz w:val="22"/>
          <w:szCs w:val="22"/>
        </w:rPr>
        <w:t xml:space="preserve"> (to whom initial complaint is addressed), ‘Amun of </w:t>
      </w:r>
      <w:proofErr w:type="spellStart"/>
      <w:r>
        <w:rPr>
          <w:sz w:val="22"/>
          <w:szCs w:val="22"/>
        </w:rPr>
        <w:t>Te-Shenyt</w:t>
      </w:r>
      <w:proofErr w:type="spellEnd"/>
      <w:r>
        <w:rPr>
          <w:sz w:val="22"/>
          <w:szCs w:val="22"/>
        </w:rPr>
        <w:t xml:space="preserve">’, and also Amun  of </w:t>
      </w:r>
      <w:proofErr w:type="spellStart"/>
      <w:r>
        <w:rPr>
          <w:sz w:val="22"/>
          <w:szCs w:val="22"/>
        </w:rPr>
        <w:t>Bukenem</w:t>
      </w:r>
      <w:proofErr w:type="spellEnd"/>
      <w:r>
        <w:rPr>
          <w:sz w:val="22"/>
          <w:szCs w:val="22"/>
        </w:rPr>
        <w:t>: it is not clear whether these are all ‘the same’ Amun or in some way separate deities, nor whether the</w:t>
      </w:r>
      <w:r w:rsidR="00C94F1C">
        <w:rPr>
          <w:sz w:val="22"/>
          <w:szCs w:val="22"/>
        </w:rPr>
        <w:t xml:space="preserve">ir processionals </w:t>
      </w:r>
      <w:r>
        <w:rPr>
          <w:sz w:val="22"/>
          <w:szCs w:val="22"/>
        </w:rPr>
        <w:t xml:space="preserve">were separate. There was a ‘distinct’ Amun also at both Luxor and </w:t>
      </w:r>
      <w:proofErr w:type="spellStart"/>
      <w:r>
        <w:rPr>
          <w:sz w:val="22"/>
          <w:szCs w:val="22"/>
        </w:rPr>
        <w:t>Medinet</w:t>
      </w:r>
      <w:proofErr w:type="spellEnd"/>
      <w:r>
        <w:rPr>
          <w:sz w:val="22"/>
          <w:szCs w:val="22"/>
        </w:rPr>
        <w:t xml:space="preserve"> Habu temples</w:t>
      </w:r>
      <w:r w:rsidR="001F60FB">
        <w:rPr>
          <w:sz w:val="22"/>
          <w:szCs w:val="22"/>
        </w:rPr>
        <w:t>.</w:t>
      </w:r>
    </w:p>
  </w:footnote>
  <w:footnote w:id="109">
    <w:p w14:paraId="0FA1F79C" w14:textId="45F7B4C3" w:rsidR="00537F32" w:rsidRPr="00CE6DEA" w:rsidRDefault="00000000">
      <w:pPr>
        <w:pStyle w:val="FootnoteText"/>
        <w:spacing w:after="120"/>
        <w:rPr>
          <w:sz w:val="22"/>
          <w:szCs w:val="22"/>
        </w:rPr>
      </w:pPr>
      <w:r w:rsidRPr="00CE6DEA">
        <w:rPr>
          <w:rStyle w:val="FootnoteReference"/>
          <w:sz w:val="22"/>
          <w:szCs w:val="22"/>
        </w:rPr>
        <w:footnoteRef/>
      </w:r>
      <w:r w:rsidRPr="00CE6DEA">
        <w:rPr>
          <w:sz w:val="22"/>
          <w:szCs w:val="22"/>
        </w:rPr>
        <w:t xml:space="preserve"> Blackman, 1925, p. 254.</w:t>
      </w:r>
      <w:r w:rsidR="00CE6DEA" w:rsidRPr="00CE6DEA">
        <w:rPr>
          <w:sz w:val="22"/>
          <w:szCs w:val="22"/>
        </w:rPr>
        <w:t xml:space="preserve"> Blackman </w:t>
      </w:r>
      <w:r w:rsidR="00CE6DEA" w:rsidRPr="00CE6DEA">
        <w:rPr>
          <w:rFonts w:cs="Calibri"/>
          <w:sz w:val="22"/>
          <w:szCs w:val="22"/>
          <w:shd w:val="clear" w:color="auto" w:fill="FFFFFF"/>
          <w:lang w:val="egy"/>
        </w:rPr>
        <w:t xml:space="preserve">also assumes that audible words were spoken. Zivie-Coche (Dunand &amp; Zivie-Coche, 2004), p. 118, mentions the Egyptian </w:t>
      </w:r>
      <w:r w:rsidR="00C94F1C">
        <w:rPr>
          <w:rFonts w:cs="Calibri"/>
          <w:sz w:val="22"/>
          <w:szCs w:val="22"/>
          <w:shd w:val="clear" w:color="auto" w:fill="FFFFFF"/>
          <w:lang w:val="egy"/>
        </w:rPr>
        <w:t xml:space="preserve">phrase </w:t>
      </w:r>
      <w:r w:rsidR="00CE6DEA" w:rsidRPr="00CE6DEA">
        <w:rPr>
          <w:rFonts w:cs="Calibri"/>
          <w:sz w:val="22"/>
          <w:szCs w:val="22"/>
          <w:shd w:val="clear" w:color="auto" w:fill="FFFFFF"/>
          <w:lang w:val="egy"/>
        </w:rPr>
        <w:t>“revelation of the face”, which would imply its occurrence.</w:t>
      </w:r>
    </w:p>
  </w:footnote>
  <w:footnote w:id="110">
    <w:p w14:paraId="53A4C9D4" w14:textId="7A93542E" w:rsidR="00537F32" w:rsidRDefault="00000000">
      <w:pPr>
        <w:spacing w:after="120" w:line="240" w:lineRule="auto"/>
      </w:pPr>
      <w:r>
        <w:rPr>
          <w:rStyle w:val="FootnoteReference"/>
        </w:rPr>
        <w:footnoteRef/>
      </w:r>
      <w:r>
        <w:t xml:space="preserve"> </w:t>
      </w:r>
      <w:r>
        <w:rPr>
          <w:rFonts w:cs="Calibri"/>
          <w:shd w:val="clear" w:color="auto" w:fill="FFFFFF"/>
          <w:lang w:val="egy"/>
        </w:rPr>
        <w:t>Černý, 1962, p. 35.</w:t>
      </w:r>
      <w:r w:rsidR="00941C03">
        <w:rPr>
          <w:rFonts w:cs="Calibri"/>
          <w:shd w:val="clear" w:color="auto" w:fill="FFFFFF"/>
          <w:lang w:val="egy"/>
        </w:rPr>
        <w:t xml:space="preserve"> The oracle as legitimator seems to have continued as late as the Libyaan dynasties, in addition to the Siwan enquiry by Alexander noted (</w:t>
      </w:r>
      <w:r w:rsidR="00FB4FF7">
        <w:rPr>
          <w:rFonts w:cs="Calibri"/>
          <w:shd w:val="clear" w:color="auto" w:fill="FFFFFF"/>
          <w:lang w:val="egy"/>
        </w:rPr>
        <w:t>n. 8</w:t>
      </w:r>
      <w:r w:rsidR="00272FC5">
        <w:rPr>
          <w:rFonts w:cs="Calibri"/>
          <w:shd w:val="clear" w:color="auto" w:fill="FFFFFF"/>
          <w:lang w:val="egy"/>
        </w:rPr>
        <w:t>9</w:t>
      </w:r>
      <w:r w:rsidR="00941C03">
        <w:rPr>
          <w:rFonts w:cs="Calibri"/>
          <w:shd w:val="clear" w:color="auto" w:fill="FFFFFF"/>
          <w:lang w:val="egy"/>
        </w:rPr>
        <w:t xml:space="preserve">) </w:t>
      </w:r>
      <w:r w:rsidR="00FB4FF7">
        <w:rPr>
          <w:rFonts w:cs="Calibri"/>
          <w:shd w:val="clear" w:color="auto" w:fill="FFFFFF"/>
          <w:lang w:val="egy"/>
        </w:rPr>
        <w:t xml:space="preserve">above </w:t>
      </w:r>
      <w:r w:rsidR="00941C03">
        <w:rPr>
          <w:rFonts w:cs="Calibri"/>
          <w:shd w:val="clear" w:color="auto" w:fill="FFFFFF"/>
          <w:lang w:val="egy"/>
        </w:rPr>
        <w:t xml:space="preserve">(Szpakowska, 2003, p. 56). </w:t>
      </w:r>
    </w:p>
  </w:footnote>
  <w:footnote w:id="111">
    <w:p w14:paraId="2D2EE88B" w14:textId="66B725F6" w:rsidR="00CE6DEA" w:rsidRDefault="00CE6DEA" w:rsidP="00CE6DEA">
      <w:pPr>
        <w:pStyle w:val="FootnoteText"/>
        <w:spacing w:after="120"/>
      </w:pPr>
      <w:r w:rsidRPr="00CE6DEA">
        <w:rPr>
          <w:rStyle w:val="FootnoteReference"/>
          <w:sz w:val="22"/>
          <w:szCs w:val="22"/>
        </w:rPr>
        <w:footnoteRef/>
      </w:r>
      <w:r w:rsidRPr="00CE6DEA">
        <w:rPr>
          <w:sz w:val="22"/>
          <w:szCs w:val="22"/>
        </w:rPr>
        <w:t xml:space="preserve"> Zivie-Coche </w:t>
      </w:r>
      <w:r w:rsidRPr="00CE6DEA">
        <w:rPr>
          <w:rFonts w:cs="Calibri"/>
          <w:sz w:val="22"/>
          <w:szCs w:val="22"/>
          <w:shd w:val="clear" w:color="auto" w:fill="FFFFFF"/>
          <w:lang w:val="egy"/>
        </w:rPr>
        <w:t xml:space="preserve">(Dunand &amp; Zivie-Coche, 2004), p. 120, </w:t>
      </w:r>
      <w:r w:rsidRPr="00CE6DEA">
        <w:rPr>
          <w:sz w:val="22"/>
          <w:szCs w:val="22"/>
        </w:rPr>
        <w:t>mentions multiple ostraca found at Deir e-Medina with just the word for ‘No’ written, presumed as written oracular responses</w:t>
      </w:r>
      <w:r>
        <w:t>.</w:t>
      </w:r>
    </w:p>
  </w:footnote>
  <w:footnote w:id="112">
    <w:p w14:paraId="73DF9FA8" w14:textId="47E1B1E5" w:rsidR="00537F32" w:rsidRDefault="00000000">
      <w:pPr>
        <w:pStyle w:val="FootnoteText"/>
        <w:spacing w:after="120"/>
      </w:pPr>
      <w:r>
        <w:rPr>
          <w:rStyle w:val="FootnoteReference"/>
        </w:rPr>
        <w:footnoteRef/>
      </w:r>
      <w:r>
        <w:rPr>
          <w:sz w:val="22"/>
          <w:szCs w:val="22"/>
        </w:rPr>
        <w:t xml:space="preserve"> Evans-Pritchard, 1976, pp. 138-140.</w:t>
      </w:r>
      <w:r w:rsidR="001F60FB">
        <w:rPr>
          <w:sz w:val="22"/>
          <w:szCs w:val="22"/>
        </w:rPr>
        <w:t xml:space="preserve"> For the Zande, a</w:t>
      </w:r>
      <w:r>
        <w:rPr>
          <w:rFonts w:cs="Calibri"/>
          <w:sz w:val="22"/>
          <w:szCs w:val="22"/>
        </w:rPr>
        <w:t xml:space="preserve"> positive result required both an affirmative answer to the positively phrased question and a negative answer to its converse, denial vice versa similarly requires rejection of positive and affirmation to negative (but it remains unclear what </w:t>
      </w:r>
      <w:r w:rsidR="001F60FB">
        <w:rPr>
          <w:rFonts w:cs="Calibri"/>
          <w:sz w:val="22"/>
          <w:szCs w:val="22"/>
        </w:rPr>
        <w:t xml:space="preserve">might </w:t>
      </w:r>
      <w:r w:rsidR="00C94F1C">
        <w:rPr>
          <w:rFonts w:cs="Calibri"/>
          <w:sz w:val="22"/>
          <w:szCs w:val="22"/>
        </w:rPr>
        <w:t xml:space="preserve">have </w:t>
      </w:r>
      <w:r>
        <w:rPr>
          <w:rFonts w:cs="Calibri"/>
          <w:sz w:val="22"/>
          <w:szCs w:val="22"/>
        </w:rPr>
        <w:t xml:space="preserve">happened </w:t>
      </w:r>
      <w:r w:rsidR="001F60FB">
        <w:rPr>
          <w:rFonts w:cs="Calibri"/>
          <w:sz w:val="22"/>
          <w:szCs w:val="22"/>
        </w:rPr>
        <w:t xml:space="preserve">in Egypt with </w:t>
      </w:r>
      <w:r>
        <w:rPr>
          <w:rFonts w:cs="Calibri"/>
          <w:sz w:val="22"/>
          <w:szCs w:val="22"/>
        </w:rPr>
        <w:t>‘not proven’ results).</w:t>
      </w:r>
    </w:p>
  </w:footnote>
  <w:footnote w:id="113">
    <w:p w14:paraId="64FCE179" w14:textId="77777777" w:rsidR="00537F32" w:rsidRDefault="00000000">
      <w:pPr>
        <w:pStyle w:val="FootnoteText"/>
        <w:spacing w:after="120"/>
      </w:pPr>
      <w:r>
        <w:rPr>
          <w:rStyle w:val="FootnoteReference"/>
        </w:rPr>
        <w:footnoteRef/>
      </w:r>
      <w:r>
        <w:rPr>
          <w:sz w:val="22"/>
          <w:szCs w:val="22"/>
        </w:rPr>
        <w:t xml:space="preserve"> Erman, 1907, p. 168.</w:t>
      </w:r>
    </w:p>
  </w:footnote>
  <w:footnote w:id="114">
    <w:p w14:paraId="5462B918" w14:textId="77777777" w:rsidR="00537F32" w:rsidRDefault="00000000">
      <w:pPr>
        <w:pStyle w:val="FootnoteText"/>
        <w:spacing w:after="120"/>
      </w:pPr>
      <w:r>
        <w:rPr>
          <w:rStyle w:val="FootnoteReference"/>
        </w:rPr>
        <w:footnoteRef/>
      </w:r>
      <w:r>
        <w:rPr>
          <w:sz w:val="22"/>
          <w:szCs w:val="22"/>
        </w:rPr>
        <w:t xml:space="preserve"> Kruchten, 2001, p. 610, describes how the ‘procession master’ at the embezzlement trial mentioned above was not allowed to present his own petition. </w:t>
      </w:r>
      <w:r>
        <w:rPr>
          <w:rFonts w:cs="Calibri"/>
          <w:sz w:val="22"/>
          <w:szCs w:val="22"/>
          <w:shd w:val="clear" w:color="auto" w:fill="FFFFFF"/>
          <w:lang w:val="egy"/>
        </w:rPr>
        <w:t>A lack of corruption might further be suggest by the record of the Amenhotep I oracle at Deir el-Medina three times contradicting the word of a local ‘policeman’ (</w:t>
      </w:r>
      <w:r>
        <w:rPr>
          <w:rFonts w:cs="Calibri"/>
          <w:color w:val="202122"/>
          <w:sz w:val="22"/>
          <w:szCs w:val="22"/>
          <w:shd w:val="clear" w:color="auto" w:fill="FFFFFF"/>
          <w:lang w:val="egy"/>
        </w:rPr>
        <w:t>Černý, 1962, p. 42). Note also, the illustration on Černý, 1962, p. 37 shows the Amenhotep statue was fully visible.</w:t>
      </w:r>
    </w:p>
  </w:footnote>
  <w:footnote w:id="115">
    <w:p w14:paraId="6A63BB43" w14:textId="77777777" w:rsidR="00537F32" w:rsidRDefault="00000000">
      <w:pPr>
        <w:pStyle w:val="FootnoteText"/>
        <w:spacing w:after="120"/>
      </w:pPr>
      <w:r>
        <w:rPr>
          <w:rStyle w:val="FootnoteReference"/>
        </w:rPr>
        <w:footnoteRef/>
      </w:r>
      <w:r>
        <w:rPr>
          <w:sz w:val="22"/>
          <w:szCs w:val="22"/>
        </w:rPr>
        <w:t xml:space="preserve"> Ritner, </w:t>
      </w:r>
      <w:r>
        <w:rPr>
          <w:rFonts w:eastAsia="Times New Roman" w:cs="Calibri"/>
          <w:sz w:val="22"/>
          <w:szCs w:val="22"/>
          <w:lang w:eastAsia="en-GB"/>
        </w:rPr>
        <w:t>1993, p214. He notes that the term has been related to ‘sorcery’ by early writers.</w:t>
      </w:r>
    </w:p>
  </w:footnote>
  <w:footnote w:id="116">
    <w:p w14:paraId="0F13E89D" w14:textId="77777777" w:rsidR="00537F32" w:rsidRDefault="00000000">
      <w:pPr>
        <w:pStyle w:val="FootnoteText"/>
        <w:spacing w:after="120"/>
      </w:pPr>
      <w:r>
        <w:rPr>
          <w:rStyle w:val="FootnoteReference"/>
        </w:rPr>
        <w:footnoteRef/>
      </w:r>
      <w:r>
        <w:rPr>
          <w:rFonts w:cs="Calibri"/>
          <w:sz w:val="22"/>
          <w:szCs w:val="22"/>
        </w:rPr>
        <w:t xml:space="preserve"> It must be plausible that a diviner could be buried together with their ‘bundle’ of divinatory objects (though no such example is known to me), but equally, such bundles may well be considered sufficiently sacred that they are passed on to subsequent generations (as in North American tradition).</w:t>
      </w:r>
    </w:p>
  </w:footnote>
  <w:footnote w:id="117">
    <w:p w14:paraId="09CF7866" w14:textId="77777777" w:rsidR="00537F32" w:rsidRDefault="00000000">
      <w:pPr>
        <w:pStyle w:val="FootnoteText"/>
        <w:spacing w:after="120"/>
      </w:pPr>
      <w:r>
        <w:rPr>
          <w:rStyle w:val="FootnoteReference"/>
        </w:rPr>
        <w:footnoteRef/>
      </w:r>
      <w:r>
        <w:rPr>
          <w:sz w:val="22"/>
          <w:szCs w:val="22"/>
        </w:rPr>
        <w:t xml:space="preserve"> Baines, 1987, p. 93.</w:t>
      </w:r>
    </w:p>
  </w:footnote>
  <w:footnote w:id="118">
    <w:p w14:paraId="774A9EB8" w14:textId="77777777" w:rsidR="00537F32" w:rsidRDefault="00000000">
      <w:pPr>
        <w:pStyle w:val="FootnoteText"/>
        <w:spacing w:after="120"/>
      </w:pPr>
      <w:r>
        <w:rPr>
          <w:rStyle w:val="FootnoteReference"/>
        </w:rPr>
        <w:footnoteRef/>
      </w:r>
      <w:r>
        <w:rPr>
          <w:rFonts w:cs="Calibri"/>
          <w:sz w:val="22"/>
          <w:szCs w:val="22"/>
        </w:rPr>
        <w:t xml:space="preserve"> Werbner, 2015, p. 1.</w:t>
      </w:r>
    </w:p>
  </w:footnote>
  <w:footnote w:id="119">
    <w:p w14:paraId="04B7E57E" w14:textId="77777777" w:rsidR="00537F32" w:rsidRDefault="00000000">
      <w:pPr>
        <w:pStyle w:val="FootnoteText"/>
        <w:spacing w:after="120"/>
      </w:pPr>
      <w:r>
        <w:rPr>
          <w:rStyle w:val="FootnoteReference"/>
        </w:rPr>
        <w:footnoteRef/>
      </w:r>
      <w:r>
        <w:rPr>
          <w:rFonts w:cs="Calibri"/>
          <w:sz w:val="22"/>
          <w:szCs w:val="22"/>
        </w:rPr>
        <w:t xml:space="preserve"> These are not randomising procedures, for that would require precise manufacture of ‘fair’ dice or suchlike. These were possible by the Roman period – Tallett, 2012, p. 403, illustrates an icosahedral die used in oracular practice.</w:t>
      </w:r>
    </w:p>
  </w:footnote>
  <w:footnote w:id="120">
    <w:p w14:paraId="1DEBD4F0" w14:textId="0F89D64C" w:rsidR="00537F32" w:rsidRDefault="00000000">
      <w:pPr>
        <w:pStyle w:val="FootnoteText"/>
        <w:spacing w:after="120"/>
      </w:pPr>
      <w:r>
        <w:rPr>
          <w:rStyle w:val="FootnoteReference"/>
        </w:rPr>
        <w:footnoteRef/>
      </w:r>
      <w:r>
        <w:rPr>
          <w:rFonts w:cs="Calibri"/>
          <w:sz w:val="22"/>
          <w:szCs w:val="22"/>
        </w:rPr>
        <w:t xml:space="preserve"> Zuesse, 1975, p. 165</w:t>
      </w:r>
      <w:r w:rsidR="00BA4B86">
        <w:rPr>
          <w:rFonts w:cs="Calibri"/>
          <w:sz w:val="22"/>
          <w:szCs w:val="22"/>
        </w:rPr>
        <w:t>.</w:t>
      </w:r>
    </w:p>
  </w:footnote>
  <w:footnote w:id="121">
    <w:p w14:paraId="7B54BD92" w14:textId="35EEE26C" w:rsidR="00537F32" w:rsidRDefault="00000000">
      <w:pPr>
        <w:pStyle w:val="FootnoteText"/>
        <w:spacing w:after="120"/>
      </w:pPr>
      <w:r>
        <w:rPr>
          <w:rStyle w:val="FootnoteReference"/>
        </w:rPr>
        <w:footnoteRef/>
      </w:r>
      <w:r>
        <w:rPr>
          <w:rFonts w:cs="Calibri"/>
          <w:sz w:val="22"/>
          <w:szCs w:val="22"/>
        </w:rPr>
        <w:t xml:space="preserve"> Zuesse, 1975, p. 175, writes that the specialist practitioners must memorise 600 or more verses.</w:t>
      </w:r>
    </w:p>
  </w:footnote>
  <w:footnote w:id="122">
    <w:p w14:paraId="7CF987B1" w14:textId="77777777" w:rsidR="00537F32" w:rsidRDefault="00000000">
      <w:pPr>
        <w:pStyle w:val="FootnoteText"/>
        <w:spacing w:after="120"/>
      </w:pPr>
      <w:r>
        <w:rPr>
          <w:rStyle w:val="FootnoteReference"/>
        </w:rPr>
        <w:footnoteRef/>
      </w:r>
      <w:r>
        <w:rPr>
          <w:rFonts w:cs="Calibri"/>
          <w:sz w:val="22"/>
          <w:szCs w:val="22"/>
        </w:rPr>
        <w:t xml:space="preserve"> Werbner, 2015, pp. 5-9.</w:t>
      </w:r>
    </w:p>
  </w:footnote>
  <w:footnote w:id="123">
    <w:p w14:paraId="0BD782AC" w14:textId="77777777" w:rsidR="00537F32" w:rsidRDefault="00000000">
      <w:pPr>
        <w:pStyle w:val="FootnoteText"/>
        <w:spacing w:after="120"/>
      </w:pPr>
      <w:r>
        <w:rPr>
          <w:rStyle w:val="FootnoteReference"/>
        </w:rPr>
        <w:footnoteRef/>
      </w:r>
      <w:r>
        <w:rPr>
          <w:rFonts w:cs="Calibri"/>
          <w:sz w:val="22"/>
          <w:szCs w:val="22"/>
        </w:rPr>
        <w:t xml:space="preserve"> The </w:t>
      </w:r>
      <w:proofErr w:type="spellStart"/>
      <w:r>
        <w:rPr>
          <w:rFonts w:cs="Calibri"/>
          <w:sz w:val="22"/>
          <w:szCs w:val="22"/>
        </w:rPr>
        <w:t>Nabta</w:t>
      </w:r>
      <w:proofErr w:type="spellEnd"/>
      <w:r>
        <w:rPr>
          <w:rFonts w:cs="Calibri"/>
          <w:sz w:val="22"/>
          <w:szCs w:val="22"/>
        </w:rPr>
        <w:t xml:space="preserve"> Playa sites date from c. 7000 BCE – c. 3000 BCE. Progressive </w:t>
      </w:r>
      <w:proofErr w:type="spellStart"/>
      <w:r>
        <w:rPr>
          <w:rFonts w:cs="Calibri"/>
          <w:sz w:val="22"/>
          <w:szCs w:val="22"/>
        </w:rPr>
        <w:t>hyperaridification</w:t>
      </w:r>
      <w:proofErr w:type="spellEnd"/>
      <w:r>
        <w:rPr>
          <w:rFonts w:cs="Calibri"/>
          <w:sz w:val="22"/>
          <w:szCs w:val="22"/>
        </w:rPr>
        <w:t xml:space="preserve"> is believed to have prompted extensive migration into the Nile Valley ‘linear oasis’. Wendorf suggests this as a factor in First Dynasty Egyptian unification (Wendorf &amp; Schild, 1998, p. 119). This area of the Western Desert seems to have been a centre for cattle domestication. Associated spiritual traditions were linked by Frankfort to the Egyptian cults of ‘cow-eared’ Hathor and the idea of the pharaoh as bull (Wendorf &amp; Schild, 1998, p. 101, pp. 115-116).</w:t>
      </w:r>
    </w:p>
  </w:footnote>
  <w:footnote w:id="124">
    <w:p w14:paraId="65BCAD37" w14:textId="60A4CAD1" w:rsidR="00537F32" w:rsidRDefault="00000000">
      <w:pPr>
        <w:pStyle w:val="FootnoteText"/>
        <w:spacing w:after="120"/>
      </w:pPr>
      <w:r>
        <w:rPr>
          <w:rStyle w:val="FootnoteReference"/>
        </w:rPr>
        <w:footnoteRef/>
      </w:r>
      <w:r>
        <w:rPr>
          <w:rFonts w:cs="Calibri"/>
          <w:sz w:val="22"/>
          <w:szCs w:val="22"/>
        </w:rPr>
        <w:t xml:space="preserve"> Malville et. al</w:t>
      </w:r>
      <w:r w:rsidR="007347B4">
        <w:rPr>
          <w:rFonts w:cs="Calibri"/>
          <w:sz w:val="22"/>
          <w:szCs w:val="22"/>
        </w:rPr>
        <w:t>.</w:t>
      </w:r>
      <w:r>
        <w:rPr>
          <w:rFonts w:cs="Calibri"/>
          <w:sz w:val="22"/>
          <w:szCs w:val="22"/>
        </w:rPr>
        <w:t xml:space="preserve"> 2007, p. 4. A “symbolic geometry that integrated death, water and the Sun” has been suggested (Malville et. al</w:t>
      </w:r>
      <w:r w:rsidR="007347B4">
        <w:rPr>
          <w:rFonts w:cs="Calibri"/>
          <w:sz w:val="22"/>
          <w:szCs w:val="22"/>
        </w:rPr>
        <w:t>.</w:t>
      </w:r>
      <w:r>
        <w:rPr>
          <w:rFonts w:cs="Calibri"/>
          <w:sz w:val="22"/>
          <w:szCs w:val="22"/>
        </w:rPr>
        <w:t xml:space="preserve"> 1998, p. 488).</w:t>
      </w:r>
    </w:p>
  </w:footnote>
  <w:footnote w:id="125">
    <w:p w14:paraId="124E01AE" w14:textId="77777777" w:rsidR="00537F32" w:rsidRDefault="00000000">
      <w:pPr>
        <w:pStyle w:val="FootnoteText"/>
        <w:spacing w:after="120"/>
      </w:pPr>
      <w:r>
        <w:rPr>
          <w:rStyle w:val="FootnoteReference"/>
        </w:rPr>
        <w:footnoteRef/>
      </w:r>
      <w:r>
        <w:rPr>
          <w:rFonts w:cs="Calibri"/>
          <w:sz w:val="22"/>
          <w:szCs w:val="22"/>
        </w:rPr>
        <w:t xml:space="preserve"> Spalinger, 2002, p. 241. Herodotus II.4 claims the Egyptians as first to count in years and to determine a 365-day periodicity.</w:t>
      </w:r>
    </w:p>
  </w:footnote>
  <w:footnote w:id="126">
    <w:p w14:paraId="55A33CDD" w14:textId="26234A6E" w:rsidR="00537F32" w:rsidRDefault="00000000">
      <w:pPr>
        <w:pStyle w:val="FootnoteText"/>
        <w:spacing w:after="120"/>
      </w:pPr>
      <w:r>
        <w:rPr>
          <w:rStyle w:val="FootnoteReference"/>
        </w:rPr>
        <w:footnoteRef/>
      </w:r>
      <w:r>
        <w:rPr>
          <w:rFonts w:cs="Calibri"/>
          <w:sz w:val="22"/>
          <w:szCs w:val="22"/>
        </w:rPr>
        <w:t xml:space="preserve"> Parker, 1950</w:t>
      </w:r>
      <w:r w:rsidR="005D7270">
        <w:rPr>
          <w:rFonts w:cs="Calibri"/>
          <w:sz w:val="22"/>
          <w:szCs w:val="22"/>
        </w:rPr>
        <w:t xml:space="preserve">, pp. 24-29. The </w:t>
      </w:r>
      <w:r>
        <w:rPr>
          <w:rFonts w:cs="Calibri"/>
          <w:sz w:val="22"/>
          <w:szCs w:val="22"/>
        </w:rPr>
        <w:t>Sothic / Sirius rising cycle is actually 365.25 days (as in the Julian Calendar) hence the revised lunar calendar avoided the 0.25 days annual slide of the civil calendar that caused the 1460</w:t>
      </w:r>
      <w:r w:rsidR="005D7270">
        <w:rPr>
          <w:rFonts w:cs="Calibri"/>
          <w:sz w:val="22"/>
          <w:szCs w:val="22"/>
        </w:rPr>
        <w:t>-year</w:t>
      </w:r>
      <w:r>
        <w:rPr>
          <w:rFonts w:cs="Calibri"/>
          <w:sz w:val="22"/>
          <w:szCs w:val="22"/>
        </w:rPr>
        <w:t xml:space="preserve"> cycle of calendrical discrepancy.</w:t>
      </w:r>
    </w:p>
  </w:footnote>
  <w:footnote w:id="127">
    <w:p w14:paraId="7262BD27" w14:textId="77777777" w:rsidR="00537F32" w:rsidRDefault="00000000">
      <w:pPr>
        <w:pStyle w:val="FootnoteText"/>
        <w:spacing w:after="120"/>
      </w:pPr>
      <w:r>
        <w:rPr>
          <w:rStyle w:val="FootnoteReference"/>
        </w:rPr>
        <w:footnoteRef/>
      </w:r>
      <w:r>
        <w:rPr>
          <w:rFonts w:cs="Calibri"/>
          <w:sz w:val="22"/>
          <w:szCs w:val="22"/>
        </w:rPr>
        <w:t xml:space="preserve"> Hardy, 2003, pp. 61-62. Though since b</w:t>
      </w:r>
      <w:r>
        <w:rPr>
          <w:sz w:val="22"/>
          <w:szCs w:val="22"/>
        </w:rPr>
        <w:t>ased on individual planetary events, the protases may all be considered ‘omens’ rather than ‘horoscopes’.</w:t>
      </w:r>
    </w:p>
  </w:footnote>
  <w:footnote w:id="128">
    <w:p w14:paraId="50FF7D53" w14:textId="77777777" w:rsidR="00537F32" w:rsidRDefault="00000000">
      <w:pPr>
        <w:pStyle w:val="FootnoteText"/>
        <w:spacing w:after="120"/>
      </w:pPr>
      <w:r>
        <w:rPr>
          <w:rStyle w:val="FootnoteReference"/>
        </w:rPr>
        <w:footnoteRef/>
      </w:r>
      <w:r>
        <w:rPr>
          <w:rFonts w:cs="Calibri"/>
          <w:sz w:val="22"/>
          <w:szCs w:val="22"/>
        </w:rPr>
        <w:t xml:space="preserve"> </w:t>
      </w:r>
      <w:r>
        <w:rPr>
          <w:rFonts w:cs="Calibri"/>
          <w:color w:val="3A3A3A"/>
          <w:sz w:val="22"/>
          <w:szCs w:val="22"/>
          <w:shd w:val="clear" w:color="auto" w:fill="FFFFFF"/>
        </w:rPr>
        <w:t xml:space="preserve">Bács, 1990, p. 55. </w:t>
      </w:r>
      <w:r>
        <w:rPr>
          <w:rFonts w:cs="Calibri"/>
          <w:sz w:val="22"/>
          <w:szCs w:val="22"/>
        </w:rPr>
        <w:t>Wells, 2001, p. 118, suggests that the extent to which such advice was followed is questionable. Szpakowska, 2010, p. 523 cites the earliest known hemerological calendar as being from the Middle Kingdom, found in Lahun.</w:t>
      </w:r>
    </w:p>
  </w:footnote>
  <w:footnote w:id="129">
    <w:p w14:paraId="7477B23D" w14:textId="77777777" w:rsidR="00537F32" w:rsidRDefault="00000000">
      <w:pPr>
        <w:pStyle w:val="FootnoteText"/>
        <w:spacing w:after="120"/>
      </w:pPr>
      <w:r>
        <w:rPr>
          <w:rStyle w:val="FootnoteReference"/>
        </w:rPr>
        <w:footnoteRef/>
      </w:r>
      <w:r>
        <w:rPr>
          <w:sz w:val="22"/>
          <w:szCs w:val="22"/>
        </w:rPr>
        <w:t xml:space="preserve"> Sirius, known as </w:t>
      </w:r>
      <w:r>
        <w:rPr>
          <w:rFonts w:cs="Calibri"/>
          <w:sz w:val="22"/>
          <w:szCs w:val="22"/>
        </w:rPr>
        <w:t xml:space="preserve">Sothis or </w:t>
      </w:r>
      <w:proofErr w:type="spellStart"/>
      <w:r>
        <w:rPr>
          <w:rFonts w:cs="Calibri"/>
          <w:sz w:val="22"/>
          <w:szCs w:val="22"/>
        </w:rPr>
        <w:t>Sopdet</w:t>
      </w:r>
      <w:proofErr w:type="spellEnd"/>
      <w:r>
        <w:rPr>
          <w:rFonts w:cs="Calibri"/>
          <w:sz w:val="22"/>
          <w:szCs w:val="22"/>
        </w:rPr>
        <w:t xml:space="preserve"> to Egyptians)</w:t>
      </w:r>
      <w:r>
        <w:rPr>
          <w:sz w:val="22"/>
          <w:szCs w:val="22"/>
        </w:rPr>
        <w:t xml:space="preserve"> was by no means the only star of interest: Hardy, 2003, p. 58,  lists a number mentioned two or more times in the Cairo Calendar, including Canopus linked to Neith and Denebola to Anubis. </w:t>
      </w:r>
    </w:p>
  </w:footnote>
  <w:footnote w:id="130">
    <w:p w14:paraId="2EFDCD3D" w14:textId="31B49DBB" w:rsidR="00537F32" w:rsidRDefault="00000000">
      <w:pPr>
        <w:pStyle w:val="FootnoteText"/>
        <w:spacing w:after="120"/>
      </w:pPr>
      <w:r>
        <w:rPr>
          <w:rStyle w:val="FootnoteReference"/>
        </w:rPr>
        <w:footnoteRef/>
      </w:r>
      <w:r>
        <w:rPr>
          <w:rFonts w:cs="Calibri"/>
          <w:sz w:val="22"/>
          <w:szCs w:val="22"/>
        </w:rPr>
        <w:t xml:space="preserve"> Ryholt, 2023, p. 323. The associated divination manuals date to 2</w:t>
      </w:r>
      <w:r>
        <w:rPr>
          <w:rFonts w:cs="Calibri"/>
          <w:sz w:val="22"/>
          <w:szCs w:val="22"/>
          <w:vertAlign w:val="superscript"/>
        </w:rPr>
        <w:t>nd</w:t>
      </w:r>
      <w:r>
        <w:rPr>
          <w:rFonts w:cs="Calibri"/>
          <w:sz w:val="22"/>
          <w:szCs w:val="22"/>
        </w:rPr>
        <w:t xml:space="preserve"> century CE but are believed to originate in the Ptolemaic period. An example (p. 327) is “If She [Sirius] rises with Mars in Gemini / Some people will rebel in Egypt or in the region of Syria”. </w:t>
      </w:r>
      <w:r w:rsidR="00A96170">
        <w:rPr>
          <w:rFonts w:cs="Calibri"/>
          <w:sz w:val="22"/>
          <w:szCs w:val="22"/>
        </w:rPr>
        <w:t>Again, b</w:t>
      </w:r>
      <w:r>
        <w:rPr>
          <w:rFonts w:cs="Calibri"/>
          <w:sz w:val="22"/>
          <w:szCs w:val="22"/>
        </w:rPr>
        <w:t>ased on individual planetary events, the protases may all be considered ‘omens’.</w:t>
      </w:r>
    </w:p>
  </w:footnote>
  <w:footnote w:id="131">
    <w:p w14:paraId="59B77965" w14:textId="77777777" w:rsidR="00537F32" w:rsidRDefault="00000000">
      <w:pPr>
        <w:pStyle w:val="FootnoteText"/>
        <w:spacing w:after="120"/>
      </w:pPr>
      <w:r>
        <w:rPr>
          <w:rStyle w:val="FootnoteReference"/>
        </w:rPr>
        <w:footnoteRef/>
      </w:r>
      <w:r>
        <w:rPr>
          <w:rFonts w:cs="Calibri"/>
          <w:sz w:val="22"/>
          <w:szCs w:val="22"/>
        </w:rPr>
        <w:t xml:space="preserve"> Ryholt, 2023, pp. 349-350.</w:t>
      </w:r>
    </w:p>
  </w:footnote>
  <w:footnote w:id="132">
    <w:p w14:paraId="6EB90888" w14:textId="77777777" w:rsidR="00537F32" w:rsidRDefault="00000000">
      <w:pPr>
        <w:pStyle w:val="FootnoteText"/>
        <w:spacing w:after="120"/>
      </w:pPr>
      <w:r>
        <w:rPr>
          <w:rStyle w:val="FootnoteReference"/>
        </w:rPr>
        <w:footnoteRef/>
      </w:r>
      <w:r>
        <w:rPr>
          <w:rFonts w:cs="Calibri"/>
          <w:sz w:val="22"/>
          <w:szCs w:val="22"/>
        </w:rPr>
        <w:t xml:space="preserve"> By contrast, the master-navigators of the Pacific surely did have rainstorms to cope with.</w:t>
      </w:r>
    </w:p>
  </w:footnote>
  <w:footnote w:id="133">
    <w:p w14:paraId="4B893860" w14:textId="77777777" w:rsidR="00537F32" w:rsidRDefault="00000000">
      <w:pPr>
        <w:pStyle w:val="NormalWeb"/>
        <w:shd w:val="clear" w:color="auto" w:fill="FFFFFF"/>
        <w:spacing w:before="0" w:after="120"/>
      </w:pPr>
      <w:r>
        <w:rPr>
          <w:rStyle w:val="FootnoteReference"/>
        </w:rPr>
        <w:footnoteRef/>
      </w:r>
      <w:r>
        <w:rPr>
          <w:rFonts w:ascii="Calibri" w:hAnsi="Calibri" w:cs="Calibri"/>
          <w:sz w:val="22"/>
          <w:szCs w:val="22"/>
        </w:rPr>
        <w:t xml:space="preserve"> </w:t>
      </w:r>
      <w:r>
        <w:rPr>
          <w:rFonts w:ascii="Calibri" w:hAnsi="Calibri" w:cs="Calibri"/>
          <w:color w:val="151515"/>
          <w:sz w:val="22"/>
          <w:szCs w:val="22"/>
        </w:rPr>
        <w:t xml:space="preserve">Allen, 2001, p. 88. </w:t>
      </w:r>
    </w:p>
  </w:footnote>
  <w:footnote w:id="134">
    <w:p w14:paraId="6A449529" w14:textId="77777777" w:rsidR="00537F32" w:rsidRDefault="00000000">
      <w:pPr>
        <w:pStyle w:val="NormalWeb"/>
        <w:shd w:val="clear" w:color="auto" w:fill="FFFFFF"/>
        <w:spacing w:before="0" w:after="120"/>
      </w:pPr>
      <w:r>
        <w:rPr>
          <w:rStyle w:val="FootnoteReference"/>
        </w:rPr>
        <w:footnoteRef/>
      </w:r>
      <w:r>
        <w:rPr>
          <w:rFonts w:ascii="Calibri" w:hAnsi="Calibri" w:cs="Calibri"/>
          <w:sz w:val="22"/>
          <w:szCs w:val="22"/>
        </w:rPr>
        <w:t xml:space="preserve"> </w:t>
      </w:r>
      <w:proofErr w:type="spellStart"/>
      <w:r>
        <w:rPr>
          <w:rFonts w:ascii="Calibri" w:hAnsi="Calibri" w:cs="Calibri"/>
          <w:sz w:val="22"/>
          <w:szCs w:val="22"/>
        </w:rPr>
        <w:t>Jetsu</w:t>
      </w:r>
      <w:proofErr w:type="spellEnd"/>
      <w:r>
        <w:rPr>
          <w:rFonts w:ascii="Calibri" w:hAnsi="Calibri" w:cs="Calibri"/>
          <w:sz w:val="22"/>
          <w:szCs w:val="22"/>
        </w:rPr>
        <w:t xml:space="preserve"> &amp; </w:t>
      </w:r>
      <w:proofErr w:type="spellStart"/>
      <w:r>
        <w:rPr>
          <w:rFonts w:ascii="Calibri" w:hAnsi="Calibri" w:cs="Calibri"/>
          <w:sz w:val="22"/>
          <w:szCs w:val="22"/>
        </w:rPr>
        <w:t>Proceddu</w:t>
      </w:r>
      <w:proofErr w:type="spellEnd"/>
      <w:r>
        <w:rPr>
          <w:rFonts w:ascii="Calibri" w:hAnsi="Calibri" w:cs="Calibri"/>
          <w:sz w:val="22"/>
          <w:szCs w:val="22"/>
        </w:rPr>
        <w:t>, 2015.</w:t>
      </w:r>
    </w:p>
  </w:footnote>
  <w:footnote w:id="135">
    <w:p w14:paraId="641B4160" w14:textId="77777777" w:rsidR="00537F32" w:rsidRDefault="00000000">
      <w:pPr>
        <w:spacing w:after="120" w:line="240" w:lineRule="auto"/>
      </w:pPr>
      <w:r>
        <w:rPr>
          <w:rStyle w:val="FootnoteReference"/>
        </w:rPr>
        <w:footnoteRef/>
      </w:r>
      <w:r>
        <w:rPr>
          <w:rFonts w:cs="Calibri"/>
        </w:rPr>
        <w:t xml:space="preserve"> It is obvious, literally, there to be seen, that despite immediate perception, the sun does </w:t>
      </w:r>
      <w:r>
        <w:rPr>
          <w:rFonts w:cs="Calibri"/>
          <w:i/>
          <w:iCs/>
        </w:rPr>
        <w:t>not</w:t>
      </w:r>
      <w:r>
        <w:rPr>
          <w:rFonts w:cs="Calibri"/>
        </w:rPr>
        <w:t xml:space="preserve"> traverse the ‘sky’. Any observer can see, given the clear horizons of Egypt, that stars behind the sun’s brilliance are the same in the morning as in the evening (and in the middle of the day also, though of course only visible rather less often and only for the few minutes when a total solar eclipse occurs). The sun’s diameter is about half a degree: it is clear that the relative movement of sun against stars is only approximately one degree per day, making, of course, the zodiacal circuit over a full year. So it is </w:t>
      </w:r>
      <w:r>
        <w:rPr>
          <w:rFonts w:cs="Calibri"/>
          <w:i/>
          <w:iCs/>
        </w:rPr>
        <w:t>obvious</w:t>
      </w:r>
      <w:r>
        <w:rPr>
          <w:rFonts w:cs="Calibri"/>
        </w:rPr>
        <w:t xml:space="preserve"> that it is the ‘entire sky’ that revolves about the Earth, not the Sun crossing. Rotation of the stellar sphere at night can hardly be denied. The idea of the boat is reasonable enough – everything of significance in Egypt travelled by boat. So the Sun’s barque is crossing the Earth, not the Sky (or perhaps the Solar barque is itself the Sky). It is wholly implausible that this was not understood by the ‘hour watcher’ priesthood – the texts therefore need reinterpreting in this mode, which does not require the ‘next step’ concept of the Earth’s revolution on its axis in place of stellar-sphere revolution. It is unclear why Egyptologists should have accepted the naïve view, a lapse into primitivism may be speculated.</w:t>
      </w:r>
    </w:p>
  </w:footnote>
  <w:footnote w:id="136">
    <w:p w14:paraId="04A7E6E8" w14:textId="562652E1" w:rsidR="00537F32" w:rsidRDefault="00000000">
      <w:pPr>
        <w:pStyle w:val="FootnoteText"/>
        <w:spacing w:after="120"/>
      </w:pPr>
      <w:r>
        <w:rPr>
          <w:rStyle w:val="FootnoteReference"/>
        </w:rPr>
        <w:footnoteRef/>
      </w:r>
      <w:r>
        <w:rPr>
          <w:sz w:val="22"/>
          <w:szCs w:val="22"/>
        </w:rPr>
        <w:t xml:space="preserve"> Greenbaum &amp; Ross, 2010, p. 155. Multiple definition of decans developed over time, eventually coinciding with a threefold division of each zodiacal sign.</w:t>
      </w:r>
      <w:r w:rsidR="00242241">
        <w:rPr>
          <w:sz w:val="22"/>
          <w:szCs w:val="22"/>
        </w:rPr>
        <w:t xml:space="preserve"> Graur, 2024, p. 35, notes that the positions of decanal stars on the body of Nut correspond with the July date of Sothic rising.</w:t>
      </w:r>
    </w:p>
  </w:footnote>
  <w:footnote w:id="137">
    <w:p w14:paraId="3851FC64" w14:textId="77777777" w:rsidR="00537F32" w:rsidRDefault="00000000">
      <w:pPr>
        <w:pStyle w:val="FootnoteText"/>
        <w:spacing w:after="120"/>
      </w:pPr>
      <w:r>
        <w:rPr>
          <w:rStyle w:val="FootnoteReference"/>
        </w:rPr>
        <w:footnoteRef/>
      </w:r>
      <w:r>
        <w:rPr>
          <w:sz w:val="22"/>
          <w:szCs w:val="22"/>
        </w:rPr>
        <w:t xml:space="preserve"> Greenbaum &amp; Ross, 2010, pp. 153-156, 172-175.</w:t>
      </w:r>
    </w:p>
  </w:footnote>
  <w:footnote w:id="138">
    <w:p w14:paraId="4B2E3EB6" w14:textId="1F857232" w:rsidR="00D24BC5" w:rsidRPr="007B239D" w:rsidRDefault="00D24BC5" w:rsidP="007B239D">
      <w:pPr>
        <w:pStyle w:val="FootnoteText"/>
        <w:spacing w:after="120"/>
        <w:rPr>
          <w:sz w:val="22"/>
          <w:szCs w:val="22"/>
        </w:rPr>
      </w:pPr>
      <w:r w:rsidRPr="007B239D">
        <w:rPr>
          <w:rStyle w:val="FootnoteReference"/>
          <w:sz w:val="22"/>
          <w:szCs w:val="22"/>
        </w:rPr>
        <w:footnoteRef/>
      </w:r>
      <w:r w:rsidRPr="007B239D">
        <w:rPr>
          <w:sz w:val="22"/>
          <w:szCs w:val="22"/>
        </w:rPr>
        <w:t xml:space="preserve"> Greenbaum, 2016, pp. 95-99. This figure seems poorly understood. Wilkinson </w:t>
      </w:r>
      <w:r w:rsidR="007B239D" w:rsidRPr="007B239D">
        <w:rPr>
          <w:sz w:val="22"/>
          <w:szCs w:val="22"/>
        </w:rPr>
        <w:t xml:space="preserve">(2017, p. 128) </w:t>
      </w:r>
      <w:r w:rsidRPr="007B239D">
        <w:rPr>
          <w:sz w:val="22"/>
          <w:szCs w:val="22"/>
        </w:rPr>
        <w:t xml:space="preserve">thinks Him just a ‘personification’. Greenbaum describes His association with </w:t>
      </w:r>
      <w:proofErr w:type="spellStart"/>
      <w:r w:rsidRPr="007B239D">
        <w:rPr>
          <w:sz w:val="22"/>
          <w:szCs w:val="22"/>
        </w:rPr>
        <w:t>Agathos</w:t>
      </w:r>
      <w:proofErr w:type="spellEnd"/>
      <w:r w:rsidRPr="007B239D">
        <w:rPr>
          <w:sz w:val="22"/>
          <w:szCs w:val="22"/>
        </w:rPr>
        <w:t xml:space="preserve"> Daimon, hence </w:t>
      </w:r>
      <w:r w:rsidR="007B239D" w:rsidRPr="007B239D">
        <w:rPr>
          <w:sz w:val="22"/>
          <w:szCs w:val="22"/>
        </w:rPr>
        <w:t xml:space="preserve">with </w:t>
      </w:r>
      <w:r w:rsidRPr="007B239D">
        <w:rPr>
          <w:sz w:val="22"/>
          <w:szCs w:val="22"/>
        </w:rPr>
        <w:t>Osiris/</w:t>
      </w:r>
      <w:proofErr w:type="spellStart"/>
      <w:r w:rsidRPr="007B239D">
        <w:rPr>
          <w:sz w:val="22"/>
          <w:szCs w:val="22"/>
        </w:rPr>
        <w:t>Sarapis</w:t>
      </w:r>
      <w:proofErr w:type="spellEnd"/>
      <w:r w:rsidRPr="007B239D">
        <w:rPr>
          <w:sz w:val="22"/>
          <w:szCs w:val="22"/>
        </w:rPr>
        <w:t xml:space="preserve"> but also quotes (p. 90) an Isis aretalogy in which Isis specifically </w:t>
      </w:r>
      <w:proofErr w:type="gramStart"/>
      <w:r w:rsidRPr="007B239D">
        <w:rPr>
          <w:sz w:val="22"/>
          <w:szCs w:val="22"/>
        </w:rPr>
        <w:t>says</w:t>
      </w:r>
      <w:proofErr w:type="gramEnd"/>
      <w:r w:rsidRPr="007B239D">
        <w:rPr>
          <w:sz w:val="22"/>
          <w:szCs w:val="22"/>
        </w:rPr>
        <w:t xml:space="preserve"> “I conquer fate” (or ‘Fate’?).</w:t>
      </w:r>
    </w:p>
  </w:footnote>
  <w:footnote w:id="139">
    <w:p w14:paraId="3C4C6551" w14:textId="2036D389" w:rsidR="00537F32" w:rsidRDefault="00000000">
      <w:pPr>
        <w:pStyle w:val="FootnoteText"/>
        <w:spacing w:after="120"/>
      </w:pPr>
      <w:r>
        <w:rPr>
          <w:rStyle w:val="FootnoteReference"/>
        </w:rPr>
        <w:footnoteRef/>
      </w:r>
      <w:r>
        <w:rPr>
          <w:sz w:val="22"/>
          <w:szCs w:val="22"/>
        </w:rPr>
        <w:t xml:space="preserve"> That is, </w:t>
      </w:r>
      <w:r>
        <w:rPr>
          <w:rFonts w:eastAsia="Times New Roman" w:cs="Calibri"/>
          <w:sz w:val="22"/>
          <w:szCs w:val="22"/>
          <w:lang w:eastAsia="en-GB"/>
        </w:rPr>
        <w:t>Amun, at the Luxor temple (</w:t>
      </w:r>
      <w:r>
        <w:rPr>
          <w:sz w:val="22"/>
          <w:szCs w:val="22"/>
        </w:rPr>
        <w:t>Tyldesley, 1996, p. 108). Amun is called</w:t>
      </w:r>
      <w:r>
        <w:rPr>
          <w:rFonts w:eastAsia="Times New Roman" w:cs="Calibri"/>
          <w:color w:val="202122"/>
          <w:sz w:val="22"/>
          <w:szCs w:val="22"/>
          <w:lang w:eastAsia="en-GB"/>
        </w:rPr>
        <w:t xml:space="preserve"> </w:t>
      </w:r>
      <w:proofErr w:type="spellStart"/>
      <w:r>
        <w:rPr>
          <w:rFonts w:eastAsia="Times New Roman" w:cs="Calibri"/>
          <w:i/>
          <w:iCs/>
          <w:color w:val="202122"/>
          <w:sz w:val="22"/>
          <w:szCs w:val="22"/>
          <w:lang w:eastAsia="en-GB"/>
        </w:rPr>
        <w:t>nb-ntrw</w:t>
      </w:r>
      <w:proofErr w:type="spellEnd"/>
      <w:r>
        <w:rPr>
          <w:rFonts w:eastAsia="Times New Roman" w:cs="Calibri"/>
          <w:color w:val="202122"/>
          <w:sz w:val="22"/>
          <w:szCs w:val="22"/>
          <w:lang w:eastAsia="en-GB"/>
        </w:rPr>
        <w:t xml:space="preserve"> (neb netjeru -Lord of Gods) at Luxor and Karnak. </w:t>
      </w:r>
      <w:r w:rsidR="00FB7ECE">
        <w:rPr>
          <w:rFonts w:eastAsia="Times New Roman" w:cs="Calibri"/>
          <w:color w:val="202122"/>
          <w:sz w:val="22"/>
          <w:szCs w:val="22"/>
          <w:lang w:eastAsia="en-GB"/>
        </w:rPr>
        <w:t xml:space="preserve">By the late Period, Amun had been ‘syncretised’ into the Heliopolitan cosmology as Amun-Ra, also identified as Nun (McClain, 2011, p. 5). </w:t>
      </w:r>
      <w:r>
        <w:rPr>
          <w:sz w:val="22"/>
          <w:szCs w:val="22"/>
        </w:rPr>
        <w:t>It is unclear how Amun acquired such a status, perhaps dating back to the Middle Kingdom: his position in the Hermopolitan Ogdoad, frog-headed and partnered by serpent-headed Amaunet</w:t>
      </w:r>
      <w:r w:rsidR="00A96170">
        <w:rPr>
          <w:sz w:val="22"/>
          <w:szCs w:val="22"/>
        </w:rPr>
        <w:t>,</w:t>
      </w:r>
      <w:r>
        <w:rPr>
          <w:sz w:val="22"/>
          <w:szCs w:val="22"/>
        </w:rPr>
        <w:t xml:space="preserve"> seems to have no relation to the God of Karnak, partnered by the vulture-form Goddess Mut. Diodorus Siculus, writes of the Nubians at Meroe (III, 6-7), where priests controlled the kings, a temple of Amun at Napata. Amun of Karnak </w:t>
      </w:r>
      <w:r>
        <w:rPr>
          <w:rFonts w:cs="Calibri"/>
          <w:sz w:val="22"/>
          <w:szCs w:val="22"/>
        </w:rPr>
        <w:t xml:space="preserve">seems more to resemble that deity. </w:t>
      </w:r>
      <w:r>
        <w:rPr>
          <w:rFonts w:cs="Calibri"/>
          <w:sz w:val="22"/>
          <w:szCs w:val="22"/>
          <w:shd w:val="clear" w:color="auto" w:fill="FFFFFF"/>
        </w:rPr>
        <w:t xml:space="preserve">Černý, 1962, p. 46 cites the oracular selection of </w:t>
      </w:r>
      <w:proofErr w:type="spellStart"/>
      <w:r>
        <w:rPr>
          <w:rFonts w:cs="Calibri"/>
          <w:sz w:val="22"/>
          <w:szCs w:val="22"/>
          <w:shd w:val="clear" w:color="auto" w:fill="FFFFFF"/>
        </w:rPr>
        <w:t>Aspelta</w:t>
      </w:r>
      <w:proofErr w:type="spellEnd"/>
      <w:r>
        <w:rPr>
          <w:rFonts w:cs="Calibri"/>
          <w:sz w:val="22"/>
          <w:szCs w:val="22"/>
          <w:shd w:val="clear" w:color="auto" w:fill="FFFFFF"/>
        </w:rPr>
        <w:t xml:space="preserve"> as king of Kush, c.600BCE</w:t>
      </w:r>
      <w:r>
        <w:rPr>
          <w:rFonts w:cs="Calibri"/>
          <w:color w:val="53565A"/>
          <w:sz w:val="22"/>
          <w:szCs w:val="22"/>
          <w:shd w:val="clear" w:color="auto" w:fill="FFFFFF"/>
        </w:rPr>
        <w:t>.</w:t>
      </w:r>
      <w:r w:rsidR="00FB7ECE">
        <w:rPr>
          <w:rFonts w:cs="Calibri"/>
          <w:color w:val="53565A"/>
          <w:sz w:val="22"/>
          <w:szCs w:val="22"/>
          <w:shd w:val="clear" w:color="auto" w:fill="FFFFFF"/>
        </w:rPr>
        <w:t xml:space="preserve"> </w:t>
      </w:r>
    </w:p>
  </w:footnote>
  <w:footnote w:id="140">
    <w:p w14:paraId="59D797DC" w14:textId="77777777" w:rsidR="00537F32" w:rsidRDefault="00000000">
      <w:pPr>
        <w:pStyle w:val="FootnoteText"/>
        <w:spacing w:after="120"/>
      </w:pPr>
      <w:r>
        <w:rPr>
          <w:rStyle w:val="FootnoteReference"/>
        </w:rPr>
        <w:footnoteRef/>
      </w:r>
      <w:r>
        <w:rPr>
          <w:rFonts w:cs="Calibri"/>
          <w:sz w:val="22"/>
          <w:szCs w:val="22"/>
        </w:rPr>
        <w:t xml:space="preserve"> Tyldesley, 1996, p. 146.</w:t>
      </w:r>
    </w:p>
  </w:footnote>
  <w:footnote w:id="141">
    <w:p w14:paraId="3EE9BF0B" w14:textId="4C2766D4" w:rsidR="00537F32" w:rsidRDefault="00000000">
      <w:pPr>
        <w:pStyle w:val="FootnoteText"/>
        <w:spacing w:after="120"/>
      </w:pPr>
      <w:r>
        <w:rPr>
          <w:rStyle w:val="FootnoteReference"/>
        </w:rPr>
        <w:footnoteRef/>
      </w:r>
      <w:r>
        <w:rPr>
          <w:sz w:val="22"/>
          <w:szCs w:val="22"/>
        </w:rPr>
        <w:t xml:space="preserve"> </w:t>
      </w:r>
      <w:r>
        <w:rPr>
          <w:rFonts w:cs="Calibri"/>
          <w:sz w:val="22"/>
          <w:szCs w:val="22"/>
          <w:shd w:val="clear" w:color="auto" w:fill="FFFFFF"/>
          <w:lang w:val="egy"/>
        </w:rPr>
        <w:t xml:space="preserve">Černý, 1962, p. 35. He suggests the term as </w:t>
      </w:r>
      <w:r>
        <w:rPr>
          <w:rFonts w:cs="Calibri"/>
          <w:i/>
          <w:iCs/>
          <w:sz w:val="22"/>
          <w:szCs w:val="22"/>
          <w:shd w:val="clear" w:color="auto" w:fill="FFFFFF"/>
          <w:lang w:val="egy"/>
        </w:rPr>
        <w:t>n</w:t>
      </w:r>
      <w:r>
        <w:rPr>
          <w:rFonts w:cs="Calibri"/>
          <w:i/>
          <w:iCs/>
          <w:sz w:val="22"/>
          <w:szCs w:val="22"/>
          <w:u w:val="single"/>
          <w:shd w:val="clear" w:color="auto" w:fill="FFFFFF"/>
          <w:lang w:val="egy"/>
        </w:rPr>
        <w:t>d</w:t>
      </w:r>
      <w:r>
        <w:rPr>
          <w:rFonts w:cs="Calibri"/>
          <w:i/>
          <w:iCs/>
          <w:sz w:val="22"/>
          <w:szCs w:val="22"/>
          <w:shd w:val="clear" w:color="auto" w:fill="FFFFFF"/>
          <w:lang w:val="egy"/>
        </w:rPr>
        <w:t>wt-r3</w:t>
      </w:r>
      <w:r>
        <w:rPr>
          <w:rFonts w:cs="Calibri"/>
          <w:sz w:val="22"/>
          <w:szCs w:val="22"/>
          <w:shd w:val="clear" w:color="auto" w:fill="FFFFFF"/>
          <w:lang w:val="egy"/>
        </w:rPr>
        <w:t xml:space="preserve">, though Faulkner, 2019, p. 144 has only </w:t>
      </w:r>
      <w:r>
        <w:rPr>
          <w:rFonts w:cs="Calibri"/>
          <w:i/>
          <w:iCs/>
          <w:sz w:val="22"/>
          <w:szCs w:val="22"/>
          <w:shd w:val="clear" w:color="auto" w:fill="FFFFFF"/>
          <w:lang w:val="egy"/>
        </w:rPr>
        <w:t>n</w:t>
      </w:r>
      <w:r>
        <w:rPr>
          <w:rFonts w:cs="Calibri"/>
          <w:i/>
          <w:iCs/>
          <w:sz w:val="22"/>
          <w:szCs w:val="22"/>
          <w:u w:val="single"/>
          <w:shd w:val="clear" w:color="auto" w:fill="FFFFFF"/>
          <w:lang w:val="egy"/>
        </w:rPr>
        <w:t>d</w:t>
      </w:r>
      <w:r>
        <w:rPr>
          <w:rFonts w:cs="Calibri"/>
          <w:i/>
          <w:iCs/>
          <w:sz w:val="22"/>
          <w:szCs w:val="22"/>
          <w:shd w:val="clear" w:color="auto" w:fill="FFFFFF"/>
          <w:lang w:val="egy"/>
        </w:rPr>
        <w:t>wt</w:t>
      </w:r>
      <w:r>
        <w:rPr>
          <w:rFonts w:cs="Calibri"/>
          <w:i/>
          <w:iCs/>
          <w:sz w:val="22"/>
          <w:szCs w:val="22"/>
          <w:shd w:val="clear" w:color="auto" w:fill="FFFFFF"/>
          <w:lang w:val="egy"/>
        </w:rPr>
        <w:noBreakHyphen/>
        <w:t xml:space="preserve">r, </w:t>
      </w:r>
      <w:r>
        <w:rPr>
          <w:rFonts w:cs="Calibri"/>
          <w:sz w:val="22"/>
          <w:szCs w:val="22"/>
          <w:shd w:val="clear" w:color="auto" w:fill="FFFFFF"/>
          <w:lang w:val="egy"/>
        </w:rPr>
        <w:t>that is</w:t>
      </w:r>
      <w:r>
        <w:rPr>
          <w:rFonts w:cs="Calibri"/>
          <w:i/>
          <w:iCs/>
          <w:sz w:val="22"/>
          <w:szCs w:val="22"/>
          <w:shd w:val="clear" w:color="auto" w:fill="FFFFFF"/>
          <w:lang w:val="egy"/>
        </w:rPr>
        <w:t xml:space="preserve">, </w:t>
      </w:r>
      <w:r>
        <w:rPr>
          <w:rFonts w:cs="Calibri"/>
          <w:sz w:val="22"/>
          <w:szCs w:val="22"/>
          <w:shd w:val="clear" w:color="auto" w:fill="FFFFFF"/>
          <w:lang w:val="egy"/>
        </w:rPr>
        <w:t>question, counsel, etc</w:t>
      </w:r>
      <w:r w:rsidR="007347B4">
        <w:rPr>
          <w:rFonts w:cs="Calibri"/>
          <w:sz w:val="22"/>
          <w:szCs w:val="22"/>
          <w:shd w:val="clear" w:color="auto" w:fill="FFFFFF"/>
          <w:lang w:val="egy"/>
        </w:rPr>
        <w:t>.</w:t>
      </w:r>
      <w:r>
        <w:rPr>
          <w:rFonts w:cs="Calibri"/>
          <w:sz w:val="22"/>
          <w:szCs w:val="22"/>
          <w:shd w:val="clear" w:color="auto" w:fill="FFFFFF"/>
          <w:lang w:val="egy"/>
        </w:rPr>
        <w:t xml:space="preserve"> so the term seems to imply mouth / voice (not a divine name).</w:t>
      </w:r>
    </w:p>
  </w:footnote>
  <w:footnote w:id="142">
    <w:p w14:paraId="2852E6F5" w14:textId="77777777" w:rsidR="00537F32" w:rsidRDefault="00000000">
      <w:pPr>
        <w:pStyle w:val="FootnoteText"/>
        <w:spacing w:after="120"/>
      </w:pPr>
      <w:r>
        <w:rPr>
          <w:rStyle w:val="FootnoteReference"/>
        </w:rPr>
        <w:footnoteRef/>
      </w:r>
      <w:r>
        <w:rPr>
          <w:rFonts w:cs="Calibri"/>
          <w:sz w:val="22"/>
          <w:szCs w:val="22"/>
        </w:rPr>
        <w:t xml:space="preserve"> Renberg, 2017, p. 575. Later, p. 583, he dismisses a claim by Kuhlman that ‘speaking statues’ were “alien” to Egyptian religion. Kuhlman would no doubt dismiss as delusion a modern account, by a ‘mainstream scientist’, of Sekhmet’s statue speaking, and indeed ‘being alive’ (Wesselman, 2011 - also available at https://realitysandwich.com/my-first-encounter-with-sekhmet/) </w:t>
      </w:r>
    </w:p>
  </w:footnote>
  <w:footnote w:id="143">
    <w:p w14:paraId="0F73164E" w14:textId="77777777" w:rsidR="00537F32" w:rsidRDefault="00000000">
      <w:pPr>
        <w:pStyle w:val="FootnoteText"/>
        <w:spacing w:after="120"/>
      </w:pPr>
      <w:r>
        <w:rPr>
          <w:rStyle w:val="FootnoteReference"/>
        </w:rPr>
        <w:footnoteRef/>
      </w:r>
      <w:r>
        <w:rPr>
          <w:sz w:val="22"/>
          <w:szCs w:val="22"/>
        </w:rPr>
        <w:t xml:space="preserve"> Renberg, 2017, pp. 576-579 presents such by </w:t>
      </w:r>
      <w:proofErr w:type="spellStart"/>
      <w:r>
        <w:rPr>
          <w:sz w:val="22"/>
          <w:szCs w:val="22"/>
        </w:rPr>
        <w:t>Theodoret</w:t>
      </w:r>
      <w:proofErr w:type="spellEnd"/>
      <w:r>
        <w:rPr>
          <w:sz w:val="22"/>
          <w:szCs w:val="22"/>
        </w:rPr>
        <w:t xml:space="preserve"> and Rufinus of Aquileia. </w:t>
      </w:r>
    </w:p>
  </w:footnote>
  <w:footnote w:id="144">
    <w:p w14:paraId="4D2B64E2" w14:textId="066D8C75" w:rsidR="00537F32" w:rsidRDefault="00000000">
      <w:pPr>
        <w:pStyle w:val="FootnoteText"/>
        <w:spacing w:after="120"/>
      </w:pPr>
      <w:r>
        <w:rPr>
          <w:rStyle w:val="FootnoteReference"/>
        </w:rPr>
        <w:footnoteRef/>
      </w:r>
      <w:r>
        <w:rPr>
          <w:rFonts w:cs="Calibri"/>
          <w:sz w:val="22"/>
          <w:szCs w:val="22"/>
        </w:rPr>
        <w:t xml:space="preserve"> Renberg, 2017, p. 4, citing Artemidorus, author of the only surviving complete ancient dream interpretation manual </w:t>
      </w:r>
      <w:proofErr w:type="spellStart"/>
      <w:r>
        <w:rPr>
          <w:rFonts w:cs="Calibri"/>
          <w:i/>
          <w:iCs/>
          <w:sz w:val="22"/>
          <w:szCs w:val="22"/>
        </w:rPr>
        <w:t>Oneirocritica</w:t>
      </w:r>
      <w:proofErr w:type="spellEnd"/>
      <w:r>
        <w:rPr>
          <w:rFonts w:cs="Calibri"/>
          <w:sz w:val="22"/>
          <w:szCs w:val="22"/>
        </w:rPr>
        <w:t xml:space="preserve">. </w:t>
      </w:r>
      <w:r w:rsidR="001761F9">
        <w:rPr>
          <w:rFonts w:cs="Calibri"/>
          <w:sz w:val="22"/>
          <w:szCs w:val="22"/>
        </w:rPr>
        <w:t>Alternatively however, dreams could provide genuine contact with a deity without necessarily being ‘divinatory’ (Szpakowska, 2003, p. 151).</w:t>
      </w:r>
    </w:p>
  </w:footnote>
  <w:footnote w:id="145">
    <w:p w14:paraId="14CA14EF" w14:textId="54561211" w:rsidR="00537F32" w:rsidRDefault="00000000">
      <w:pPr>
        <w:pStyle w:val="FootnoteText"/>
        <w:spacing w:after="120"/>
      </w:pPr>
      <w:r>
        <w:rPr>
          <w:rStyle w:val="FootnoteReference"/>
        </w:rPr>
        <w:footnoteRef/>
      </w:r>
      <w:r>
        <w:rPr>
          <w:rFonts w:cs="Calibri"/>
          <w:sz w:val="22"/>
          <w:szCs w:val="22"/>
        </w:rPr>
        <w:t xml:space="preserve"> That described in the ‘dream stela’ of Thutmose IV, </w:t>
      </w:r>
      <w:r w:rsidR="006602B4">
        <w:rPr>
          <w:rFonts w:cs="Calibri"/>
          <w:sz w:val="22"/>
          <w:szCs w:val="22"/>
        </w:rPr>
        <w:t>(</w:t>
      </w:r>
      <w:proofErr w:type="spellStart"/>
      <w:r w:rsidR="006602B4">
        <w:rPr>
          <w:rFonts w:cs="Calibri"/>
          <w:sz w:val="22"/>
          <w:szCs w:val="22"/>
        </w:rPr>
        <w:t>Burzacott</w:t>
      </w:r>
      <w:proofErr w:type="spellEnd"/>
      <w:r w:rsidR="006602B4">
        <w:rPr>
          <w:rFonts w:cs="Calibri"/>
          <w:sz w:val="22"/>
          <w:szCs w:val="22"/>
        </w:rPr>
        <w:t xml:space="preserve">, 2017) </w:t>
      </w:r>
      <w:r>
        <w:rPr>
          <w:rFonts w:cs="Calibri"/>
          <w:sz w:val="22"/>
          <w:szCs w:val="22"/>
        </w:rPr>
        <w:t xml:space="preserve">which constitutes a divine legitimation for his kingship, is perhaps the most famous. Renberg, 2017, pp. 84-92 cites further royal dreams. He argues (p. 17) dream-interpretation as a priestly interest from Pharaonic times. Noegel, 2006, pp. 95-97, discusses the dream-interpretation ‘manual’ in Papyrus Chester Beatty III, dating from the reign of Rameses II, many entries in which involve paronomasia. </w:t>
      </w:r>
      <w:r w:rsidR="001761F9">
        <w:rPr>
          <w:rFonts w:cs="Calibri"/>
          <w:sz w:val="22"/>
          <w:szCs w:val="22"/>
        </w:rPr>
        <w:t>Szpakowska, 2003, p. 67, expresses doubts as to the usage of this book.</w:t>
      </w:r>
    </w:p>
  </w:footnote>
  <w:footnote w:id="146">
    <w:p w14:paraId="2791DEB5" w14:textId="77777777" w:rsidR="00537F32" w:rsidRDefault="00000000">
      <w:pPr>
        <w:pStyle w:val="FootnoteText"/>
        <w:spacing w:after="120"/>
      </w:pPr>
      <w:r>
        <w:rPr>
          <w:rStyle w:val="FootnoteReference"/>
        </w:rPr>
        <w:footnoteRef/>
      </w:r>
      <w:r>
        <w:rPr>
          <w:rFonts w:cs="Calibri"/>
          <w:sz w:val="22"/>
          <w:szCs w:val="22"/>
        </w:rPr>
        <w:t xml:space="preserve"> Renberg, 2017, p. 81. Controversy remains as to the ‘influence’ from Greece upon dream incubation practices. Nonetheless, a practice such as sleeping on an ancestor’s tomb is widely documented across the world, merging indeed with necromancy, so there seems no need to infer ‘influence’. </w:t>
      </w:r>
      <w:proofErr w:type="spellStart"/>
      <w:r>
        <w:rPr>
          <w:rFonts w:cs="Calibri"/>
          <w:sz w:val="22"/>
          <w:szCs w:val="22"/>
        </w:rPr>
        <w:t>Athanassiadi</w:t>
      </w:r>
      <w:proofErr w:type="spellEnd"/>
      <w:r>
        <w:rPr>
          <w:rFonts w:cs="Calibri"/>
          <w:sz w:val="22"/>
          <w:szCs w:val="22"/>
        </w:rPr>
        <w:t>, 1993, p. 127, argues for dream-oracles as the commonest form of divination in late antiquity.</w:t>
      </w:r>
    </w:p>
  </w:footnote>
  <w:footnote w:id="147">
    <w:p w14:paraId="22197CFA" w14:textId="77777777" w:rsidR="00537F32" w:rsidRDefault="00000000">
      <w:pPr>
        <w:pStyle w:val="FootnoteText"/>
        <w:spacing w:after="120"/>
      </w:pPr>
      <w:r>
        <w:rPr>
          <w:rStyle w:val="FootnoteReference"/>
        </w:rPr>
        <w:footnoteRef/>
      </w:r>
      <w:r>
        <w:rPr>
          <w:sz w:val="22"/>
          <w:szCs w:val="22"/>
        </w:rPr>
        <w:t xml:space="preserve"> Renberg, 2017, pp. 329-521 discusses this in detail. </w:t>
      </w:r>
    </w:p>
  </w:footnote>
  <w:footnote w:id="148">
    <w:p w14:paraId="46DC57A4" w14:textId="7FC851D7" w:rsidR="00537F32" w:rsidRDefault="00000000">
      <w:pPr>
        <w:pStyle w:val="FootnoteText"/>
        <w:spacing w:after="120"/>
      </w:pPr>
      <w:r>
        <w:rPr>
          <w:rStyle w:val="FootnoteReference"/>
        </w:rPr>
        <w:footnoteRef/>
      </w:r>
      <w:r>
        <w:rPr>
          <w:sz w:val="22"/>
          <w:szCs w:val="22"/>
        </w:rPr>
        <w:t xml:space="preserve"> Renberg, 2017, pp. 448-479.</w:t>
      </w:r>
      <w:r w:rsidR="00597353">
        <w:rPr>
          <w:sz w:val="22"/>
          <w:szCs w:val="22"/>
        </w:rPr>
        <w:t xml:space="preserve"> Other bodily matters, such as desire for pregnancy, would not seem to have required specialism: in the story of </w:t>
      </w:r>
      <w:proofErr w:type="spellStart"/>
      <w:r w:rsidR="00597353">
        <w:rPr>
          <w:sz w:val="22"/>
          <w:szCs w:val="22"/>
        </w:rPr>
        <w:t>Setne</w:t>
      </w:r>
      <w:proofErr w:type="spellEnd"/>
      <w:r w:rsidR="00597353">
        <w:rPr>
          <w:sz w:val="22"/>
          <w:szCs w:val="22"/>
        </w:rPr>
        <w:t xml:space="preserve"> and Si-</w:t>
      </w:r>
      <w:proofErr w:type="spellStart"/>
      <w:r w:rsidR="00597353">
        <w:rPr>
          <w:sz w:val="22"/>
          <w:szCs w:val="22"/>
        </w:rPr>
        <w:t>osire</w:t>
      </w:r>
      <w:proofErr w:type="spellEnd"/>
      <w:r w:rsidR="00597353">
        <w:rPr>
          <w:sz w:val="22"/>
          <w:szCs w:val="22"/>
        </w:rPr>
        <w:t xml:space="preserve"> (</w:t>
      </w:r>
      <w:proofErr w:type="spellStart"/>
      <w:r w:rsidR="00597353">
        <w:rPr>
          <w:sz w:val="22"/>
          <w:szCs w:val="22"/>
        </w:rPr>
        <w:t>Lichtheim</w:t>
      </w:r>
      <w:proofErr w:type="spellEnd"/>
      <w:r w:rsidR="00597353">
        <w:rPr>
          <w:sz w:val="22"/>
          <w:szCs w:val="22"/>
        </w:rPr>
        <w:t xml:space="preserve">, p. 744 ff) both husband and wife have oracular dreams regarding this, both dreaming that “one </w:t>
      </w:r>
      <w:proofErr w:type="gramStart"/>
      <w:r w:rsidR="00597353">
        <w:rPr>
          <w:sz w:val="22"/>
          <w:szCs w:val="22"/>
        </w:rPr>
        <w:t>spoke..</w:t>
      </w:r>
      <w:proofErr w:type="gramEnd"/>
      <w:r w:rsidR="00597353">
        <w:rPr>
          <w:sz w:val="22"/>
          <w:szCs w:val="22"/>
        </w:rPr>
        <w:t>”. The deity concerned is not identified: Ptah or Imhotep are the best candidates.</w:t>
      </w:r>
    </w:p>
  </w:footnote>
  <w:footnote w:id="149">
    <w:p w14:paraId="0E1AF9BC" w14:textId="77777777" w:rsidR="00537F32" w:rsidRDefault="00000000">
      <w:pPr>
        <w:pStyle w:val="FootnoteText"/>
        <w:spacing w:after="120"/>
      </w:pPr>
      <w:r>
        <w:rPr>
          <w:rStyle w:val="FootnoteReference"/>
        </w:rPr>
        <w:footnoteRef/>
      </w:r>
      <w:r>
        <w:rPr>
          <w:sz w:val="22"/>
          <w:szCs w:val="22"/>
        </w:rPr>
        <w:t xml:space="preserve"> He qualifies this with “until such time as unambiguous evidence for voice oracles in Greco-Roman Egypt is unearthed”. (Renberg, 2017, p. 602.)</w:t>
      </w:r>
    </w:p>
  </w:footnote>
  <w:footnote w:id="150">
    <w:p w14:paraId="4E7F8BF6" w14:textId="0E2F421C" w:rsidR="00941C03" w:rsidRPr="00941C03" w:rsidRDefault="00941C03" w:rsidP="00941C03">
      <w:pPr>
        <w:pStyle w:val="FootnoteText"/>
        <w:spacing w:after="120"/>
        <w:rPr>
          <w:sz w:val="22"/>
          <w:szCs w:val="22"/>
        </w:rPr>
      </w:pPr>
      <w:r w:rsidRPr="00941C03">
        <w:rPr>
          <w:rStyle w:val="FootnoteReference"/>
          <w:sz w:val="22"/>
          <w:szCs w:val="22"/>
        </w:rPr>
        <w:footnoteRef/>
      </w:r>
      <w:r w:rsidRPr="00941C03">
        <w:rPr>
          <w:sz w:val="22"/>
          <w:szCs w:val="22"/>
        </w:rPr>
        <w:t xml:space="preserve"> Szpakowska, 2003, p. 65.</w:t>
      </w:r>
    </w:p>
  </w:footnote>
  <w:footnote w:id="151">
    <w:p w14:paraId="78AB56F5" w14:textId="1EFEA5C0" w:rsidR="00573C88" w:rsidRDefault="00573C88" w:rsidP="00573C88">
      <w:pPr>
        <w:pStyle w:val="FootnoteText"/>
        <w:spacing w:after="120"/>
      </w:pPr>
      <w:r>
        <w:rPr>
          <w:rStyle w:val="FootnoteReference"/>
        </w:rPr>
        <w:footnoteRef/>
      </w:r>
      <w:r>
        <w:t xml:space="preserve"> </w:t>
      </w:r>
      <w:proofErr w:type="spellStart"/>
      <w:r w:rsidRPr="00573C88">
        <w:rPr>
          <w:sz w:val="22"/>
          <w:szCs w:val="22"/>
        </w:rPr>
        <w:t>Dunand</w:t>
      </w:r>
      <w:proofErr w:type="spellEnd"/>
      <w:r w:rsidRPr="00573C88">
        <w:rPr>
          <w:sz w:val="22"/>
          <w:szCs w:val="22"/>
        </w:rPr>
        <w:t>, (</w:t>
      </w:r>
      <w:proofErr w:type="spellStart"/>
      <w:r w:rsidRPr="00573C88">
        <w:rPr>
          <w:sz w:val="22"/>
          <w:szCs w:val="22"/>
        </w:rPr>
        <w:t>Dunand</w:t>
      </w:r>
      <w:proofErr w:type="spellEnd"/>
      <w:r w:rsidRPr="00573C88">
        <w:rPr>
          <w:sz w:val="22"/>
          <w:szCs w:val="22"/>
        </w:rPr>
        <w:t xml:space="preserve"> &amp; Zivie-Coche, 2004), p. 315.</w:t>
      </w:r>
      <w:r>
        <w:t xml:space="preserve"> </w:t>
      </w:r>
    </w:p>
  </w:footnote>
  <w:footnote w:id="152">
    <w:p w14:paraId="4F311551" w14:textId="0B5FB012" w:rsidR="00537F32" w:rsidRDefault="00000000">
      <w:pPr>
        <w:spacing w:after="120" w:line="240" w:lineRule="auto"/>
      </w:pPr>
      <w:r>
        <w:rPr>
          <w:rStyle w:val="FootnoteReference"/>
        </w:rPr>
        <w:footnoteRef/>
      </w:r>
      <w:r>
        <w:rPr>
          <w:rFonts w:cs="Calibri"/>
        </w:rPr>
        <w:t xml:space="preserve"> </w:t>
      </w:r>
      <w:r w:rsidR="00A96170">
        <w:rPr>
          <w:rFonts w:cs="Calibri"/>
          <w:shd w:val="clear" w:color="auto" w:fill="FFFFFF"/>
          <w:lang w:val="egy"/>
        </w:rPr>
        <w:t>Many Egyptologists, f</w:t>
      </w:r>
      <w:r w:rsidR="00A96170">
        <w:rPr>
          <w:rFonts w:cs="Calibri"/>
        </w:rPr>
        <w:t>or example, Pinch, 2002, pp.11, 207</w:t>
      </w:r>
      <w:r w:rsidR="00A96170">
        <w:rPr>
          <w:rFonts w:cs="Calibri"/>
          <w:shd w:val="clear" w:color="auto" w:fill="FFFFFF"/>
          <w:lang w:val="egy"/>
        </w:rPr>
        <w:t xml:space="preserve"> seem to think this idea of the pharaoh </w:t>
      </w:r>
      <w:r w:rsidR="00A96170">
        <w:rPr>
          <w:rFonts w:cs="Calibri"/>
        </w:rPr>
        <w:t>‘joining the imperishable stars’</w:t>
      </w:r>
      <w:r w:rsidR="00A96170">
        <w:rPr>
          <w:rFonts w:cs="Calibri"/>
          <w:shd w:val="clear" w:color="auto" w:fill="FFFFFF"/>
          <w:lang w:val="egy"/>
        </w:rPr>
        <w:t xml:space="preserve"> to be a literal belief</w:t>
      </w:r>
      <w:r w:rsidR="00A96170">
        <w:rPr>
          <w:rFonts w:cs="Calibri"/>
        </w:rPr>
        <w:t>.</w:t>
      </w:r>
      <w:r w:rsidRPr="00544B38">
        <w:t>The undesirability of literal catasterism is shown clearly enough in Ovid’s account of Phaethon’s ride, in which the living constellations are isolated, immobile and impotent (Metamorphoses, I.193-199).</w:t>
      </w:r>
    </w:p>
  </w:footnote>
  <w:footnote w:id="153">
    <w:p w14:paraId="290B95F3" w14:textId="77777777" w:rsidR="00537F32" w:rsidRDefault="00000000">
      <w:pPr>
        <w:pStyle w:val="NormalWeb"/>
        <w:shd w:val="clear" w:color="auto" w:fill="FFFFFF"/>
        <w:spacing w:before="0" w:after="120"/>
      </w:pPr>
      <w:r>
        <w:rPr>
          <w:rStyle w:val="FootnoteReference"/>
        </w:rPr>
        <w:footnoteRef/>
      </w:r>
      <w:r>
        <w:rPr>
          <w:rFonts w:ascii="Calibri" w:hAnsi="Calibri" w:cs="Calibri"/>
          <w:sz w:val="22"/>
          <w:szCs w:val="22"/>
        </w:rPr>
        <w:t xml:space="preserve"> </w:t>
      </w:r>
      <w:r>
        <w:rPr>
          <w:rFonts w:ascii="Calibri" w:hAnsi="Calibri" w:cs="Calibri"/>
          <w:color w:val="151515"/>
          <w:sz w:val="22"/>
          <w:szCs w:val="22"/>
        </w:rPr>
        <w:t>The use of the term ‘constellation’ to dignify a grouping in general (as favoured by Assmann, and subsequently) should surely be deplored. Astronomical constellations are imaginary or visionary (connecting the dots differently can produce almost any image desired), arbitrary (the zodiac is aligned to the spring equinox and divided precisely into 12, the decans similarly into 36 equal groups) and illusionary (because of the depth of space and the varying star brightness, seen by humans two-dimensionally as the inside of a sphere, members of a ‘constellation’ are often further apart from each other than from us). Hence, to group something other than stars as a ‘constellation’ should more properly be to question its integrity!</w:t>
      </w:r>
    </w:p>
  </w:footnote>
  <w:footnote w:id="154">
    <w:p w14:paraId="3C8456BB" w14:textId="77777777" w:rsidR="00537F32" w:rsidRDefault="00000000">
      <w:pPr>
        <w:spacing w:after="120" w:line="240" w:lineRule="auto"/>
      </w:pPr>
      <w:r>
        <w:rPr>
          <w:rStyle w:val="FootnoteReference"/>
        </w:rPr>
        <w:footnoteRef/>
      </w:r>
      <w:r>
        <w:t xml:space="preserve"> </w:t>
      </w:r>
      <w:r>
        <w:rPr>
          <w:rFonts w:cs="Calibri"/>
          <w:shd w:val="clear" w:color="auto" w:fill="FFFFFF"/>
          <w:lang w:val="egy"/>
        </w:rPr>
        <w:t>Naydler, 2005, pp. 23-28 comments on the rejection of ‘mysticism’ (and even more of ‘shamanism’) by most Egyptologists.</w:t>
      </w:r>
    </w:p>
  </w:footnote>
  <w:footnote w:id="155">
    <w:p w14:paraId="66163FE0" w14:textId="567BE541" w:rsidR="00E80C37" w:rsidRPr="00E80C37" w:rsidRDefault="00E80C37" w:rsidP="00E80C37">
      <w:pPr>
        <w:pStyle w:val="FootnoteText"/>
        <w:spacing w:after="120"/>
        <w:rPr>
          <w:sz w:val="22"/>
          <w:szCs w:val="22"/>
        </w:rPr>
      </w:pPr>
      <w:r w:rsidRPr="00E80C37">
        <w:rPr>
          <w:rStyle w:val="FootnoteReference"/>
          <w:sz w:val="22"/>
          <w:szCs w:val="22"/>
        </w:rPr>
        <w:footnoteRef/>
      </w:r>
      <w:r w:rsidRPr="00E80C37">
        <w:rPr>
          <w:rFonts w:cs="Calibri"/>
          <w:sz w:val="22"/>
          <w:szCs w:val="22"/>
          <w:shd w:val="clear" w:color="auto" w:fill="FFFFFF"/>
          <w:lang w:val="egy"/>
        </w:rPr>
        <w:t xml:space="preserve"> Ascent is of course a major theme, but examination of literature on shamanism actually finds no mention of an experience of ‘being’ a star.</w:t>
      </w:r>
    </w:p>
  </w:footnote>
  <w:footnote w:id="156">
    <w:p w14:paraId="3C001A67" w14:textId="308EC11A" w:rsidR="00537F32" w:rsidRDefault="00000000">
      <w:pPr>
        <w:pStyle w:val="FootnoteText"/>
        <w:spacing w:after="120"/>
      </w:pPr>
      <w:r>
        <w:rPr>
          <w:rStyle w:val="FootnoteReference"/>
        </w:rPr>
        <w:footnoteRef/>
      </w:r>
      <w:r>
        <w:rPr>
          <w:rFonts w:cs="Calibri"/>
          <w:sz w:val="22"/>
          <w:szCs w:val="22"/>
        </w:rPr>
        <w:t xml:space="preserve"> Lewis-Williams, 2004, pp. 126-130, 150-154, describes a neurologically reductionist model of shamanic trance in which ‘entoptics’ merge into ‘images’ and then become ‘non-ordinary reality’. It is straightforward to postulate similarly how the innumerable stars might merge into ‘constellation images’ and further. This would be an open-eyed method </w:t>
      </w:r>
      <w:r w:rsidR="00E80C37">
        <w:rPr>
          <w:rFonts w:cs="Calibri"/>
          <w:sz w:val="22"/>
          <w:szCs w:val="22"/>
        </w:rPr>
        <w:t xml:space="preserve">of trance induction </w:t>
      </w:r>
      <w:r>
        <w:rPr>
          <w:rFonts w:cs="Calibri"/>
          <w:sz w:val="22"/>
          <w:szCs w:val="22"/>
        </w:rPr>
        <w:t>rather than the more usual closed-eye practices, but some modern practitioners occasionally use such an approach.</w:t>
      </w:r>
    </w:p>
  </w:footnote>
  <w:footnote w:id="157">
    <w:p w14:paraId="6B01AC6B" w14:textId="77777777" w:rsidR="00537F32" w:rsidRDefault="00000000">
      <w:pPr>
        <w:pStyle w:val="FootnoteText"/>
        <w:spacing w:after="120"/>
      </w:pPr>
      <w:r>
        <w:rPr>
          <w:rStyle w:val="FootnoteReference"/>
        </w:rPr>
        <w:footnoteRef/>
      </w:r>
      <w:r>
        <w:rPr>
          <w:sz w:val="22"/>
          <w:szCs w:val="22"/>
        </w:rPr>
        <w:t xml:space="preserve"> Baines, 1987, p. 79.</w:t>
      </w:r>
    </w:p>
  </w:footnote>
  <w:footnote w:id="158">
    <w:p w14:paraId="3A407E41" w14:textId="7D06A7BA" w:rsidR="00537F32" w:rsidRDefault="00000000">
      <w:pPr>
        <w:pStyle w:val="FootnoteText"/>
        <w:spacing w:after="120"/>
      </w:pPr>
      <w:r>
        <w:rPr>
          <w:rStyle w:val="FootnoteReference"/>
        </w:rPr>
        <w:footnoteRef/>
      </w:r>
      <w:r>
        <w:rPr>
          <w:rFonts w:cs="Calibri"/>
          <w:sz w:val="22"/>
          <w:szCs w:val="22"/>
        </w:rPr>
        <w:t xml:space="preserve"> Gillam and Jacobson, 2015, p. 5 (themselves citing Gardiner.</w:t>
      </w:r>
    </w:p>
  </w:footnote>
  <w:footnote w:id="159">
    <w:p w14:paraId="57386757" w14:textId="7A7CADA8" w:rsidR="00537F32" w:rsidRDefault="00000000" w:rsidP="00544B38">
      <w:pPr>
        <w:spacing w:after="120" w:line="240" w:lineRule="auto"/>
      </w:pPr>
      <w:r>
        <w:rPr>
          <w:rStyle w:val="FootnoteReference"/>
        </w:rPr>
        <w:footnoteRef/>
      </w:r>
      <w:r>
        <w:rPr>
          <w:rFonts w:cs="Calibri"/>
        </w:rPr>
        <w:t xml:space="preserve"> The only major exception to this is the evidence from the site of Deir </w:t>
      </w:r>
      <w:proofErr w:type="spellStart"/>
      <w:r>
        <w:rPr>
          <w:rFonts w:cs="Calibri"/>
        </w:rPr>
        <w:t>el</w:t>
      </w:r>
      <w:proofErr w:type="spellEnd"/>
      <w:r>
        <w:rPr>
          <w:rFonts w:cs="Calibri"/>
        </w:rPr>
        <w:t>-Medina, yet this was a privileged community of specialist tomb-workers, largely separated from the peasantry and with much higher rate of literacy</w:t>
      </w:r>
      <w:r w:rsidR="00544B38">
        <w:rPr>
          <w:rFonts w:cs="Calibri"/>
        </w:rPr>
        <w:t>.</w:t>
      </w:r>
    </w:p>
  </w:footnote>
  <w:footnote w:id="160">
    <w:p w14:paraId="29E16BBE" w14:textId="77777777" w:rsidR="00537F32" w:rsidRDefault="00000000">
      <w:pPr>
        <w:pStyle w:val="FootnoteText"/>
        <w:spacing w:after="120"/>
      </w:pPr>
      <w:r>
        <w:rPr>
          <w:rStyle w:val="FootnoteReference"/>
        </w:rPr>
        <w:footnoteRef/>
      </w:r>
      <w:r>
        <w:rPr>
          <w:sz w:val="22"/>
          <w:szCs w:val="22"/>
        </w:rPr>
        <w:t xml:space="preserve"> Baines, 1987, p. 80.</w:t>
      </w:r>
    </w:p>
  </w:footnote>
  <w:footnote w:id="161">
    <w:p w14:paraId="47EF2A85" w14:textId="77777777" w:rsidR="00537F32" w:rsidRDefault="00000000">
      <w:pPr>
        <w:pStyle w:val="FootnoteText"/>
        <w:spacing w:after="120"/>
      </w:pPr>
      <w:r>
        <w:rPr>
          <w:rStyle w:val="FootnoteReference"/>
        </w:rPr>
        <w:footnoteRef/>
      </w:r>
      <w:r>
        <w:rPr>
          <w:rFonts w:cs="Calibri"/>
          <w:sz w:val="22"/>
          <w:szCs w:val="22"/>
        </w:rPr>
        <w:t xml:space="preserve"> </w:t>
      </w:r>
      <w:r>
        <w:rPr>
          <w:rFonts w:cs="Calibri"/>
          <w:sz w:val="22"/>
          <w:szCs w:val="22"/>
          <w:shd w:val="clear" w:color="auto" w:fill="FFFFFF"/>
        </w:rPr>
        <w:t>Deuteronomy 18:10</w:t>
      </w:r>
      <w:r>
        <w:rPr>
          <w:rFonts w:cs="Calibri"/>
          <w:color w:val="081C2A"/>
          <w:sz w:val="22"/>
          <w:szCs w:val="22"/>
          <w:shd w:val="clear" w:color="auto" w:fill="FFFFFF"/>
        </w:rPr>
        <w:t>: “There shall not be found among you…anyone who practices divination or tells fortunes or interprets omens.” </w:t>
      </w:r>
      <w:r>
        <w:rPr>
          <w:rFonts w:cs="Calibri"/>
          <w:sz w:val="22"/>
          <w:szCs w:val="22"/>
          <w:shd w:val="clear" w:color="auto" w:fill="FFFFFF"/>
        </w:rPr>
        <w:t>First Samuel 15:23</w:t>
      </w:r>
      <w:r>
        <w:rPr>
          <w:rFonts w:cs="Calibri"/>
          <w:color w:val="081C2A"/>
          <w:sz w:val="22"/>
          <w:szCs w:val="22"/>
          <w:shd w:val="clear" w:color="auto" w:fill="FFFFFF"/>
        </w:rPr>
        <w:t> compares rebellion to the “sin of divination.”</w:t>
      </w:r>
    </w:p>
  </w:footnote>
  <w:footnote w:id="162">
    <w:p w14:paraId="3D3F09A2" w14:textId="77777777" w:rsidR="00537F32" w:rsidRDefault="00000000">
      <w:pPr>
        <w:pStyle w:val="FootnoteText"/>
        <w:spacing w:after="120"/>
      </w:pPr>
      <w:r>
        <w:rPr>
          <w:rStyle w:val="FootnoteReference"/>
        </w:rPr>
        <w:footnoteRef/>
      </w:r>
      <w:r>
        <w:rPr>
          <w:rFonts w:cs="Calibri"/>
          <w:sz w:val="22"/>
          <w:szCs w:val="22"/>
        </w:rPr>
        <w:t xml:space="preserve"> Roblee, 2020, p. 3 (online source provides pdf with no page numbering).</w:t>
      </w:r>
    </w:p>
  </w:footnote>
  <w:footnote w:id="163">
    <w:p w14:paraId="3661531C" w14:textId="77777777" w:rsidR="00537F32" w:rsidRDefault="00000000">
      <w:pPr>
        <w:pStyle w:val="FootnoteText"/>
        <w:spacing w:after="120"/>
      </w:pPr>
      <w:r>
        <w:rPr>
          <w:rStyle w:val="FootnoteReference"/>
        </w:rPr>
        <w:footnoteRef/>
      </w:r>
      <w:r>
        <w:rPr>
          <w:rFonts w:cs="Calibri"/>
          <w:sz w:val="22"/>
          <w:szCs w:val="22"/>
        </w:rPr>
        <w:t xml:space="preserve"> In </w:t>
      </w:r>
      <w:r>
        <w:rPr>
          <w:rFonts w:cs="Calibri"/>
          <w:i/>
          <w:iCs/>
          <w:sz w:val="22"/>
          <w:szCs w:val="22"/>
        </w:rPr>
        <w:t xml:space="preserve">De </w:t>
      </w:r>
      <w:proofErr w:type="spellStart"/>
      <w:r>
        <w:rPr>
          <w:rFonts w:cs="Calibri"/>
          <w:i/>
          <w:iCs/>
          <w:sz w:val="22"/>
          <w:szCs w:val="22"/>
        </w:rPr>
        <w:t>Divinatione</w:t>
      </w:r>
      <w:proofErr w:type="spellEnd"/>
      <w:r>
        <w:rPr>
          <w:rFonts w:cs="Calibri"/>
          <w:sz w:val="22"/>
          <w:szCs w:val="22"/>
        </w:rPr>
        <w:t>, I.1, he praises Romans for making this derivation as opposed to the Greek ‘</w:t>
      </w:r>
      <w:proofErr w:type="spellStart"/>
      <w:r>
        <w:rPr>
          <w:rFonts w:cs="Calibri"/>
          <w:sz w:val="22"/>
          <w:szCs w:val="22"/>
        </w:rPr>
        <w:t>mantike</w:t>
      </w:r>
      <w:proofErr w:type="spellEnd"/>
      <w:r>
        <w:rPr>
          <w:rFonts w:cs="Calibri"/>
          <w:sz w:val="22"/>
          <w:szCs w:val="22"/>
        </w:rPr>
        <w:t>’, linked to ‘madness’.</w:t>
      </w:r>
    </w:p>
  </w:footnote>
  <w:footnote w:id="164">
    <w:p w14:paraId="4EBE290B" w14:textId="77777777" w:rsidR="00537F32" w:rsidRDefault="00000000">
      <w:pPr>
        <w:spacing w:after="120" w:line="240" w:lineRule="auto"/>
      </w:pPr>
      <w:r>
        <w:rPr>
          <w:rStyle w:val="FootnoteReference"/>
        </w:rPr>
        <w:footnoteRef/>
      </w:r>
      <w:r>
        <w:rPr>
          <w:rFonts w:cs="Calibri"/>
        </w:rPr>
        <w:t xml:space="preserve"> </w:t>
      </w:r>
      <w:r>
        <w:rPr>
          <w:rFonts w:cs="Calibri"/>
          <w:color w:val="202122"/>
          <w:shd w:val="clear" w:color="auto" w:fill="FFFFFF"/>
          <w:lang w:val="egy"/>
        </w:rPr>
        <w:t>Tedlock 2001 191, notes: compared with their peers, diviners excel in insight, imagination, fluency in language and knowledge of cultural traditions”. Similarly, Werbner, 2015, pp. 11-15; Zuesse, 1975, p. 163.</w:t>
      </w:r>
    </w:p>
  </w:footnote>
  <w:footnote w:id="165">
    <w:p w14:paraId="70397CF6" w14:textId="77777777" w:rsidR="00537F32" w:rsidRDefault="00000000">
      <w:pPr>
        <w:pStyle w:val="FootnoteText"/>
        <w:spacing w:after="120"/>
      </w:pPr>
      <w:r>
        <w:rPr>
          <w:rStyle w:val="FootnoteReference"/>
        </w:rPr>
        <w:footnoteRef/>
      </w:r>
      <w:r>
        <w:rPr>
          <w:sz w:val="22"/>
          <w:szCs w:val="22"/>
        </w:rPr>
        <w:t xml:space="preserve"> Tedlock, 2001. P. 191.</w:t>
      </w:r>
    </w:p>
  </w:footnote>
  <w:footnote w:id="166">
    <w:p w14:paraId="687BCDC5" w14:textId="77777777" w:rsidR="00537F32" w:rsidRDefault="00000000">
      <w:pPr>
        <w:pStyle w:val="FootnoteText"/>
        <w:spacing w:after="120"/>
      </w:pPr>
      <w:r>
        <w:rPr>
          <w:rStyle w:val="FootnoteReference"/>
        </w:rPr>
        <w:footnoteRef/>
      </w:r>
      <w:r>
        <w:rPr>
          <w:sz w:val="22"/>
          <w:szCs w:val="22"/>
        </w:rPr>
        <w:t xml:space="preserve"> Roblee, 2020. (no pagination).</w:t>
      </w:r>
    </w:p>
  </w:footnote>
  <w:footnote w:id="167">
    <w:p w14:paraId="7091E7B0" w14:textId="77777777" w:rsidR="00537F32" w:rsidRDefault="00000000">
      <w:pPr>
        <w:pStyle w:val="FootnoteText"/>
        <w:spacing w:after="120"/>
      </w:pPr>
      <w:r>
        <w:rPr>
          <w:rStyle w:val="FootnoteReference"/>
        </w:rPr>
        <w:footnoteRef/>
      </w:r>
      <w:r>
        <w:rPr>
          <w:sz w:val="22"/>
          <w:szCs w:val="22"/>
        </w:rPr>
        <w:t xml:space="preserve"> Specifically, the ‘Mithras Liturgy’ from PGM IV, 475-820).</w:t>
      </w:r>
    </w:p>
  </w:footnote>
  <w:footnote w:id="168">
    <w:p w14:paraId="28724513" w14:textId="77777777" w:rsidR="00537F32" w:rsidRDefault="00000000">
      <w:pPr>
        <w:pStyle w:val="FootnoteText"/>
        <w:spacing w:after="120"/>
      </w:pPr>
      <w:r>
        <w:rPr>
          <w:rStyle w:val="FootnoteReference"/>
        </w:rPr>
        <w:footnoteRef/>
      </w:r>
      <w:r>
        <w:rPr>
          <w:sz w:val="22"/>
          <w:szCs w:val="22"/>
        </w:rPr>
        <w:t xml:space="preserve"> Baines, 1987, p. 97.</w:t>
      </w:r>
    </w:p>
  </w:footnote>
  <w:footnote w:id="169">
    <w:p w14:paraId="42D0A060" w14:textId="77777777" w:rsidR="00537F32" w:rsidRDefault="00000000">
      <w:pPr>
        <w:pStyle w:val="FootnoteText"/>
        <w:spacing w:after="120"/>
      </w:pPr>
      <w:r>
        <w:rPr>
          <w:rStyle w:val="FootnoteReference"/>
        </w:rPr>
        <w:footnoteRef/>
      </w:r>
      <w:r>
        <w:rPr>
          <w:sz w:val="22"/>
          <w:szCs w:val="22"/>
        </w:rPr>
        <w:t xml:space="preserve"> Brady, 2014, p. 29 (my interpolation).</w:t>
      </w:r>
    </w:p>
  </w:footnote>
  <w:footnote w:id="170">
    <w:p w14:paraId="58A55EBC" w14:textId="0758D49B" w:rsidR="00537F32" w:rsidRDefault="00000000">
      <w:pPr>
        <w:pStyle w:val="FootnoteText"/>
        <w:spacing w:after="120"/>
      </w:pPr>
      <w:r>
        <w:rPr>
          <w:rStyle w:val="FootnoteReference"/>
        </w:rPr>
        <w:footnoteRef/>
      </w:r>
      <w:r>
        <w:rPr>
          <w:sz w:val="22"/>
          <w:szCs w:val="22"/>
        </w:rPr>
        <w:t xml:space="preserve"> Lewis-Williams, 2004, pp. 121-126, describes a ‘spectrum’ of consciousness comprising from ‘conscious, waking’ to ‘altered’ states, stressing all as ‘normal’ and available to all human beings</w:t>
      </w:r>
      <w:r w:rsidR="00A9049D">
        <w:rPr>
          <w:sz w:val="22"/>
          <w:szCs w:val="22"/>
        </w:rPr>
        <w:t xml:space="preserve">, at least from the Upper </w:t>
      </w:r>
      <w:proofErr w:type="spellStart"/>
      <w:r w:rsidR="00A9049D">
        <w:rPr>
          <w:sz w:val="22"/>
          <w:szCs w:val="22"/>
        </w:rPr>
        <w:t>Paleolithic</w:t>
      </w:r>
      <w:proofErr w:type="spellEnd"/>
      <w:r>
        <w:rPr>
          <w:sz w:val="22"/>
          <w:szCs w:val="22"/>
        </w:rPr>
        <w:t>.</w:t>
      </w:r>
    </w:p>
  </w:footnote>
  <w:footnote w:id="171">
    <w:p w14:paraId="5B3046A9" w14:textId="77777777" w:rsidR="00537F32" w:rsidRDefault="00000000">
      <w:pPr>
        <w:pStyle w:val="FootnoteText"/>
        <w:spacing w:after="120"/>
      </w:pPr>
      <w:r>
        <w:rPr>
          <w:rStyle w:val="FootnoteReference"/>
        </w:rPr>
        <w:footnoteRef/>
      </w:r>
      <w:r>
        <w:rPr>
          <w:sz w:val="22"/>
          <w:szCs w:val="22"/>
        </w:rPr>
        <w:t xml:space="preserve"> Brady, 2014, pp. 108-109.</w:t>
      </w:r>
    </w:p>
  </w:footnote>
  <w:footnote w:id="172">
    <w:p w14:paraId="010DBB83" w14:textId="269D8E3E" w:rsidR="00A9049D" w:rsidRPr="00A9049D" w:rsidRDefault="00A9049D" w:rsidP="00A9049D">
      <w:pPr>
        <w:pStyle w:val="FootnoteText"/>
        <w:spacing w:after="120"/>
        <w:rPr>
          <w:sz w:val="22"/>
          <w:szCs w:val="22"/>
        </w:rPr>
      </w:pPr>
      <w:r w:rsidRPr="00A9049D">
        <w:rPr>
          <w:rStyle w:val="FootnoteReference"/>
          <w:sz w:val="22"/>
          <w:szCs w:val="22"/>
        </w:rPr>
        <w:footnoteRef/>
      </w:r>
      <w:r w:rsidRPr="00A9049D">
        <w:rPr>
          <w:sz w:val="22"/>
          <w:szCs w:val="22"/>
        </w:rPr>
        <w:t xml:space="preserve"> MacClure, 2021, p. 507. Cosmology by contrast may be argued as the basis for such security. </w:t>
      </w:r>
    </w:p>
  </w:footnote>
  <w:footnote w:id="173">
    <w:p w14:paraId="66139E9A" w14:textId="77777777" w:rsidR="00537F32" w:rsidRPr="00A9049D" w:rsidRDefault="00000000" w:rsidP="00A9049D">
      <w:pPr>
        <w:pStyle w:val="FootnoteText"/>
        <w:spacing w:after="120"/>
        <w:rPr>
          <w:sz w:val="22"/>
          <w:szCs w:val="22"/>
        </w:rPr>
      </w:pPr>
      <w:r w:rsidRPr="00A9049D">
        <w:rPr>
          <w:rStyle w:val="FootnoteReference"/>
          <w:sz w:val="22"/>
          <w:szCs w:val="22"/>
        </w:rPr>
        <w:footnoteRef/>
      </w:r>
      <w:r w:rsidRPr="00A9049D">
        <w:rPr>
          <w:sz w:val="22"/>
          <w:szCs w:val="22"/>
        </w:rPr>
        <w:t xml:space="preserve"> Frankfurter, 2005, p. 235.</w:t>
      </w:r>
    </w:p>
  </w:footnote>
  <w:footnote w:id="174">
    <w:p w14:paraId="19B878A7" w14:textId="77777777" w:rsidR="00537F32" w:rsidRDefault="00000000">
      <w:pPr>
        <w:pStyle w:val="FootnoteText"/>
        <w:spacing w:after="120"/>
      </w:pPr>
      <w:r>
        <w:rPr>
          <w:rStyle w:val="FootnoteReference"/>
        </w:rPr>
        <w:footnoteRef/>
      </w:r>
      <w:r>
        <w:rPr>
          <w:sz w:val="22"/>
          <w:szCs w:val="22"/>
        </w:rPr>
        <w:t xml:space="preserve"> Addey, 2022, p. 8, presents a more complete set of premises linking deities and divination.</w:t>
      </w:r>
    </w:p>
  </w:footnote>
  <w:footnote w:id="175">
    <w:p w14:paraId="54F95810" w14:textId="77777777" w:rsidR="00537F32" w:rsidRDefault="00000000">
      <w:pPr>
        <w:pStyle w:val="FootnoteText"/>
        <w:spacing w:after="120"/>
      </w:pPr>
      <w:r>
        <w:rPr>
          <w:rStyle w:val="FootnoteReference"/>
        </w:rPr>
        <w:footnoteRef/>
      </w:r>
      <w:r>
        <w:rPr>
          <w:sz w:val="22"/>
          <w:szCs w:val="22"/>
        </w:rPr>
        <w:t xml:space="preserve"> Xenophon, </w:t>
      </w:r>
      <w:r>
        <w:rPr>
          <w:i/>
          <w:iCs/>
          <w:sz w:val="22"/>
          <w:szCs w:val="22"/>
        </w:rPr>
        <w:t>Mem</w:t>
      </w:r>
      <w:r>
        <w:rPr>
          <w:sz w:val="22"/>
          <w:szCs w:val="22"/>
        </w:rPr>
        <w:t>. 1.1.7-8.</w:t>
      </w:r>
    </w:p>
  </w:footnote>
  <w:footnote w:id="176">
    <w:p w14:paraId="7CB43CE5" w14:textId="32FBC78F" w:rsidR="00537F32" w:rsidRPr="00EE4749" w:rsidRDefault="00000000">
      <w:pPr>
        <w:pStyle w:val="FootnoteText"/>
        <w:spacing w:after="120"/>
      </w:pPr>
      <w:r w:rsidRPr="00EE4749">
        <w:rPr>
          <w:rStyle w:val="FootnoteReference"/>
        </w:rPr>
        <w:footnoteRef/>
      </w:r>
      <w:r w:rsidRPr="00EE4749">
        <w:rPr>
          <w:rFonts w:cs="Calibri"/>
          <w:sz w:val="22"/>
          <w:szCs w:val="22"/>
        </w:rPr>
        <w:t xml:space="preserve"> </w:t>
      </w:r>
      <w:r w:rsidRPr="00EE4749">
        <w:rPr>
          <w:rFonts w:cs="Calibri"/>
          <w:sz w:val="22"/>
          <w:szCs w:val="22"/>
          <w:shd w:val="clear" w:color="auto" w:fill="FFFFFF"/>
        </w:rPr>
        <w:t>Černý, 1962, p. 35</w:t>
      </w:r>
      <w:r w:rsidR="00EE4749" w:rsidRPr="00EE4749">
        <w:rPr>
          <w:rFonts w:cs="Calibri"/>
          <w:sz w:val="22"/>
          <w:szCs w:val="22"/>
          <w:shd w:val="clear" w:color="auto" w:fill="FFFFFF"/>
        </w:rPr>
        <w:t>. I have interpolated ‘human’ to replace</w:t>
      </w:r>
      <w:r w:rsidR="00272FC5">
        <w:rPr>
          <w:rFonts w:cs="Calibri"/>
          <w:sz w:val="22"/>
          <w:szCs w:val="22"/>
          <w:shd w:val="clear" w:color="auto" w:fill="FFFFFF"/>
        </w:rPr>
        <w:t xml:space="preserve"> </w:t>
      </w:r>
      <w:r w:rsidR="00EE4749" w:rsidRPr="00EE4749">
        <w:rPr>
          <w:rFonts w:cs="Calibri"/>
          <w:sz w:val="22"/>
          <w:szCs w:val="22"/>
          <w:shd w:val="clear" w:color="auto" w:fill="FFFFFF"/>
        </w:rPr>
        <w:t>’man’.</w:t>
      </w:r>
    </w:p>
  </w:footnote>
  <w:footnote w:id="177">
    <w:p w14:paraId="29910A4A" w14:textId="77777777" w:rsidR="00537F32" w:rsidRPr="00EE4749" w:rsidRDefault="00000000">
      <w:pPr>
        <w:pStyle w:val="FootnoteText"/>
        <w:spacing w:after="120"/>
      </w:pPr>
      <w:r w:rsidRPr="00EE4749">
        <w:rPr>
          <w:rStyle w:val="FootnoteReference"/>
        </w:rPr>
        <w:footnoteRef/>
      </w:r>
      <w:r w:rsidRPr="00EE4749">
        <w:rPr>
          <w:sz w:val="22"/>
          <w:szCs w:val="22"/>
        </w:rPr>
        <w:t xml:space="preserve"> Tallett, 2012, p. 400.</w:t>
      </w:r>
    </w:p>
  </w:footnote>
  <w:footnote w:id="178">
    <w:p w14:paraId="3C447E58" w14:textId="77777777" w:rsidR="00537F32" w:rsidRPr="00EE4749" w:rsidRDefault="00000000">
      <w:pPr>
        <w:pStyle w:val="FootnoteText"/>
        <w:spacing w:after="120"/>
      </w:pPr>
      <w:r w:rsidRPr="00EE4749">
        <w:rPr>
          <w:rStyle w:val="FootnoteReference"/>
        </w:rPr>
        <w:footnoteRef/>
      </w:r>
      <w:r w:rsidRPr="00EE4749">
        <w:rPr>
          <w:sz w:val="22"/>
          <w:szCs w:val="22"/>
        </w:rPr>
        <w:t xml:space="preserve"> Tallett, 2012, p. 399.</w:t>
      </w:r>
    </w:p>
  </w:footnote>
  <w:footnote w:id="179">
    <w:p w14:paraId="2AAFB80F" w14:textId="4D730359" w:rsidR="00537F32" w:rsidRDefault="00000000">
      <w:pPr>
        <w:pStyle w:val="FootnoteText"/>
        <w:spacing w:after="120"/>
      </w:pPr>
      <w:r>
        <w:rPr>
          <w:rStyle w:val="FootnoteReference"/>
        </w:rPr>
        <w:footnoteRef/>
      </w:r>
      <w:r>
        <w:rPr>
          <w:sz w:val="22"/>
          <w:szCs w:val="22"/>
        </w:rPr>
        <w:t xml:space="preserve"> This writer wishes to avoid formulations such as ‘god </w:t>
      </w:r>
      <w:r>
        <w:rPr>
          <w:i/>
          <w:iCs/>
          <w:sz w:val="22"/>
          <w:szCs w:val="22"/>
        </w:rPr>
        <w:t>of</w:t>
      </w:r>
      <w:r>
        <w:rPr>
          <w:sz w:val="22"/>
          <w:szCs w:val="22"/>
        </w:rPr>
        <w:t xml:space="preserve"> something’.</w:t>
      </w:r>
      <w:r w:rsidR="007B239D">
        <w:rPr>
          <w:sz w:val="22"/>
          <w:szCs w:val="22"/>
        </w:rPr>
        <w:t xml:space="preserve"> The concept noted above of Shai as ‘Fate’ seems different from this.</w:t>
      </w:r>
    </w:p>
  </w:footnote>
  <w:footnote w:id="180">
    <w:p w14:paraId="3234D2DE" w14:textId="77777777" w:rsidR="00537F32" w:rsidRDefault="00000000">
      <w:pPr>
        <w:pStyle w:val="FootnoteText"/>
        <w:spacing w:after="120"/>
      </w:pPr>
      <w:r>
        <w:rPr>
          <w:rStyle w:val="FootnoteReference"/>
        </w:rPr>
        <w:footnoteRef/>
      </w:r>
      <w:r>
        <w:rPr>
          <w:sz w:val="22"/>
          <w:szCs w:val="22"/>
        </w:rPr>
        <w:t xml:space="preserve"> Ritner, 1993. pp. 215-216.</w:t>
      </w:r>
    </w:p>
  </w:footnote>
  <w:footnote w:id="181">
    <w:p w14:paraId="2F8A6A10" w14:textId="77777777" w:rsidR="00537F32" w:rsidRDefault="00000000">
      <w:pPr>
        <w:pStyle w:val="FootnoteText"/>
        <w:spacing w:after="120"/>
      </w:pPr>
      <w:r>
        <w:rPr>
          <w:rStyle w:val="FootnoteReference"/>
        </w:rPr>
        <w:footnoteRef/>
      </w:r>
      <w:r>
        <w:rPr>
          <w:sz w:val="22"/>
          <w:szCs w:val="22"/>
        </w:rPr>
        <w:t xml:space="preserve"> Ritner, 1993, p. 217.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F32"/>
    <w:rsid w:val="000F1324"/>
    <w:rsid w:val="00111209"/>
    <w:rsid w:val="001761F9"/>
    <w:rsid w:val="00194DE5"/>
    <w:rsid w:val="001A2DAE"/>
    <w:rsid w:val="001C455F"/>
    <w:rsid w:val="001F60FB"/>
    <w:rsid w:val="00242241"/>
    <w:rsid w:val="0024615A"/>
    <w:rsid w:val="00250120"/>
    <w:rsid w:val="00256899"/>
    <w:rsid w:val="00272FC5"/>
    <w:rsid w:val="00316FBE"/>
    <w:rsid w:val="003A637F"/>
    <w:rsid w:val="003E2DED"/>
    <w:rsid w:val="004639F3"/>
    <w:rsid w:val="005230DC"/>
    <w:rsid w:val="005248D0"/>
    <w:rsid w:val="00537F32"/>
    <w:rsid w:val="00544B38"/>
    <w:rsid w:val="00573A3E"/>
    <w:rsid w:val="00573C88"/>
    <w:rsid w:val="00597353"/>
    <w:rsid w:val="005D7270"/>
    <w:rsid w:val="00645CA1"/>
    <w:rsid w:val="00646C1C"/>
    <w:rsid w:val="006602B4"/>
    <w:rsid w:val="006A599A"/>
    <w:rsid w:val="007347B4"/>
    <w:rsid w:val="007B239D"/>
    <w:rsid w:val="007D0478"/>
    <w:rsid w:val="00813CEE"/>
    <w:rsid w:val="0082110E"/>
    <w:rsid w:val="00941C03"/>
    <w:rsid w:val="009E1E22"/>
    <w:rsid w:val="00A20C5E"/>
    <w:rsid w:val="00A42CA8"/>
    <w:rsid w:val="00A9049D"/>
    <w:rsid w:val="00A96170"/>
    <w:rsid w:val="00AB7551"/>
    <w:rsid w:val="00B9521F"/>
    <w:rsid w:val="00BA3C01"/>
    <w:rsid w:val="00BA4B86"/>
    <w:rsid w:val="00C94F1C"/>
    <w:rsid w:val="00CE6DEA"/>
    <w:rsid w:val="00D24BC5"/>
    <w:rsid w:val="00D46091"/>
    <w:rsid w:val="00D4738F"/>
    <w:rsid w:val="00D800E8"/>
    <w:rsid w:val="00E035C6"/>
    <w:rsid w:val="00E80C37"/>
    <w:rsid w:val="00EB60D4"/>
    <w:rsid w:val="00EE4749"/>
    <w:rsid w:val="00EE6F9A"/>
    <w:rsid w:val="00F20DCB"/>
    <w:rsid w:val="00F26FAE"/>
    <w:rsid w:val="00FB4FF7"/>
    <w:rsid w:val="00FB7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CC8274"/>
  <w15:docId w15:val="{25E3FB8B-C968-489C-A254-3F706C45B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4" w:lineRule="auto"/>
    </w:pPr>
  </w:style>
  <w:style w:type="paragraph" w:styleId="Heading1">
    <w:name w:val="heading 1"/>
    <w:basedOn w:val="Normal"/>
    <w:next w:val="Normal"/>
    <w:uiPriority w:val="9"/>
    <w:qFormat/>
    <w:pPr>
      <w:keepNext/>
      <w:keepLines/>
      <w:spacing w:before="360" w:after="80" w:line="249" w:lineRule="auto"/>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line="249" w:lineRule="auto"/>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line="249" w:lineRule="auto"/>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line="249" w:lineRule="auto"/>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line="249" w:lineRule="auto"/>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line="249" w:lineRule="auto"/>
      <w:outlineLvl w:val="5"/>
    </w:pPr>
    <w:rPr>
      <w:rFonts w:eastAsia="Times New Roman"/>
      <w:i/>
      <w:iCs/>
      <w:color w:val="595959"/>
    </w:rPr>
  </w:style>
  <w:style w:type="paragraph" w:styleId="Heading7">
    <w:name w:val="heading 7"/>
    <w:basedOn w:val="Normal"/>
    <w:next w:val="Normal"/>
    <w:pPr>
      <w:keepNext/>
      <w:keepLines/>
      <w:spacing w:before="40" w:after="0" w:line="249" w:lineRule="auto"/>
      <w:outlineLvl w:val="6"/>
    </w:pPr>
    <w:rPr>
      <w:rFonts w:eastAsia="Times New Roman"/>
      <w:color w:val="595959"/>
    </w:rPr>
  </w:style>
  <w:style w:type="paragraph" w:styleId="Heading8">
    <w:name w:val="heading 8"/>
    <w:basedOn w:val="Normal"/>
    <w:next w:val="Normal"/>
    <w:pPr>
      <w:keepNext/>
      <w:keepLines/>
      <w:spacing w:after="0" w:line="249" w:lineRule="auto"/>
      <w:outlineLvl w:val="7"/>
    </w:pPr>
    <w:rPr>
      <w:rFonts w:eastAsia="Times New Roman"/>
      <w:i/>
      <w:iCs/>
      <w:color w:val="272727"/>
    </w:rPr>
  </w:style>
  <w:style w:type="paragraph" w:styleId="Heading9">
    <w:name w:val="heading 9"/>
    <w:basedOn w:val="Normal"/>
    <w:next w:val="Normal"/>
    <w:pPr>
      <w:keepNext/>
      <w:keepLines/>
      <w:spacing w:after="0" w:line="249" w:lineRule="auto"/>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pPr>
      <w:spacing w:line="249" w:lineRule="auto"/>
    </w:pPr>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line="249" w:lineRule="auto"/>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spacing w:line="249" w:lineRule="auto"/>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line="249" w:lineRule="auto"/>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rFonts w:ascii="Calibri" w:eastAsia="Calibri" w:hAnsi="Calibri" w:cs="Times New Roman"/>
      <w:sz w:val="20"/>
      <w:szCs w:val="20"/>
    </w:rPr>
  </w:style>
  <w:style w:type="character" w:styleId="FootnoteReference">
    <w:name w:val="footnote reference"/>
    <w:basedOn w:val="DefaultParagraphFont"/>
    <w:rPr>
      <w:position w:val="0"/>
      <w:vertAlign w:val="superscript"/>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customStyle="1" w:styleId="athena">
    <w:name w:val="athena"/>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03721">
      <w:bodyDiv w:val="1"/>
      <w:marLeft w:val="0"/>
      <w:marRight w:val="0"/>
      <w:marTop w:val="0"/>
      <w:marBottom w:val="0"/>
      <w:divBdr>
        <w:top w:val="none" w:sz="0" w:space="0" w:color="auto"/>
        <w:left w:val="none" w:sz="0" w:space="0" w:color="auto"/>
        <w:bottom w:val="none" w:sz="0" w:space="0" w:color="auto"/>
        <w:right w:val="none" w:sz="0" w:space="0" w:color="auto"/>
      </w:divBdr>
    </w:div>
    <w:div w:id="368336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323389-2C98-44BA-A2F4-4F3B9AB23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6407</TotalTime>
  <Pages>36</Pages>
  <Words>6701</Words>
  <Characters>38202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Maychild</dc:creator>
  <dc:description/>
  <cp:lastModifiedBy>Rufus Maychild</cp:lastModifiedBy>
  <cp:revision>12</cp:revision>
  <cp:lastPrinted>2024-04-24T08:33:00Z</cp:lastPrinted>
  <dcterms:created xsi:type="dcterms:W3CDTF">2024-04-17T10:30:00Z</dcterms:created>
  <dcterms:modified xsi:type="dcterms:W3CDTF">2024-04-24T10:13:00Z</dcterms:modified>
</cp:coreProperties>
</file>