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48D0" w:rsidRPr="006723A9" w:rsidRDefault="00134847" w:rsidP="006723A9">
      <w:pPr>
        <w:pStyle w:val="Heading1"/>
        <w:spacing w:line="240" w:lineRule="auto"/>
        <w:rPr>
          <w:rStyle w:val="Strong"/>
          <w:rFonts w:asciiTheme="minorHAnsi" w:hAnsiTheme="minorHAnsi" w:cstheme="minorHAnsi"/>
          <w:b/>
          <w:bCs/>
          <w:color w:val="000000" w:themeColor="text1"/>
        </w:rPr>
      </w:pPr>
      <w:r w:rsidRPr="006723A9">
        <w:rPr>
          <w:rStyle w:val="Strong"/>
          <w:rFonts w:asciiTheme="minorHAnsi" w:hAnsiTheme="minorHAnsi" w:cstheme="minorHAnsi"/>
          <w:b/>
          <w:bCs/>
          <w:color w:val="000000" w:themeColor="text1"/>
        </w:rPr>
        <w:t xml:space="preserve">Strategic Adaptation, Competitive Initiative and Location Advantage: </w:t>
      </w:r>
      <w:proofErr w:type="gramStart"/>
      <w:r w:rsidRPr="006723A9">
        <w:rPr>
          <w:rStyle w:val="Strong"/>
          <w:rFonts w:asciiTheme="minorHAnsi" w:hAnsiTheme="minorHAnsi" w:cstheme="minorHAnsi"/>
          <w:b/>
          <w:bCs/>
          <w:color w:val="000000" w:themeColor="text1"/>
        </w:rPr>
        <w:t>A</w:t>
      </w:r>
      <w:proofErr w:type="gramEnd"/>
      <w:r w:rsidRPr="006723A9">
        <w:rPr>
          <w:rStyle w:val="Strong"/>
          <w:rFonts w:asciiTheme="minorHAnsi" w:hAnsiTheme="minorHAnsi" w:cstheme="minorHAnsi"/>
          <w:b/>
          <w:bCs/>
          <w:color w:val="000000" w:themeColor="text1"/>
        </w:rPr>
        <w:t xml:space="preserve"> Critical Analysis of Sony</w:t>
      </w:r>
      <w:r w:rsidR="00961C79" w:rsidRPr="006723A9">
        <w:rPr>
          <w:rStyle w:val="Strong"/>
          <w:rFonts w:asciiTheme="minorHAnsi" w:hAnsiTheme="minorHAnsi" w:cstheme="minorHAnsi"/>
          <w:b/>
          <w:bCs/>
          <w:color w:val="000000" w:themeColor="text1"/>
        </w:rPr>
        <w:t>’s Walkman Decline through Sun T</w:t>
      </w:r>
      <w:r w:rsidRPr="006723A9">
        <w:rPr>
          <w:rStyle w:val="Strong"/>
          <w:rFonts w:asciiTheme="minorHAnsi" w:hAnsiTheme="minorHAnsi" w:cstheme="minorHAnsi"/>
          <w:b/>
          <w:bCs/>
          <w:color w:val="000000" w:themeColor="text1"/>
        </w:rPr>
        <w:t>zu</w:t>
      </w:r>
    </w:p>
    <w:p w:rsidR="00134847" w:rsidRPr="00134847" w:rsidRDefault="00134847" w:rsidP="006723A9">
      <w:pPr>
        <w:spacing w:line="240" w:lineRule="auto"/>
      </w:pPr>
    </w:p>
    <w:p w:rsidR="00134847" w:rsidRPr="00134847" w:rsidRDefault="00134847" w:rsidP="006723A9">
      <w:pPr>
        <w:spacing w:line="240" w:lineRule="auto"/>
        <w:rPr>
          <w:b/>
          <w:sz w:val="24"/>
          <w:szCs w:val="24"/>
        </w:rPr>
      </w:pPr>
      <w:r w:rsidRPr="00134847">
        <w:rPr>
          <w:b/>
          <w:sz w:val="24"/>
          <w:szCs w:val="24"/>
        </w:rPr>
        <w:t>Foreword</w:t>
      </w:r>
    </w:p>
    <w:p w:rsidR="00134847" w:rsidRDefault="00134847" w:rsidP="006723A9">
      <w:pPr>
        <w:spacing w:line="240" w:lineRule="auto"/>
        <w:rPr>
          <w:sz w:val="24"/>
          <w:szCs w:val="24"/>
        </w:rPr>
      </w:pPr>
      <w:r w:rsidRPr="00134847">
        <w:rPr>
          <w:sz w:val="24"/>
          <w:szCs w:val="24"/>
        </w:rPr>
        <w:t xml:space="preserve">This essay </w:t>
      </w:r>
      <w:r>
        <w:rPr>
          <w:sz w:val="24"/>
          <w:szCs w:val="24"/>
        </w:rPr>
        <w:t>critically examines the decline of Sony in the Walkman market through certain selected principles from Sun Tzu’s The Art of War. Rather than ascribing complete universal applicability to Sun Tzu’s te</w:t>
      </w:r>
      <w:r w:rsidR="000D511B">
        <w:rPr>
          <w:sz w:val="24"/>
          <w:szCs w:val="24"/>
        </w:rPr>
        <w:t>achings, the essay evaluates its</w:t>
      </w:r>
      <w:r>
        <w:rPr>
          <w:sz w:val="24"/>
          <w:szCs w:val="24"/>
        </w:rPr>
        <w:t xml:space="preserve"> explanatory value along</w:t>
      </w:r>
      <w:r w:rsidR="000D511B">
        <w:rPr>
          <w:sz w:val="24"/>
          <w:szCs w:val="24"/>
        </w:rPr>
        <w:t xml:space="preserve">side </w:t>
      </w:r>
      <w:r>
        <w:rPr>
          <w:sz w:val="24"/>
          <w:szCs w:val="24"/>
        </w:rPr>
        <w:t>contemporary strategic and organisational perspectives, using the case of Sony to explore both the significance and the limitations of applying ancient military strategy to the modern business world.</w:t>
      </w:r>
    </w:p>
    <w:p w:rsidR="00134847" w:rsidRDefault="00134847" w:rsidP="006723A9">
      <w:pPr>
        <w:spacing w:line="240" w:lineRule="auto"/>
        <w:rPr>
          <w:b/>
          <w:sz w:val="24"/>
          <w:szCs w:val="24"/>
        </w:rPr>
      </w:pPr>
      <w:r w:rsidRPr="00134847">
        <w:rPr>
          <w:b/>
          <w:sz w:val="24"/>
          <w:szCs w:val="24"/>
        </w:rPr>
        <w:t>Introduction</w:t>
      </w:r>
    </w:p>
    <w:p w:rsidR="00134847" w:rsidRPr="0066281B" w:rsidRDefault="00134847" w:rsidP="006723A9">
      <w:pPr>
        <w:spacing w:line="240" w:lineRule="auto"/>
        <w:rPr>
          <w:sz w:val="24"/>
          <w:szCs w:val="24"/>
        </w:rPr>
      </w:pPr>
      <w:r w:rsidRPr="0066281B">
        <w:rPr>
          <w:sz w:val="24"/>
          <w:szCs w:val="24"/>
        </w:rPr>
        <w:t xml:space="preserve">The Art of War by Sun Tzu has attracted significant attention even beyond its original military context because its </w:t>
      </w:r>
      <w:r w:rsidR="0066281B" w:rsidRPr="0066281B">
        <w:rPr>
          <w:sz w:val="24"/>
          <w:szCs w:val="24"/>
        </w:rPr>
        <w:t xml:space="preserve">emphasis on adaptation, strategic positioning, competitive awareness and initiative seems relevant to modern business strategy. </w:t>
      </w:r>
      <w:r w:rsidR="0066281B">
        <w:rPr>
          <w:sz w:val="24"/>
          <w:szCs w:val="24"/>
        </w:rPr>
        <w:t>However, applying military p</w:t>
      </w:r>
      <w:r w:rsidR="00B239F6">
        <w:rPr>
          <w:sz w:val="24"/>
          <w:szCs w:val="24"/>
        </w:rPr>
        <w:t xml:space="preserve">rinciples directly to business </w:t>
      </w:r>
      <w:r w:rsidR="0066281B">
        <w:rPr>
          <w:sz w:val="24"/>
          <w:szCs w:val="24"/>
        </w:rPr>
        <w:t xml:space="preserve">bears the risk of oversimplifying contemporary competition, in which </w:t>
      </w:r>
      <w:r w:rsidR="00A93CCD">
        <w:rPr>
          <w:sz w:val="24"/>
          <w:szCs w:val="24"/>
        </w:rPr>
        <w:t>business outcomes</w:t>
      </w:r>
      <w:r w:rsidR="0066281B">
        <w:rPr>
          <w:sz w:val="24"/>
          <w:szCs w:val="24"/>
        </w:rPr>
        <w:t xml:space="preserve"> depend </w:t>
      </w:r>
      <w:r w:rsidR="00A93CCD">
        <w:rPr>
          <w:sz w:val="24"/>
          <w:szCs w:val="24"/>
        </w:rPr>
        <w:t xml:space="preserve">not only </w:t>
      </w:r>
      <w:r w:rsidR="0066281B">
        <w:rPr>
          <w:sz w:val="24"/>
          <w:szCs w:val="24"/>
        </w:rPr>
        <w:t>on rivals but also on organisational structures, technological change,</w:t>
      </w:r>
      <w:r w:rsidR="00A93CCD">
        <w:rPr>
          <w:sz w:val="24"/>
          <w:szCs w:val="24"/>
        </w:rPr>
        <w:t xml:space="preserve"> knowledge, innovation and ever-</w:t>
      </w:r>
      <w:r w:rsidR="0066281B">
        <w:rPr>
          <w:sz w:val="24"/>
          <w:szCs w:val="24"/>
        </w:rPr>
        <w:t xml:space="preserve">changing customer preferences. This essay critically examines these issues through Sony’s Walkman case, focusing on the company’s failure to respond effectively to the emergence of the digital music industry and the competitive challenge posed by Apple’s iPod. </w:t>
      </w:r>
    </w:p>
    <w:p w:rsidR="00134847" w:rsidRDefault="00961C79" w:rsidP="006723A9">
      <w:pPr>
        <w:spacing w:line="240" w:lineRule="auto"/>
        <w:rPr>
          <w:sz w:val="24"/>
          <w:szCs w:val="24"/>
        </w:rPr>
      </w:pPr>
      <w:r>
        <w:rPr>
          <w:sz w:val="24"/>
          <w:szCs w:val="24"/>
        </w:rPr>
        <w:t>The essay argues that Sun Tzu provides a useful diagnostic framework as opposed to a complete theory of modern competition. It examines three strategic principles or dimensions: strategic flexibility and choice, competitive initiative, an</w:t>
      </w:r>
      <w:r w:rsidR="00D819EF">
        <w:rPr>
          <w:sz w:val="24"/>
          <w:szCs w:val="24"/>
        </w:rPr>
        <w:t>d location advantage using</w:t>
      </w:r>
      <w:r>
        <w:rPr>
          <w:sz w:val="24"/>
          <w:szCs w:val="24"/>
        </w:rPr>
        <w:t xml:space="preserve"> Sun Tzu as the central analytical framework. </w:t>
      </w:r>
      <w:r w:rsidR="0081425E">
        <w:rPr>
          <w:sz w:val="24"/>
          <w:szCs w:val="24"/>
        </w:rPr>
        <w:t xml:space="preserve">These principles are developed through Porter’s theory of strategic choice and competitive positioning, MacMillan’s framework of competitive initiative, and the literature on knowledge, geographical proximity and absorptive capacity. These theories are not simply used to confirm Sun Tzu’s relevance, but are instead used to test where his principles shed light on Sony’s strategic problems and where contemporary theory may provide stronger explanations. </w:t>
      </w:r>
    </w:p>
    <w:p w:rsidR="0081425E" w:rsidRDefault="0081425E" w:rsidP="00BF32C4">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Sony’s experience is particularly telling because the company did in fact possess many of the resources required to compete successfully with rivals. Its electronics, software and entertainment businesses provided significant technological and market</w:t>
      </w:r>
      <w:r w:rsidR="00B853E4">
        <w:rPr>
          <w:rFonts w:eastAsia="Times New Roman" w:cstheme="minorHAnsi"/>
          <w:sz w:val="24"/>
          <w:szCs w:val="24"/>
          <w:lang w:eastAsia="en-GB"/>
        </w:rPr>
        <w:t xml:space="preserve"> capabilities, but</w:t>
      </w:r>
      <w:r>
        <w:rPr>
          <w:rFonts w:eastAsia="Times New Roman" w:cstheme="minorHAnsi"/>
          <w:sz w:val="24"/>
          <w:szCs w:val="24"/>
          <w:lang w:eastAsia="en-GB"/>
        </w:rPr>
        <w:t xml:space="preserve"> internal rivalry and fragmented decision-making prevented these resources from being used effectively.</w:t>
      </w:r>
      <w:r w:rsidR="00BA4BD7">
        <w:rPr>
          <w:rFonts w:eastAsia="Times New Roman" w:cstheme="minorHAnsi"/>
          <w:sz w:val="24"/>
          <w:szCs w:val="24"/>
          <w:lang w:eastAsia="en-GB"/>
        </w:rPr>
        <w:t xml:space="preserve"> The Wall Street Journal case illustrates how Sony struggles to coordinate hardware, software and music services, while Apple went</w:t>
      </w:r>
      <w:r w:rsidR="00C543DA">
        <w:rPr>
          <w:rFonts w:eastAsia="Times New Roman" w:cstheme="minorHAnsi"/>
          <w:sz w:val="24"/>
          <w:szCs w:val="24"/>
          <w:lang w:eastAsia="en-GB"/>
        </w:rPr>
        <w:t xml:space="preserve"> on to establish a more thought-</w:t>
      </w:r>
      <w:r w:rsidR="00BA4BD7">
        <w:rPr>
          <w:rFonts w:eastAsia="Times New Roman" w:cstheme="minorHAnsi"/>
          <w:sz w:val="24"/>
          <w:szCs w:val="24"/>
          <w:lang w:eastAsia="en-GB"/>
        </w:rPr>
        <w:t>through and coherent digital music proposition through the relationship between iPod and iTunes.</w:t>
      </w:r>
      <w:r w:rsidR="00BA4BD7">
        <w:rPr>
          <w:rStyle w:val="FootnoteReference"/>
          <w:rFonts w:eastAsia="Times New Roman" w:cstheme="minorHAnsi"/>
          <w:sz w:val="24"/>
          <w:szCs w:val="24"/>
          <w:lang w:eastAsia="en-GB"/>
        </w:rPr>
        <w:footnoteReference w:id="1"/>
      </w:r>
      <w:r w:rsidR="00BA4BD7">
        <w:rPr>
          <w:rFonts w:eastAsia="Times New Roman" w:cstheme="minorHAnsi"/>
          <w:sz w:val="24"/>
          <w:szCs w:val="24"/>
          <w:lang w:eastAsia="en-GB"/>
        </w:rPr>
        <w:t xml:space="preserve"> </w:t>
      </w:r>
    </w:p>
    <w:p w:rsidR="0081425E" w:rsidRDefault="00245687" w:rsidP="00BF32C4">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lastRenderedPageBreak/>
        <w:t xml:space="preserve">This essay therefore argues that the decline of Sony was not simply a failure to innovate or anticipate Apple. Rather, it was a failure to convert awareness, resources and knowledge into coordinated strategic action. The case consequently highlights both the continuing usefulness and the limitations of Sun Tzu. While his principles can illuminate competitive behaviour, contemporary strategic and organisational theories are vital to explain the various mechanisms through which competitive advantage is actually created and lost. </w:t>
      </w:r>
    </w:p>
    <w:p w:rsidR="00245687" w:rsidRPr="006723A9" w:rsidRDefault="00C949C3" w:rsidP="00BF32C4">
      <w:pPr>
        <w:spacing w:before="100" w:beforeAutospacing="1" w:after="100" w:afterAutospacing="1" w:line="240" w:lineRule="auto"/>
        <w:rPr>
          <w:rFonts w:eastAsia="Times New Roman" w:cstheme="minorHAnsi"/>
          <w:b/>
          <w:sz w:val="24"/>
          <w:szCs w:val="24"/>
          <w:lang w:eastAsia="en-GB"/>
        </w:rPr>
      </w:pPr>
      <w:r w:rsidRPr="006723A9">
        <w:rPr>
          <w:rFonts w:eastAsia="Times New Roman" w:cstheme="minorHAnsi"/>
          <w:b/>
          <w:sz w:val="24"/>
          <w:szCs w:val="24"/>
          <w:lang w:eastAsia="en-GB"/>
        </w:rPr>
        <w:t>Literature Review</w:t>
      </w:r>
    </w:p>
    <w:p w:rsidR="00C949C3" w:rsidRDefault="0068009C" w:rsidP="00BF32C4">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The l</w:t>
      </w:r>
      <w:r w:rsidR="006723A9">
        <w:rPr>
          <w:rFonts w:eastAsia="Times New Roman" w:cstheme="minorHAnsi"/>
          <w:sz w:val="24"/>
          <w:szCs w:val="24"/>
          <w:lang w:eastAsia="en-GB"/>
        </w:rPr>
        <w:t>iterature provides several inte</w:t>
      </w:r>
      <w:r>
        <w:rPr>
          <w:rFonts w:eastAsia="Times New Roman" w:cstheme="minorHAnsi"/>
          <w:sz w:val="24"/>
          <w:szCs w:val="24"/>
          <w:lang w:eastAsia="en-GB"/>
        </w:rPr>
        <w:t>rconnected perspectives through</w:t>
      </w:r>
      <w:r w:rsidR="006723A9">
        <w:rPr>
          <w:rFonts w:eastAsia="Times New Roman" w:cstheme="minorHAnsi"/>
          <w:sz w:val="24"/>
          <w:szCs w:val="24"/>
          <w:lang w:eastAsia="en-GB"/>
        </w:rPr>
        <w:t xml:space="preserve"> which to analyse Sony’s decline in the Walkman market. Sun Tzu will be used as the central strategic framework, particularly through the principles of adaptation, competitive initiative and terrain. His emphasis on responding to changing circumstances and understanding the competitive environment provides a useful starting point, but to apply these principles directly to a modern multinational business corporation risks overlooking organisational and technological complexity. </w:t>
      </w:r>
    </w:p>
    <w:p w:rsidR="00C949C3" w:rsidRDefault="006723A9" w:rsidP="00BF32C4">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Porter prov</w:t>
      </w:r>
      <w:r w:rsidR="0068009C">
        <w:rPr>
          <w:rFonts w:eastAsia="Times New Roman" w:cstheme="minorHAnsi"/>
          <w:sz w:val="24"/>
          <w:szCs w:val="24"/>
          <w:lang w:eastAsia="en-GB"/>
        </w:rPr>
        <w:t>ides a contemporary framework for</w:t>
      </w:r>
      <w:r>
        <w:rPr>
          <w:rFonts w:eastAsia="Times New Roman" w:cstheme="minorHAnsi"/>
          <w:sz w:val="24"/>
          <w:szCs w:val="24"/>
          <w:lang w:eastAsia="en-GB"/>
        </w:rPr>
        <w:t xml:space="preserve"> comp</w:t>
      </w:r>
      <w:r w:rsidR="008B240D">
        <w:rPr>
          <w:rFonts w:eastAsia="Times New Roman" w:cstheme="minorHAnsi"/>
          <w:sz w:val="24"/>
          <w:szCs w:val="24"/>
          <w:lang w:eastAsia="en-GB"/>
        </w:rPr>
        <w:t>etitive strategy and strategic positioning. He argues that ‘competitive strategy is about being different,’ while distinguishing strategy from operational effectiveness.</w:t>
      </w:r>
      <w:r w:rsidR="00EF11DD">
        <w:rPr>
          <w:rStyle w:val="FootnoteReference"/>
          <w:rFonts w:eastAsia="Times New Roman" w:cstheme="minorHAnsi"/>
          <w:sz w:val="24"/>
          <w:szCs w:val="24"/>
          <w:lang w:eastAsia="en-GB"/>
        </w:rPr>
        <w:footnoteReference w:id="2"/>
      </w:r>
      <w:r w:rsidR="008B240D">
        <w:rPr>
          <w:rFonts w:eastAsia="Times New Roman" w:cstheme="minorHAnsi"/>
          <w:sz w:val="24"/>
          <w:szCs w:val="24"/>
          <w:lang w:eastAsia="en-GB"/>
        </w:rPr>
        <w:t xml:space="preserve"> </w:t>
      </w:r>
      <w:r w:rsidR="00EF11DD">
        <w:rPr>
          <w:rFonts w:eastAsia="Times New Roman" w:cstheme="minorHAnsi"/>
          <w:sz w:val="24"/>
          <w:szCs w:val="24"/>
          <w:lang w:eastAsia="en-GB"/>
        </w:rPr>
        <w:t xml:space="preserve"> His work is particularly relevant to Sony because the company possessed significant technological expertise but still struggled to translate these capabilities into a coherent competitive position against its main rival, Apple. </w:t>
      </w:r>
      <w:r w:rsidR="00E56FE2">
        <w:rPr>
          <w:rFonts w:eastAsia="Times New Roman" w:cstheme="minorHAnsi"/>
          <w:sz w:val="24"/>
          <w:szCs w:val="24"/>
          <w:lang w:eastAsia="en-GB"/>
        </w:rPr>
        <w:t xml:space="preserve">Porter therefore provides a basis for analysing not only whether Sony changed, but whether it made appropriate strategic choices. </w:t>
      </w:r>
    </w:p>
    <w:p w:rsidR="00C949C3" w:rsidRPr="00D01738" w:rsidRDefault="00A2469E" w:rsidP="00BF32C4">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MacMillan’s competitive framework</w:t>
      </w:r>
      <w:r w:rsidR="0068009C">
        <w:rPr>
          <w:rFonts w:eastAsia="Times New Roman" w:cstheme="minorHAnsi"/>
          <w:sz w:val="24"/>
          <w:szCs w:val="24"/>
          <w:lang w:eastAsia="en-GB"/>
        </w:rPr>
        <w:t xml:space="preserve"> develops the question of</w:t>
      </w:r>
      <w:r>
        <w:rPr>
          <w:rFonts w:eastAsia="Times New Roman" w:cstheme="minorHAnsi"/>
          <w:sz w:val="24"/>
          <w:szCs w:val="24"/>
          <w:lang w:eastAsia="en-GB"/>
        </w:rPr>
        <w:t xml:space="preserve"> how firms can shape </w:t>
      </w:r>
      <w:r w:rsidRPr="00D01738">
        <w:rPr>
          <w:rFonts w:eastAsia="Times New Roman" w:cstheme="minorHAnsi"/>
          <w:sz w:val="24"/>
          <w:szCs w:val="24"/>
          <w:lang w:eastAsia="en-GB"/>
        </w:rPr>
        <w:t>competition instead of merely responding to it. His argument that ‘the company with the initiative</w:t>
      </w:r>
      <w:r w:rsidR="0005346C" w:rsidRPr="00D01738">
        <w:rPr>
          <w:rFonts w:eastAsia="Times New Roman" w:cstheme="minorHAnsi"/>
          <w:sz w:val="24"/>
          <w:szCs w:val="24"/>
          <w:lang w:eastAsia="en-GB"/>
        </w:rPr>
        <w:t xml:space="preserve"> is better able to dominate the competitive game’ is particularly relevant to Sony’s failure to establish an integrated digital music proposition before Apple.</w:t>
      </w:r>
      <w:r w:rsidR="0005346C" w:rsidRPr="00D01738">
        <w:rPr>
          <w:rStyle w:val="FootnoteReference"/>
          <w:rFonts w:eastAsia="Times New Roman" w:cstheme="minorHAnsi"/>
          <w:sz w:val="24"/>
          <w:szCs w:val="24"/>
          <w:lang w:eastAsia="en-GB"/>
        </w:rPr>
        <w:footnoteReference w:id="3"/>
      </w:r>
      <w:r w:rsidR="0005346C" w:rsidRPr="00D01738">
        <w:rPr>
          <w:rFonts w:eastAsia="Times New Roman" w:cstheme="minorHAnsi"/>
          <w:sz w:val="24"/>
          <w:szCs w:val="24"/>
          <w:lang w:eastAsia="en-GB"/>
        </w:rPr>
        <w:t xml:space="preserve"> </w:t>
      </w:r>
    </w:p>
    <w:p w:rsidR="006723A9" w:rsidRPr="00D01738" w:rsidRDefault="00D01738" w:rsidP="00BF32C4">
      <w:pPr>
        <w:spacing w:before="100" w:beforeAutospacing="1" w:after="100" w:afterAutospacing="1" w:line="240" w:lineRule="auto"/>
        <w:rPr>
          <w:rFonts w:eastAsia="Times New Roman" w:cstheme="minorHAnsi"/>
          <w:bCs/>
          <w:sz w:val="24"/>
          <w:szCs w:val="24"/>
          <w:lang w:eastAsia="en-GB"/>
        </w:rPr>
      </w:pPr>
      <w:r w:rsidRPr="00D01738">
        <w:rPr>
          <w:rFonts w:eastAsia="Times New Roman" w:cstheme="minorHAnsi"/>
          <w:bCs/>
          <w:sz w:val="24"/>
          <w:szCs w:val="24"/>
          <w:lang w:eastAsia="en-GB"/>
        </w:rPr>
        <w:t xml:space="preserve">Finally, the knowledge-based and absorptive-capacity literature provides an organisational explanation that Sun Tzu cannot fully supply. </w:t>
      </w:r>
      <w:r>
        <w:rPr>
          <w:rFonts w:eastAsia="Times New Roman" w:cstheme="minorHAnsi"/>
          <w:bCs/>
          <w:sz w:val="24"/>
          <w:szCs w:val="24"/>
          <w:lang w:eastAsia="en-GB"/>
        </w:rPr>
        <w:t xml:space="preserve">Cohen and </w:t>
      </w:r>
      <w:proofErr w:type="spellStart"/>
      <w:r>
        <w:rPr>
          <w:rFonts w:eastAsia="Times New Roman" w:cstheme="minorHAnsi"/>
          <w:bCs/>
          <w:sz w:val="24"/>
          <w:szCs w:val="24"/>
          <w:lang w:eastAsia="en-GB"/>
        </w:rPr>
        <w:t>Levinthal</w:t>
      </w:r>
      <w:proofErr w:type="spellEnd"/>
      <w:r>
        <w:rPr>
          <w:rFonts w:eastAsia="Times New Roman" w:cstheme="minorHAnsi"/>
          <w:bCs/>
          <w:sz w:val="24"/>
          <w:szCs w:val="24"/>
          <w:lang w:eastAsia="en-GB"/>
        </w:rPr>
        <w:t xml:space="preserve"> argue that ‘the ability to exploit external knowledge is thus a critical component of innovative capabilities.’</w:t>
      </w:r>
      <w:r>
        <w:rPr>
          <w:rStyle w:val="FootnoteReference"/>
          <w:rFonts w:eastAsia="Times New Roman" w:cstheme="minorHAnsi"/>
          <w:bCs/>
          <w:sz w:val="24"/>
          <w:szCs w:val="24"/>
          <w:lang w:eastAsia="en-GB"/>
        </w:rPr>
        <w:footnoteReference w:id="4"/>
      </w:r>
      <w:r w:rsidR="00D94A6B">
        <w:rPr>
          <w:rFonts w:eastAsia="Times New Roman" w:cstheme="minorHAnsi"/>
          <w:bCs/>
          <w:sz w:val="24"/>
          <w:szCs w:val="24"/>
          <w:lang w:eastAsia="en-GB"/>
        </w:rPr>
        <w:t xml:space="preserve"> Further research on </w:t>
      </w:r>
      <w:r w:rsidR="00DA48E9">
        <w:rPr>
          <w:rFonts w:eastAsia="Times New Roman" w:cstheme="minorHAnsi"/>
          <w:bCs/>
          <w:sz w:val="24"/>
          <w:szCs w:val="24"/>
          <w:lang w:eastAsia="en-GB"/>
        </w:rPr>
        <w:t>geographical proximity considers how location can facilitate knowledge exchange, but also recognises that prox</w:t>
      </w:r>
      <w:r w:rsidR="005512CA">
        <w:rPr>
          <w:rFonts w:eastAsia="Times New Roman" w:cstheme="minorHAnsi"/>
          <w:bCs/>
          <w:sz w:val="24"/>
          <w:szCs w:val="24"/>
          <w:lang w:eastAsia="en-GB"/>
        </w:rPr>
        <w:t xml:space="preserve">imity alone does not guarantee </w:t>
      </w:r>
      <w:r w:rsidR="00DA48E9">
        <w:rPr>
          <w:rFonts w:eastAsia="Times New Roman" w:cstheme="minorHAnsi"/>
          <w:bCs/>
          <w:sz w:val="24"/>
          <w:szCs w:val="24"/>
          <w:lang w:eastAsia="en-GB"/>
        </w:rPr>
        <w:t xml:space="preserve">innovation. </w:t>
      </w:r>
    </w:p>
    <w:p w:rsidR="00DA48E9" w:rsidRDefault="00D94A6B" w:rsidP="00BF32C4">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Therefore, this essay uses Sun Tzu as the central analytical lens, while also employing Porter, MacMillan and the knowledge/absorptive-capacity literature to test its explanatory power and scope. </w:t>
      </w:r>
      <w:r w:rsidR="00787736">
        <w:rPr>
          <w:rFonts w:eastAsia="Times New Roman" w:cstheme="minorHAnsi"/>
          <w:sz w:val="24"/>
          <w:szCs w:val="24"/>
          <w:lang w:eastAsia="en-GB"/>
        </w:rPr>
        <w:t xml:space="preserve">The analysis does not assume that Sun Tzu’s principles automatically explain the failure of Sony; instead, it evaluates whether the ancient framework remains relevant and insightful, and where modern theories offer a more convincing or up-to-date explanation of Sony’s organisational and competitive difficulties. </w:t>
      </w:r>
    </w:p>
    <w:p w:rsidR="00DA48E9" w:rsidRPr="00DE7DAB" w:rsidRDefault="0060614E" w:rsidP="00BF32C4">
      <w:pPr>
        <w:spacing w:before="100" w:beforeAutospacing="1" w:after="100" w:afterAutospacing="1" w:line="240" w:lineRule="auto"/>
        <w:rPr>
          <w:rFonts w:eastAsia="Times New Roman" w:cstheme="minorHAnsi"/>
          <w:b/>
          <w:sz w:val="24"/>
          <w:szCs w:val="24"/>
          <w:lang w:eastAsia="en-GB"/>
        </w:rPr>
      </w:pPr>
      <w:r w:rsidRPr="00DE7DAB">
        <w:rPr>
          <w:rFonts w:eastAsia="Times New Roman" w:cstheme="minorHAnsi"/>
          <w:b/>
          <w:sz w:val="24"/>
          <w:szCs w:val="24"/>
          <w:lang w:eastAsia="en-GB"/>
        </w:rPr>
        <w:lastRenderedPageBreak/>
        <w:t>Strategic Flexibility and Strategic Choice: Sony’s Failure to Adapt</w:t>
      </w:r>
    </w:p>
    <w:p w:rsidR="0060614E" w:rsidRDefault="0060614E" w:rsidP="00BF32C4">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Sun Tzu’s emphasis on adapting strategy to changing circumstances provides a useful starting point for understanding Sony’s Walkman decline. </w:t>
      </w:r>
      <w:r w:rsidR="00865FB1">
        <w:rPr>
          <w:rFonts w:eastAsia="Times New Roman" w:cstheme="minorHAnsi"/>
          <w:sz w:val="24"/>
          <w:szCs w:val="24"/>
          <w:lang w:eastAsia="en-GB"/>
        </w:rPr>
        <w:t xml:space="preserve">The principle does not imply constant change, but </w:t>
      </w:r>
      <w:r w:rsidR="002044BE">
        <w:rPr>
          <w:rFonts w:eastAsia="Times New Roman" w:cstheme="minorHAnsi"/>
          <w:sz w:val="24"/>
          <w:szCs w:val="24"/>
          <w:lang w:eastAsia="en-GB"/>
        </w:rPr>
        <w:t xml:space="preserve">rather </w:t>
      </w:r>
      <w:r w:rsidR="00865FB1">
        <w:rPr>
          <w:rFonts w:eastAsia="Times New Roman" w:cstheme="minorHAnsi"/>
          <w:sz w:val="24"/>
          <w:szCs w:val="24"/>
          <w:lang w:eastAsia="en-GB"/>
        </w:rPr>
        <w:t>recognising when an already established strategy no longer fits within the competitive environment. Sony’s issue was therefore not a lack of innovation. Its historical track record of success depended o</w:t>
      </w:r>
      <w:r w:rsidR="00DE7DAB">
        <w:rPr>
          <w:rFonts w:eastAsia="Times New Roman" w:cstheme="minorHAnsi"/>
          <w:sz w:val="24"/>
          <w:szCs w:val="24"/>
          <w:lang w:eastAsia="en-GB"/>
        </w:rPr>
        <w:t>n technological development, yet</w:t>
      </w:r>
      <w:r w:rsidR="00865FB1">
        <w:rPr>
          <w:rFonts w:eastAsia="Times New Roman" w:cstheme="minorHAnsi"/>
          <w:sz w:val="24"/>
          <w:szCs w:val="24"/>
          <w:lang w:eastAsia="en-GB"/>
        </w:rPr>
        <w:t xml:space="preserve"> its organisational structure increasingly prevented it from redirecting that innovation when digital music changed the basis of competition. </w:t>
      </w:r>
    </w:p>
    <w:p w:rsidR="00BE7115" w:rsidRDefault="00DE7DAB" w:rsidP="00BF32C4">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In addition, Porter argues that ‘corporate strategy should not be a once-and-for-all choice but a vision that can evolve.’</w:t>
      </w:r>
      <w:r>
        <w:rPr>
          <w:rStyle w:val="FootnoteReference"/>
          <w:rFonts w:eastAsia="Times New Roman" w:cstheme="minorHAnsi"/>
          <w:sz w:val="24"/>
          <w:szCs w:val="24"/>
          <w:lang w:eastAsia="en-GB"/>
        </w:rPr>
        <w:footnoteReference w:id="5"/>
      </w:r>
      <w:r>
        <w:rPr>
          <w:rFonts w:eastAsia="Times New Roman" w:cstheme="minorHAnsi"/>
          <w:sz w:val="24"/>
          <w:szCs w:val="24"/>
          <w:lang w:eastAsia="en-GB"/>
        </w:rPr>
        <w:t xml:space="preserve"> </w:t>
      </w:r>
      <w:r w:rsidR="00986250">
        <w:rPr>
          <w:rFonts w:eastAsia="Times New Roman" w:cstheme="minorHAnsi"/>
          <w:sz w:val="24"/>
          <w:szCs w:val="24"/>
          <w:lang w:eastAsia="en-GB"/>
        </w:rPr>
        <w:t xml:space="preserve">Sony had considered digital music from as early as 1998, highlighting awareness of the emerging shift. However, </w:t>
      </w:r>
      <w:r w:rsidR="002044BE">
        <w:rPr>
          <w:rFonts w:eastAsia="Times New Roman" w:cstheme="minorHAnsi"/>
          <w:sz w:val="24"/>
          <w:szCs w:val="24"/>
          <w:lang w:eastAsia="en-GB"/>
        </w:rPr>
        <w:t>it</w:t>
      </w:r>
      <w:r w:rsidR="00BE7115">
        <w:rPr>
          <w:rFonts w:eastAsia="Times New Roman" w:cstheme="minorHAnsi"/>
          <w:sz w:val="24"/>
          <w:szCs w:val="24"/>
          <w:lang w:eastAsia="en-GB"/>
        </w:rPr>
        <w:t>s</w:t>
      </w:r>
      <w:r w:rsidR="00986250">
        <w:rPr>
          <w:rFonts w:eastAsia="Times New Roman" w:cstheme="minorHAnsi"/>
          <w:sz w:val="24"/>
          <w:szCs w:val="24"/>
          <w:lang w:eastAsia="en-GB"/>
        </w:rPr>
        <w:t xml:space="preserve"> PC, Walkman </w:t>
      </w:r>
      <w:r w:rsidR="00BE7115">
        <w:rPr>
          <w:rFonts w:eastAsia="Times New Roman" w:cstheme="minorHAnsi"/>
          <w:sz w:val="24"/>
          <w:szCs w:val="24"/>
          <w:lang w:eastAsia="en-GB"/>
        </w:rPr>
        <w:t>and music divisions pur</w:t>
      </w:r>
      <w:r w:rsidR="00986250">
        <w:rPr>
          <w:rFonts w:eastAsia="Times New Roman" w:cstheme="minorHAnsi"/>
          <w:sz w:val="24"/>
          <w:szCs w:val="24"/>
          <w:lang w:eastAsia="en-GB"/>
        </w:rPr>
        <w:t xml:space="preserve">sued conflicting priorities. </w:t>
      </w:r>
      <w:r w:rsidR="00BE7115">
        <w:rPr>
          <w:rFonts w:eastAsia="Times New Roman" w:cstheme="minorHAnsi"/>
          <w:sz w:val="24"/>
          <w:szCs w:val="24"/>
          <w:lang w:eastAsia="en-GB"/>
        </w:rPr>
        <w:t>The divi</w:t>
      </w:r>
      <w:r w:rsidR="00A867E2">
        <w:rPr>
          <w:rFonts w:eastAsia="Times New Roman" w:cstheme="minorHAnsi"/>
          <w:sz w:val="24"/>
          <w:szCs w:val="24"/>
          <w:lang w:eastAsia="en-GB"/>
        </w:rPr>
        <w:t>sion concerned with the Walkman</w:t>
      </w:r>
      <w:r w:rsidR="00BE7115">
        <w:rPr>
          <w:rFonts w:eastAsia="Times New Roman" w:cstheme="minorHAnsi"/>
          <w:sz w:val="24"/>
          <w:szCs w:val="24"/>
          <w:lang w:eastAsia="en-GB"/>
        </w:rPr>
        <w:t xml:space="preserve"> preferred to develop the </w:t>
      </w:r>
      <w:proofErr w:type="spellStart"/>
      <w:r w:rsidR="00BE7115">
        <w:rPr>
          <w:rFonts w:eastAsia="Times New Roman" w:cstheme="minorHAnsi"/>
          <w:sz w:val="24"/>
          <w:szCs w:val="24"/>
          <w:lang w:eastAsia="en-GB"/>
        </w:rPr>
        <w:t>MiniDisc</w:t>
      </w:r>
      <w:proofErr w:type="spellEnd"/>
      <w:r w:rsidR="00BE7115">
        <w:rPr>
          <w:rFonts w:eastAsia="Times New Roman" w:cstheme="minorHAnsi"/>
          <w:sz w:val="24"/>
          <w:szCs w:val="24"/>
          <w:lang w:eastAsia="en-GB"/>
        </w:rPr>
        <w:t xml:space="preserve"> and ATRAC, while US marketers pushed for hard-disk and MP3 compatibility and integration. Therefore, while it is true that Sony recognised environmental change, i</w:t>
      </w:r>
      <w:r w:rsidR="00241C28">
        <w:rPr>
          <w:rFonts w:eastAsia="Times New Roman" w:cstheme="minorHAnsi"/>
          <w:sz w:val="24"/>
          <w:szCs w:val="24"/>
          <w:lang w:eastAsia="en-GB"/>
        </w:rPr>
        <w:t>t ultimately failed to turn</w:t>
      </w:r>
      <w:r w:rsidR="00BE7115">
        <w:rPr>
          <w:rFonts w:eastAsia="Times New Roman" w:cstheme="minorHAnsi"/>
          <w:sz w:val="24"/>
          <w:szCs w:val="24"/>
          <w:lang w:eastAsia="en-GB"/>
        </w:rPr>
        <w:t xml:space="preserve"> this recognition and awareness into a solid strategic response. This suggests that its weakness stemmed more from a failure of organisational coor</w:t>
      </w:r>
      <w:r w:rsidR="00A867E2">
        <w:rPr>
          <w:rFonts w:eastAsia="Times New Roman" w:cstheme="minorHAnsi"/>
          <w:sz w:val="24"/>
          <w:szCs w:val="24"/>
          <w:lang w:eastAsia="en-GB"/>
        </w:rPr>
        <w:t>dination</w:t>
      </w:r>
      <w:r w:rsidR="00BE7115">
        <w:rPr>
          <w:rFonts w:eastAsia="Times New Roman" w:cstheme="minorHAnsi"/>
          <w:sz w:val="24"/>
          <w:szCs w:val="24"/>
          <w:lang w:eastAsia="en-GB"/>
        </w:rPr>
        <w:t xml:space="preserve"> and less from a failure of technological foresight. </w:t>
      </w:r>
    </w:p>
    <w:p w:rsidR="00DE7DAB" w:rsidRDefault="00BE7115" w:rsidP="00BF32C4">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Furthermore, the case also exposes a limitation in applying Sun Tzu’s principle of adaptability. </w:t>
      </w:r>
      <w:r w:rsidR="003105F0">
        <w:rPr>
          <w:rFonts w:eastAsia="Times New Roman" w:cstheme="minorHAnsi"/>
          <w:sz w:val="24"/>
          <w:szCs w:val="24"/>
          <w:lang w:eastAsia="en-GB"/>
        </w:rPr>
        <w:t xml:space="preserve">Having to respond to every environmental signal can </w:t>
      </w:r>
      <w:proofErr w:type="gramStart"/>
      <w:r w:rsidR="003105F0">
        <w:rPr>
          <w:rFonts w:eastAsia="Times New Roman" w:cstheme="minorHAnsi"/>
          <w:sz w:val="24"/>
          <w:szCs w:val="24"/>
          <w:lang w:eastAsia="en-GB"/>
        </w:rPr>
        <w:t>itself</w:t>
      </w:r>
      <w:proofErr w:type="gramEnd"/>
      <w:r w:rsidR="003105F0">
        <w:rPr>
          <w:rFonts w:eastAsia="Times New Roman" w:cstheme="minorHAnsi"/>
          <w:sz w:val="24"/>
          <w:szCs w:val="24"/>
          <w:lang w:eastAsia="en-GB"/>
        </w:rPr>
        <w:t xml:space="preserve"> undermine strategic consistency</w:t>
      </w:r>
      <w:r w:rsidR="0088756D">
        <w:rPr>
          <w:rFonts w:eastAsia="Times New Roman" w:cstheme="minorHAnsi"/>
          <w:sz w:val="24"/>
          <w:szCs w:val="24"/>
          <w:lang w:eastAsia="en-GB"/>
        </w:rPr>
        <w:t>. Sony had invested heavily in</w:t>
      </w:r>
      <w:r w:rsidR="003105F0">
        <w:rPr>
          <w:rFonts w:eastAsia="Times New Roman" w:cstheme="minorHAnsi"/>
          <w:sz w:val="24"/>
          <w:szCs w:val="24"/>
          <w:lang w:eastAsia="en-GB"/>
        </w:rPr>
        <w:t xml:space="preserve"> </w:t>
      </w:r>
      <w:proofErr w:type="spellStart"/>
      <w:r w:rsidR="003105F0">
        <w:rPr>
          <w:rFonts w:eastAsia="Times New Roman" w:cstheme="minorHAnsi"/>
          <w:sz w:val="24"/>
          <w:szCs w:val="24"/>
          <w:lang w:eastAsia="en-GB"/>
        </w:rPr>
        <w:t>MiniDisc</w:t>
      </w:r>
      <w:proofErr w:type="spellEnd"/>
      <w:r w:rsidR="003105F0">
        <w:rPr>
          <w:rFonts w:eastAsia="Times New Roman" w:cstheme="minorHAnsi"/>
          <w:sz w:val="24"/>
          <w:szCs w:val="24"/>
          <w:lang w:eastAsia="en-GB"/>
        </w:rPr>
        <w:t>, ATRAC and its established pro</w:t>
      </w:r>
      <w:r w:rsidR="0088756D">
        <w:rPr>
          <w:rFonts w:eastAsia="Times New Roman" w:cstheme="minorHAnsi"/>
          <w:sz w:val="24"/>
          <w:szCs w:val="24"/>
          <w:lang w:eastAsia="en-GB"/>
        </w:rPr>
        <w:t>duct architecture, so abandoning</w:t>
      </w:r>
      <w:r w:rsidR="003105F0">
        <w:rPr>
          <w:rFonts w:eastAsia="Times New Roman" w:cstheme="minorHAnsi"/>
          <w:sz w:val="24"/>
          <w:szCs w:val="24"/>
          <w:lang w:eastAsia="en-GB"/>
        </w:rPr>
        <w:t xml:space="preserve"> all of these established technologies would have been costly. Therefore, its reluctance to welcome change was not necessarily irrational. The bigger problem was the decentralised flexibility which produced corporate rigidity and consistency within this rigidity. Divisional rivalry encouraged experimentation, but prevented the emergence of a coordinated and common response from the organisation.  </w:t>
      </w:r>
    </w:p>
    <w:p w:rsidR="002A735E" w:rsidRDefault="000F1939" w:rsidP="007D3862">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In line with this, Porter’s distinction between operational effectiveness and strategy reinforces this point. He argues that ‘constant improvement in operational effectiveness is necessary to achieve superior profitability. However, it is not usually sufficient.’</w:t>
      </w:r>
      <w:r>
        <w:rPr>
          <w:rStyle w:val="FootnoteReference"/>
          <w:rFonts w:eastAsia="Times New Roman" w:cstheme="minorHAnsi"/>
          <w:sz w:val="24"/>
          <w:szCs w:val="24"/>
          <w:lang w:eastAsia="en-GB"/>
        </w:rPr>
        <w:footnoteReference w:id="6"/>
      </w:r>
      <w:r>
        <w:rPr>
          <w:rFonts w:eastAsia="Times New Roman" w:cstheme="minorHAnsi"/>
          <w:sz w:val="24"/>
          <w:szCs w:val="24"/>
          <w:lang w:eastAsia="en-GB"/>
        </w:rPr>
        <w:t xml:space="preserve"> </w:t>
      </w:r>
      <w:r w:rsidR="007D3862">
        <w:rPr>
          <w:rFonts w:eastAsia="Times New Roman" w:cstheme="minorHAnsi"/>
          <w:sz w:val="24"/>
          <w:szCs w:val="24"/>
          <w:lang w:eastAsia="en-GB"/>
        </w:rPr>
        <w:t>Sony possessed substantial engineering expertise and continued refining its products, but incremental improvement increasingly failed to address the core strategic problem. Apple’s advantage was not only in producing a better portable music player, but also in integrating the iPod with iTunes and creating a simpler system of purchasing, organising and consuming digital music. Sony made some impr</w:t>
      </w:r>
      <w:r w:rsidR="003B3007">
        <w:rPr>
          <w:rFonts w:eastAsia="Times New Roman" w:cstheme="minorHAnsi"/>
          <w:sz w:val="24"/>
          <w:szCs w:val="24"/>
          <w:lang w:eastAsia="en-GB"/>
        </w:rPr>
        <w:t>ovements to its existing system</w:t>
      </w:r>
      <w:r w:rsidR="007D3862">
        <w:rPr>
          <w:rFonts w:eastAsia="Times New Roman" w:cstheme="minorHAnsi"/>
          <w:sz w:val="24"/>
          <w:szCs w:val="24"/>
          <w:lang w:eastAsia="en-GB"/>
        </w:rPr>
        <w:t xml:space="preserve"> at a time when competitors were overhauling the system comple</w:t>
      </w:r>
      <w:r w:rsidR="005775E7">
        <w:rPr>
          <w:rFonts w:eastAsia="Times New Roman" w:cstheme="minorHAnsi"/>
          <w:sz w:val="24"/>
          <w:szCs w:val="24"/>
          <w:lang w:eastAsia="en-GB"/>
        </w:rPr>
        <w:t xml:space="preserve">tely </w:t>
      </w:r>
      <w:r w:rsidR="006354E0">
        <w:rPr>
          <w:rFonts w:eastAsia="Times New Roman" w:cstheme="minorHAnsi"/>
          <w:sz w:val="24"/>
          <w:szCs w:val="24"/>
          <w:lang w:eastAsia="en-GB"/>
        </w:rPr>
        <w:t>and taking the market in</w:t>
      </w:r>
      <w:r w:rsidR="007D3862">
        <w:rPr>
          <w:rFonts w:eastAsia="Times New Roman" w:cstheme="minorHAnsi"/>
          <w:sz w:val="24"/>
          <w:szCs w:val="24"/>
          <w:lang w:eastAsia="en-GB"/>
        </w:rPr>
        <w:t xml:space="preserve"> a different direction. </w:t>
      </w:r>
    </w:p>
    <w:p w:rsidR="003E02DB" w:rsidRDefault="003E02DB" w:rsidP="00B71276">
      <w:pPr>
        <w:pStyle w:val="NormalWeb"/>
        <w:rPr>
          <w:rFonts w:asciiTheme="minorHAnsi" w:hAnsiTheme="minorHAnsi" w:cstheme="minorHAnsi"/>
        </w:rPr>
      </w:pPr>
      <w:r>
        <w:rPr>
          <w:rFonts w:asciiTheme="minorHAnsi" w:hAnsiTheme="minorHAnsi" w:cstheme="minorHAnsi"/>
        </w:rPr>
        <w:t>This organisational failure is illustrated by the Connect project. Stringer and Wiser attempted to develop an integrated online music service, yet they lacked sufficient control over the relevant</w:t>
      </w:r>
      <w:r w:rsidR="009126A7">
        <w:rPr>
          <w:rFonts w:asciiTheme="minorHAnsi" w:hAnsiTheme="minorHAnsi" w:cstheme="minorHAnsi"/>
        </w:rPr>
        <w:t xml:space="preserve"> hardware and software divisions</w:t>
      </w:r>
      <w:r>
        <w:rPr>
          <w:rFonts w:asciiTheme="minorHAnsi" w:hAnsiTheme="minorHAnsi" w:cstheme="minorHAnsi"/>
        </w:rPr>
        <w:t xml:space="preserve"> given the organisation</w:t>
      </w:r>
      <w:r w:rsidR="009126A7">
        <w:rPr>
          <w:rFonts w:asciiTheme="minorHAnsi" w:hAnsiTheme="minorHAnsi" w:cstheme="minorHAnsi"/>
        </w:rPr>
        <w:t>’</w:t>
      </w:r>
      <w:r>
        <w:rPr>
          <w:rFonts w:asciiTheme="minorHAnsi" w:hAnsiTheme="minorHAnsi" w:cstheme="minorHAnsi"/>
        </w:rPr>
        <w:t xml:space="preserve">s decentralised nature. The Wall Street Journal consequently described Sony as struggling with the ‘specific </w:t>
      </w:r>
      <w:r>
        <w:rPr>
          <w:rFonts w:asciiTheme="minorHAnsi" w:hAnsiTheme="minorHAnsi" w:cstheme="minorHAnsi"/>
        </w:rPr>
        <w:lastRenderedPageBreak/>
        <w:t>juggling act that Sony can’t do well: integrating hardware, software and services.’</w:t>
      </w:r>
      <w:r>
        <w:rPr>
          <w:rStyle w:val="FootnoteReference"/>
          <w:rFonts w:asciiTheme="minorHAnsi" w:hAnsiTheme="minorHAnsi" w:cstheme="minorHAnsi"/>
        </w:rPr>
        <w:footnoteReference w:id="7"/>
      </w:r>
      <w:r>
        <w:rPr>
          <w:rFonts w:asciiTheme="minorHAnsi" w:hAnsiTheme="minorHAnsi" w:cstheme="minorHAnsi"/>
        </w:rPr>
        <w:t xml:space="preserve"> Therefore, Sony possessed many of the resources required to compete, but could not effectively combine them. Porter’s observation that ‘the transfer of skills does not happen by accident or by osmosis’ captures this problem: capabilities dispersed across organisational boundaries create little advantage unless they can be deliberately integrated.</w:t>
      </w:r>
      <w:r w:rsidR="00EA374E">
        <w:rPr>
          <w:rStyle w:val="FootnoteReference"/>
          <w:rFonts w:asciiTheme="minorHAnsi" w:hAnsiTheme="minorHAnsi" w:cstheme="minorHAnsi"/>
        </w:rPr>
        <w:footnoteReference w:id="8"/>
      </w:r>
      <w:r>
        <w:rPr>
          <w:rFonts w:asciiTheme="minorHAnsi" w:hAnsiTheme="minorHAnsi" w:cstheme="minorHAnsi"/>
        </w:rPr>
        <w:t xml:space="preserve"> </w:t>
      </w:r>
    </w:p>
    <w:p w:rsidR="003E02DB" w:rsidRDefault="00E77259" w:rsidP="00B71276">
      <w:pPr>
        <w:pStyle w:val="NormalWeb"/>
        <w:rPr>
          <w:rFonts w:asciiTheme="minorHAnsi" w:hAnsiTheme="minorHAnsi" w:cstheme="minorHAnsi"/>
        </w:rPr>
      </w:pPr>
      <w:r>
        <w:rPr>
          <w:rFonts w:asciiTheme="minorHAnsi" w:hAnsiTheme="minorHAnsi" w:cstheme="minorHAnsi"/>
        </w:rPr>
        <w:t>Consequently, Sun Tzu’</w:t>
      </w:r>
      <w:r w:rsidR="009126A7">
        <w:rPr>
          <w:rFonts w:asciiTheme="minorHAnsi" w:hAnsiTheme="minorHAnsi" w:cstheme="minorHAnsi"/>
        </w:rPr>
        <w:t>s emphasis on adaptation is</w:t>
      </w:r>
      <w:r>
        <w:rPr>
          <w:rFonts w:asciiTheme="minorHAnsi" w:hAnsiTheme="minorHAnsi" w:cstheme="minorHAnsi"/>
        </w:rPr>
        <w:t xml:space="preserve"> valuable but </w:t>
      </w:r>
      <w:r w:rsidR="00E56E79">
        <w:rPr>
          <w:rFonts w:asciiTheme="minorHAnsi" w:hAnsiTheme="minorHAnsi" w:cstheme="minorHAnsi"/>
        </w:rPr>
        <w:t xml:space="preserve">proves to be </w:t>
      </w:r>
      <w:r>
        <w:rPr>
          <w:rFonts w:asciiTheme="minorHAnsi" w:hAnsiTheme="minorHAnsi" w:cstheme="minorHAnsi"/>
        </w:rPr>
        <w:t xml:space="preserve">insufficient. It identifies the importance of responding to changing competitive conditions, while Porter explains why flexibility </w:t>
      </w:r>
      <w:r w:rsidR="00AC3D8C">
        <w:rPr>
          <w:rFonts w:asciiTheme="minorHAnsi" w:hAnsiTheme="minorHAnsi" w:cstheme="minorHAnsi"/>
        </w:rPr>
        <w:t xml:space="preserve">requires there to be coherent strategic choice and organisational implementation. Sony did not simply fail to innovate; it failed to turn innovation into a coordinated strategic response. Its experience therefore highlights that strategic flexibility is not the freedom of individual divisions to pursue different technologies, but the organisational capacity to recognise a change in the basis of competition and act swiftly by mobilising capabilities around a unified and coherent new position. </w:t>
      </w:r>
    </w:p>
    <w:p w:rsidR="00B71276" w:rsidRPr="00F85F31" w:rsidRDefault="00E145B9" w:rsidP="00B71276">
      <w:pPr>
        <w:pStyle w:val="NormalWeb"/>
        <w:rPr>
          <w:rFonts w:asciiTheme="minorHAnsi" w:hAnsiTheme="minorHAnsi" w:cstheme="minorHAnsi"/>
          <w:b/>
        </w:rPr>
      </w:pPr>
      <w:r w:rsidRPr="00F85F31">
        <w:rPr>
          <w:rFonts w:asciiTheme="minorHAnsi" w:hAnsiTheme="minorHAnsi" w:cstheme="minorHAnsi"/>
          <w:b/>
        </w:rPr>
        <w:t>Competitive Initiative: Sony’s Failure to Shape the Digital Music Market</w:t>
      </w:r>
    </w:p>
    <w:p w:rsidR="00E145B9" w:rsidRDefault="00477D09" w:rsidP="00B71276">
      <w:pPr>
        <w:pStyle w:val="NormalWeb"/>
        <w:rPr>
          <w:rFonts w:asciiTheme="minorHAnsi" w:hAnsiTheme="minorHAnsi" w:cstheme="minorHAnsi"/>
        </w:rPr>
      </w:pPr>
      <w:r>
        <w:rPr>
          <w:rFonts w:asciiTheme="minorHAnsi" w:hAnsiTheme="minorHAnsi" w:cstheme="minorHAnsi"/>
        </w:rPr>
        <w:t>Another one of Sony’s problems was its failure to seize competitive initiative. Sun Tzu’s strategic philosophy emphasises gaining positional advantage and forcing an opponent to respond rather than continually reacting. This corresponds with MacMillan’s argument that ‘the company with the initiative is better able to dominate the competitive game and, ultimately, to maintain control of its own destiny.’</w:t>
      </w:r>
      <w:r>
        <w:rPr>
          <w:rStyle w:val="FootnoteReference"/>
          <w:rFonts w:asciiTheme="minorHAnsi" w:hAnsiTheme="minorHAnsi" w:cstheme="minorHAnsi"/>
        </w:rPr>
        <w:footnoteReference w:id="9"/>
      </w:r>
      <w:r>
        <w:rPr>
          <w:rFonts w:asciiTheme="minorHAnsi" w:hAnsiTheme="minorHAnsi" w:cstheme="minorHAnsi"/>
        </w:rPr>
        <w:t xml:space="preserve"> Sony had once demonstrated this capability: the Walkman itself created a new market for portable music and</w:t>
      </w:r>
      <w:r w:rsidR="00672B2A">
        <w:rPr>
          <w:rFonts w:asciiTheme="minorHAnsi" w:hAnsiTheme="minorHAnsi" w:cstheme="minorHAnsi"/>
        </w:rPr>
        <w:t xml:space="preserve"> was</w:t>
      </w:r>
      <w:r>
        <w:rPr>
          <w:rFonts w:asciiTheme="minorHAnsi" w:hAnsiTheme="minorHAnsi" w:cstheme="minorHAnsi"/>
        </w:rPr>
        <w:t xml:space="preserve"> a game changer of its time. It</w:t>
      </w:r>
      <w:r w:rsidR="00672B2A">
        <w:rPr>
          <w:rFonts w:asciiTheme="minorHAnsi" w:hAnsiTheme="minorHAnsi" w:cstheme="minorHAnsi"/>
        </w:rPr>
        <w:t>s decline began when Apple</w:t>
      </w:r>
      <w:r>
        <w:rPr>
          <w:rFonts w:asciiTheme="minorHAnsi" w:hAnsiTheme="minorHAnsi" w:cstheme="minorHAnsi"/>
        </w:rPr>
        <w:t xml:space="preserve"> seized the initiative in digital music. </w:t>
      </w:r>
    </w:p>
    <w:p w:rsidR="00EB68E7" w:rsidRDefault="00E70B42" w:rsidP="00B71276">
      <w:pPr>
        <w:pStyle w:val="NormalWeb"/>
        <w:rPr>
          <w:rFonts w:asciiTheme="minorHAnsi" w:hAnsiTheme="minorHAnsi" w:cstheme="minorHAnsi"/>
        </w:rPr>
      </w:pPr>
      <w:r>
        <w:rPr>
          <w:rFonts w:asciiTheme="minorHAnsi" w:hAnsiTheme="minorHAnsi" w:cstheme="minorHAnsi"/>
        </w:rPr>
        <w:t xml:space="preserve">Sony had an important first-mover opportunity. The case study indicates that it considered digital music devices and online services years prior to the iPod becoming the dominant player. However, a coherent response was delayed over </w:t>
      </w:r>
      <w:r w:rsidR="00966A57">
        <w:rPr>
          <w:rFonts w:asciiTheme="minorHAnsi" w:hAnsiTheme="minorHAnsi" w:cstheme="minorHAnsi"/>
        </w:rPr>
        <w:t>disagreements</w:t>
      </w:r>
      <w:r>
        <w:rPr>
          <w:rFonts w:asciiTheme="minorHAnsi" w:hAnsiTheme="minorHAnsi" w:cstheme="minorHAnsi"/>
        </w:rPr>
        <w:t xml:space="preserve"> pertaining to </w:t>
      </w:r>
      <w:r w:rsidR="00966A57">
        <w:rPr>
          <w:rFonts w:asciiTheme="minorHAnsi" w:hAnsiTheme="minorHAnsi" w:cstheme="minorHAnsi"/>
        </w:rPr>
        <w:t xml:space="preserve">piracy, technology and control. Sony music feared that digital distribution would damage its existing business, while electronics divisions pursued different technological solutions. </w:t>
      </w:r>
      <w:r w:rsidR="00861A9B">
        <w:rPr>
          <w:rFonts w:asciiTheme="minorHAnsi" w:hAnsiTheme="minorHAnsi" w:cstheme="minorHAnsi"/>
        </w:rPr>
        <w:t xml:space="preserve">As a consequence, separate units developed competing players and music services. Therefore, Sony did possess early awareness but failed to convert it into competitive action. </w:t>
      </w:r>
    </w:p>
    <w:p w:rsidR="008778CE" w:rsidRDefault="008778CE" w:rsidP="00B71276">
      <w:pPr>
        <w:pStyle w:val="NormalWeb"/>
        <w:rPr>
          <w:rFonts w:asciiTheme="minorHAnsi" w:hAnsiTheme="minorHAnsi" w:cstheme="minorHAnsi"/>
        </w:rPr>
      </w:pPr>
      <w:r>
        <w:rPr>
          <w:rFonts w:asciiTheme="minorHAnsi" w:hAnsiTheme="minorHAnsi" w:cstheme="minorHAnsi"/>
        </w:rPr>
        <w:t xml:space="preserve">In addition, MacMillan’s emphasis on pre-emption is particularly relevant here. Sony could potentially have exploited its unusual combination of music, electronics and software capabilities to establish an integrated digital-music proposition before Apple. Instead, Apply managed to create the dominant customer proposition first, </w:t>
      </w:r>
      <w:r w:rsidR="00EB68E7">
        <w:rPr>
          <w:rFonts w:asciiTheme="minorHAnsi" w:hAnsiTheme="minorHAnsi" w:cstheme="minorHAnsi"/>
        </w:rPr>
        <w:t>forcing Sony into</w:t>
      </w:r>
      <w:r w:rsidR="00672B2A">
        <w:rPr>
          <w:rFonts w:asciiTheme="minorHAnsi" w:hAnsiTheme="minorHAnsi" w:cstheme="minorHAnsi"/>
        </w:rPr>
        <w:t xml:space="preserve"> a</w:t>
      </w:r>
      <w:r w:rsidR="00EB68E7">
        <w:rPr>
          <w:rFonts w:asciiTheme="minorHAnsi" w:hAnsiTheme="minorHAnsi" w:cstheme="minorHAnsi"/>
        </w:rPr>
        <w:t xml:space="preserve"> reaction. Therefore, the issue was not simply that iPod was a better product; Apple helped define the terms of competition to which Sony subsequently had to respond. </w:t>
      </w:r>
    </w:p>
    <w:p w:rsidR="00A97170" w:rsidRDefault="008F5AC2" w:rsidP="00B71276">
      <w:pPr>
        <w:pStyle w:val="NormalWeb"/>
        <w:rPr>
          <w:rFonts w:asciiTheme="minorHAnsi" w:hAnsiTheme="minorHAnsi" w:cstheme="minorHAnsi"/>
        </w:rPr>
      </w:pPr>
      <w:r>
        <w:rPr>
          <w:rFonts w:asciiTheme="minorHAnsi" w:hAnsiTheme="minorHAnsi" w:cstheme="minorHAnsi"/>
        </w:rPr>
        <w:lastRenderedPageBreak/>
        <w:t>Furthermore, Porter’s argument that ‘competitive strategy is about being different</w:t>
      </w:r>
      <w:r w:rsidR="005E4C2C">
        <w:rPr>
          <w:rFonts w:asciiTheme="minorHAnsi" w:hAnsiTheme="minorHAnsi" w:cstheme="minorHAnsi"/>
        </w:rPr>
        <w:t>’</w:t>
      </w:r>
      <w:r w:rsidR="007D53F0">
        <w:rPr>
          <w:rFonts w:asciiTheme="minorHAnsi" w:hAnsiTheme="minorHAnsi" w:cstheme="minorHAnsi"/>
        </w:rPr>
        <w:t xml:space="preserve"> adds to the explanation of</w:t>
      </w:r>
      <w:r w:rsidR="005E4C2C">
        <w:rPr>
          <w:rFonts w:asciiTheme="minorHAnsi" w:hAnsiTheme="minorHAnsi" w:cstheme="minorHAnsi"/>
        </w:rPr>
        <w:t xml:space="preserve"> why Sony’s response was inadequate.</w:t>
      </w:r>
      <w:r w:rsidR="005E4C2C">
        <w:rPr>
          <w:rStyle w:val="FootnoteReference"/>
          <w:rFonts w:asciiTheme="minorHAnsi" w:hAnsiTheme="minorHAnsi" w:cstheme="minorHAnsi"/>
        </w:rPr>
        <w:footnoteReference w:id="10"/>
      </w:r>
      <w:r w:rsidR="005E4C2C">
        <w:rPr>
          <w:rFonts w:asciiTheme="minorHAnsi" w:hAnsiTheme="minorHAnsi" w:cstheme="minorHAnsi"/>
        </w:rPr>
        <w:t xml:space="preserve"> </w:t>
      </w:r>
      <w:r w:rsidR="0015289E">
        <w:rPr>
          <w:rFonts w:asciiTheme="minorHAnsi" w:hAnsiTheme="minorHAnsi" w:cstheme="minorHAnsi"/>
        </w:rPr>
        <w:t xml:space="preserve">Sony pursued technological differentiation through proprietary ATRAC and </w:t>
      </w:r>
      <w:proofErr w:type="spellStart"/>
      <w:r w:rsidR="0015289E">
        <w:rPr>
          <w:rFonts w:asciiTheme="minorHAnsi" w:hAnsiTheme="minorHAnsi" w:cstheme="minorHAnsi"/>
        </w:rPr>
        <w:t>MiniDisc</w:t>
      </w:r>
      <w:proofErr w:type="spellEnd"/>
      <w:r w:rsidR="0015289E">
        <w:rPr>
          <w:rFonts w:asciiTheme="minorHAnsi" w:hAnsiTheme="minorHAnsi" w:cstheme="minorHAnsi"/>
        </w:rPr>
        <w:t xml:space="preserve"> products. However, differentiation creates advantage only when customers value the difference. In the US market, MP3 compatibility, ease of use and int</w:t>
      </w:r>
      <w:r w:rsidR="007D53F0">
        <w:rPr>
          <w:rFonts w:asciiTheme="minorHAnsi" w:hAnsiTheme="minorHAnsi" w:cstheme="minorHAnsi"/>
        </w:rPr>
        <w:t>egrated digital distribution were</w:t>
      </w:r>
      <w:r w:rsidR="0015289E">
        <w:rPr>
          <w:rFonts w:asciiTheme="minorHAnsi" w:hAnsiTheme="minorHAnsi" w:cstheme="minorHAnsi"/>
        </w:rPr>
        <w:t xml:space="preserve"> valued more by customers. Therefore, Sony’s proprietary technology became a constraint as opposed to a competitive advantage. </w:t>
      </w:r>
      <w:r w:rsidR="00A97170">
        <w:rPr>
          <w:rFonts w:asciiTheme="minorHAnsi" w:hAnsiTheme="minorHAnsi" w:cstheme="minorHAnsi"/>
        </w:rPr>
        <w:t xml:space="preserve">This also exposes a limitation in Porter’s framework. Being different does not suffice if the difference is strategically misaligned with customers. Sony was already unique and differentiated, but its distinct capabilities </w:t>
      </w:r>
      <w:r w:rsidR="00F85F31">
        <w:rPr>
          <w:rFonts w:asciiTheme="minorHAnsi" w:hAnsiTheme="minorHAnsi" w:cstheme="minorHAnsi"/>
        </w:rPr>
        <w:t>became too unique to keep up with changing consumer preferences and market cues. Therefore, strategic advantage requires mor</w:t>
      </w:r>
      <w:r w:rsidR="00F21719">
        <w:rPr>
          <w:rFonts w:asciiTheme="minorHAnsi" w:hAnsiTheme="minorHAnsi" w:cstheme="minorHAnsi"/>
        </w:rPr>
        <w:t>e than only uniqueness; it requires</w:t>
      </w:r>
      <w:r w:rsidR="00F85F31">
        <w:rPr>
          <w:rFonts w:asciiTheme="minorHAnsi" w:hAnsiTheme="minorHAnsi" w:cstheme="minorHAnsi"/>
        </w:rPr>
        <w:t xml:space="preserve"> the ability to reassess whether that </w:t>
      </w:r>
      <w:r w:rsidR="00D91BA5">
        <w:rPr>
          <w:rFonts w:asciiTheme="minorHAnsi" w:hAnsiTheme="minorHAnsi" w:cstheme="minorHAnsi"/>
        </w:rPr>
        <w:t xml:space="preserve">uniqueness is </w:t>
      </w:r>
      <w:r w:rsidR="00F85F31">
        <w:rPr>
          <w:rFonts w:asciiTheme="minorHAnsi" w:hAnsiTheme="minorHAnsi" w:cstheme="minorHAnsi"/>
        </w:rPr>
        <w:t xml:space="preserve">still valuable. </w:t>
      </w:r>
    </w:p>
    <w:p w:rsidR="00A97170" w:rsidRDefault="002C4800" w:rsidP="00B71276">
      <w:pPr>
        <w:pStyle w:val="NormalWeb"/>
        <w:rPr>
          <w:rFonts w:asciiTheme="minorHAnsi" w:hAnsiTheme="minorHAnsi" w:cstheme="minorHAnsi"/>
        </w:rPr>
      </w:pPr>
      <w:r>
        <w:rPr>
          <w:rFonts w:asciiTheme="minorHAnsi" w:hAnsiTheme="minorHAnsi" w:cstheme="minorHAnsi"/>
        </w:rPr>
        <w:t>In the same vein, MacMillan’s argument that ‘without appropriate intelligence it is impossible to retain strategic initiative’ is similarly valuable.</w:t>
      </w:r>
      <w:r>
        <w:rPr>
          <w:rStyle w:val="FootnoteReference"/>
          <w:rFonts w:asciiTheme="minorHAnsi" w:hAnsiTheme="minorHAnsi" w:cstheme="minorHAnsi"/>
        </w:rPr>
        <w:footnoteReference w:id="11"/>
      </w:r>
      <w:r>
        <w:rPr>
          <w:rFonts w:asciiTheme="minorHAnsi" w:hAnsiTheme="minorHAnsi" w:cstheme="minorHAnsi"/>
        </w:rPr>
        <w:t xml:space="preserve"> </w:t>
      </w:r>
      <w:r w:rsidR="007E3810">
        <w:rPr>
          <w:rFonts w:asciiTheme="minorHAnsi" w:hAnsiTheme="minorHAnsi" w:cstheme="minorHAnsi"/>
        </w:rPr>
        <w:t xml:space="preserve">Sony possessed significant information about digital music, but this knowledge was fragmented and rendered useless. US marketers understood American consumer preferences, while Japanese engineering teams maintained different assumptions about desirable products. The case illustrates this disconnect when Stringer discovered that senior Tokyo executives had not realised how negatively Connect had been received. Therefore, the issue with Sony was not that </w:t>
      </w:r>
      <w:r w:rsidR="00F32805">
        <w:rPr>
          <w:rFonts w:asciiTheme="minorHAnsi" w:hAnsiTheme="minorHAnsi" w:cstheme="minorHAnsi"/>
        </w:rPr>
        <w:t xml:space="preserve">it lacked information, but that it had hardwired itself to do things its own way, so much so that new initiatives seemed a step too far. Sony eventually attempted to recover through restructuring. </w:t>
      </w:r>
      <w:proofErr w:type="spellStart"/>
      <w:r w:rsidR="00F32805">
        <w:rPr>
          <w:rFonts w:asciiTheme="minorHAnsi" w:hAnsiTheme="minorHAnsi" w:cstheme="minorHAnsi"/>
        </w:rPr>
        <w:t>Tsujino</w:t>
      </w:r>
      <w:proofErr w:type="spellEnd"/>
      <w:r w:rsidR="00F32805">
        <w:rPr>
          <w:rFonts w:asciiTheme="minorHAnsi" w:hAnsiTheme="minorHAnsi" w:cstheme="minorHAnsi"/>
        </w:rPr>
        <w:t xml:space="preserve"> gained greater control over hardware and software, Connect was reorganised, and previously separate teams began working together. Yet this recovery was reactive: Apple had already established a powerful position in digital music. </w:t>
      </w:r>
    </w:p>
    <w:p w:rsidR="00F32805" w:rsidRDefault="00AA667C" w:rsidP="00B71276">
      <w:pPr>
        <w:pStyle w:val="NormalWeb"/>
        <w:rPr>
          <w:rFonts w:asciiTheme="minorHAnsi" w:hAnsiTheme="minorHAnsi" w:cstheme="minorHAnsi"/>
        </w:rPr>
      </w:pPr>
      <w:r>
        <w:rPr>
          <w:rFonts w:asciiTheme="minorHAnsi" w:hAnsiTheme="minorHAnsi" w:cstheme="minorHAnsi"/>
        </w:rPr>
        <w:t>Therefore</w:t>
      </w:r>
      <w:r w:rsidR="00F32805">
        <w:rPr>
          <w:rFonts w:asciiTheme="minorHAnsi" w:hAnsiTheme="minorHAnsi" w:cstheme="minorHAnsi"/>
        </w:rPr>
        <w:t>, Sun Tzu’</w:t>
      </w:r>
      <w:r>
        <w:rPr>
          <w:rFonts w:asciiTheme="minorHAnsi" w:hAnsiTheme="minorHAnsi" w:cstheme="minorHAnsi"/>
        </w:rPr>
        <w:t xml:space="preserve">s principle of initiative </w:t>
      </w:r>
      <w:r w:rsidR="00F32805">
        <w:rPr>
          <w:rFonts w:asciiTheme="minorHAnsi" w:hAnsiTheme="minorHAnsi" w:cstheme="minorHAnsi"/>
        </w:rPr>
        <w:t xml:space="preserve">provides a strong but incomplete explanation. Corporations cannot control competitors as military commanders might, and Sony could have known with certainty that Apple’s particular iPod-iTunes combination would succeed. Nevertheless, uncertainty makes speed, experimentation and coordinated decision-making more important, not less. </w:t>
      </w:r>
      <w:r w:rsidR="005B5644">
        <w:rPr>
          <w:rFonts w:asciiTheme="minorHAnsi" w:hAnsiTheme="minorHAnsi" w:cstheme="minorHAnsi"/>
        </w:rPr>
        <w:t xml:space="preserve">Therefore, Sony’s core failure was not simply losing a technological race, but allowing internal rivalry and hyper-decentralisation to prevent its early knowledge and expertise from becoming fruitful and game-changing assets. </w:t>
      </w:r>
    </w:p>
    <w:p w:rsidR="005B5644" w:rsidRPr="00EF6FBB" w:rsidRDefault="00C42023" w:rsidP="00B71276">
      <w:pPr>
        <w:pStyle w:val="NormalWeb"/>
        <w:rPr>
          <w:rFonts w:asciiTheme="minorHAnsi" w:hAnsiTheme="minorHAnsi" w:cstheme="minorHAnsi"/>
          <w:b/>
        </w:rPr>
      </w:pPr>
      <w:r w:rsidRPr="00EF6FBB">
        <w:rPr>
          <w:rFonts w:asciiTheme="minorHAnsi" w:hAnsiTheme="minorHAnsi" w:cstheme="minorHAnsi"/>
          <w:b/>
        </w:rPr>
        <w:t>Location Advantage, Knowledge and Absorptive Capacity</w:t>
      </w:r>
    </w:p>
    <w:p w:rsidR="005B5644" w:rsidRDefault="00AD64E7" w:rsidP="00B71276">
      <w:pPr>
        <w:pStyle w:val="NormalWeb"/>
        <w:rPr>
          <w:rFonts w:asciiTheme="minorHAnsi" w:hAnsiTheme="minorHAnsi" w:cstheme="minorHAnsi"/>
        </w:rPr>
      </w:pPr>
      <w:r>
        <w:rPr>
          <w:rFonts w:asciiTheme="minorHAnsi" w:hAnsiTheme="minorHAnsi" w:cstheme="minorHAnsi"/>
        </w:rPr>
        <w:t xml:space="preserve">The third perspective concerns location advantage, knowledge and absorptive capacity. </w:t>
      </w:r>
      <w:r w:rsidR="008D6F6F">
        <w:rPr>
          <w:rFonts w:asciiTheme="minorHAnsi" w:hAnsiTheme="minorHAnsi" w:cstheme="minorHAnsi"/>
        </w:rPr>
        <w:t xml:space="preserve">Sun Tzu’s concept of terrain can be interpreted as the competitive environment in which firms operate, suggesting that successful strategy depends partly on understanding and exploiting environmental conditions. However, applying terrain literally to Sony would be inadequate. </w:t>
      </w:r>
      <w:r w:rsidR="00052048">
        <w:rPr>
          <w:rFonts w:asciiTheme="minorHAnsi" w:hAnsiTheme="minorHAnsi" w:cstheme="minorHAnsi"/>
        </w:rPr>
        <w:t xml:space="preserve">The case of Sony’s Walkman highlights that, in the technology sector, knowledge increasingly crosses geographical and organisational boundaries. </w:t>
      </w:r>
      <w:r w:rsidR="008D6F6F">
        <w:rPr>
          <w:rFonts w:asciiTheme="minorHAnsi" w:hAnsiTheme="minorHAnsi" w:cstheme="minorHAnsi"/>
        </w:rPr>
        <w:t xml:space="preserve">Therefore, the critical question is not simple where Sony was located, but whether it could access, absorb and integrate knowledge effectively. </w:t>
      </w:r>
    </w:p>
    <w:p w:rsidR="008D6F6F" w:rsidRDefault="00D01F2D" w:rsidP="00B71276">
      <w:pPr>
        <w:pStyle w:val="NormalWeb"/>
        <w:rPr>
          <w:rFonts w:asciiTheme="minorHAnsi" w:hAnsiTheme="minorHAnsi" w:cstheme="minorHAnsi"/>
        </w:rPr>
      </w:pPr>
      <w:r>
        <w:rPr>
          <w:rFonts w:asciiTheme="minorHAnsi" w:hAnsiTheme="minorHAnsi" w:cstheme="minorHAnsi"/>
        </w:rPr>
        <w:lastRenderedPageBreak/>
        <w:t xml:space="preserve">In addition, Cohen and </w:t>
      </w:r>
      <w:proofErr w:type="spellStart"/>
      <w:r>
        <w:rPr>
          <w:rFonts w:asciiTheme="minorHAnsi" w:hAnsiTheme="minorHAnsi" w:cstheme="minorHAnsi"/>
        </w:rPr>
        <w:t>Levinthal</w:t>
      </w:r>
      <w:proofErr w:type="spellEnd"/>
      <w:r>
        <w:rPr>
          <w:rFonts w:asciiTheme="minorHAnsi" w:hAnsiTheme="minorHAnsi" w:cstheme="minorHAnsi"/>
        </w:rPr>
        <w:t xml:space="preserve"> provide the strongest theoretical basis for this argument, stating that ‘the ability to exploit external knowledge is thus a critical component of innovative capabilities.’</w:t>
      </w:r>
      <w:r>
        <w:rPr>
          <w:rStyle w:val="FootnoteReference"/>
          <w:rFonts w:asciiTheme="minorHAnsi" w:hAnsiTheme="minorHAnsi" w:cstheme="minorHAnsi"/>
        </w:rPr>
        <w:footnoteReference w:id="12"/>
      </w:r>
      <w:r>
        <w:rPr>
          <w:rFonts w:asciiTheme="minorHAnsi" w:hAnsiTheme="minorHAnsi" w:cstheme="minorHAnsi"/>
        </w:rPr>
        <w:t xml:space="preserve"> Sony possessed significant prior knowledge and expertise in both music and electronics, which should theoretically speaking have given it strong absorptive capacity. Yet the case highlights that possessing knowledge is not the same as exploiting it. US marketers recognised demand for MP3-compatible and hard-disk Walkmans, while Japanese engineers remained committed to ATRAC and </w:t>
      </w:r>
      <w:proofErr w:type="spellStart"/>
      <w:r>
        <w:rPr>
          <w:rFonts w:asciiTheme="minorHAnsi" w:hAnsiTheme="minorHAnsi" w:cstheme="minorHAnsi"/>
        </w:rPr>
        <w:t>MiniDisc</w:t>
      </w:r>
      <w:proofErr w:type="spellEnd"/>
      <w:r>
        <w:rPr>
          <w:rFonts w:asciiTheme="minorHAnsi" w:hAnsiTheme="minorHAnsi" w:cstheme="minorHAnsi"/>
        </w:rPr>
        <w:t xml:space="preserve">. Relevant knowledge therefore existed within Sony but was not effectively integrated and utilised across its organisational boundaries. </w:t>
      </w:r>
    </w:p>
    <w:p w:rsidR="00504ACF" w:rsidRDefault="00504ACF" w:rsidP="00B71276">
      <w:pPr>
        <w:pStyle w:val="NormalWeb"/>
        <w:rPr>
          <w:rFonts w:asciiTheme="minorHAnsi" w:hAnsiTheme="minorHAnsi" w:cstheme="minorHAnsi"/>
        </w:rPr>
      </w:pPr>
      <w:r>
        <w:rPr>
          <w:rFonts w:asciiTheme="minorHAnsi" w:hAnsiTheme="minorHAnsi" w:cstheme="minorHAnsi"/>
        </w:rPr>
        <w:t xml:space="preserve">Furthermore, </w:t>
      </w:r>
      <w:proofErr w:type="spellStart"/>
      <w:r>
        <w:rPr>
          <w:rFonts w:asciiTheme="minorHAnsi" w:hAnsiTheme="minorHAnsi" w:cstheme="minorHAnsi"/>
        </w:rPr>
        <w:t>Drejer</w:t>
      </w:r>
      <w:proofErr w:type="spellEnd"/>
      <w:r>
        <w:rPr>
          <w:rFonts w:asciiTheme="minorHAnsi" w:hAnsiTheme="minorHAnsi" w:cstheme="minorHAnsi"/>
        </w:rPr>
        <w:t xml:space="preserve"> and </w:t>
      </w:r>
      <w:proofErr w:type="spellStart"/>
      <w:r>
        <w:rPr>
          <w:rFonts w:asciiTheme="minorHAnsi" w:hAnsiTheme="minorHAnsi" w:cstheme="minorHAnsi"/>
        </w:rPr>
        <w:t>Vinding</w:t>
      </w:r>
      <w:proofErr w:type="spellEnd"/>
      <w:r>
        <w:rPr>
          <w:rFonts w:asciiTheme="minorHAnsi" w:hAnsiTheme="minorHAnsi" w:cstheme="minorHAnsi"/>
        </w:rPr>
        <w:t xml:space="preserve"> add an important geographical dimension, arguing that ‘geographical proximity, that is, co-location, may be particularly important for the exchange of tacit knowledge.’</w:t>
      </w:r>
      <w:r>
        <w:rPr>
          <w:rStyle w:val="FootnoteReference"/>
          <w:rFonts w:asciiTheme="minorHAnsi" w:hAnsiTheme="minorHAnsi" w:cstheme="minorHAnsi"/>
        </w:rPr>
        <w:footnoteReference w:id="13"/>
      </w:r>
      <w:r>
        <w:rPr>
          <w:rFonts w:asciiTheme="minorHAnsi" w:hAnsiTheme="minorHAnsi" w:cstheme="minorHAnsi"/>
        </w:rPr>
        <w:t xml:space="preserve"> This helps explain the communication difficulties between Sony’s US and Japanese operations. However, proximity should not be treated as a sufficient explanation. Their broader argument suggests that geographical proximity can facilitate interaction but does not determine it. Sony’s pr</w:t>
      </w:r>
      <w:r w:rsidR="00305775">
        <w:rPr>
          <w:rFonts w:asciiTheme="minorHAnsi" w:hAnsiTheme="minorHAnsi" w:cstheme="minorHAnsi"/>
        </w:rPr>
        <w:t xml:space="preserve">oblem was therefore primarily organisational coordination, with geographical distance acting as an additional constraint rather than the main cause. </w:t>
      </w:r>
      <w:r w:rsidR="00655B2C">
        <w:rPr>
          <w:rFonts w:asciiTheme="minorHAnsi" w:hAnsiTheme="minorHAnsi" w:cstheme="minorHAnsi"/>
        </w:rPr>
        <w:t>Building on this, Davenport reinforces this contextual interpretation, arguing that ‘geographic proximity may be the key to SME knowledge-acquisition and growth in certain contexts and at certain times in the life cycle of a firm.’</w:t>
      </w:r>
      <w:r w:rsidR="00655B2C">
        <w:rPr>
          <w:rStyle w:val="FootnoteReference"/>
          <w:rFonts w:asciiTheme="minorHAnsi" w:hAnsiTheme="minorHAnsi" w:cstheme="minorHAnsi"/>
        </w:rPr>
        <w:footnoteReference w:id="14"/>
      </w:r>
      <w:r w:rsidR="00655B2C">
        <w:rPr>
          <w:rFonts w:asciiTheme="minorHAnsi" w:hAnsiTheme="minorHAnsi" w:cstheme="minorHAnsi"/>
        </w:rPr>
        <w:t xml:space="preserve"> </w:t>
      </w:r>
      <w:r w:rsidR="00FD0F28">
        <w:rPr>
          <w:rFonts w:asciiTheme="minorHAnsi" w:hAnsiTheme="minorHAnsi" w:cstheme="minorHAnsi"/>
        </w:rPr>
        <w:t xml:space="preserve">This qualification is particularly salient because Sony was a large multinational with extensive international networks. Therefore, its decline cannot simply be attributed to it being situated in an inappropriate geographical environment. The issue was whether Sony could transform its international connections into fruitful flows of knowledge, </w:t>
      </w:r>
    </w:p>
    <w:p w:rsidR="00FD0F28" w:rsidRDefault="00FD0F28" w:rsidP="00B71276">
      <w:pPr>
        <w:pStyle w:val="NormalWeb"/>
        <w:rPr>
          <w:rFonts w:asciiTheme="minorHAnsi" w:hAnsiTheme="minorHAnsi" w:cstheme="minorHAnsi"/>
        </w:rPr>
      </w:pPr>
      <w:r>
        <w:rPr>
          <w:rFonts w:asciiTheme="minorHAnsi" w:hAnsiTheme="minorHAnsi" w:cstheme="minorHAnsi"/>
        </w:rPr>
        <w:t xml:space="preserve">Nevertheless, McCann and </w:t>
      </w:r>
      <w:proofErr w:type="spellStart"/>
      <w:r>
        <w:rPr>
          <w:rFonts w:asciiTheme="minorHAnsi" w:hAnsiTheme="minorHAnsi" w:cstheme="minorHAnsi"/>
        </w:rPr>
        <w:t>Folta</w:t>
      </w:r>
      <w:proofErr w:type="spellEnd"/>
      <w:r>
        <w:rPr>
          <w:rFonts w:asciiTheme="minorHAnsi" w:hAnsiTheme="minorHAnsi" w:cstheme="minorHAnsi"/>
        </w:rPr>
        <w:t xml:space="preserve"> demonstrate that environments can influence innovation, finding that ‘both larger cluster size and larger cluster knowledge stocks are associated with increased firm patenting activity.’</w:t>
      </w:r>
      <w:r>
        <w:rPr>
          <w:rStyle w:val="FootnoteReference"/>
          <w:rFonts w:asciiTheme="minorHAnsi" w:hAnsiTheme="minorHAnsi" w:cstheme="minorHAnsi"/>
        </w:rPr>
        <w:footnoteReference w:id="15"/>
      </w:r>
      <w:r w:rsidR="00B24FCB">
        <w:rPr>
          <w:rFonts w:asciiTheme="minorHAnsi" w:hAnsiTheme="minorHAnsi" w:cstheme="minorHAnsi"/>
        </w:rPr>
        <w:t xml:space="preserve"> This provides empirical support for the importance of knowledge-rich environments, but its application to Sony must be treated cautiously. Their study concerns US biotechnology firms and patenting rather than consumer electronics and digital media. The availability of knowledge does not instantly produce competitive advantage; its value depends upon the firm’s capacity to absorb and commercialise it. </w:t>
      </w:r>
    </w:p>
    <w:p w:rsidR="007D5733" w:rsidRPr="007D5733" w:rsidRDefault="007D5733" w:rsidP="00B71276">
      <w:pPr>
        <w:pStyle w:val="NormalWeb"/>
        <w:rPr>
          <w:rStyle w:val="Strong"/>
          <w:rFonts w:asciiTheme="minorHAnsi" w:hAnsiTheme="minorHAnsi" w:cstheme="minorHAnsi"/>
          <w:b w:val="0"/>
        </w:rPr>
      </w:pPr>
      <w:r w:rsidRPr="007D5733">
        <w:rPr>
          <w:rStyle w:val="Strong"/>
          <w:rFonts w:asciiTheme="minorHAnsi" w:hAnsiTheme="minorHAnsi" w:cstheme="minorHAnsi"/>
          <w:b w:val="0"/>
        </w:rPr>
        <w:t>In the same way, Huggins argues</w:t>
      </w:r>
      <w:r>
        <w:rPr>
          <w:rStyle w:val="Strong"/>
          <w:rFonts w:asciiTheme="minorHAnsi" w:hAnsiTheme="minorHAnsi" w:cstheme="minorHAnsi"/>
          <w:b w:val="0"/>
        </w:rPr>
        <w:t xml:space="preserve"> that ‘knowledge cluster development is shifting from a model of internal reliance to a model based on wider connectivity and consolidation.’</w:t>
      </w:r>
      <w:r>
        <w:rPr>
          <w:rStyle w:val="FootnoteReference"/>
          <w:rFonts w:asciiTheme="minorHAnsi" w:hAnsiTheme="minorHAnsi" w:cstheme="minorHAnsi"/>
          <w:bCs/>
        </w:rPr>
        <w:footnoteReference w:id="16"/>
      </w:r>
      <w:r>
        <w:rPr>
          <w:rStyle w:val="Strong"/>
          <w:rFonts w:asciiTheme="minorHAnsi" w:hAnsiTheme="minorHAnsi" w:cstheme="minorHAnsi"/>
          <w:b w:val="0"/>
        </w:rPr>
        <w:t xml:space="preserve"> This </w:t>
      </w:r>
      <w:proofErr w:type="gramStart"/>
      <w:r>
        <w:rPr>
          <w:rStyle w:val="Strong"/>
          <w:rFonts w:asciiTheme="minorHAnsi" w:hAnsiTheme="minorHAnsi" w:cstheme="minorHAnsi"/>
          <w:b w:val="0"/>
        </w:rPr>
        <w:lastRenderedPageBreak/>
        <w:t>is</w:t>
      </w:r>
      <w:proofErr w:type="gramEnd"/>
      <w:r>
        <w:rPr>
          <w:rStyle w:val="Strong"/>
          <w:rFonts w:asciiTheme="minorHAnsi" w:hAnsiTheme="minorHAnsi" w:cstheme="minorHAnsi"/>
          <w:b w:val="0"/>
        </w:rPr>
        <w:t xml:space="preserve"> especially relevant to digital music, where competitive success required knowledge spanning hardware, software, online services and music distribution. Sony did possess capabilities across those areas, but its organisational silos prevented them from being combined effectively or coherently. Apple’s advantage consequently lay not merely in possessing superior knowledge, but in connecting different knowledge </w:t>
      </w:r>
      <w:r w:rsidR="0057177C">
        <w:rPr>
          <w:rStyle w:val="Strong"/>
          <w:rFonts w:asciiTheme="minorHAnsi" w:hAnsiTheme="minorHAnsi" w:cstheme="minorHAnsi"/>
          <w:b w:val="0"/>
        </w:rPr>
        <w:t xml:space="preserve">domains into a coherent customer proposition. </w:t>
      </w:r>
    </w:p>
    <w:p w:rsidR="007D5733" w:rsidRPr="0050108E" w:rsidRDefault="002158C5" w:rsidP="00B71276">
      <w:pPr>
        <w:pStyle w:val="NormalWeb"/>
        <w:rPr>
          <w:rStyle w:val="Strong"/>
          <w:rFonts w:asciiTheme="minorHAnsi" w:hAnsiTheme="minorHAnsi" w:cstheme="minorHAnsi"/>
          <w:b w:val="0"/>
        </w:rPr>
      </w:pPr>
      <w:r w:rsidRPr="002158C5">
        <w:rPr>
          <w:rStyle w:val="Strong"/>
          <w:rFonts w:asciiTheme="minorHAnsi" w:hAnsiTheme="minorHAnsi" w:cstheme="minorHAnsi"/>
          <w:b w:val="0"/>
        </w:rPr>
        <w:t>Therefore, the evidence seems to challenge a simplistic application of Sun Tzu’s terrain.</w:t>
      </w:r>
      <w:r>
        <w:rPr>
          <w:rStyle w:val="Strong"/>
          <w:rFonts w:asciiTheme="minorHAnsi" w:hAnsiTheme="minorHAnsi" w:cstheme="minorHAnsi"/>
          <w:b w:val="0"/>
        </w:rPr>
        <w:t xml:space="preserve"> In modern business, competitive environments are not fixed geographical spaces consist increasingly of interconnected knowledge, technologies, organisations and markets. Sony did not fundamentally occupy the wrong terrain</w:t>
      </w:r>
      <w:r w:rsidR="0050108E">
        <w:rPr>
          <w:rStyle w:val="Strong"/>
          <w:rFonts w:asciiTheme="minorHAnsi" w:hAnsiTheme="minorHAnsi" w:cstheme="minorHAnsi"/>
          <w:b w:val="0"/>
        </w:rPr>
        <w:t xml:space="preserve">; but rather, it failed to exploit the knowledge available to it across its own international organisation. Sun Tzu remains useful in emphasising environmental awareness, but the other literature offers a deeper </w:t>
      </w:r>
      <w:r w:rsidR="0050108E" w:rsidRPr="0050108E">
        <w:rPr>
          <w:rStyle w:val="Strong"/>
          <w:rFonts w:asciiTheme="minorHAnsi" w:hAnsiTheme="minorHAnsi" w:cstheme="minorHAnsi"/>
          <w:b w:val="0"/>
        </w:rPr>
        <w:t xml:space="preserve">explanation of how firms convert environmental opportunities into advantage. </w:t>
      </w:r>
      <w:r w:rsidRPr="0050108E">
        <w:rPr>
          <w:rStyle w:val="Strong"/>
          <w:rFonts w:asciiTheme="minorHAnsi" w:hAnsiTheme="minorHAnsi" w:cstheme="minorHAnsi"/>
          <w:b w:val="0"/>
        </w:rPr>
        <w:t xml:space="preserve"> </w:t>
      </w:r>
    </w:p>
    <w:p w:rsidR="007D5733" w:rsidRPr="0050108E" w:rsidRDefault="0050108E" w:rsidP="00B71276">
      <w:pPr>
        <w:pStyle w:val="NormalWeb"/>
        <w:rPr>
          <w:rStyle w:val="Strong"/>
          <w:rFonts w:asciiTheme="minorHAnsi" w:hAnsiTheme="minorHAnsi" w:cstheme="minorHAnsi"/>
          <w:b w:val="0"/>
        </w:rPr>
      </w:pPr>
      <w:r w:rsidRPr="0050108E">
        <w:rPr>
          <w:rStyle w:val="Strong"/>
          <w:rFonts w:asciiTheme="minorHAnsi" w:hAnsiTheme="minorHAnsi" w:cstheme="minorHAnsi"/>
          <w:b w:val="0"/>
        </w:rPr>
        <w:t xml:space="preserve">Ultimately, the case of Sony demonstrates that location is an enabling condition, but not exactly a guarantee of innovation. </w:t>
      </w:r>
      <w:r>
        <w:rPr>
          <w:rStyle w:val="Strong"/>
          <w:rFonts w:asciiTheme="minorHAnsi" w:hAnsiTheme="minorHAnsi" w:cstheme="minorHAnsi"/>
          <w:b w:val="0"/>
        </w:rPr>
        <w:t xml:space="preserve">Its international reach and technological resources provided significant opportunities, but organisational fragmentation prevented any effective knowledge absorption. This exposes a limitation of applying terrain directly to modern corporations which occupy a more digital based space: competitive advantage increasingly depends more on possessing the organisational capacity to connect, absorb and exploit knowledge wherever it is found and not so much on occupying the right physical location. </w:t>
      </w:r>
    </w:p>
    <w:p w:rsidR="0050108E" w:rsidRPr="00CC2E45" w:rsidRDefault="00033A76" w:rsidP="00B71276">
      <w:pPr>
        <w:pStyle w:val="NormalWeb"/>
        <w:rPr>
          <w:rFonts w:asciiTheme="minorHAnsi" w:hAnsiTheme="minorHAnsi" w:cstheme="minorHAnsi"/>
          <w:b/>
        </w:rPr>
      </w:pPr>
      <w:r w:rsidRPr="00CC2E45">
        <w:rPr>
          <w:rFonts w:asciiTheme="minorHAnsi" w:hAnsiTheme="minorHAnsi" w:cstheme="minorHAnsi"/>
          <w:b/>
        </w:rPr>
        <w:t>Conclusion</w:t>
      </w:r>
    </w:p>
    <w:p w:rsidR="00B71276" w:rsidRDefault="00306A88" w:rsidP="00B71276">
      <w:pPr>
        <w:pStyle w:val="NormalWeb"/>
        <w:rPr>
          <w:rFonts w:asciiTheme="minorHAnsi" w:hAnsiTheme="minorHAnsi" w:cstheme="minorHAnsi"/>
        </w:rPr>
      </w:pPr>
      <w:r>
        <w:rPr>
          <w:rFonts w:asciiTheme="minorHAnsi" w:hAnsiTheme="minorHAnsi" w:cstheme="minorHAnsi"/>
        </w:rPr>
        <w:t xml:space="preserve">The Sony Walkman case demonstrates the enduring analytical value and limitations of applying Sun Tzu’s principles to modern business strategy. </w:t>
      </w:r>
      <w:r w:rsidR="009E64D0">
        <w:rPr>
          <w:rFonts w:asciiTheme="minorHAnsi" w:hAnsiTheme="minorHAnsi" w:cstheme="minorHAnsi"/>
        </w:rPr>
        <w:t xml:space="preserve">Sony’s decline was not simply a failure of technological innovation, but rather, it resulted from an inability to recognise changes in the competitive business and technological </w:t>
      </w:r>
      <w:r w:rsidR="00B40261">
        <w:rPr>
          <w:rFonts w:asciiTheme="minorHAnsi" w:hAnsiTheme="minorHAnsi" w:cstheme="minorHAnsi"/>
        </w:rPr>
        <w:t>spaces, also from an inability to</w:t>
      </w:r>
      <w:r w:rsidR="009E64D0">
        <w:rPr>
          <w:rFonts w:asciiTheme="minorHAnsi" w:hAnsiTheme="minorHAnsi" w:cstheme="minorHAnsi"/>
        </w:rPr>
        <w:t xml:space="preserve"> seize strategic initiative and effectively exploit knowledge across organisational and geographical boundaries.</w:t>
      </w:r>
    </w:p>
    <w:p w:rsidR="00CC2E45" w:rsidRDefault="00B40261" w:rsidP="00B71276">
      <w:pPr>
        <w:pStyle w:val="NormalWeb"/>
        <w:rPr>
          <w:rFonts w:asciiTheme="minorHAnsi" w:hAnsiTheme="minorHAnsi" w:cstheme="minorHAnsi"/>
        </w:rPr>
      </w:pPr>
      <w:r>
        <w:rPr>
          <w:rFonts w:asciiTheme="minorHAnsi" w:hAnsiTheme="minorHAnsi" w:cstheme="minorHAnsi"/>
        </w:rPr>
        <w:t>Firstly, the principle of strategic flexibility and strategic choice demonstrates that adaptation requires more than just technological responsiveness. Sony recognised the emergence of digital music but failed to coordinate its capabilities around a coherent strategic response. Porter’s observation that ‘corporate strategy should not be a once-and-for-all choice but a vision that can evolve,’ reinforces the importance of strategic adaptation, while Sony demonstrates that flexibility without organisational coordination and too much division can result in non-execution of strategic action.</w:t>
      </w:r>
      <w:r w:rsidR="00CA3725">
        <w:rPr>
          <w:rStyle w:val="FootnoteReference"/>
          <w:rFonts w:asciiTheme="minorHAnsi" w:hAnsiTheme="minorHAnsi" w:cstheme="minorHAnsi"/>
        </w:rPr>
        <w:footnoteReference w:id="17"/>
      </w:r>
      <w:r>
        <w:rPr>
          <w:rFonts w:asciiTheme="minorHAnsi" w:hAnsiTheme="minorHAnsi" w:cstheme="minorHAnsi"/>
        </w:rPr>
        <w:t xml:space="preserve"> </w:t>
      </w:r>
    </w:p>
    <w:p w:rsidR="00CA3725" w:rsidRDefault="00CC2E45" w:rsidP="00B71276">
      <w:pPr>
        <w:pStyle w:val="NormalWeb"/>
        <w:rPr>
          <w:rFonts w:asciiTheme="minorHAnsi" w:hAnsiTheme="minorHAnsi" w:cstheme="minorHAnsi"/>
        </w:rPr>
      </w:pPr>
      <w:r>
        <w:rPr>
          <w:rFonts w:asciiTheme="minorHAnsi" w:hAnsiTheme="minorHAnsi" w:cstheme="minorHAnsi"/>
        </w:rPr>
        <w:t xml:space="preserve">Secondly, competitive initiative explains Sony’s increasingly reactive position to the success of Apple. MacMillan argues that ‘the company with the initiative is better able to dominate </w:t>
      </w:r>
      <w:r>
        <w:rPr>
          <w:rFonts w:asciiTheme="minorHAnsi" w:hAnsiTheme="minorHAnsi" w:cstheme="minorHAnsi"/>
        </w:rPr>
        <w:lastRenderedPageBreak/>
        <w:t>the competitive game and, ultimately, to maintain control of its own destiny.’</w:t>
      </w:r>
      <w:r>
        <w:rPr>
          <w:rStyle w:val="FootnoteReference"/>
          <w:rFonts w:asciiTheme="minorHAnsi" w:hAnsiTheme="minorHAnsi" w:cstheme="minorHAnsi"/>
        </w:rPr>
        <w:footnoteReference w:id="18"/>
      </w:r>
      <w:r>
        <w:rPr>
          <w:rFonts w:asciiTheme="minorHAnsi" w:hAnsiTheme="minorHAnsi" w:cstheme="minorHAnsi"/>
        </w:rPr>
        <w:t xml:space="preserve"> Sony had the opportunity to shape digital music through its combination of electronics, software and music assets, but internal rivalry and hyper-decentralisation prevented it from doing so. Apple consequently established the dominant competitive proposition, forcing Sony to respond on terms it had not chosen. However, Sun Tzu’s military conception of initiative has limitations because modern markets involve uncertainty, technological disruption and consumer behaviour that cannot be controlled as a battlefield can. </w:t>
      </w:r>
    </w:p>
    <w:p w:rsidR="00CC2E45" w:rsidRDefault="009C76D6" w:rsidP="00B71276">
      <w:pPr>
        <w:pStyle w:val="NormalWeb"/>
        <w:rPr>
          <w:rFonts w:asciiTheme="minorHAnsi" w:hAnsiTheme="minorHAnsi" w:cstheme="minorHAnsi"/>
        </w:rPr>
      </w:pPr>
      <w:r>
        <w:rPr>
          <w:rFonts w:asciiTheme="minorHAnsi" w:hAnsiTheme="minorHAnsi" w:cstheme="minorHAnsi"/>
        </w:rPr>
        <w:t xml:space="preserve">Finally, location advantage, knowledge and absorptive capacity reveal that possessing technological and geographical resources does not automatically create competitive advantage. Cohen and </w:t>
      </w:r>
      <w:proofErr w:type="spellStart"/>
      <w:r>
        <w:rPr>
          <w:rFonts w:asciiTheme="minorHAnsi" w:hAnsiTheme="minorHAnsi" w:cstheme="minorHAnsi"/>
        </w:rPr>
        <w:t>Levinthal</w:t>
      </w:r>
      <w:proofErr w:type="spellEnd"/>
      <w:r>
        <w:rPr>
          <w:rFonts w:asciiTheme="minorHAnsi" w:hAnsiTheme="minorHAnsi" w:cstheme="minorHAnsi"/>
        </w:rPr>
        <w:t xml:space="preserve"> argue that ‘the ability to exploit external knowledge is thus a critical component of innovative capabilities.’</w:t>
      </w:r>
      <w:r>
        <w:rPr>
          <w:rStyle w:val="FootnoteReference"/>
          <w:rFonts w:asciiTheme="minorHAnsi" w:hAnsiTheme="minorHAnsi" w:cstheme="minorHAnsi"/>
        </w:rPr>
        <w:footnoteReference w:id="19"/>
      </w:r>
      <w:r w:rsidR="003B074A">
        <w:rPr>
          <w:rFonts w:asciiTheme="minorHAnsi" w:hAnsiTheme="minorHAnsi" w:cstheme="minorHAnsi"/>
        </w:rPr>
        <w:t xml:space="preserve"> Sony had considerable knowledge resources across its international operations, yet organisational silos prevented their effective combination. This, the relevant ‘terrain’ was not simply geographical; it was the wider network of knowledge, technologies and organisational relationships through which competitive advantage was created. </w:t>
      </w:r>
    </w:p>
    <w:p w:rsidR="00B74FC3" w:rsidRDefault="00EC6FFE" w:rsidP="00B27E40">
      <w:pPr>
        <w:pStyle w:val="NormalWeb"/>
        <w:rPr>
          <w:rFonts w:asciiTheme="minorHAnsi" w:hAnsiTheme="minorHAnsi" w:cstheme="minorHAnsi"/>
        </w:rPr>
      </w:pPr>
      <w:r>
        <w:rPr>
          <w:rFonts w:asciiTheme="minorHAnsi" w:hAnsiTheme="minorHAnsi" w:cstheme="minorHAnsi"/>
        </w:rPr>
        <w:t xml:space="preserve">Overall, Sun Tzu remains valuable as a strategic lens rather than a complete theory of modern competition. His principles highlight and demonstrate why Sony needed to adapt, seize initiative and understand its changing environment, but Porter, MacMillan and the knowledge-based literature provide a stronger and more detailed explanation of how organisational structures and capabilities determined whether Sony could act on those insights. </w:t>
      </w:r>
      <w:r w:rsidR="00B70DB7">
        <w:rPr>
          <w:rFonts w:asciiTheme="minorHAnsi" w:hAnsiTheme="minorHAnsi" w:cstheme="minorHAnsi"/>
        </w:rPr>
        <w:t>Therefore, the case demonstrates that Sony’s failure was not simply a failure on Sony’s part to anticipate Apple, but due to a deeper failure to convert awareness, resources and knowledge into coordinated strategic action. This ultimately exposes the limits of transferring an ancient military framework directly into more complex, knowledge-intensive corporate competition.</w:t>
      </w:r>
    </w:p>
    <w:p w:rsidR="00B70DB7" w:rsidRDefault="00B70DB7" w:rsidP="00B27E40">
      <w:pPr>
        <w:pStyle w:val="NormalWeb"/>
        <w:rPr>
          <w:rFonts w:asciiTheme="minorHAnsi" w:hAnsiTheme="minorHAnsi" w:cstheme="minorHAnsi"/>
        </w:rPr>
      </w:pPr>
    </w:p>
    <w:p w:rsidR="00B70DB7" w:rsidRDefault="00B70DB7" w:rsidP="00B27E40">
      <w:pPr>
        <w:pStyle w:val="NormalWeb"/>
        <w:rPr>
          <w:rFonts w:asciiTheme="minorHAnsi" w:hAnsiTheme="minorHAnsi" w:cstheme="minorHAnsi"/>
        </w:rPr>
      </w:pPr>
    </w:p>
    <w:p w:rsidR="00B70DB7" w:rsidRDefault="00B70DB7" w:rsidP="00B27E40">
      <w:pPr>
        <w:pStyle w:val="NormalWeb"/>
        <w:rPr>
          <w:rFonts w:asciiTheme="minorHAnsi" w:hAnsiTheme="minorHAnsi" w:cstheme="minorHAnsi"/>
        </w:rPr>
      </w:pPr>
    </w:p>
    <w:p w:rsidR="005B5644" w:rsidRDefault="005B5644" w:rsidP="00B27E40">
      <w:pPr>
        <w:pStyle w:val="NormalWeb"/>
        <w:rPr>
          <w:rFonts w:asciiTheme="minorHAnsi" w:hAnsiTheme="minorHAnsi" w:cstheme="minorHAnsi"/>
        </w:rPr>
      </w:pPr>
    </w:p>
    <w:p w:rsidR="005B5644" w:rsidRDefault="005B5644" w:rsidP="00B27E40">
      <w:pPr>
        <w:pStyle w:val="NormalWeb"/>
        <w:rPr>
          <w:rFonts w:asciiTheme="minorHAnsi" w:hAnsiTheme="minorHAnsi" w:cstheme="minorHAnsi"/>
        </w:rPr>
      </w:pPr>
    </w:p>
    <w:p w:rsidR="00D71DA1" w:rsidRDefault="00D71DA1" w:rsidP="00B27E40">
      <w:pPr>
        <w:pStyle w:val="NormalWeb"/>
        <w:rPr>
          <w:rFonts w:asciiTheme="minorHAnsi" w:hAnsiTheme="minorHAnsi" w:cstheme="minorHAnsi"/>
        </w:rPr>
      </w:pPr>
    </w:p>
    <w:p w:rsidR="00D71DA1" w:rsidRDefault="00D71DA1" w:rsidP="00D71DA1">
      <w:pPr>
        <w:rPr>
          <w:lang w:eastAsia="en-GB"/>
        </w:rPr>
      </w:pPr>
    </w:p>
    <w:p w:rsidR="000A229F" w:rsidRPr="00EB07DD" w:rsidRDefault="0057177C" w:rsidP="000A229F">
      <w:pPr>
        <w:pStyle w:val="Heading1"/>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lastRenderedPageBreak/>
        <w:t>Bibliography:</w:t>
      </w:r>
    </w:p>
    <w:p w:rsidR="00655B2C" w:rsidRPr="00EB07DD" w:rsidRDefault="000A229F" w:rsidP="000A229F">
      <w:pPr>
        <w:pStyle w:val="NormalWeb"/>
        <w:rPr>
          <w:rFonts w:asciiTheme="minorHAnsi" w:hAnsiTheme="minorHAnsi" w:cstheme="minorHAnsi"/>
        </w:rPr>
      </w:pPr>
      <w:r w:rsidRPr="00EB07DD">
        <w:rPr>
          <w:rFonts w:asciiTheme="minorHAnsi" w:hAnsiTheme="minorHAnsi" w:cstheme="minorHAnsi"/>
          <w:color w:val="000000" w:themeColor="text1"/>
        </w:rPr>
        <w:t xml:space="preserve">Cohen, Wesley M., and Daniel A. </w:t>
      </w:r>
      <w:proofErr w:type="spellStart"/>
      <w:r w:rsidRPr="00EB07DD">
        <w:rPr>
          <w:rFonts w:asciiTheme="minorHAnsi" w:hAnsiTheme="minorHAnsi" w:cstheme="minorHAnsi"/>
          <w:color w:val="000000" w:themeColor="text1"/>
        </w:rPr>
        <w:t>Levinthal</w:t>
      </w:r>
      <w:proofErr w:type="spellEnd"/>
      <w:r w:rsidRPr="00EB07DD">
        <w:rPr>
          <w:rFonts w:asciiTheme="minorHAnsi" w:hAnsiTheme="minorHAnsi" w:cstheme="minorHAnsi"/>
        </w:rPr>
        <w:t xml:space="preserve">, ‘Absorptive Capacity: A New Perspective on Learning and Innovation’, </w:t>
      </w:r>
      <w:r w:rsidRPr="00EB07DD">
        <w:rPr>
          <w:rStyle w:val="Emphasis"/>
          <w:rFonts w:asciiTheme="minorHAnsi" w:hAnsiTheme="minorHAnsi" w:cstheme="minorHAnsi"/>
        </w:rPr>
        <w:t>Administrative Science Quarterly</w:t>
      </w:r>
      <w:r w:rsidRPr="00EB07DD">
        <w:rPr>
          <w:rFonts w:asciiTheme="minorHAnsi" w:hAnsiTheme="minorHAnsi" w:cstheme="minorHAnsi"/>
        </w:rPr>
        <w:t>, 35.1 (1990), 128–152.</w:t>
      </w:r>
    </w:p>
    <w:p w:rsidR="00655B2C" w:rsidRPr="00EB07DD" w:rsidRDefault="00655B2C" w:rsidP="00655B2C">
      <w:pPr>
        <w:pStyle w:val="pdq2pgselectionanchorcontainer"/>
        <w:rPr>
          <w:rFonts w:asciiTheme="minorHAnsi" w:hAnsiTheme="minorHAnsi" w:cstheme="minorHAnsi"/>
        </w:rPr>
      </w:pPr>
      <w:r w:rsidRPr="00EB07DD">
        <w:rPr>
          <w:rFonts w:asciiTheme="minorHAnsi" w:hAnsiTheme="minorHAnsi" w:cstheme="minorHAnsi"/>
        </w:rPr>
        <w:t xml:space="preserve">Davenport, Sally, ‘Exploring the Role of Proximity in SME Knowledge-Acquisition’, </w:t>
      </w:r>
      <w:r w:rsidRPr="00EB07DD">
        <w:rPr>
          <w:rStyle w:val="Emphasis"/>
          <w:rFonts w:asciiTheme="minorHAnsi" w:hAnsiTheme="minorHAnsi" w:cstheme="minorHAnsi"/>
        </w:rPr>
        <w:t>Research Policy</w:t>
      </w:r>
      <w:r w:rsidRPr="00EB07DD">
        <w:rPr>
          <w:rFonts w:asciiTheme="minorHAnsi" w:hAnsiTheme="minorHAnsi" w:cstheme="minorHAnsi"/>
        </w:rPr>
        <w:t>, 34.5 (2005), 683–701.</w:t>
      </w:r>
    </w:p>
    <w:p w:rsidR="000A229F" w:rsidRPr="00EB07DD" w:rsidRDefault="000A229F" w:rsidP="000A229F">
      <w:pPr>
        <w:pStyle w:val="NormalWeb"/>
        <w:rPr>
          <w:rFonts w:asciiTheme="minorHAnsi" w:hAnsiTheme="minorHAnsi" w:cstheme="minorHAnsi"/>
        </w:rPr>
      </w:pPr>
      <w:proofErr w:type="spellStart"/>
      <w:r w:rsidRPr="00EB07DD">
        <w:rPr>
          <w:rFonts w:asciiTheme="minorHAnsi" w:hAnsiTheme="minorHAnsi" w:cstheme="minorHAnsi"/>
        </w:rPr>
        <w:t>Drejer</w:t>
      </w:r>
      <w:proofErr w:type="spellEnd"/>
      <w:r w:rsidRPr="00EB07DD">
        <w:rPr>
          <w:rFonts w:asciiTheme="minorHAnsi" w:hAnsiTheme="minorHAnsi" w:cstheme="minorHAnsi"/>
        </w:rPr>
        <w:t xml:space="preserve">, Ina, and Anker Lund </w:t>
      </w:r>
      <w:proofErr w:type="spellStart"/>
      <w:r w:rsidRPr="00EB07DD">
        <w:rPr>
          <w:rFonts w:asciiTheme="minorHAnsi" w:hAnsiTheme="minorHAnsi" w:cstheme="minorHAnsi"/>
        </w:rPr>
        <w:t>Vinding</w:t>
      </w:r>
      <w:proofErr w:type="spellEnd"/>
      <w:r w:rsidRPr="00EB07DD">
        <w:rPr>
          <w:rFonts w:asciiTheme="minorHAnsi" w:hAnsiTheme="minorHAnsi" w:cstheme="minorHAnsi"/>
        </w:rPr>
        <w:t xml:space="preserve">, ‘Searching Near and Far: Determinants of Innovative Firms’ Propensity to Collaborate across Geographical Distance’, </w:t>
      </w:r>
      <w:r w:rsidRPr="00EB07DD">
        <w:rPr>
          <w:rStyle w:val="Emphasis"/>
          <w:rFonts w:asciiTheme="minorHAnsi" w:hAnsiTheme="minorHAnsi" w:cstheme="minorHAnsi"/>
        </w:rPr>
        <w:t>Industry and Innovation</w:t>
      </w:r>
      <w:r w:rsidRPr="00EB07DD">
        <w:rPr>
          <w:rFonts w:asciiTheme="minorHAnsi" w:hAnsiTheme="minorHAnsi" w:cstheme="minorHAnsi"/>
        </w:rPr>
        <w:t>, 14.3 (2007), 259–275.</w:t>
      </w:r>
    </w:p>
    <w:p w:rsidR="00D51D45" w:rsidRPr="00EB07DD" w:rsidRDefault="00D51D45" w:rsidP="000A229F">
      <w:pPr>
        <w:pStyle w:val="NormalWeb"/>
        <w:rPr>
          <w:rFonts w:asciiTheme="minorHAnsi" w:hAnsiTheme="minorHAnsi" w:cstheme="minorHAnsi"/>
        </w:rPr>
      </w:pPr>
      <w:r w:rsidRPr="00EB07DD">
        <w:rPr>
          <w:rFonts w:asciiTheme="minorHAnsi" w:hAnsiTheme="minorHAnsi" w:cstheme="minorHAnsi"/>
        </w:rPr>
        <w:t xml:space="preserve">Dvorak, </w:t>
      </w:r>
      <w:proofErr w:type="spellStart"/>
      <w:r w:rsidRPr="00EB07DD">
        <w:rPr>
          <w:rFonts w:asciiTheme="minorHAnsi" w:hAnsiTheme="minorHAnsi" w:cstheme="minorHAnsi"/>
        </w:rPr>
        <w:t>Phred</w:t>
      </w:r>
      <w:proofErr w:type="spellEnd"/>
      <w:r w:rsidRPr="00EB07DD">
        <w:rPr>
          <w:rFonts w:asciiTheme="minorHAnsi" w:hAnsiTheme="minorHAnsi" w:cstheme="minorHAnsi"/>
        </w:rPr>
        <w:t xml:space="preserve">, ‘At Sony, Rivalries Were Encouraged; Then Came iPod: Failure of Broad Cooperation Showed Flaws in Model; A Struggle </w:t>
      </w:r>
      <w:proofErr w:type="gramStart"/>
      <w:r w:rsidRPr="00EB07DD">
        <w:rPr>
          <w:rFonts w:asciiTheme="minorHAnsi" w:hAnsiTheme="minorHAnsi" w:cstheme="minorHAnsi"/>
        </w:rPr>
        <w:t>Over</w:t>
      </w:r>
      <w:proofErr w:type="gramEnd"/>
      <w:r w:rsidRPr="00EB07DD">
        <w:rPr>
          <w:rFonts w:asciiTheme="minorHAnsi" w:hAnsiTheme="minorHAnsi" w:cstheme="minorHAnsi"/>
        </w:rPr>
        <w:t xml:space="preserve"> Piracy’, </w:t>
      </w:r>
      <w:r w:rsidRPr="00EB07DD">
        <w:rPr>
          <w:rStyle w:val="Emphasis"/>
          <w:rFonts w:asciiTheme="minorHAnsi" w:hAnsiTheme="minorHAnsi" w:cstheme="minorHAnsi"/>
        </w:rPr>
        <w:t>The Wall Street Journal</w:t>
      </w:r>
      <w:r w:rsidRPr="00EB07DD">
        <w:rPr>
          <w:rFonts w:asciiTheme="minorHAnsi" w:hAnsiTheme="minorHAnsi" w:cstheme="minorHAnsi"/>
        </w:rPr>
        <w:t>, 29 June 2005.</w:t>
      </w:r>
    </w:p>
    <w:p w:rsidR="000A229F" w:rsidRPr="00EB07DD" w:rsidRDefault="000A229F" w:rsidP="000A229F">
      <w:pPr>
        <w:pStyle w:val="NormalWeb"/>
        <w:rPr>
          <w:rFonts w:asciiTheme="minorHAnsi" w:hAnsiTheme="minorHAnsi" w:cstheme="minorHAnsi"/>
        </w:rPr>
      </w:pPr>
      <w:r w:rsidRPr="00EB07DD">
        <w:rPr>
          <w:rFonts w:asciiTheme="minorHAnsi" w:hAnsiTheme="minorHAnsi" w:cstheme="minorHAnsi"/>
        </w:rPr>
        <w:t>Huggins, Robert, ‘</w:t>
      </w:r>
      <w:proofErr w:type="gramStart"/>
      <w:r w:rsidRPr="00EB07DD">
        <w:rPr>
          <w:rFonts w:asciiTheme="minorHAnsi" w:hAnsiTheme="minorHAnsi" w:cstheme="minorHAnsi"/>
        </w:rPr>
        <w:t>The</w:t>
      </w:r>
      <w:proofErr w:type="gramEnd"/>
      <w:r w:rsidRPr="00EB07DD">
        <w:rPr>
          <w:rFonts w:asciiTheme="minorHAnsi" w:hAnsiTheme="minorHAnsi" w:cstheme="minorHAnsi"/>
        </w:rPr>
        <w:t xml:space="preserve"> Evolution of Knowledge Clusters: Progress and Policy’, </w:t>
      </w:r>
      <w:r w:rsidRPr="00EB07DD">
        <w:rPr>
          <w:rStyle w:val="Emphasis"/>
          <w:rFonts w:asciiTheme="minorHAnsi" w:hAnsiTheme="minorHAnsi" w:cstheme="minorHAnsi"/>
        </w:rPr>
        <w:t>Economic Development Quarterly</w:t>
      </w:r>
      <w:r w:rsidRPr="00EB07DD">
        <w:rPr>
          <w:rFonts w:asciiTheme="minorHAnsi" w:hAnsiTheme="minorHAnsi" w:cstheme="minorHAnsi"/>
        </w:rPr>
        <w:t>, 22.1 (2008), 1–13.</w:t>
      </w:r>
    </w:p>
    <w:p w:rsidR="000A229F" w:rsidRPr="00EB07DD" w:rsidRDefault="000A229F" w:rsidP="000A229F">
      <w:pPr>
        <w:pStyle w:val="NormalWeb"/>
        <w:rPr>
          <w:rFonts w:asciiTheme="minorHAnsi" w:hAnsiTheme="minorHAnsi" w:cstheme="minorHAnsi"/>
        </w:rPr>
      </w:pPr>
      <w:r w:rsidRPr="00EB07DD">
        <w:rPr>
          <w:rFonts w:asciiTheme="minorHAnsi" w:hAnsiTheme="minorHAnsi" w:cstheme="minorHAnsi"/>
        </w:rPr>
        <w:t xml:space="preserve">MacMillan, Ian C., ‘Seizing Competitive Initiative’, </w:t>
      </w:r>
      <w:r w:rsidRPr="00EB07DD">
        <w:rPr>
          <w:rStyle w:val="Emphasis"/>
          <w:rFonts w:asciiTheme="minorHAnsi" w:hAnsiTheme="minorHAnsi" w:cstheme="minorHAnsi"/>
        </w:rPr>
        <w:t>Journal of Business Strategy</w:t>
      </w:r>
      <w:r w:rsidRPr="00EB07DD">
        <w:rPr>
          <w:rFonts w:asciiTheme="minorHAnsi" w:hAnsiTheme="minorHAnsi" w:cstheme="minorHAnsi"/>
        </w:rPr>
        <w:t>, 4.4 (1984), 43–57.</w:t>
      </w:r>
    </w:p>
    <w:p w:rsidR="000A229F" w:rsidRPr="00EB07DD" w:rsidRDefault="000A229F" w:rsidP="000A229F">
      <w:pPr>
        <w:pStyle w:val="NormalWeb"/>
        <w:rPr>
          <w:rFonts w:asciiTheme="minorHAnsi" w:hAnsiTheme="minorHAnsi" w:cstheme="minorHAnsi"/>
        </w:rPr>
      </w:pPr>
      <w:r w:rsidRPr="00EB07DD">
        <w:rPr>
          <w:rFonts w:asciiTheme="minorHAnsi" w:hAnsiTheme="minorHAnsi" w:cstheme="minorHAnsi"/>
        </w:rPr>
        <w:t xml:space="preserve">McCann, Brian T., and Thomas B. </w:t>
      </w:r>
      <w:proofErr w:type="spellStart"/>
      <w:r w:rsidRPr="00EB07DD">
        <w:rPr>
          <w:rFonts w:asciiTheme="minorHAnsi" w:hAnsiTheme="minorHAnsi" w:cstheme="minorHAnsi"/>
        </w:rPr>
        <w:t>Folta</w:t>
      </w:r>
      <w:proofErr w:type="spellEnd"/>
      <w:r w:rsidRPr="00EB07DD">
        <w:rPr>
          <w:rFonts w:asciiTheme="minorHAnsi" w:hAnsiTheme="minorHAnsi" w:cstheme="minorHAnsi"/>
        </w:rPr>
        <w:t xml:space="preserve">, ‘Performance Differentials within Geographic Clusters’, </w:t>
      </w:r>
      <w:r w:rsidRPr="00EB07DD">
        <w:rPr>
          <w:rStyle w:val="Emphasis"/>
          <w:rFonts w:asciiTheme="minorHAnsi" w:hAnsiTheme="minorHAnsi" w:cstheme="minorHAnsi"/>
        </w:rPr>
        <w:t>Journal of Business Venturing</w:t>
      </w:r>
      <w:r w:rsidRPr="00EB07DD">
        <w:rPr>
          <w:rFonts w:asciiTheme="minorHAnsi" w:hAnsiTheme="minorHAnsi" w:cstheme="minorHAnsi"/>
        </w:rPr>
        <w:t>, 23.1 (2008), 104–124.</w:t>
      </w:r>
    </w:p>
    <w:p w:rsidR="000A229F" w:rsidRPr="00EB07DD" w:rsidRDefault="000A229F" w:rsidP="000A229F">
      <w:pPr>
        <w:pStyle w:val="NormalWeb"/>
        <w:rPr>
          <w:rFonts w:asciiTheme="minorHAnsi" w:hAnsiTheme="minorHAnsi" w:cstheme="minorHAnsi"/>
        </w:rPr>
      </w:pPr>
      <w:r w:rsidRPr="00EB07DD">
        <w:rPr>
          <w:rFonts w:asciiTheme="minorHAnsi" w:hAnsiTheme="minorHAnsi" w:cstheme="minorHAnsi"/>
        </w:rPr>
        <w:t xml:space="preserve">Porter, Michael E., ‘From Competitive Advantage to Corporate Strategy’, </w:t>
      </w:r>
      <w:r w:rsidRPr="00EB07DD">
        <w:rPr>
          <w:rStyle w:val="Emphasis"/>
          <w:rFonts w:asciiTheme="minorHAnsi" w:hAnsiTheme="minorHAnsi" w:cstheme="minorHAnsi"/>
        </w:rPr>
        <w:t>Harvard Business Review</w:t>
      </w:r>
      <w:r w:rsidRPr="00EB07DD">
        <w:rPr>
          <w:rFonts w:asciiTheme="minorHAnsi" w:hAnsiTheme="minorHAnsi" w:cstheme="minorHAnsi"/>
        </w:rPr>
        <w:t>, 65.3 (1987), 43–59.</w:t>
      </w:r>
    </w:p>
    <w:p w:rsidR="000A229F" w:rsidRPr="00EB07DD" w:rsidRDefault="000A229F" w:rsidP="000A229F">
      <w:pPr>
        <w:pStyle w:val="NormalWeb"/>
        <w:rPr>
          <w:rFonts w:asciiTheme="minorHAnsi" w:hAnsiTheme="minorHAnsi" w:cstheme="minorHAnsi"/>
        </w:rPr>
      </w:pPr>
      <w:r w:rsidRPr="00EB07DD">
        <w:rPr>
          <w:rFonts w:asciiTheme="minorHAnsi" w:hAnsiTheme="minorHAnsi" w:cstheme="minorHAnsi"/>
        </w:rPr>
        <w:t>Porter, Michael E., ‘What Is Strategy?</w:t>
      </w:r>
      <w:proofErr w:type="gramStart"/>
      <w:r w:rsidRPr="00EB07DD">
        <w:rPr>
          <w:rFonts w:asciiTheme="minorHAnsi" w:hAnsiTheme="minorHAnsi" w:cstheme="minorHAnsi"/>
        </w:rPr>
        <w:t>’,</w:t>
      </w:r>
      <w:proofErr w:type="gramEnd"/>
      <w:r w:rsidRPr="00EB07DD">
        <w:rPr>
          <w:rFonts w:asciiTheme="minorHAnsi" w:hAnsiTheme="minorHAnsi" w:cstheme="minorHAnsi"/>
        </w:rPr>
        <w:t xml:space="preserve"> </w:t>
      </w:r>
      <w:r w:rsidRPr="00EB07DD">
        <w:rPr>
          <w:rStyle w:val="Emphasis"/>
          <w:rFonts w:asciiTheme="minorHAnsi" w:hAnsiTheme="minorHAnsi" w:cstheme="minorHAnsi"/>
        </w:rPr>
        <w:t>Harvard Business Review</w:t>
      </w:r>
      <w:r w:rsidRPr="00EB07DD">
        <w:rPr>
          <w:rFonts w:asciiTheme="minorHAnsi" w:hAnsiTheme="minorHAnsi" w:cstheme="minorHAnsi"/>
        </w:rPr>
        <w:t>, 74.6 (1996), 61–78.</w:t>
      </w:r>
    </w:p>
    <w:p w:rsidR="000A229F" w:rsidRPr="00EB07DD" w:rsidRDefault="00D51D45" w:rsidP="000A229F">
      <w:pPr>
        <w:pStyle w:val="NormalWeb"/>
        <w:rPr>
          <w:rFonts w:asciiTheme="minorHAnsi" w:hAnsiTheme="minorHAnsi" w:cstheme="minorHAnsi"/>
        </w:rPr>
      </w:pPr>
      <w:r w:rsidRPr="00EB07DD">
        <w:rPr>
          <w:rFonts w:asciiTheme="minorHAnsi" w:hAnsiTheme="minorHAnsi" w:cstheme="minorHAnsi"/>
        </w:rPr>
        <w:t xml:space="preserve">Sun Tzu, </w:t>
      </w:r>
      <w:proofErr w:type="gramStart"/>
      <w:r w:rsidRPr="00EB07DD">
        <w:rPr>
          <w:rStyle w:val="Emphasis"/>
          <w:rFonts w:asciiTheme="minorHAnsi" w:hAnsiTheme="minorHAnsi" w:cstheme="minorHAnsi"/>
        </w:rPr>
        <w:t>The</w:t>
      </w:r>
      <w:proofErr w:type="gramEnd"/>
      <w:r w:rsidRPr="00EB07DD">
        <w:rPr>
          <w:rStyle w:val="Emphasis"/>
          <w:rFonts w:asciiTheme="minorHAnsi" w:hAnsiTheme="minorHAnsi" w:cstheme="minorHAnsi"/>
        </w:rPr>
        <w:t xml:space="preserve"> Art of War</w:t>
      </w:r>
      <w:r w:rsidRPr="00EB07DD">
        <w:rPr>
          <w:rFonts w:asciiTheme="minorHAnsi" w:hAnsiTheme="minorHAnsi" w:cstheme="minorHAnsi"/>
        </w:rPr>
        <w:t xml:space="preserve">, trans. by Lionel Giles (London: </w:t>
      </w:r>
      <w:proofErr w:type="spellStart"/>
      <w:r w:rsidRPr="00EB07DD">
        <w:rPr>
          <w:rFonts w:asciiTheme="minorHAnsi" w:hAnsiTheme="minorHAnsi" w:cstheme="minorHAnsi"/>
        </w:rPr>
        <w:t>Luzac</w:t>
      </w:r>
      <w:proofErr w:type="spellEnd"/>
      <w:r w:rsidRPr="00EB07DD">
        <w:rPr>
          <w:rFonts w:asciiTheme="minorHAnsi" w:hAnsiTheme="minorHAnsi" w:cstheme="minorHAnsi"/>
        </w:rPr>
        <w:t xml:space="preserve"> &amp; Co., 1910).</w:t>
      </w:r>
    </w:p>
    <w:p w:rsidR="0042330B" w:rsidRPr="009848D0" w:rsidRDefault="0042330B" w:rsidP="0079583E">
      <w:pPr>
        <w:pStyle w:val="Heading1"/>
        <w:rPr>
          <w:rFonts w:asciiTheme="minorHAnsi" w:hAnsiTheme="minorHAnsi" w:cstheme="minorHAnsi"/>
          <w:sz w:val="24"/>
          <w:szCs w:val="24"/>
        </w:rPr>
      </w:pPr>
    </w:p>
    <w:p w:rsidR="00DD0ADF" w:rsidRPr="009848D0" w:rsidRDefault="00DD0ADF" w:rsidP="0079583E">
      <w:pPr>
        <w:rPr>
          <w:rFonts w:cstheme="minorHAnsi"/>
          <w:sz w:val="24"/>
          <w:szCs w:val="24"/>
        </w:rPr>
      </w:pPr>
    </w:p>
    <w:sectPr w:rsidR="00DD0ADF" w:rsidRPr="009848D0" w:rsidSect="00DD0AD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5196" w:rsidRDefault="00A15196" w:rsidP="0042330B">
      <w:pPr>
        <w:spacing w:after="0" w:line="240" w:lineRule="auto"/>
      </w:pPr>
      <w:r>
        <w:separator/>
      </w:r>
    </w:p>
  </w:endnote>
  <w:endnote w:type="continuationSeparator" w:id="0">
    <w:p w:rsidR="00A15196" w:rsidRDefault="00A15196" w:rsidP="0042330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5196" w:rsidRDefault="00A15196" w:rsidP="0042330B">
      <w:pPr>
        <w:spacing w:after="0" w:line="240" w:lineRule="auto"/>
      </w:pPr>
      <w:r>
        <w:separator/>
      </w:r>
    </w:p>
  </w:footnote>
  <w:footnote w:type="continuationSeparator" w:id="0">
    <w:p w:rsidR="00A15196" w:rsidRDefault="00A15196" w:rsidP="0042330B">
      <w:pPr>
        <w:spacing w:after="0" w:line="240" w:lineRule="auto"/>
      </w:pPr>
      <w:r>
        <w:continuationSeparator/>
      </w:r>
    </w:p>
  </w:footnote>
  <w:footnote w:id="1">
    <w:p w:rsidR="00BA4BD7" w:rsidRPr="00655B2C" w:rsidRDefault="00BA4BD7" w:rsidP="00BA4BD7">
      <w:pPr>
        <w:rPr>
          <w:rFonts w:eastAsia="Times New Roman" w:cstheme="minorHAnsi"/>
          <w:sz w:val="18"/>
          <w:szCs w:val="18"/>
          <w:lang w:eastAsia="en-GB"/>
        </w:rPr>
      </w:pPr>
      <w:r w:rsidRPr="00655B2C">
        <w:rPr>
          <w:rStyle w:val="FootnoteReference"/>
          <w:rFonts w:cstheme="minorHAnsi"/>
        </w:rPr>
        <w:footnoteRef/>
      </w:r>
      <w:r w:rsidRPr="00655B2C">
        <w:rPr>
          <w:rFonts w:cstheme="minorHAnsi"/>
        </w:rPr>
        <w:t xml:space="preserve"> </w:t>
      </w:r>
      <w:proofErr w:type="spellStart"/>
      <w:r w:rsidRPr="00655B2C">
        <w:rPr>
          <w:rFonts w:eastAsia="Times New Roman" w:cstheme="minorHAnsi"/>
          <w:sz w:val="18"/>
          <w:szCs w:val="18"/>
          <w:lang w:eastAsia="en-GB"/>
        </w:rPr>
        <w:t>Phred</w:t>
      </w:r>
      <w:proofErr w:type="spellEnd"/>
      <w:r w:rsidRPr="00655B2C">
        <w:rPr>
          <w:rFonts w:eastAsia="Times New Roman" w:cstheme="minorHAnsi"/>
          <w:sz w:val="18"/>
          <w:szCs w:val="18"/>
          <w:lang w:eastAsia="en-GB"/>
        </w:rPr>
        <w:t xml:space="preserve"> Dvorak, 'At Sony, Rivalries Were Encouraged; Then Came iPod: Failure of Broad Cooperation Showed Flaws in Model; A Struggle </w:t>
      </w:r>
      <w:proofErr w:type="gramStart"/>
      <w:r w:rsidRPr="00655B2C">
        <w:rPr>
          <w:rFonts w:eastAsia="Times New Roman" w:cstheme="minorHAnsi"/>
          <w:sz w:val="18"/>
          <w:szCs w:val="18"/>
          <w:lang w:eastAsia="en-GB"/>
        </w:rPr>
        <w:t>Over</w:t>
      </w:r>
      <w:proofErr w:type="gramEnd"/>
      <w:r w:rsidRPr="00655B2C">
        <w:rPr>
          <w:rFonts w:eastAsia="Times New Roman" w:cstheme="minorHAnsi"/>
          <w:sz w:val="18"/>
          <w:szCs w:val="18"/>
          <w:lang w:eastAsia="en-GB"/>
        </w:rPr>
        <w:t xml:space="preserve"> Piracy', </w:t>
      </w:r>
      <w:r w:rsidRPr="00655B2C">
        <w:rPr>
          <w:rFonts w:eastAsia="Times New Roman" w:cstheme="minorHAnsi"/>
          <w:i/>
          <w:iCs/>
          <w:sz w:val="18"/>
          <w:lang w:eastAsia="en-GB"/>
        </w:rPr>
        <w:t>Wall Street Journal</w:t>
      </w:r>
      <w:r w:rsidRPr="00655B2C">
        <w:rPr>
          <w:rFonts w:eastAsia="Times New Roman" w:cstheme="minorHAnsi"/>
          <w:sz w:val="18"/>
          <w:szCs w:val="18"/>
          <w:lang w:eastAsia="en-GB"/>
        </w:rPr>
        <w:t>, 29 June 2005, p. A1.</w:t>
      </w:r>
    </w:p>
    <w:p w:rsidR="00BA4BD7" w:rsidRPr="00655B2C" w:rsidRDefault="00BA4BD7">
      <w:pPr>
        <w:pStyle w:val="FootnoteText"/>
        <w:rPr>
          <w:rFonts w:cstheme="minorHAnsi"/>
        </w:rPr>
      </w:pPr>
    </w:p>
  </w:footnote>
  <w:footnote w:id="2">
    <w:p w:rsidR="00EF11DD" w:rsidRPr="00655B2C" w:rsidRDefault="00EF11DD">
      <w:pPr>
        <w:pStyle w:val="FootnoteText"/>
        <w:rPr>
          <w:rFonts w:cstheme="minorHAnsi"/>
        </w:rPr>
      </w:pPr>
      <w:r w:rsidRPr="00655B2C">
        <w:rPr>
          <w:rStyle w:val="FootnoteReference"/>
          <w:rFonts w:cstheme="minorHAnsi"/>
        </w:rPr>
        <w:footnoteRef/>
      </w:r>
      <w:r w:rsidRPr="00655B2C">
        <w:rPr>
          <w:rFonts w:cstheme="minorHAnsi"/>
        </w:rPr>
        <w:t xml:space="preserve"> </w:t>
      </w:r>
      <w:r w:rsidRPr="00655B2C">
        <w:rPr>
          <w:rFonts w:cstheme="minorHAnsi"/>
          <w:sz w:val="18"/>
          <w:szCs w:val="18"/>
        </w:rPr>
        <w:t>Michael E. Porter, 'What Is Strategy?</w:t>
      </w:r>
      <w:proofErr w:type="gramStart"/>
      <w:r w:rsidRPr="00655B2C">
        <w:rPr>
          <w:rFonts w:cstheme="minorHAnsi"/>
          <w:sz w:val="18"/>
          <w:szCs w:val="18"/>
        </w:rPr>
        <w:t>',</w:t>
      </w:r>
      <w:proofErr w:type="gramEnd"/>
      <w:r w:rsidRPr="00655B2C">
        <w:rPr>
          <w:rFonts w:cstheme="minorHAnsi"/>
          <w:sz w:val="18"/>
          <w:szCs w:val="18"/>
        </w:rPr>
        <w:t xml:space="preserve"> </w:t>
      </w:r>
      <w:r w:rsidRPr="00655B2C">
        <w:rPr>
          <w:rStyle w:val="Emphasis"/>
          <w:rFonts w:cstheme="minorHAnsi"/>
          <w:sz w:val="18"/>
          <w:szCs w:val="18"/>
        </w:rPr>
        <w:t>Harvard Business Review</w:t>
      </w:r>
      <w:r w:rsidRPr="00655B2C">
        <w:rPr>
          <w:rFonts w:cstheme="minorHAnsi"/>
        </w:rPr>
        <w:t>, 74.6 (1996), 61–78 (p. 64).</w:t>
      </w:r>
    </w:p>
  </w:footnote>
  <w:footnote w:id="3">
    <w:p w:rsidR="0005346C" w:rsidRPr="00655B2C" w:rsidRDefault="0005346C">
      <w:pPr>
        <w:pStyle w:val="FootnoteText"/>
        <w:rPr>
          <w:rFonts w:cstheme="minorHAnsi"/>
        </w:rPr>
      </w:pPr>
      <w:r w:rsidRPr="00655B2C">
        <w:rPr>
          <w:rStyle w:val="FootnoteReference"/>
          <w:rFonts w:cstheme="minorHAnsi"/>
        </w:rPr>
        <w:footnoteRef/>
      </w:r>
      <w:r w:rsidRPr="00655B2C">
        <w:rPr>
          <w:rFonts w:cstheme="minorHAnsi"/>
        </w:rPr>
        <w:t xml:space="preserve"> </w:t>
      </w:r>
      <w:r w:rsidRPr="00655B2C">
        <w:rPr>
          <w:rFonts w:cstheme="minorHAnsi"/>
          <w:sz w:val="18"/>
          <w:szCs w:val="18"/>
        </w:rPr>
        <w:t xml:space="preserve">Ian C. MacMillan, 'Seizing Competitive Initiative', </w:t>
      </w:r>
      <w:r w:rsidRPr="00655B2C">
        <w:rPr>
          <w:rStyle w:val="Emphasis"/>
          <w:rFonts w:cstheme="minorHAnsi"/>
          <w:sz w:val="18"/>
          <w:szCs w:val="18"/>
        </w:rPr>
        <w:t>Journal of Business Strategy</w:t>
      </w:r>
      <w:r w:rsidRPr="00655B2C">
        <w:rPr>
          <w:rFonts w:cstheme="minorHAnsi"/>
        </w:rPr>
        <w:t>, 4.4 (1984), 43–57 (p. 43).</w:t>
      </w:r>
    </w:p>
  </w:footnote>
  <w:footnote w:id="4">
    <w:p w:rsidR="00D01738" w:rsidRDefault="00D01738">
      <w:pPr>
        <w:pStyle w:val="FootnoteText"/>
      </w:pPr>
      <w:r w:rsidRPr="00655B2C">
        <w:rPr>
          <w:rStyle w:val="FootnoteReference"/>
          <w:rFonts w:cstheme="minorHAnsi"/>
        </w:rPr>
        <w:footnoteRef/>
      </w:r>
      <w:r w:rsidRPr="00655B2C">
        <w:rPr>
          <w:rFonts w:cstheme="minorHAnsi"/>
        </w:rPr>
        <w:t xml:space="preserve"> </w:t>
      </w:r>
      <w:r w:rsidRPr="00655B2C">
        <w:rPr>
          <w:rFonts w:cstheme="minorHAnsi"/>
          <w:sz w:val="18"/>
          <w:szCs w:val="18"/>
        </w:rPr>
        <w:t xml:space="preserve">Wesley M. Cohen and Daniel A. </w:t>
      </w:r>
      <w:proofErr w:type="spellStart"/>
      <w:r w:rsidRPr="00655B2C">
        <w:rPr>
          <w:rFonts w:cstheme="minorHAnsi"/>
          <w:sz w:val="18"/>
          <w:szCs w:val="18"/>
        </w:rPr>
        <w:t>Levinthal</w:t>
      </w:r>
      <w:proofErr w:type="spellEnd"/>
      <w:r w:rsidRPr="00655B2C">
        <w:rPr>
          <w:rFonts w:cstheme="minorHAnsi"/>
          <w:sz w:val="18"/>
          <w:szCs w:val="18"/>
        </w:rPr>
        <w:t xml:space="preserve">, 'Absorptive Capacity: A New Perspective on Learning and Innovation', </w:t>
      </w:r>
      <w:r w:rsidRPr="00655B2C">
        <w:rPr>
          <w:rStyle w:val="Emphasis"/>
          <w:rFonts w:cstheme="minorHAnsi"/>
          <w:sz w:val="18"/>
          <w:szCs w:val="18"/>
        </w:rPr>
        <w:t>Administrative Science Quarterly</w:t>
      </w:r>
      <w:r w:rsidRPr="00655B2C">
        <w:rPr>
          <w:rFonts w:cstheme="minorHAnsi"/>
        </w:rPr>
        <w:t>, 35.1 (1990), 128–152 (p. 128).</w:t>
      </w:r>
    </w:p>
  </w:footnote>
  <w:footnote w:id="5">
    <w:p w:rsidR="00DE7DAB" w:rsidRPr="00655B2C" w:rsidRDefault="00DE7DAB">
      <w:pPr>
        <w:pStyle w:val="FootnoteText"/>
        <w:rPr>
          <w:rFonts w:cstheme="minorHAnsi"/>
        </w:rPr>
      </w:pPr>
      <w:r w:rsidRPr="00655B2C">
        <w:rPr>
          <w:rStyle w:val="FootnoteReference"/>
          <w:rFonts w:cstheme="minorHAnsi"/>
        </w:rPr>
        <w:footnoteRef/>
      </w:r>
      <w:r w:rsidRPr="00655B2C">
        <w:rPr>
          <w:rFonts w:cstheme="minorHAnsi"/>
        </w:rPr>
        <w:t xml:space="preserve"> </w:t>
      </w:r>
      <w:r w:rsidRPr="00655B2C">
        <w:rPr>
          <w:rFonts w:cstheme="minorHAnsi"/>
          <w:sz w:val="18"/>
          <w:szCs w:val="18"/>
        </w:rPr>
        <w:t xml:space="preserve">Michael E. Porter, 'From Competitive Advantage to Corporate Strategy', </w:t>
      </w:r>
      <w:r w:rsidRPr="00655B2C">
        <w:rPr>
          <w:rStyle w:val="Emphasis"/>
          <w:rFonts w:cstheme="minorHAnsi"/>
          <w:sz w:val="18"/>
          <w:szCs w:val="18"/>
        </w:rPr>
        <w:t>Harvard Business Review</w:t>
      </w:r>
      <w:r w:rsidRPr="00655B2C">
        <w:rPr>
          <w:rFonts w:cstheme="minorHAnsi"/>
        </w:rPr>
        <w:t>, 65.3 (1987), 43–59 (p. 57).</w:t>
      </w:r>
    </w:p>
  </w:footnote>
  <w:footnote w:id="6">
    <w:p w:rsidR="000F1939" w:rsidRDefault="000F1939">
      <w:pPr>
        <w:pStyle w:val="FootnoteText"/>
      </w:pPr>
      <w:r w:rsidRPr="00655B2C">
        <w:rPr>
          <w:rStyle w:val="FootnoteReference"/>
          <w:rFonts w:cstheme="minorHAnsi"/>
        </w:rPr>
        <w:footnoteRef/>
      </w:r>
      <w:r w:rsidRPr="00655B2C">
        <w:rPr>
          <w:rFonts w:cstheme="minorHAnsi"/>
        </w:rPr>
        <w:t xml:space="preserve"> </w:t>
      </w:r>
      <w:r w:rsidRPr="00655B2C">
        <w:rPr>
          <w:rFonts w:cstheme="minorHAnsi"/>
          <w:sz w:val="18"/>
          <w:szCs w:val="18"/>
        </w:rPr>
        <w:t>Michael E. Porter, 'What Is Strategy?</w:t>
      </w:r>
      <w:proofErr w:type="gramStart"/>
      <w:r w:rsidRPr="00655B2C">
        <w:rPr>
          <w:rFonts w:cstheme="minorHAnsi"/>
          <w:sz w:val="18"/>
          <w:szCs w:val="18"/>
        </w:rPr>
        <w:t>',</w:t>
      </w:r>
      <w:proofErr w:type="gramEnd"/>
      <w:r w:rsidRPr="00655B2C">
        <w:rPr>
          <w:rFonts w:cstheme="minorHAnsi"/>
          <w:sz w:val="18"/>
          <w:szCs w:val="18"/>
        </w:rPr>
        <w:t xml:space="preserve"> </w:t>
      </w:r>
      <w:r w:rsidRPr="00655B2C">
        <w:rPr>
          <w:rStyle w:val="Emphasis"/>
          <w:rFonts w:cstheme="minorHAnsi"/>
          <w:sz w:val="18"/>
          <w:szCs w:val="18"/>
        </w:rPr>
        <w:t>Harvard Business Review</w:t>
      </w:r>
      <w:r w:rsidRPr="00655B2C">
        <w:rPr>
          <w:rFonts w:cstheme="minorHAnsi"/>
        </w:rPr>
        <w:t>, 74.6 (1996), 61–78 (p. 63).</w:t>
      </w:r>
    </w:p>
  </w:footnote>
  <w:footnote w:id="7">
    <w:p w:rsidR="003E02DB" w:rsidRPr="00655B2C" w:rsidRDefault="003E02DB" w:rsidP="00EA374E">
      <w:pPr>
        <w:rPr>
          <w:rFonts w:eastAsia="Times New Roman" w:cstheme="minorHAnsi"/>
          <w:sz w:val="18"/>
          <w:szCs w:val="18"/>
          <w:lang w:eastAsia="en-GB"/>
        </w:rPr>
      </w:pPr>
      <w:r w:rsidRPr="00655B2C">
        <w:rPr>
          <w:rStyle w:val="FootnoteReference"/>
          <w:rFonts w:cstheme="minorHAnsi"/>
        </w:rPr>
        <w:footnoteRef/>
      </w:r>
      <w:r w:rsidRPr="00655B2C">
        <w:rPr>
          <w:rFonts w:cstheme="minorHAnsi"/>
        </w:rPr>
        <w:t xml:space="preserve"> </w:t>
      </w:r>
      <w:proofErr w:type="spellStart"/>
      <w:r w:rsidRPr="00655B2C">
        <w:rPr>
          <w:rFonts w:eastAsia="Times New Roman" w:cstheme="minorHAnsi"/>
          <w:sz w:val="18"/>
          <w:szCs w:val="18"/>
          <w:lang w:eastAsia="en-GB"/>
        </w:rPr>
        <w:t>Phred</w:t>
      </w:r>
      <w:proofErr w:type="spellEnd"/>
      <w:r w:rsidRPr="00655B2C">
        <w:rPr>
          <w:rFonts w:eastAsia="Times New Roman" w:cstheme="minorHAnsi"/>
          <w:sz w:val="18"/>
          <w:szCs w:val="18"/>
          <w:lang w:eastAsia="en-GB"/>
        </w:rPr>
        <w:t xml:space="preserve"> Dvorak, 'At Sony, Rivalries Were Encouraged; Then Came iPod: Failure of Broad Cooperation Showed Flaws in Model; A Struggle Over Piracy', </w:t>
      </w:r>
      <w:r w:rsidRPr="00655B2C">
        <w:rPr>
          <w:rFonts w:eastAsia="Times New Roman" w:cstheme="minorHAnsi"/>
          <w:i/>
          <w:iCs/>
          <w:sz w:val="18"/>
          <w:lang w:eastAsia="en-GB"/>
        </w:rPr>
        <w:t>Wall Street Journal</w:t>
      </w:r>
      <w:r w:rsidR="00EA374E" w:rsidRPr="00655B2C">
        <w:rPr>
          <w:rFonts w:eastAsia="Times New Roman" w:cstheme="minorHAnsi"/>
          <w:sz w:val="18"/>
          <w:szCs w:val="18"/>
          <w:lang w:eastAsia="en-GB"/>
        </w:rPr>
        <w:t>, 29 June 2005, p. A1/</w:t>
      </w:r>
    </w:p>
  </w:footnote>
  <w:footnote w:id="8">
    <w:p w:rsidR="00EA374E" w:rsidRPr="00655B2C" w:rsidRDefault="00EA374E">
      <w:pPr>
        <w:pStyle w:val="FootnoteText"/>
        <w:rPr>
          <w:rFonts w:cstheme="minorHAnsi"/>
        </w:rPr>
      </w:pPr>
      <w:r w:rsidRPr="00655B2C">
        <w:rPr>
          <w:rStyle w:val="FootnoteReference"/>
          <w:rFonts w:cstheme="minorHAnsi"/>
        </w:rPr>
        <w:footnoteRef/>
      </w:r>
      <w:r w:rsidRPr="00655B2C">
        <w:rPr>
          <w:rFonts w:cstheme="minorHAnsi"/>
        </w:rPr>
        <w:t xml:space="preserve"> </w:t>
      </w:r>
      <w:r w:rsidRPr="00655B2C">
        <w:rPr>
          <w:rFonts w:cstheme="minorHAnsi"/>
          <w:sz w:val="18"/>
          <w:szCs w:val="18"/>
        </w:rPr>
        <w:t xml:space="preserve">Michael E. Porter, 'From Competitive Advantage to Corporate Strategy', </w:t>
      </w:r>
      <w:r w:rsidRPr="00655B2C">
        <w:rPr>
          <w:rStyle w:val="Emphasis"/>
          <w:rFonts w:cstheme="minorHAnsi"/>
          <w:sz w:val="18"/>
          <w:szCs w:val="18"/>
        </w:rPr>
        <w:t>Harvard Business Review</w:t>
      </w:r>
      <w:r w:rsidRPr="00655B2C">
        <w:rPr>
          <w:rFonts w:cstheme="minorHAnsi"/>
        </w:rPr>
        <w:t>, 65.3 (1987), 43–59 (p. 55).</w:t>
      </w:r>
    </w:p>
  </w:footnote>
  <w:footnote w:id="9">
    <w:p w:rsidR="00477D09" w:rsidRPr="00655B2C" w:rsidRDefault="00477D09" w:rsidP="00477D09">
      <w:pPr>
        <w:pStyle w:val="FootnoteText"/>
        <w:rPr>
          <w:rFonts w:cstheme="minorHAnsi"/>
        </w:rPr>
      </w:pPr>
      <w:r w:rsidRPr="00655B2C">
        <w:rPr>
          <w:rStyle w:val="FootnoteReference"/>
          <w:rFonts w:cstheme="minorHAnsi"/>
        </w:rPr>
        <w:footnoteRef/>
      </w:r>
      <w:r w:rsidRPr="00655B2C">
        <w:rPr>
          <w:rFonts w:cstheme="minorHAnsi"/>
        </w:rPr>
        <w:t xml:space="preserve"> </w:t>
      </w:r>
      <w:r w:rsidRPr="00655B2C">
        <w:rPr>
          <w:rFonts w:cstheme="minorHAnsi"/>
          <w:sz w:val="18"/>
          <w:szCs w:val="18"/>
        </w:rPr>
        <w:t xml:space="preserve">Ian C. MacMillan, 'Seizing Competitive Initiative', </w:t>
      </w:r>
      <w:r w:rsidRPr="00655B2C">
        <w:rPr>
          <w:rStyle w:val="Emphasis"/>
          <w:rFonts w:cstheme="minorHAnsi"/>
          <w:sz w:val="18"/>
          <w:szCs w:val="18"/>
        </w:rPr>
        <w:t>Journal of Business Strategy</w:t>
      </w:r>
      <w:r w:rsidRPr="00655B2C">
        <w:rPr>
          <w:rFonts w:cstheme="minorHAnsi"/>
        </w:rPr>
        <w:t>, 4.4 (1984), 43–57 (p. 43).</w:t>
      </w:r>
    </w:p>
    <w:p w:rsidR="00477D09" w:rsidRPr="00655B2C" w:rsidRDefault="00477D09">
      <w:pPr>
        <w:pStyle w:val="FootnoteText"/>
        <w:rPr>
          <w:rFonts w:cstheme="minorHAnsi"/>
        </w:rPr>
      </w:pPr>
    </w:p>
  </w:footnote>
  <w:footnote w:id="10">
    <w:p w:rsidR="005E4C2C" w:rsidRPr="00655B2C" w:rsidRDefault="005E4C2C">
      <w:pPr>
        <w:pStyle w:val="FootnoteText"/>
        <w:rPr>
          <w:rFonts w:cstheme="minorHAnsi"/>
        </w:rPr>
      </w:pPr>
      <w:r w:rsidRPr="00655B2C">
        <w:rPr>
          <w:rStyle w:val="FootnoteReference"/>
          <w:rFonts w:cstheme="minorHAnsi"/>
        </w:rPr>
        <w:footnoteRef/>
      </w:r>
      <w:r w:rsidRPr="00655B2C">
        <w:rPr>
          <w:rFonts w:cstheme="minorHAnsi"/>
        </w:rPr>
        <w:t xml:space="preserve"> </w:t>
      </w:r>
      <w:r w:rsidRPr="00655B2C">
        <w:rPr>
          <w:rFonts w:cstheme="minorHAnsi"/>
          <w:sz w:val="18"/>
          <w:szCs w:val="18"/>
        </w:rPr>
        <w:t>Michael E. Porter, 'What Is Strategy?</w:t>
      </w:r>
      <w:proofErr w:type="gramStart"/>
      <w:r w:rsidRPr="00655B2C">
        <w:rPr>
          <w:rFonts w:cstheme="minorHAnsi"/>
          <w:sz w:val="18"/>
          <w:szCs w:val="18"/>
        </w:rPr>
        <w:t>',</w:t>
      </w:r>
      <w:proofErr w:type="gramEnd"/>
      <w:r w:rsidRPr="00655B2C">
        <w:rPr>
          <w:rFonts w:cstheme="minorHAnsi"/>
          <w:sz w:val="18"/>
          <w:szCs w:val="18"/>
        </w:rPr>
        <w:t xml:space="preserve"> </w:t>
      </w:r>
      <w:r w:rsidRPr="00655B2C">
        <w:rPr>
          <w:rStyle w:val="Emphasis"/>
          <w:rFonts w:cstheme="minorHAnsi"/>
          <w:sz w:val="18"/>
          <w:szCs w:val="18"/>
        </w:rPr>
        <w:t>Harvard Business Review</w:t>
      </w:r>
      <w:r w:rsidRPr="00655B2C">
        <w:rPr>
          <w:rFonts w:cstheme="minorHAnsi"/>
        </w:rPr>
        <w:t>, 74.6 (1996), 61–78 (p. 64).</w:t>
      </w:r>
    </w:p>
  </w:footnote>
  <w:footnote w:id="11">
    <w:p w:rsidR="002C4800" w:rsidRPr="00655B2C" w:rsidRDefault="002C4800" w:rsidP="002C4800">
      <w:pPr>
        <w:pStyle w:val="FootnoteText"/>
        <w:rPr>
          <w:rFonts w:cstheme="minorHAnsi"/>
        </w:rPr>
      </w:pPr>
      <w:r w:rsidRPr="00655B2C">
        <w:rPr>
          <w:rStyle w:val="FootnoteReference"/>
          <w:rFonts w:cstheme="minorHAnsi"/>
        </w:rPr>
        <w:footnoteRef/>
      </w:r>
      <w:r w:rsidRPr="00655B2C">
        <w:rPr>
          <w:rFonts w:cstheme="minorHAnsi"/>
        </w:rPr>
        <w:t xml:space="preserve"> </w:t>
      </w:r>
      <w:r w:rsidRPr="00655B2C">
        <w:rPr>
          <w:rFonts w:cstheme="minorHAnsi"/>
          <w:sz w:val="18"/>
          <w:szCs w:val="18"/>
        </w:rPr>
        <w:t xml:space="preserve">Ian C. MacMillan, 'Seizing Competitive Initiative', </w:t>
      </w:r>
      <w:r w:rsidRPr="00655B2C">
        <w:rPr>
          <w:rStyle w:val="Emphasis"/>
          <w:rFonts w:cstheme="minorHAnsi"/>
          <w:sz w:val="18"/>
          <w:szCs w:val="18"/>
        </w:rPr>
        <w:t>Journal of Business Strategy</w:t>
      </w:r>
      <w:r w:rsidRPr="00655B2C">
        <w:rPr>
          <w:rFonts w:cstheme="minorHAnsi"/>
        </w:rPr>
        <w:t>, 4.4 (1984), 43–57 (p. 45).</w:t>
      </w:r>
    </w:p>
    <w:p w:rsidR="002C4800" w:rsidRDefault="002C4800">
      <w:pPr>
        <w:pStyle w:val="FootnoteText"/>
      </w:pPr>
    </w:p>
  </w:footnote>
  <w:footnote w:id="12">
    <w:p w:rsidR="00D01F2D" w:rsidRPr="00655B2C" w:rsidRDefault="00D01F2D">
      <w:pPr>
        <w:pStyle w:val="FootnoteText"/>
        <w:rPr>
          <w:rFonts w:cstheme="minorHAnsi"/>
        </w:rPr>
      </w:pPr>
      <w:r w:rsidRPr="00655B2C">
        <w:rPr>
          <w:rStyle w:val="FootnoteReference"/>
          <w:rFonts w:cstheme="minorHAnsi"/>
        </w:rPr>
        <w:footnoteRef/>
      </w:r>
      <w:r w:rsidRPr="00655B2C">
        <w:rPr>
          <w:rFonts w:cstheme="minorHAnsi"/>
        </w:rPr>
        <w:t xml:space="preserve"> </w:t>
      </w:r>
      <w:r w:rsidRPr="00655B2C">
        <w:rPr>
          <w:rFonts w:cstheme="minorHAnsi"/>
          <w:sz w:val="18"/>
          <w:szCs w:val="18"/>
        </w:rPr>
        <w:t xml:space="preserve">Wesley M. Cohen and Daniel A. </w:t>
      </w:r>
      <w:proofErr w:type="spellStart"/>
      <w:r w:rsidRPr="00655B2C">
        <w:rPr>
          <w:rFonts w:cstheme="minorHAnsi"/>
          <w:sz w:val="18"/>
          <w:szCs w:val="18"/>
        </w:rPr>
        <w:t>Levinthal</w:t>
      </w:r>
      <w:proofErr w:type="spellEnd"/>
      <w:r w:rsidRPr="00655B2C">
        <w:rPr>
          <w:rFonts w:cstheme="minorHAnsi"/>
          <w:sz w:val="18"/>
          <w:szCs w:val="18"/>
        </w:rPr>
        <w:t xml:space="preserve">, 'Absorptive Capacity: A New Perspective on Learning and Innovation', </w:t>
      </w:r>
      <w:r w:rsidRPr="00655B2C">
        <w:rPr>
          <w:rStyle w:val="Emphasis"/>
          <w:rFonts w:cstheme="minorHAnsi"/>
          <w:sz w:val="18"/>
          <w:szCs w:val="18"/>
        </w:rPr>
        <w:t>Administrative Science Quarterly</w:t>
      </w:r>
      <w:r w:rsidRPr="00655B2C">
        <w:rPr>
          <w:rFonts w:cstheme="minorHAnsi"/>
        </w:rPr>
        <w:t>, 35.1 (1990), 128–152 (p. 128).</w:t>
      </w:r>
    </w:p>
  </w:footnote>
  <w:footnote w:id="13">
    <w:p w:rsidR="00504ACF" w:rsidRPr="00655B2C" w:rsidRDefault="00504ACF" w:rsidP="00655B2C">
      <w:pPr>
        <w:rPr>
          <w:rFonts w:ascii="Arial" w:eastAsia="Times New Roman" w:hAnsi="Arial" w:cs="Arial"/>
          <w:sz w:val="18"/>
          <w:szCs w:val="18"/>
          <w:lang w:eastAsia="en-GB"/>
        </w:rPr>
      </w:pPr>
      <w:r w:rsidRPr="00655B2C">
        <w:rPr>
          <w:rStyle w:val="FootnoteReference"/>
          <w:rFonts w:cstheme="minorHAnsi"/>
        </w:rPr>
        <w:footnoteRef/>
      </w:r>
      <w:r w:rsidRPr="00655B2C">
        <w:rPr>
          <w:rFonts w:cstheme="minorHAnsi"/>
        </w:rPr>
        <w:t xml:space="preserve"> </w:t>
      </w:r>
      <w:r w:rsidRPr="00655B2C">
        <w:rPr>
          <w:rFonts w:eastAsia="Times New Roman" w:cstheme="minorHAnsi"/>
          <w:sz w:val="18"/>
          <w:szCs w:val="18"/>
          <w:lang w:eastAsia="en-GB"/>
        </w:rPr>
        <w:t xml:space="preserve">Ina </w:t>
      </w:r>
      <w:proofErr w:type="spellStart"/>
      <w:r w:rsidRPr="00655B2C">
        <w:rPr>
          <w:rFonts w:eastAsia="Times New Roman" w:cstheme="minorHAnsi"/>
          <w:sz w:val="18"/>
          <w:szCs w:val="18"/>
          <w:lang w:eastAsia="en-GB"/>
        </w:rPr>
        <w:t>Drejer</w:t>
      </w:r>
      <w:proofErr w:type="spellEnd"/>
      <w:r w:rsidRPr="00655B2C">
        <w:rPr>
          <w:rFonts w:eastAsia="Times New Roman" w:cstheme="minorHAnsi"/>
          <w:sz w:val="18"/>
          <w:szCs w:val="18"/>
          <w:lang w:eastAsia="en-GB"/>
        </w:rPr>
        <w:t xml:space="preserve"> and Anker Lund </w:t>
      </w:r>
      <w:proofErr w:type="spellStart"/>
      <w:r w:rsidRPr="00655B2C">
        <w:rPr>
          <w:rFonts w:eastAsia="Times New Roman" w:cstheme="minorHAnsi"/>
          <w:sz w:val="18"/>
          <w:szCs w:val="18"/>
          <w:lang w:eastAsia="en-GB"/>
        </w:rPr>
        <w:t>Vinding</w:t>
      </w:r>
      <w:proofErr w:type="spellEnd"/>
      <w:r w:rsidRPr="00655B2C">
        <w:rPr>
          <w:rFonts w:eastAsia="Times New Roman" w:cstheme="minorHAnsi"/>
          <w:sz w:val="18"/>
          <w:szCs w:val="18"/>
          <w:lang w:eastAsia="en-GB"/>
        </w:rPr>
        <w:t xml:space="preserve">, 'Searching Near and Far: Determinants of Innovative Firms’ Propensity to Collaborate across Geographical Distance', </w:t>
      </w:r>
      <w:r w:rsidRPr="00655B2C">
        <w:rPr>
          <w:rFonts w:eastAsia="Times New Roman" w:cstheme="minorHAnsi"/>
          <w:i/>
          <w:iCs/>
          <w:sz w:val="18"/>
          <w:lang w:eastAsia="en-GB"/>
        </w:rPr>
        <w:t>Industry and Innovation</w:t>
      </w:r>
      <w:r w:rsidRPr="00655B2C">
        <w:rPr>
          <w:rFonts w:eastAsia="Times New Roman" w:cstheme="minorHAnsi"/>
          <w:sz w:val="18"/>
          <w:szCs w:val="18"/>
          <w:lang w:eastAsia="en-GB"/>
        </w:rPr>
        <w:t>, 14.3 (2007), 259–275 (p. 261).</w:t>
      </w:r>
    </w:p>
  </w:footnote>
  <w:footnote w:id="14">
    <w:p w:rsidR="00655B2C" w:rsidRPr="00FD0F28" w:rsidRDefault="00655B2C" w:rsidP="00FD0F28">
      <w:pPr>
        <w:pStyle w:val="pdq2pgselectionanchorcontainer"/>
        <w:rPr>
          <w:rFonts w:asciiTheme="minorHAnsi" w:hAnsiTheme="minorHAnsi" w:cstheme="minorHAnsi"/>
          <w:sz w:val="20"/>
          <w:szCs w:val="20"/>
        </w:rPr>
      </w:pPr>
      <w:r w:rsidRPr="00655B2C">
        <w:rPr>
          <w:rStyle w:val="FootnoteReference"/>
          <w:rFonts w:asciiTheme="minorHAnsi" w:hAnsiTheme="minorHAnsi" w:cstheme="minorHAnsi"/>
          <w:sz w:val="20"/>
          <w:szCs w:val="20"/>
        </w:rPr>
        <w:footnoteRef/>
      </w:r>
      <w:r w:rsidRPr="00655B2C">
        <w:rPr>
          <w:rFonts w:asciiTheme="minorHAnsi" w:hAnsiTheme="minorHAnsi" w:cstheme="minorHAnsi"/>
          <w:sz w:val="20"/>
          <w:szCs w:val="20"/>
        </w:rPr>
        <w:t xml:space="preserve"> Sally Davenport, ‘Exploring the Role of Proximity in SME Knowledge-Acquisition’, </w:t>
      </w:r>
      <w:r w:rsidRPr="00655B2C">
        <w:rPr>
          <w:rStyle w:val="Emphasis"/>
          <w:rFonts w:asciiTheme="minorHAnsi" w:hAnsiTheme="minorHAnsi" w:cstheme="minorHAnsi"/>
          <w:sz w:val="20"/>
          <w:szCs w:val="20"/>
        </w:rPr>
        <w:t>Research Policy</w:t>
      </w:r>
      <w:r w:rsidRPr="00655B2C">
        <w:rPr>
          <w:rFonts w:asciiTheme="minorHAnsi" w:hAnsiTheme="minorHAnsi" w:cstheme="minorHAnsi"/>
          <w:sz w:val="20"/>
          <w:szCs w:val="20"/>
        </w:rPr>
        <w:t>, 34.5 (</w:t>
      </w:r>
      <w:r w:rsidRPr="00FD0F28">
        <w:rPr>
          <w:rFonts w:asciiTheme="minorHAnsi" w:hAnsiTheme="minorHAnsi" w:cstheme="minorHAnsi"/>
          <w:sz w:val="20"/>
          <w:szCs w:val="20"/>
        </w:rPr>
        <w:t>2005), 683–701 (p. 699).</w:t>
      </w:r>
    </w:p>
  </w:footnote>
  <w:footnote w:id="15">
    <w:p w:rsidR="00FD0F28" w:rsidRDefault="00FD0F28">
      <w:pPr>
        <w:pStyle w:val="FootnoteText"/>
      </w:pPr>
      <w:r w:rsidRPr="00FD0F28">
        <w:rPr>
          <w:rStyle w:val="FootnoteReference"/>
          <w:rFonts w:cstheme="minorHAnsi"/>
        </w:rPr>
        <w:footnoteRef/>
      </w:r>
      <w:r w:rsidRPr="00FD0F28">
        <w:rPr>
          <w:rFonts w:cstheme="minorHAnsi"/>
        </w:rPr>
        <w:t xml:space="preserve"> Brian T. McCann and Thomas B. </w:t>
      </w:r>
      <w:proofErr w:type="spellStart"/>
      <w:r w:rsidRPr="00FD0F28">
        <w:rPr>
          <w:rFonts w:cstheme="minorHAnsi"/>
        </w:rPr>
        <w:t>Folta</w:t>
      </w:r>
      <w:proofErr w:type="spellEnd"/>
      <w:r w:rsidRPr="00FD0F28">
        <w:rPr>
          <w:rFonts w:cstheme="minorHAnsi"/>
        </w:rPr>
        <w:t xml:space="preserve">, 'Performance Differentials within Geographic Clusters', </w:t>
      </w:r>
      <w:r w:rsidRPr="00FD0F28">
        <w:rPr>
          <w:rStyle w:val="Emphasis"/>
          <w:rFonts w:cstheme="minorHAnsi"/>
        </w:rPr>
        <w:t>Journal of Business Venturing</w:t>
      </w:r>
      <w:r w:rsidRPr="00FD0F28">
        <w:rPr>
          <w:rFonts w:cstheme="minorHAnsi"/>
        </w:rPr>
        <w:t>, 23.1 (2008), 104–124 (p. 121).</w:t>
      </w:r>
    </w:p>
  </w:footnote>
  <w:footnote w:id="16">
    <w:p w:rsidR="007D5733" w:rsidRPr="007D5733" w:rsidRDefault="007D5733" w:rsidP="007D5733">
      <w:pPr>
        <w:rPr>
          <w:rFonts w:ascii="Arial" w:eastAsia="Times New Roman" w:hAnsi="Arial" w:cs="Arial"/>
          <w:sz w:val="18"/>
          <w:szCs w:val="18"/>
          <w:lang w:eastAsia="en-GB"/>
        </w:rPr>
      </w:pPr>
      <w:r>
        <w:rPr>
          <w:rStyle w:val="FootnoteReference"/>
        </w:rPr>
        <w:footnoteRef/>
      </w:r>
      <w:r>
        <w:t xml:space="preserve"> </w:t>
      </w:r>
      <w:r w:rsidRPr="007D5733">
        <w:rPr>
          <w:rFonts w:ascii="Arial" w:eastAsia="Times New Roman" w:hAnsi="Arial" w:cs="Arial"/>
          <w:sz w:val="18"/>
          <w:szCs w:val="18"/>
          <w:lang w:eastAsia="en-GB"/>
        </w:rPr>
        <w:t>Robert Huggins, '</w:t>
      </w:r>
      <w:proofErr w:type="gramStart"/>
      <w:r w:rsidRPr="007D5733">
        <w:rPr>
          <w:rFonts w:ascii="Arial" w:eastAsia="Times New Roman" w:hAnsi="Arial" w:cs="Arial"/>
          <w:sz w:val="18"/>
          <w:szCs w:val="18"/>
          <w:lang w:eastAsia="en-GB"/>
        </w:rPr>
        <w:t>The</w:t>
      </w:r>
      <w:proofErr w:type="gramEnd"/>
      <w:r w:rsidRPr="007D5733">
        <w:rPr>
          <w:rFonts w:ascii="Arial" w:eastAsia="Times New Roman" w:hAnsi="Arial" w:cs="Arial"/>
          <w:sz w:val="18"/>
          <w:szCs w:val="18"/>
          <w:lang w:eastAsia="en-GB"/>
        </w:rPr>
        <w:t xml:space="preserve"> Evolution of Knowledge Clusters: Progress and Policy', </w:t>
      </w:r>
      <w:r w:rsidRPr="007D5733">
        <w:rPr>
          <w:rFonts w:ascii="Arial" w:eastAsia="Times New Roman" w:hAnsi="Arial" w:cs="Arial"/>
          <w:i/>
          <w:iCs/>
          <w:sz w:val="18"/>
          <w:lang w:eastAsia="en-GB"/>
        </w:rPr>
        <w:t>Economic Development Quarterly</w:t>
      </w:r>
      <w:r w:rsidRPr="007D5733">
        <w:rPr>
          <w:rFonts w:ascii="Arial" w:eastAsia="Times New Roman" w:hAnsi="Arial" w:cs="Arial"/>
          <w:sz w:val="18"/>
          <w:szCs w:val="18"/>
          <w:lang w:eastAsia="en-GB"/>
        </w:rPr>
        <w:t>, 22.1 (2008), 1–13 (p. 1).</w:t>
      </w:r>
    </w:p>
    <w:p w:rsidR="007D5733" w:rsidRDefault="007D5733">
      <w:pPr>
        <w:pStyle w:val="FootnoteText"/>
      </w:pPr>
    </w:p>
  </w:footnote>
  <w:footnote w:id="17">
    <w:p w:rsidR="00CA3725" w:rsidRPr="00655B2C" w:rsidRDefault="00CA3725" w:rsidP="00CA3725">
      <w:pPr>
        <w:pStyle w:val="FootnoteText"/>
        <w:rPr>
          <w:rFonts w:cstheme="minorHAnsi"/>
        </w:rPr>
      </w:pPr>
      <w:r>
        <w:rPr>
          <w:rStyle w:val="FootnoteReference"/>
        </w:rPr>
        <w:footnoteRef/>
      </w:r>
      <w:r>
        <w:t xml:space="preserve"> </w:t>
      </w:r>
      <w:r w:rsidRPr="00655B2C">
        <w:rPr>
          <w:rFonts w:cstheme="minorHAnsi"/>
          <w:sz w:val="18"/>
          <w:szCs w:val="18"/>
        </w:rPr>
        <w:t xml:space="preserve">Michael E. Porter, 'From Competitive Advantage to Corporate Strategy', </w:t>
      </w:r>
      <w:r w:rsidRPr="00655B2C">
        <w:rPr>
          <w:rStyle w:val="Emphasis"/>
          <w:rFonts w:cstheme="minorHAnsi"/>
          <w:sz w:val="18"/>
          <w:szCs w:val="18"/>
        </w:rPr>
        <w:t>Harvard Business Review</w:t>
      </w:r>
      <w:r w:rsidRPr="00655B2C">
        <w:rPr>
          <w:rFonts w:cstheme="minorHAnsi"/>
        </w:rPr>
        <w:t>, 65.3 (1987), 43–59 (p. 57).</w:t>
      </w:r>
    </w:p>
    <w:p w:rsidR="00CA3725" w:rsidRDefault="00CA3725">
      <w:pPr>
        <w:pStyle w:val="FootnoteText"/>
      </w:pPr>
    </w:p>
  </w:footnote>
  <w:footnote w:id="18">
    <w:p w:rsidR="00CC2E45" w:rsidRDefault="00CC2E45">
      <w:pPr>
        <w:pStyle w:val="FootnoteText"/>
      </w:pPr>
      <w:r>
        <w:rPr>
          <w:rStyle w:val="FootnoteReference"/>
        </w:rPr>
        <w:footnoteRef/>
      </w:r>
      <w:r>
        <w:t xml:space="preserve"> </w:t>
      </w:r>
      <w:r w:rsidRPr="00655B2C">
        <w:rPr>
          <w:rFonts w:cstheme="minorHAnsi"/>
          <w:sz w:val="18"/>
          <w:szCs w:val="18"/>
        </w:rPr>
        <w:t xml:space="preserve">Ian C. MacMillan, 'Seizing Competitive Initiative', </w:t>
      </w:r>
      <w:r w:rsidRPr="00655B2C">
        <w:rPr>
          <w:rStyle w:val="Emphasis"/>
          <w:rFonts w:cstheme="minorHAnsi"/>
          <w:sz w:val="18"/>
          <w:szCs w:val="18"/>
        </w:rPr>
        <w:t>Journal of Business Strategy</w:t>
      </w:r>
      <w:r w:rsidRPr="00655B2C">
        <w:rPr>
          <w:rFonts w:cstheme="minorHAnsi"/>
        </w:rPr>
        <w:t>, 4.4 (1984</w:t>
      </w:r>
      <w:r>
        <w:rPr>
          <w:rFonts w:cstheme="minorHAnsi"/>
        </w:rPr>
        <w:t>), 43–57 (p. 43</w:t>
      </w:r>
      <w:r w:rsidRPr="00655B2C">
        <w:rPr>
          <w:rFonts w:cstheme="minorHAnsi"/>
        </w:rPr>
        <w:t>).</w:t>
      </w:r>
    </w:p>
  </w:footnote>
  <w:footnote w:id="19">
    <w:p w:rsidR="009C76D6" w:rsidRDefault="009C76D6" w:rsidP="009C76D6">
      <w:pPr>
        <w:pStyle w:val="FootnoteText"/>
      </w:pPr>
      <w:r>
        <w:rPr>
          <w:rStyle w:val="FootnoteReference"/>
        </w:rPr>
        <w:footnoteRef/>
      </w:r>
      <w:r>
        <w:t xml:space="preserve"> </w:t>
      </w:r>
      <w:r w:rsidRPr="00655B2C">
        <w:rPr>
          <w:rFonts w:cstheme="minorHAnsi"/>
          <w:sz w:val="18"/>
          <w:szCs w:val="18"/>
        </w:rPr>
        <w:t xml:space="preserve">Wesley M. Cohen and Daniel A. </w:t>
      </w:r>
      <w:proofErr w:type="spellStart"/>
      <w:r w:rsidRPr="00655B2C">
        <w:rPr>
          <w:rFonts w:cstheme="minorHAnsi"/>
          <w:sz w:val="18"/>
          <w:szCs w:val="18"/>
        </w:rPr>
        <w:t>Levinthal</w:t>
      </w:r>
      <w:proofErr w:type="spellEnd"/>
      <w:r w:rsidRPr="00655B2C">
        <w:rPr>
          <w:rFonts w:cstheme="minorHAnsi"/>
          <w:sz w:val="18"/>
          <w:szCs w:val="18"/>
        </w:rPr>
        <w:t xml:space="preserve">, 'Absorptive Capacity: A New Perspective on Learning and Innovation', </w:t>
      </w:r>
      <w:r w:rsidRPr="00655B2C">
        <w:rPr>
          <w:rStyle w:val="Emphasis"/>
          <w:rFonts w:cstheme="minorHAnsi"/>
          <w:sz w:val="18"/>
          <w:szCs w:val="18"/>
        </w:rPr>
        <w:t>Administrative Science Quarterly</w:t>
      </w:r>
      <w:r w:rsidRPr="00655B2C">
        <w:rPr>
          <w:rFonts w:cstheme="minorHAnsi"/>
        </w:rPr>
        <w:t>, 35.1 (1990), 128–152 (p. 128).</w:t>
      </w:r>
    </w:p>
    <w:p w:rsidR="009C76D6" w:rsidRDefault="009C76D6">
      <w:pPr>
        <w:pStyle w:val="FootnoteText"/>
      </w:pP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DC6D4A"/>
    <w:rsid w:val="00033A76"/>
    <w:rsid w:val="00046702"/>
    <w:rsid w:val="00052048"/>
    <w:rsid w:val="0005346C"/>
    <w:rsid w:val="000A229F"/>
    <w:rsid w:val="000D511B"/>
    <w:rsid w:val="000F1939"/>
    <w:rsid w:val="00134847"/>
    <w:rsid w:val="00142DC7"/>
    <w:rsid w:val="0015289E"/>
    <w:rsid w:val="002044BE"/>
    <w:rsid w:val="002158C5"/>
    <w:rsid w:val="00241C28"/>
    <w:rsid w:val="00245687"/>
    <w:rsid w:val="002A735E"/>
    <w:rsid w:val="002C4800"/>
    <w:rsid w:val="00305775"/>
    <w:rsid w:val="00306A88"/>
    <w:rsid w:val="003105F0"/>
    <w:rsid w:val="003B074A"/>
    <w:rsid w:val="003B3007"/>
    <w:rsid w:val="003E02DB"/>
    <w:rsid w:val="003E73AD"/>
    <w:rsid w:val="003F71C3"/>
    <w:rsid w:val="0042330B"/>
    <w:rsid w:val="00477D09"/>
    <w:rsid w:val="0050108E"/>
    <w:rsid w:val="00504ACF"/>
    <w:rsid w:val="005512CA"/>
    <w:rsid w:val="0057177C"/>
    <w:rsid w:val="005775E7"/>
    <w:rsid w:val="005B5644"/>
    <w:rsid w:val="005E4C2C"/>
    <w:rsid w:val="0060614E"/>
    <w:rsid w:val="00615432"/>
    <w:rsid w:val="006354E0"/>
    <w:rsid w:val="00655B2C"/>
    <w:rsid w:val="0066281B"/>
    <w:rsid w:val="006723A9"/>
    <w:rsid w:val="00672B2A"/>
    <w:rsid w:val="00673621"/>
    <w:rsid w:val="0068009C"/>
    <w:rsid w:val="00787736"/>
    <w:rsid w:val="0079583E"/>
    <w:rsid w:val="007D3862"/>
    <w:rsid w:val="007D53F0"/>
    <w:rsid w:val="007D5733"/>
    <w:rsid w:val="007E3810"/>
    <w:rsid w:val="0081425E"/>
    <w:rsid w:val="00823344"/>
    <w:rsid w:val="0083328A"/>
    <w:rsid w:val="00861A9B"/>
    <w:rsid w:val="00865FB1"/>
    <w:rsid w:val="008778CE"/>
    <w:rsid w:val="0088756D"/>
    <w:rsid w:val="008B240D"/>
    <w:rsid w:val="008D6F6F"/>
    <w:rsid w:val="008F5AC2"/>
    <w:rsid w:val="009126A7"/>
    <w:rsid w:val="00961C79"/>
    <w:rsid w:val="00964EE4"/>
    <w:rsid w:val="00966A57"/>
    <w:rsid w:val="009848D0"/>
    <w:rsid w:val="00986250"/>
    <w:rsid w:val="009C76D6"/>
    <w:rsid w:val="009E64D0"/>
    <w:rsid w:val="00A15196"/>
    <w:rsid w:val="00A2469E"/>
    <w:rsid w:val="00A867E2"/>
    <w:rsid w:val="00A86CA7"/>
    <w:rsid w:val="00A93CCD"/>
    <w:rsid w:val="00A97170"/>
    <w:rsid w:val="00AA667C"/>
    <w:rsid w:val="00AC3D8C"/>
    <w:rsid w:val="00AD64E7"/>
    <w:rsid w:val="00B23815"/>
    <w:rsid w:val="00B239F6"/>
    <w:rsid w:val="00B24FCB"/>
    <w:rsid w:val="00B27E40"/>
    <w:rsid w:val="00B40261"/>
    <w:rsid w:val="00B70DB7"/>
    <w:rsid w:val="00B71276"/>
    <w:rsid w:val="00B74FC3"/>
    <w:rsid w:val="00B853E4"/>
    <w:rsid w:val="00BA4BD4"/>
    <w:rsid w:val="00BA4BD7"/>
    <w:rsid w:val="00BE7115"/>
    <w:rsid w:val="00BF32C4"/>
    <w:rsid w:val="00C42023"/>
    <w:rsid w:val="00C543DA"/>
    <w:rsid w:val="00C949C3"/>
    <w:rsid w:val="00CA3725"/>
    <w:rsid w:val="00CC2E45"/>
    <w:rsid w:val="00D01738"/>
    <w:rsid w:val="00D01F2D"/>
    <w:rsid w:val="00D51D45"/>
    <w:rsid w:val="00D71DA1"/>
    <w:rsid w:val="00D819EF"/>
    <w:rsid w:val="00D91BA5"/>
    <w:rsid w:val="00D94A6B"/>
    <w:rsid w:val="00DA48E9"/>
    <w:rsid w:val="00DC6D4A"/>
    <w:rsid w:val="00DD0ADF"/>
    <w:rsid w:val="00DE7DAB"/>
    <w:rsid w:val="00E145B9"/>
    <w:rsid w:val="00E56E79"/>
    <w:rsid w:val="00E56FE2"/>
    <w:rsid w:val="00E70B42"/>
    <w:rsid w:val="00E77259"/>
    <w:rsid w:val="00EA374E"/>
    <w:rsid w:val="00EB07DD"/>
    <w:rsid w:val="00EB68E7"/>
    <w:rsid w:val="00EC6FFE"/>
    <w:rsid w:val="00EF11DD"/>
    <w:rsid w:val="00EF6FBB"/>
    <w:rsid w:val="00F21719"/>
    <w:rsid w:val="00F32805"/>
    <w:rsid w:val="00F5380D"/>
    <w:rsid w:val="00F54E6F"/>
    <w:rsid w:val="00F85F31"/>
    <w:rsid w:val="00FD0F28"/>
    <w:rsid w:val="00FD18D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0ADF"/>
  </w:style>
  <w:style w:type="paragraph" w:styleId="Heading1">
    <w:name w:val="heading 1"/>
    <w:basedOn w:val="Normal"/>
    <w:next w:val="Normal"/>
    <w:link w:val="Heading1Char"/>
    <w:uiPriority w:val="9"/>
    <w:qFormat/>
    <w:rsid w:val="007958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C6D4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7127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6D4A"/>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DC6D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C6D4A"/>
    <w:rPr>
      <w:i/>
      <w:iCs/>
    </w:rPr>
  </w:style>
  <w:style w:type="character" w:styleId="Strong">
    <w:name w:val="Strong"/>
    <w:basedOn w:val="DefaultParagraphFont"/>
    <w:uiPriority w:val="22"/>
    <w:qFormat/>
    <w:rsid w:val="00DC6D4A"/>
    <w:rPr>
      <w:b/>
      <w:bCs/>
    </w:rPr>
  </w:style>
  <w:style w:type="character" w:customStyle="1" w:styleId="Heading1Char">
    <w:name w:val="Heading 1 Char"/>
    <w:basedOn w:val="DefaultParagraphFont"/>
    <w:link w:val="Heading1"/>
    <w:uiPriority w:val="9"/>
    <w:rsid w:val="0079583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42330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2330B"/>
  </w:style>
  <w:style w:type="paragraph" w:styleId="Footer">
    <w:name w:val="footer"/>
    <w:basedOn w:val="Normal"/>
    <w:link w:val="FooterChar"/>
    <w:uiPriority w:val="99"/>
    <w:semiHidden/>
    <w:unhideWhenUsed/>
    <w:rsid w:val="0042330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2330B"/>
  </w:style>
  <w:style w:type="character" w:customStyle="1" w:styleId="Heading3Char">
    <w:name w:val="Heading 3 Char"/>
    <w:basedOn w:val="DefaultParagraphFont"/>
    <w:link w:val="Heading3"/>
    <w:uiPriority w:val="9"/>
    <w:semiHidden/>
    <w:rsid w:val="00B71276"/>
    <w:rPr>
      <w:rFonts w:asciiTheme="majorHAnsi" w:eastAsiaTheme="majorEastAsia" w:hAnsiTheme="majorHAnsi" w:cstheme="majorBidi"/>
      <w:b/>
      <w:bCs/>
      <w:color w:val="4F81BD" w:themeColor="accent1"/>
    </w:rPr>
  </w:style>
  <w:style w:type="paragraph" w:styleId="FootnoteText">
    <w:name w:val="footnote text"/>
    <w:basedOn w:val="Normal"/>
    <w:link w:val="FootnoteTextChar"/>
    <w:uiPriority w:val="99"/>
    <w:semiHidden/>
    <w:unhideWhenUsed/>
    <w:rsid w:val="00BA4B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4BD7"/>
    <w:rPr>
      <w:sz w:val="20"/>
      <w:szCs w:val="20"/>
    </w:rPr>
  </w:style>
  <w:style w:type="character" w:styleId="FootnoteReference">
    <w:name w:val="footnote reference"/>
    <w:basedOn w:val="DefaultParagraphFont"/>
    <w:uiPriority w:val="99"/>
    <w:semiHidden/>
    <w:unhideWhenUsed/>
    <w:rsid w:val="00BA4BD7"/>
    <w:rPr>
      <w:vertAlign w:val="superscript"/>
    </w:rPr>
  </w:style>
  <w:style w:type="paragraph" w:customStyle="1" w:styleId="pdq2pgselectionanchorcontainer">
    <w:name w:val="pdq2pg_selectionanchorcontainer"/>
    <w:basedOn w:val="Normal"/>
    <w:rsid w:val="00655B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31655608">
      <w:bodyDiv w:val="1"/>
      <w:marLeft w:val="0"/>
      <w:marRight w:val="0"/>
      <w:marTop w:val="0"/>
      <w:marBottom w:val="0"/>
      <w:divBdr>
        <w:top w:val="none" w:sz="0" w:space="0" w:color="auto"/>
        <w:left w:val="none" w:sz="0" w:space="0" w:color="auto"/>
        <w:bottom w:val="none" w:sz="0" w:space="0" w:color="auto"/>
        <w:right w:val="none" w:sz="0" w:space="0" w:color="auto"/>
      </w:divBdr>
      <w:divsChild>
        <w:div w:id="474490152">
          <w:marLeft w:val="0"/>
          <w:marRight w:val="0"/>
          <w:marTop w:val="131"/>
          <w:marBottom w:val="175"/>
          <w:divBdr>
            <w:top w:val="none" w:sz="0" w:space="0" w:color="auto"/>
            <w:left w:val="none" w:sz="0" w:space="0" w:color="auto"/>
            <w:bottom w:val="none" w:sz="0" w:space="0" w:color="auto"/>
            <w:right w:val="none" w:sz="0" w:space="0" w:color="auto"/>
          </w:divBdr>
        </w:div>
      </w:divsChild>
    </w:div>
    <w:div w:id="32510388">
      <w:bodyDiv w:val="1"/>
      <w:marLeft w:val="0"/>
      <w:marRight w:val="0"/>
      <w:marTop w:val="0"/>
      <w:marBottom w:val="0"/>
      <w:divBdr>
        <w:top w:val="none" w:sz="0" w:space="0" w:color="auto"/>
        <w:left w:val="none" w:sz="0" w:space="0" w:color="auto"/>
        <w:bottom w:val="none" w:sz="0" w:space="0" w:color="auto"/>
        <w:right w:val="none" w:sz="0" w:space="0" w:color="auto"/>
      </w:divBdr>
      <w:divsChild>
        <w:div w:id="1341926933">
          <w:marLeft w:val="0"/>
          <w:marRight w:val="0"/>
          <w:marTop w:val="131"/>
          <w:marBottom w:val="175"/>
          <w:divBdr>
            <w:top w:val="none" w:sz="0" w:space="0" w:color="auto"/>
            <w:left w:val="none" w:sz="0" w:space="0" w:color="auto"/>
            <w:bottom w:val="none" w:sz="0" w:space="0" w:color="auto"/>
            <w:right w:val="none" w:sz="0" w:space="0" w:color="auto"/>
          </w:divBdr>
        </w:div>
      </w:divsChild>
    </w:div>
    <w:div w:id="151877289">
      <w:bodyDiv w:val="1"/>
      <w:marLeft w:val="0"/>
      <w:marRight w:val="0"/>
      <w:marTop w:val="0"/>
      <w:marBottom w:val="0"/>
      <w:divBdr>
        <w:top w:val="none" w:sz="0" w:space="0" w:color="auto"/>
        <w:left w:val="none" w:sz="0" w:space="0" w:color="auto"/>
        <w:bottom w:val="none" w:sz="0" w:space="0" w:color="auto"/>
        <w:right w:val="none" w:sz="0" w:space="0" w:color="auto"/>
      </w:divBdr>
    </w:div>
    <w:div w:id="283468883">
      <w:bodyDiv w:val="1"/>
      <w:marLeft w:val="0"/>
      <w:marRight w:val="0"/>
      <w:marTop w:val="0"/>
      <w:marBottom w:val="0"/>
      <w:divBdr>
        <w:top w:val="none" w:sz="0" w:space="0" w:color="auto"/>
        <w:left w:val="none" w:sz="0" w:space="0" w:color="auto"/>
        <w:bottom w:val="none" w:sz="0" w:space="0" w:color="auto"/>
        <w:right w:val="none" w:sz="0" w:space="0" w:color="auto"/>
      </w:divBdr>
    </w:div>
    <w:div w:id="306084864">
      <w:bodyDiv w:val="1"/>
      <w:marLeft w:val="0"/>
      <w:marRight w:val="0"/>
      <w:marTop w:val="0"/>
      <w:marBottom w:val="0"/>
      <w:divBdr>
        <w:top w:val="none" w:sz="0" w:space="0" w:color="auto"/>
        <w:left w:val="none" w:sz="0" w:space="0" w:color="auto"/>
        <w:bottom w:val="none" w:sz="0" w:space="0" w:color="auto"/>
        <w:right w:val="none" w:sz="0" w:space="0" w:color="auto"/>
      </w:divBdr>
    </w:div>
    <w:div w:id="313142132">
      <w:bodyDiv w:val="1"/>
      <w:marLeft w:val="0"/>
      <w:marRight w:val="0"/>
      <w:marTop w:val="0"/>
      <w:marBottom w:val="0"/>
      <w:divBdr>
        <w:top w:val="none" w:sz="0" w:space="0" w:color="auto"/>
        <w:left w:val="none" w:sz="0" w:space="0" w:color="auto"/>
        <w:bottom w:val="none" w:sz="0" w:space="0" w:color="auto"/>
        <w:right w:val="none" w:sz="0" w:space="0" w:color="auto"/>
      </w:divBdr>
      <w:divsChild>
        <w:div w:id="303123105">
          <w:marLeft w:val="0"/>
          <w:marRight w:val="0"/>
          <w:marTop w:val="0"/>
          <w:marBottom w:val="0"/>
          <w:divBdr>
            <w:top w:val="none" w:sz="0" w:space="0" w:color="auto"/>
            <w:left w:val="none" w:sz="0" w:space="0" w:color="auto"/>
            <w:bottom w:val="none" w:sz="0" w:space="0" w:color="auto"/>
            <w:right w:val="none" w:sz="0" w:space="0" w:color="auto"/>
          </w:divBdr>
          <w:divsChild>
            <w:div w:id="1899704140">
              <w:marLeft w:val="0"/>
              <w:marRight w:val="0"/>
              <w:marTop w:val="0"/>
              <w:marBottom w:val="0"/>
              <w:divBdr>
                <w:top w:val="none" w:sz="0" w:space="0" w:color="auto"/>
                <w:left w:val="none" w:sz="0" w:space="0" w:color="auto"/>
                <w:bottom w:val="none" w:sz="0" w:space="0" w:color="auto"/>
                <w:right w:val="none" w:sz="0" w:space="0" w:color="auto"/>
              </w:divBdr>
              <w:divsChild>
                <w:div w:id="600067304">
                  <w:marLeft w:val="0"/>
                  <w:marRight w:val="0"/>
                  <w:marTop w:val="0"/>
                  <w:marBottom w:val="0"/>
                  <w:divBdr>
                    <w:top w:val="none" w:sz="0" w:space="0" w:color="auto"/>
                    <w:left w:val="none" w:sz="0" w:space="0" w:color="auto"/>
                    <w:bottom w:val="none" w:sz="0" w:space="0" w:color="auto"/>
                    <w:right w:val="none" w:sz="0" w:space="0" w:color="auto"/>
                  </w:divBdr>
                  <w:divsChild>
                    <w:div w:id="175416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161116">
      <w:bodyDiv w:val="1"/>
      <w:marLeft w:val="0"/>
      <w:marRight w:val="0"/>
      <w:marTop w:val="0"/>
      <w:marBottom w:val="0"/>
      <w:divBdr>
        <w:top w:val="none" w:sz="0" w:space="0" w:color="auto"/>
        <w:left w:val="none" w:sz="0" w:space="0" w:color="auto"/>
        <w:bottom w:val="none" w:sz="0" w:space="0" w:color="auto"/>
        <w:right w:val="none" w:sz="0" w:space="0" w:color="auto"/>
      </w:divBdr>
    </w:div>
    <w:div w:id="891190030">
      <w:bodyDiv w:val="1"/>
      <w:marLeft w:val="0"/>
      <w:marRight w:val="0"/>
      <w:marTop w:val="0"/>
      <w:marBottom w:val="0"/>
      <w:divBdr>
        <w:top w:val="none" w:sz="0" w:space="0" w:color="auto"/>
        <w:left w:val="none" w:sz="0" w:space="0" w:color="auto"/>
        <w:bottom w:val="none" w:sz="0" w:space="0" w:color="auto"/>
        <w:right w:val="none" w:sz="0" w:space="0" w:color="auto"/>
      </w:divBdr>
    </w:div>
    <w:div w:id="938953772">
      <w:bodyDiv w:val="1"/>
      <w:marLeft w:val="0"/>
      <w:marRight w:val="0"/>
      <w:marTop w:val="0"/>
      <w:marBottom w:val="0"/>
      <w:divBdr>
        <w:top w:val="none" w:sz="0" w:space="0" w:color="auto"/>
        <w:left w:val="none" w:sz="0" w:space="0" w:color="auto"/>
        <w:bottom w:val="none" w:sz="0" w:space="0" w:color="auto"/>
        <w:right w:val="none" w:sz="0" w:space="0" w:color="auto"/>
      </w:divBdr>
      <w:divsChild>
        <w:div w:id="1277447805">
          <w:marLeft w:val="0"/>
          <w:marRight w:val="0"/>
          <w:marTop w:val="131"/>
          <w:marBottom w:val="175"/>
          <w:divBdr>
            <w:top w:val="none" w:sz="0" w:space="0" w:color="auto"/>
            <w:left w:val="none" w:sz="0" w:space="0" w:color="auto"/>
            <w:bottom w:val="none" w:sz="0" w:space="0" w:color="auto"/>
            <w:right w:val="none" w:sz="0" w:space="0" w:color="auto"/>
          </w:divBdr>
        </w:div>
      </w:divsChild>
    </w:div>
    <w:div w:id="998339282">
      <w:bodyDiv w:val="1"/>
      <w:marLeft w:val="0"/>
      <w:marRight w:val="0"/>
      <w:marTop w:val="0"/>
      <w:marBottom w:val="0"/>
      <w:divBdr>
        <w:top w:val="none" w:sz="0" w:space="0" w:color="auto"/>
        <w:left w:val="none" w:sz="0" w:space="0" w:color="auto"/>
        <w:bottom w:val="none" w:sz="0" w:space="0" w:color="auto"/>
        <w:right w:val="none" w:sz="0" w:space="0" w:color="auto"/>
      </w:divBdr>
    </w:div>
    <w:div w:id="1045567818">
      <w:bodyDiv w:val="1"/>
      <w:marLeft w:val="0"/>
      <w:marRight w:val="0"/>
      <w:marTop w:val="0"/>
      <w:marBottom w:val="0"/>
      <w:divBdr>
        <w:top w:val="none" w:sz="0" w:space="0" w:color="auto"/>
        <w:left w:val="none" w:sz="0" w:space="0" w:color="auto"/>
        <w:bottom w:val="none" w:sz="0" w:space="0" w:color="auto"/>
        <w:right w:val="none" w:sz="0" w:space="0" w:color="auto"/>
      </w:divBdr>
    </w:div>
    <w:div w:id="1084840201">
      <w:bodyDiv w:val="1"/>
      <w:marLeft w:val="0"/>
      <w:marRight w:val="0"/>
      <w:marTop w:val="0"/>
      <w:marBottom w:val="0"/>
      <w:divBdr>
        <w:top w:val="none" w:sz="0" w:space="0" w:color="auto"/>
        <w:left w:val="none" w:sz="0" w:space="0" w:color="auto"/>
        <w:bottom w:val="none" w:sz="0" w:space="0" w:color="auto"/>
        <w:right w:val="none" w:sz="0" w:space="0" w:color="auto"/>
      </w:divBdr>
    </w:div>
    <w:div w:id="1252275667">
      <w:bodyDiv w:val="1"/>
      <w:marLeft w:val="0"/>
      <w:marRight w:val="0"/>
      <w:marTop w:val="0"/>
      <w:marBottom w:val="0"/>
      <w:divBdr>
        <w:top w:val="none" w:sz="0" w:space="0" w:color="auto"/>
        <w:left w:val="none" w:sz="0" w:space="0" w:color="auto"/>
        <w:bottom w:val="none" w:sz="0" w:space="0" w:color="auto"/>
        <w:right w:val="none" w:sz="0" w:space="0" w:color="auto"/>
      </w:divBdr>
      <w:divsChild>
        <w:div w:id="2136557001">
          <w:marLeft w:val="0"/>
          <w:marRight w:val="0"/>
          <w:marTop w:val="0"/>
          <w:marBottom w:val="0"/>
          <w:divBdr>
            <w:top w:val="none" w:sz="0" w:space="0" w:color="auto"/>
            <w:left w:val="none" w:sz="0" w:space="0" w:color="auto"/>
            <w:bottom w:val="none" w:sz="0" w:space="0" w:color="auto"/>
            <w:right w:val="none" w:sz="0" w:space="0" w:color="auto"/>
          </w:divBdr>
          <w:divsChild>
            <w:div w:id="1590692327">
              <w:marLeft w:val="0"/>
              <w:marRight w:val="0"/>
              <w:marTop w:val="0"/>
              <w:marBottom w:val="0"/>
              <w:divBdr>
                <w:top w:val="none" w:sz="0" w:space="0" w:color="auto"/>
                <w:left w:val="none" w:sz="0" w:space="0" w:color="auto"/>
                <w:bottom w:val="none" w:sz="0" w:space="0" w:color="auto"/>
                <w:right w:val="none" w:sz="0" w:space="0" w:color="auto"/>
              </w:divBdr>
              <w:divsChild>
                <w:div w:id="977687223">
                  <w:marLeft w:val="0"/>
                  <w:marRight w:val="0"/>
                  <w:marTop w:val="0"/>
                  <w:marBottom w:val="0"/>
                  <w:divBdr>
                    <w:top w:val="none" w:sz="0" w:space="0" w:color="auto"/>
                    <w:left w:val="none" w:sz="0" w:space="0" w:color="auto"/>
                    <w:bottom w:val="none" w:sz="0" w:space="0" w:color="auto"/>
                    <w:right w:val="none" w:sz="0" w:space="0" w:color="auto"/>
                  </w:divBdr>
                  <w:divsChild>
                    <w:div w:id="116821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155784">
      <w:bodyDiv w:val="1"/>
      <w:marLeft w:val="0"/>
      <w:marRight w:val="0"/>
      <w:marTop w:val="0"/>
      <w:marBottom w:val="0"/>
      <w:divBdr>
        <w:top w:val="none" w:sz="0" w:space="0" w:color="auto"/>
        <w:left w:val="none" w:sz="0" w:space="0" w:color="auto"/>
        <w:bottom w:val="none" w:sz="0" w:space="0" w:color="auto"/>
        <w:right w:val="none" w:sz="0" w:space="0" w:color="auto"/>
      </w:divBdr>
    </w:div>
    <w:div w:id="1477919542">
      <w:bodyDiv w:val="1"/>
      <w:marLeft w:val="0"/>
      <w:marRight w:val="0"/>
      <w:marTop w:val="0"/>
      <w:marBottom w:val="0"/>
      <w:divBdr>
        <w:top w:val="none" w:sz="0" w:space="0" w:color="auto"/>
        <w:left w:val="none" w:sz="0" w:space="0" w:color="auto"/>
        <w:bottom w:val="none" w:sz="0" w:space="0" w:color="auto"/>
        <w:right w:val="none" w:sz="0" w:space="0" w:color="auto"/>
      </w:divBdr>
    </w:div>
    <w:div w:id="1483421940">
      <w:bodyDiv w:val="1"/>
      <w:marLeft w:val="0"/>
      <w:marRight w:val="0"/>
      <w:marTop w:val="0"/>
      <w:marBottom w:val="0"/>
      <w:divBdr>
        <w:top w:val="none" w:sz="0" w:space="0" w:color="auto"/>
        <w:left w:val="none" w:sz="0" w:space="0" w:color="auto"/>
        <w:bottom w:val="none" w:sz="0" w:space="0" w:color="auto"/>
        <w:right w:val="none" w:sz="0" w:space="0" w:color="auto"/>
      </w:divBdr>
    </w:div>
    <w:div w:id="1634945379">
      <w:bodyDiv w:val="1"/>
      <w:marLeft w:val="0"/>
      <w:marRight w:val="0"/>
      <w:marTop w:val="0"/>
      <w:marBottom w:val="0"/>
      <w:divBdr>
        <w:top w:val="none" w:sz="0" w:space="0" w:color="auto"/>
        <w:left w:val="none" w:sz="0" w:space="0" w:color="auto"/>
        <w:bottom w:val="none" w:sz="0" w:space="0" w:color="auto"/>
        <w:right w:val="none" w:sz="0" w:space="0" w:color="auto"/>
      </w:divBdr>
    </w:div>
    <w:div w:id="1659728847">
      <w:bodyDiv w:val="1"/>
      <w:marLeft w:val="0"/>
      <w:marRight w:val="0"/>
      <w:marTop w:val="0"/>
      <w:marBottom w:val="0"/>
      <w:divBdr>
        <w:top w:val="none" w:sz="0" w:space="0" w:color="auto"/>
        <w:left w:val="none" w:sz="0" w:space="0" w:color="auto"/>
        <w:bottom w:val="none" w:sz="0" w:space="0" w:color="auto"/>
        <w:right w:val="none" w:sz="0" w:space="0" w:color="auto"/>
      </w:divBdr>
    </w:div>
    <w:div w:id="1677153047">
      <w:bodyDiv w:val="1"/>
      <w:marLeft w:val="0"/>
      <w:marRight w:val="0"/>
      <w:marTop w:val="0"/>
      <w:marBottom w:val="0"/>
      <w:divBdr>
        <w:top w:val="none" w:sz="0" w:space="0" w:color="auto"/>
        <w:left w:val="none" w:sz="0" w:space="0" w:color="auto"/>
        <w:bottom w:val="none" w:sz="0" w:space="0" w:color="auto"/>
        <w:right w:val="none" w:sz="0" w:space="0" w:color="auto"/>
      </w:divBdr>
    </w:div>
    <w:div w:id="1785224496">
      <w:bodyDiv w:val="1"/>
      <w:marLeft w:val="0"/>
      <w:marRight w:val="0"/>
      <w:marTop w:val="0"/>
      <w:marBottom w:val="0"/>
      <w:divBdr>
        <w:top w:val="none" w:sz="0" w:space="0" w:color="auto"/>
        <w:left w:val="none" w:sz="0" w:space="0" w:color="auto"/>
        <w:bottom w:val="none" w:sz="0" w:space="0" w:color="auto"/>
        <w:right w:val="none" w:sz="0" w:space="0" w:color="auto"/>
      </w:divBdr>
      <w:divsChild>
        <w:div w:id="738745456">
          <w:marLeft w:val="0"/>
          <w:marRight w:val="0"/>
          <w:marTop w:val="131"/>
          <w:marBottom w:val="175"/>
          <w:divBdr>
            <w:top w:val="none" w:sz="0" w:space="0" w:color="auto"/>
            <w:left w:val="none" w:sz="0" w:space="0" w:color="auto"/>
            <w:bottom w:val="none" w:sz="0" w:space="0" w:color="auto"/>
            <w:right w:val="none" w:sz="0" w:space="0" w:color="auto"/>
          </w:divBdr>
        </w:div>
      </w:divsChild>
    </w:div>
    <w:div w:id="1882863482">
      <w:bodyDiv w:val="1"/>
      <w:marLeft w:val="0"/>
      <w:marRight w:val="0"/>
      <w:marTop w:val="0"/>
      <w:marBottom w:val="0"/>
      <w:divBdr>
        <w:top w:val="none" w:sz="0" w:space="0" w:color="auto"/>
        <w:left w:val="none" w:sz="0" w:space="0" w:color="auto"/>
        <w:bottom w:val="none" w:sz="0" w:space="0" w:color="auto"/>
        <w:right w:val="none" w:sz="0" w:space="0" w:color="auto"/>
      </w:divBdr>
    </w:div>
    <w:div w:id="1904558375">
      <w:bodyDiv w:val="1"/>
      <w:marLeft w:val="0"/>
      <w:marRight w:val="0"/>
      <w:marTop w:val="0"/>
      <w:marBottom w:val="0"/>
      <w:divBdr>
        <w:top w:val="none" w:sz="0" w:space="0" w:color="auto"/>
        <w:left w:val="none" w:sz="0" w:space="0" w:color="auto"/>
        <w:bottom w:val="none" w:sz="0" w:space="0" w:color="auto"/>
        <w:right w:val="none" w:sz="0" w:space="0" w:color="auto"/>
      </w:divBdr>
      <w:divsChild>
        <w:div w:id="289676783">
          <w:marLeft w:val="0"/>
          <w:marRight w:val="0"/>
          <w:marTop w:val="0"/>
          <w:marBottom w:val="0"/>
          <w:divBdr>
            <w:top w:val="none" w:sz="0" w:space="0" w:color="auto"/>
            <w:left w:val="none" w:sz="0" w:space="0" w:color="auto"/>
            <w:bottom w:val="none" w:sz="0" w:space="0" w:color="auto"/>
            <w:right w:val="none" w:sz="0" w:space="0" w:color="auto"/>
          </w:divBdr>
          <w:divsChild>
            <w:div w:id="1349257143">
              <w:marLeft w:val="0"/>
              <w:marRight w:val="0"/>
              <w:marTop w:val="0"/>
              <w:marBottom w:val="0"/>
              <w:divBdr>
                <w:top w:val="none" w:sz="0" w:space="0" w:color="auto"/>
                <w:left w:val="none" w:sz="0" w:space="0" w:color="auto"/>
                <w:bottom w:val="none" w:sz="0" w:space="0" w:color="auto"/>
                <w:right w:val="none" w:sz="0" w:space="0" w:color="auto"/>
              </w:divBdr>
              <w:divsChild>
                <w:div w:id="1723292313">
                  <w:marLeft w:val="0"/>
                  <w:marRight w:val="0"/>
                  <w:marTop w:val="0"/>
                  <w:marBottom w:val="0"/>
                  <w:divBdr>
                    <w:top w:val="none" w:sz="0" w:space="0" w:color="auto"/>
                    <w:left w:val="none" w:sz="0" w:space="0" w:color="auto"/>
                    <w:bottom w:val="none" w:sz="0" w:space="0" w:color="auto"/>
                    <w:right w:val="none" w:sz="0" w:space="0" w:color="auto"/>
                  </w:divBdr>
                  <w:divsChild>
                    <w:div w:id="68513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765884">
      <w:bodyDiv w:val="1"/>
      <w:marLeft w:val="0"/>
      <w:marRight w:val="0"/>
      <w:marTop w:val="0"/>
      <w:marBottom w:val="0"/>
      <w:divBdr>
        <w:top w:val="none" w:sz="0" w:space="0" w:color="auto"/>
        <w:left w:val="none" w:sz="0" w:space="0" w:color="auto"/>
        <w:bottom w:val="none" w:sz="0" w:space="0" w:color="auto"/>
        <w:right w:val="none" w:sz="0" w:space="0" w:color="auto"/>
      </w:divBdr>
    </w:div>
    <w:div w:id="2051806355">
      <w:bodyDiv w:val="1"/>
      <w:marLeft w:val="0"/>
      <w:marRight w:val="0"/>
      <w:marTop w:val="0"/>
      <w:marBottom w:val="0"/>
      <w:divBdr>
        <w:top w:val="none" w:sz="0" w:space="0" w:color="auto"/>
        <w:left w:val="none" w:sz="0" w:space="0" w:color="auto"/>
        <w:bottom w:val="none" w:sz="0" w:space="0" w:color="auto"/>
        <w:right w:val="none" w:sz="0" w:space="0" w:color="auto"/>
      </w:divBdr>
      <w:divsChild>
        <w:div w:id="1340041069">
          <w:marLeft w:val="0"/>
          <w:marRight w:val="0"/>
          <w:marTop w:val="0"/>
          <w:marBottom w:val="0"/>
          <w:divBdr>
            <w:top w:val="none" w:sz="0" w:space="0" w:color="auto"/>
            <w:left w:val="none" w:sz="0" w:space="0" w:color="auto"/>
            <w:bottom w:val="none" w:sz="0" w:space="0" w:color="auto"/>
            <w:right w:val="none" w:sz="0" w:space="0" w:color="auto"/>
          </w:divBdr>
          <w:divsChild>
            <w:div w:id="1859663548">
              <w:marLeft w:val="0"/>
              <w:marRight w:val="0"/>
              <w:marTop w:val="0"/>
              <w:marBottom w:val="0"/>
              <w:divBdr>
                <w:top w:val="none" w:sz="0" w:space="0" w:color="auto"/>
                <w:left w:val="none" w:sz="0" w:space="0" w:color="auto"/>
                <w:bottom w:val="none" w:sz="0" w:space="0" w:color="auto"/>
                <w:right w:val="none" w:sz="0" w:space="0" w:color="auto"/>
              </w:divBdr>
              <w:divsChild>
                <w:div w:id="1225871188">
                  <w:marLeft w:val="0"/>
                  <w:marRight w:val="0"/>
                  <w:marTop w:val="0"/>
                  <w:marBottom w:val="0"/>
                  <w:divBdr>
                    <w:top w:val="none" w:sz="0" w:space="0" w:color="auto"/>
                    <w:left w:val="none" w:sz="0" w:space="0" w:color="auto"/>
                    <w:bottom w:val="none" w:sz="0" w:space="0" w:color="auto"/>
                    <w:right w:val="none" w:sz="0" w:space="0" w:color="auto"/>
                  </w:divBdr>
                  <w:divsChild>
                    <w:div w:id="149318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889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C2B6334-EE7F-43C1-8C3E-C29CAA371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9</Pages>
  <Words>3349</Words>
  <Characters>21139</Characters>
  <Application>Microsoft Office Word</Application>
  <DocSecurity>0</DocSecurity>
  <Lines>310</Lines>
  <Paragraphs>61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24427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94</cp:revision>
  <dcterms:created xsi:type="dcterms:W3CDTF">2026-08-14T03:54:00Z</dcterms:created>
  <dcterms:modified xsi:type="dcterms:W3CDTF">2026-08-14T22:56:00Z</dcterms:modified>
</cp:coreProperties>
</file>