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9C2D5" w14:textId="668DC9E0" w:rsidR="00762F04" w:rsidRPr="00EF6C6D" w:rsidRDefault="00FB3702" w:rsidP="00EF6C6D">
      <w:pPr>
        <w:spacing w:after="0" w:line="360" w:lineRule="auto"/>
        <w:jc w:val="both"/>
        <w:rPr>
          <w:rFonts w:ascii="Arial" w:hAnsi="Arial" w:cs="Arial"/>
          <w:b/>
          <w:bCs/>
        </w:rPr>
      </w:pPr>
      <w:r w:rsidRPr="00EF6C6D">
        <w:rPr>
          <w:rFonts w:ascii="Arial" w:hAnsi="Arial" w:cs="Arial"/>
          <w:b/>
          <w:bCs/>
        </w:rPr>
        <w:t xml:space="preserve">Strategic Analysis and Long-Term Growth Strategy for </w:t>
      </w:r>
      <w:proofErr w:type="spellStart"/>
      <w:r w:rsidRPr="00EF6C6D">
        <w:rPr>
          <w:rFonts w:ascii="Arial" w:hAnsi="Arial" w:cs="Arial"/>
          <w:b/>
          <w:bCs/>
        </w:rPr>
        <w:t>VodafoneThree</w:t>
      </w:r>
      <w:proofErr w:type="spellEnd"/>
      <w:r w:rsidRPr="00EF6C6D">
        <w:rPr>
          <w:rFonts w:ascii="Arial" w:hAnsi="Arial" w:cs="Arial"/>
          <w:b/>
          <w:bCs/>
        </w:rPr>
        <w:t>: Achieving Competitive Advantage through Technology-Led Differentiation</w:t>
      </w:r>
    </w:p>
    <w:p w14:paraId="024EF4E1" w14:textId="77777777" w:rsidR="00FB3702" w:rsidRPr="00EF6C6D" w:rsidRDefault="00FB3702" w:rsidP="00EF6C6D">
      <w:pPr>
        <w:spacing w:after="0" w:line="360" w:lineRule="auto"/>
        <w:jc w:val="both"/>
        <w:rPr>
          <w:rFonts w:ascii="Arial" w:hAnsi="Arial" w:cs="Arial"/>
        </w:rPr>
      </w:pPr>
    </w:p>
    <w:p w14:paraId="4384FF1F" w14:textId="17EDE2D8" w:rsidR="00FB3702" w:rsidRPr="00EF6C6D" w:rsidRDefault="00FB3702" w:rsidP="00EF6C6D">
      <w:pPr>
        <w:spacing w:after="0" w:line="360" w:lineRule="auto"/>
        <w:jc w:val="both"/>
        <w:rPr>
          <w:rFonts w:ascii="Arial" w:hAnsi="Arial" w:cs="Arial"/>
        </w:rPr>
      </w:pPr>
      <w:r w:rsidRPr="00EF6C6D">
        <w:rPr>
          <w:rFonts w:ascii="Arial" w:hAnsi="Arial" w:cs="Arial"/>
        </w:rPr>
        <w:t>Student name: Dragos-Ionut Ionita</w:t>
      </w:r>
    </w:p>
    <w:p w14:paraId="603C2792" w14:textId="77777777" w:rsidR="00FB3702" w:rsidRPr="00EF6C6D" w:rsidRDefault="00FB3702" w:rsidP="00EF6C6D">
      <w:pPr>
        <w:spacing w:after="0" w:line="360" w:lineRule="auto"/>
        <w:jc w:val="both"/>
        <w:rPr>
          <w:rFonts w:ascii="Arial" w:hAnsi="Arial" w:cs="Arial"/>
        </w:rPr>
      </w:pPr>
      <w:r w:rsidRPr="00EF6C6D">
        <w:rPr>
          <w:rFonts w:ascii="Arial" w:hAnsi="Arial" w:cs="Arial"/>
        </w:rPr>
        <w:t>Module name: LCLM6001</w:t>
      </w:r>
    </w:p>
    <w:p w14:paraId="7EC6E7AC" w14:textId="32B6B496" w:rsidR="00FB3702" w:rsidRPr="00EF6C6D" w:rsidRDefault="00FB3702" w:rsidP="00EF6C6D">
      <w:pPr>
        <w:spacing w:after="0" w:line="360" w:lineRule="auto"/>
        <w:jc w:val="both"/>
        <w:rPr>
          <w:rFonts w:ascii="Arial" w:hAnsi="Arial" w:cs="Arial"/>
        </w:rPr>
      </w:pPr>
      <w:r w:rsidRPr="00EF6C6D">
        <w:rPr>
          <w:rFonts w:ascii="Arial" w:hAnsi="Arial" w:cs="Arial"/>
        </w:rPr>
        <w:t>Student ID: 2329603</w:t>
      </w:r>
    </w:p>
    <w:p w14:paraId="2FB2B74F" w14:textId="77777777" w:rsidR="00FB3702" w:rsidRPr="00EF6C6D" w:rsidRDefault="00FB3702" w:rsidP="00EF6C6D">
      <w:pPr>
        <w:spacing w:after="0" w:line="360" w:lineRule="auto"/>
        <w:jc w:val="both"/>
        <w:rPr>
          <w:rFonts w:ascii="Arial" w:hAnsi="Arial" w:cs="Arial"/>
        </w:rPr>
      </w:pPr>
      <w:r w:rsidRPr="00EF6C6D">
        <w:rPr>
          <w:rFonts w:ascii="Arial" w:hAnsi="Arial" w:cs="Arial"/>
        </w:rPr>
        <w:t xml:space="preserve">Lecturer name: </w:t>
      </w:r>
      <w:proofErr w:type="spellStart"/>
      <w:r w:rsidRPr="00EF6C6D">
        <w:rPr>
          <w:rFonts w:ascii="Arial" w:hAnsi="Arial" w:cs="Arial"/>
        </w:rPr>
        <w:t>Munodzinesa</w:t>
      </w:r>
      <w:proofErr w:type="spellEnd"/>
      <w:r w:rsidRPr="00EF6C6D">
        <w:rPr>
          <w:rFonts w:ascii="Arial" w:hAnsi="Arial" w:cs="Arial"/>
        </w:rPr>
        <w:t xml:space="preserve"> </w:t>
      </w:r>
      <w:proofErr w:type="spellStart"/>
      <w:r w:rsidRPr="00EF6C6D">
        <w:rPr>
          <w:rFonts w:ascii="Arial" w:hAnsi="Arial" w:cs="Arial"/>
        </w:rPr>
        <w:t>Zuwirai</w:t>
      </w:r>
      <w:proofErr w:type="spellEnd"/>
    </w:p>
    <w:p w14:paraId="4228EE8E" w14:textId="54B5409B" w:rsidR="00376204" w:rsidRPr="00EF6C6D" w:rsidRDefault="00376204" w:rsidP="00EF6C6D">
      <w:pPr>
        <w:spacing w:after="0" w:line="360" w:lineRule="auto"/>
        <w:jc w:val="both"/>
        <w:rPr>
          <w:rFonts w:ascii="Arial" w:hAnsi="Arial" w:cs="Arial"/>
        </w:rPr>
      </w:pPr>
    </w:p>
    <w:p w14:paraId="487C5712" w14:textId="77777777" w:rsidR="00376204" w:rsidRPr="00EF6C6D" w:rsidRDefault="00376204" w:rsidP="00EF6C6D">
      <w:pPr>
        <w:spacing w:line="360" w:lineRule="auto"/>
        <w:rPr>
          <w:rFonts w:ascii="Arial" w:hAnsi="Arial" w:cs="Arial"/>
        </w:rPr>
      </w:pPr>
      <w:r w:rsidRPr="00EF6C6D">
        <w:rPr>
          <w:rFonts w:ascii="Arial" w:hAnsi="Arial" w:cs="Arial"/>
        </w:rPr>
        <w:br w:type="page"/>
      </w:r>
    </w:p>
    <w:p w14:paraId="0C119EF2" w14:textId="77777777" w:rsidR="00376204" w:rsidRPr="00EF6C6D" w:rsidRDefault="00376204" w:rsidP="00EF6C6D">
      <w:pPr>
        <w:spacing w:line="360" w:lineRule="auto"/>
        <w:rPr>
          <w:rFonts w:ascii="Arial" w:hAnsi="Arial" w:cs="Arial"/>
          <w:b/>
          <w:bCs/>
        </w:rPr>
      </w:pPr>
      <w:r w:rsidRPr="00EF6C6D">
        <w:rPr>
          <w:rFonts w:ascii="Arial" w:hAnsi="Arial" w:cs="Arial"/>
          <w:b/>
          <w:bCs/>
        </w:rPr>
        <w:lastRenderedPageBreak/>
        <w:t>Executive Summary</w:t>
      </w:r>
    </w:p>
    <w:p w14:paraId="5CA6CE72" w14:textId="5595728F" w:rsidR="00376204" w:rsidRPr="00EF6C6D" w:rsidRDefault="00187C85" w:rsidP="00EF6C6D">
      <w:pPr>
        <w:spacing w:line="360" w:lineRule="auto"/>
        <w:rPr>
          <w:rFonts w:ascii="Arial" w:hAnsi="Arial" w:cs="Arial"/>
          <w:b/>
          <w:bCs/>
        </w:rPr>
      </w:pPr>
      <w:proofErr w:type="spellStart"/>
      <w:r w:rsidRPr="00EF6C6D">
        <w:rPr>
          <w:rFonts w:ascii="Arial" w:hAnsi="Arial" w:cs="Arial"/>
        </w:rPr>
        <w:t>VodafoneThree</w:t>
      </w:r>
      <w:proofErr w:type="spellEnd"/>
      <w:r w:rsidRPr="00EF6C6D">
        <w:rPr>
          <w:rFonts w:ascii="Arial" w:hAnsi="Arial" w:cs="Arial"/>
        </w:rPr>
        <w:t xml:space="preserve"> was formed through the merger of Vodafone UK and Three UK, creating the UK's largest mobile operator by subscriber base and supporting an £11 billion investment in standalone 5G infrastructure. The report applies PESTEL, Porter's Five Forces, VRIO, SWOT, TOWS and SFA to evaluate the company's strategic position, demonstrating that it operates in a highly regulated and capital-intensive market </w:t>
      </w:r>
      <w:proofErr w:type="spellStart"/>
      <w:r w:rsidRPr="00EF6C6D">
        <w:rPr>
          <w:rFonts w:ascii="Arial" w:hAnsi="Arial" w:cs="Arial"/>
        </w:rPr>
        <w:t>characterised</w:t>
      </w:r>
      <w:proofErr w:type="spellEnd"/>
      <w:r w:rsidRPr="00EF6C6D">
        <w:rPr>
          <w:rFonts w:ascii="Arial" w:hAnsi="Arial" w:cs="Arial"/>
        </w:rPr>
        <w:t xml:space="preserve"> by intense competition, an ageing population with growing digital and health connectivity needs, and spectrum and scale as its strongest sources of competitive advantage. </w:t>
      </w:r>
      <w:r w:rsidR="00376204" w:rsidRPr="00EF6C6D">
        <w:rPr>
          <w:rFonts w:ascii="Arial" w:hAnsi="Arial" w:cs="Arial"/>
        </w:rPr>
        <w:t xml:space="preserve">Technology-led differentiation, </w:t>
      </w:r>
      <w:proofErr w:type="spellStart"/>
      <w:r w:rsidR="00376204" w:rsidRPr="00EF6C6D">
        <w:rPr>
          <w:rFonts w:ascii="Arial" w:hAnsi="Arial" w:cs="Arial"/>
        </w:rPr>
        <w:t>centred</w:t>
      </w:r>
      <w:proofErr w:type="spellEnd"/>
      <w:r w:rsidR="00376204" w:rsidRPr="00EF6C6D">
        <w:rPr>
          <w:rFonts w:ascii="Arial" w:hAnsi="Arial" w:cs="Arial"/>
        </w:rPr>
        <w:t xml:space="preserve"> on AI-enabled connectivity, superior customer experience and ageing-in-place health services, </w:t>
      </w:r>
      <w:proofErr w:type="gramStart"/>
      <w:r w:rsidR="00376204" w:rsidRPr="00EF6C6D">
        <w:rPr>
          <w:rFonts w:ascii="Arial" w:hAnsi="Arial" w:cs="Arial"/>
        </w:rPr>
        <w:t>emerges</w:t>
      </w:r>
      <w:proofErr w:type="gramEnd"/>
      <w:r w:rsidR="00376204" w:rsidRPr="00EF6C6D">
        <w:rPr>
          <w:rFonts w:ascii="Arial" w:hAnsi="Arial" w:cs="Arial"/>
        </w:rPr>
        <w:t xml:space="preserve"> as the most suitable, feasible and acceptable strategic option compared with rural market development or pure cost leadership. The report highlights key stakeholder tensions between regulators, government, NHS partners, shareholders, employees and older customers, and sets out a phased implementation plan monitored through financial, customer, process and learning KPIs, including digital inclusion and AI trust measures. Strategic foresight suggests that long-term success will depend on </w:t>
      </w:r>
      <w:proofErr w:type="spellStart"/>
      <w:r w:rsidR="00376204" w:rsidRPr="00EF6C6D">
        <w:rPr>
          <w:rFonts w:ascii="Arial" w:hAnsi="Arial" w:cs="Arial"/>
        </w:rPr>
        <w:t>VodafoneThree's</w:t>
      </w:r>
      <w:proofErr w:type="spellEnd"/>
      <w:r w:rsidR="00376204" w:rsidRPr="00EF6C6D">
        <w:rPr>
          <w:rFonts w:ascii="Arial" w:hAnsi="Arial" w:cs="Arial"/>
        </w:rPr>
        <w:t xml:space="preserve"> ability to adapt this differentiation strategy to AI-native networks, future 6G standards, cybersecurity and sustainability requirements while maintaining stakeholder confidence.</w:t>
      </w:r>
    </w:p>
    <w:p w14:paraId="4164D7BD" w14:textId="77777777" w:rsidR="00376204" w:rsidRPr="00EF6C6D" w:rsidRDefault="00376204" w:rsidP="00EF6C6D">
      <w:pPr>
        <w:spacing w:after="0" w:line="360" w:lineRule="auto"/>
        <w:jc w:val="both"/>
        <w:rPr>
          <w:rFonts w:ascii="Arial" w:hAnsi="Arial" w:cs="Arial"/>
        </w:rPr>
      </w:pPr>
    </w:p>
    <w:p w14:paraId="00358A39" w14:textId="77777777" w:rsidR="00FB3702" w:rsidRPr="00EF6C6D" w:rsidRDefault="00FB3702" w:rsidP="00EF6C6D">
      <w:pPr>
        <w:spacing w:after="0" w:line="360" w:lineRule="auto"/>
        <w:jc w:val="both"/>
        <w:rPr>
          <w:rFonts w:ascii="Arial" w:hAnsi="Arial" w:cs="Arial"/>
          <w:b/>
          <w:bCs/>
        </w:rPr>
      </w:pPr>
    </w:p>
    <w:p w14:paraId="62D45625" w14:textId="77777777" w:rsidR="00762F04" w:rsidRPr="00EF6C6D" w:rsidRDefault="00762F04" w:rsidP="00EF6C6D">
      <w:pPr>
        <w:spacing w:after="0" w:line="360" w:lineRule="auto"/>
        <w:jc w:val="both"/>
        <w:rPr>
          <w:rFonts w:ascii="Arial" w:eastAsiaTheme="majorEastAsia" w:hAnsi="Arial" w:cs="Arial"/>
          <w:color w:val="365F91" w:themeColor="accent1" w:themeShade="BF"/>
        </w:rPr>
      </w:pPr>
      <w:r w:rsidRPr="00EF6C6D">
        <w:rPr>
          <w:rFonts w:ascii="Arial" w:hAnsi="Arial" w:cs="Arial"/>
        </w:rPr>
        <w:br w:type="page"/>
      </w:r>
    </w:p>
    <w:sdt>
      <w:sdtPr>
        <w:rPr>
          <w:rFonts w:ascii="Arial" w:eastAsiaTheme="minorEastAsia" w:hAnsi="Arial" w:cs="Arial"/>
          <w:b w:val="0"/>
          <w:bCs w:val="0"/>
          <w:color w:val="auto"/>
          <w:sz w:val="22"/>
          <w:szCs w:val="22"/>
        </w:rPr>
        <w:id w:val="-1675182325"/>
        <w:docPartObj>
          <w:docPartGallery w:val="Table of Contents"/>
          <w:docPartUnique/>
        </w:docPartObj>
      </w:sdtPr>
      <w:sdtEndPr>
        <w:rPr>
          <w:noProof/>
        </w:rPr>
      </w:sdtEndPr>
      <w:sdtContent>
        <w:p w14:paraId="06F9B172" w14:textId="77777777" w:rsidR="00762F04" w:rsidRPr="00EF6C6D" w:rsidRDefault="00762F04" w:rsidP="00EF6C6D">
          <w:pPr>
            <w:pStyle w:val="TOCHeading"/>
            <w:spacing w:line="360" w:lineRule="auto"/>
            <w:jc w:val="both"/>
            <w:rPr>
              <w:rFonts w:ascii="Arial" w:hAnsi="Arial" w:cs="Arial"/>
              <w:b w:val="0"/>
              <w:bCs w:val="0"/>
              <w:sz w:val="22"/>
              <w:szCs w:val="22"/>
            </w:rPr>
          </w:pPr>
        </w:p>
        <w:p w14:paraId="2B93069A" w14:textId="6CB57505" w:rsidR="00EF6C6D" w:rsidRDefault="00762F04" w:rsidP="00EF6C6D">
          <w:pPr>
            <w:pStyle w:val="TOC2"/>
            <w:rPr>
              <w:noProof/>
              <w:kern w:val="2"/>
              <w:sz w:val="24"/>
              <w:szCs w:val="24"/>
              <w:lang w:val="ro-RO" w:eastAsia="ro-RO"/>
              <w14:ligatures w14:val="standardContextual"/>
            </w:rPr>
          </w:pPr>
          <w:r w:rsidRPr="00EF6C6D">
            <w:rPr>
              <w:rFonts w:ascii="Arial" w:hAnsi="Arial" w:cs="Arial"/>
            </w:rPr>
            <w:fldChar w:fldCharType="begin"/>
          </w:r>
          <w:r w:rsidRPr="00EF6C6D">
            <w:rPr>
              <w:rFonts w:ascii="Arial" w:hAnsi="Arial" w:cs="Arial"/>
            </w:rPr>
            <w:instrText xml:space="preserve"> TOC \o "1-3" \h \z \u </w:instrText>
          </w:r>
          <w:r w:rsidRPr="00EF6C6D">
            <w:rPr>
              <w:rFonts w:ascii="Arial" w:hAnsi="Arial" w:cs="Arial"/>
            </w:rPr>
            <w:fldChar w:fldCharType="separate"/>
          </w:r>
          <w:hyperlink w:anchor="_Toc234790647" w:history="1">
            <w:r w:rsidR="00EF6C6D" w:rsidRPr="00791ADA">
              <w:rPr>
                <w:rStyle w:val="Hyperlink"/>
                <w:noProof/>
              </w:rPr>
              <w:t>1. Introduction to VodafoneThree</w:t>
            </w:r>
            <w:r w:rsidR="00EF6C6D">
              <w:rPr>
                <w:noProof/>
                <w:webHidden/>
              </w:rPr>
              <w:tab/>
            </w:r>
            <w:r w:rsidR="00EF6C6D">
              <w:rPr>
                <w:noProof/>
                <w:webHidden/>
              </w:rPr>
              <w:fldChar w:fldCharType="begin"/>
            </w:r>
            <w:r w:rsidR="00EF6C6D">
              <w:rPr>
                <w:noProof/>
                <w:webHidden/>
              </w:rPr>
              <w:instrText xml:space="preserve"> PAGEREF _Toc234790647 \h </w:instrText>
            </w:r>
            <w:r w:rsidR="00EF6C6D">
              <w:rPr>
                <w:noProof/>
                <w:webHidden/>
              </w:rPr>
            </w:r>
            <w:r w:rsidR="00EF6C6D">
              <w:rPr>
                <w:noProof/>
                <w:webHidden/>
              </w:rPr>
              <w:fldChar w:fldCharType="separate"/>
            </w:r>
            <w:r w:rsidR="00EF6C6D">
              <w:rPr>
                <w:noProof/>
                <w:webHidden/>
              </w:rPr>
              <w:t>4</w:t>
            </w:r>
            <w:r w:rsidR="00EF6C6D">
              <w:rPr>
                <w:noProof/>
                <w:webHidden/>
              </w:rPr>
              <w:fldChar w:fldCharType="end"/>
            </w:r>
          </w:hyperlink>
        </w:p>
        <w:p w14:paraId="4271174A" w14:textId="15B9B653" w:rsidR="00EF6C6D" w:rsidRDefault="00EF6C6D">
          <w:pPr>
            <w:pStyle w:val="TOC1"/>
            <w:rPr>
              <w:noProof/>
              <w:kern w:val="2"/>
              <w:sz w:val="24"/>
              <w:szCs w:val="24"/>
              <w:lang w:val="ro-RO" w:eastAsia="ro-RO"/>
              <w14:ligatures w14:val="standardContextual"/>
            </w:rPr>
          </w:pPr>
          <w:hyperlink w:anchor="_Toc234790648" w:history="1">
            <w:r w:rsidRPr="00791ADA">
              <w:rPr>
                <w:rStyle w:val="Hyperlink"/>
                <w:rFonts w:ascii="Arial" w:hAnsi="Arial" w:cs="Arial"/>
                <w:noProof/>
              </w:rPr>
              <w:t>2. Evaluation of the Current Market Situation</w:t>
            </w:r>
            <w:r>
              <w:rPr>
                <w:noProof/>
                <w:webHidden/>
              </w:rPr>
              <w:tab/>
            </w:r>
            <w:r>
              <w:rPr>
                <w:noProof/>
                <w:webHidden/>
              </w:rPr>
              <w:fldChar w:fldCharType="begin"/>
            </w:r>
            <w:r>
              <w:rPr>
                <w:noProof/>
                <w:webHidden/>
              </w:rPr>
              <w:instrText xml:space="preserve"> PAGEREF _Toc234790648 \h </w:instrText>
            </w:r>
            <w:r>
              <w:rPr>
                <w:noProof/>
                <w:webHidden/>
              </w:rPr>
            </w:r>
            <w:r>
              <w:rPr>
                <w:noProof/>
                <w:webHidden/>
              </w:rPr>
              <w:fldChar w:fldCharType="separate"/>
            </w:r>
            <w:r>
              <w:rPr>
                <w:noProof/>
                <w:webHidden/>
              </w:rPr>
              <w:t>4</w:t>
            </w:r>
            <w:r>
              <w:rPr>
                <w:noProof/>
                <w:webHidden/>
              </w:rPr>
              <w:fldChar w:fldCharType="end"/>
            </w:r>
          </w:hyperlink>
        </w:p>
        <w:p w14:paraId="07974774" w14:textId="2630066D" w:rsidR="00EF6C6D" w:rsidRDefault="00EF6C6D" w:rsidP="00EF6C6D">
          <w:pPr>
            <w:pStyle w:val="TOC2"/>
            <w:rPr>
              <w:noProof/>
              <w:kern w:val="2"/>
              <w:sz w:val="24"/>
              <w:szCs w:val="24"/>
              <w:lang w:val="ro-RO" w:eastAsia="ro-RO"/>
              <w14:ligatures w14:val="standardContextual"/>
            </w:rPr>
          </w:pPr>
          <w:hyperlink w:anchor="_Toc234790649" w:history="1">
            <w:r w:rsidRPr="00791ADA">
              <w:rPr>
                <w:rStyle w:val="Hyperlink"/>
                <w:rFonts w:ascii="Arial" w:hAnsi="Arial" w:cs="Arial"/>
                <w:noProof/>
              </w:rPr>
              <w:t>2.1 PESTEL Analysis</w:t>
            </w:r>
            <w:r>
              <w:rPr>
                <w:noProof/>
                <w:webHidden/>
              </w:rPr>
              <w:tab/>
            </w:r>
            <w:r>
              <w:rPr>
                <w:noProof/>
                <w:webHidden/>
              </w:rPr>
              <w:fldChar w:fldCharType="begin"/>
            </w:r>
            <w:r>
              <w:rPr>
                <w:noProof/>
                <w:webHidden/>
              </w:rPr>
              <w:instrText xml:space="preserve"> PAGEREF _Toc234790649 \h </w:instrText>
            </w:r>
            <w:r>
              <w:rPr>
                <w:noProof/>
                <w:webHidden/>
              </w:rPr>
            </w:r>
            <w:r>
              <w:rPr>
                <w:noProof/>
                <w:webHidden/>
              </w:rPr>
              <w:fldChar w:fldCharType="separate"/>
            </w:r>
            <w:r>
              <w:rPr>
                <w:noProof/>
                <w:webHidden/>
              </w:rPr>
              <w:t>4</w:t>
            </w:r>
            <w:r>
              <w:rPr>
                <w:noProof/>
                <w:webHidden/>
              </w:rPr>
              <w:fldChar w:fldCharType="end"/>
            </w:r>
          </w:hyperlink>
        </w:p>
        <w:p w14:paraId="519CF140" w14:textId="2EF1FB9E" w:rsidR="00EF6C6D" w:rsidRDefault="00EF6C6D" w:rsidP="00EF6C6D">
          <w:pPr>
            <w:pStyle w:val="TOC2"/>
            <w:rPr>
              <w:noProof/>
              <w:kern w:val="2"/>
              <w:sz w:val="24"/>
              <w:szCs w:val="24"/>
              <w:lang w:val="ro-RO" w:eastAsia="ro-RO"/>
              <w14:ligatures w14:val="standardContextual"/>
            </w:rPr>
          </w:pPr>
          <w:hyperlink w:anchor="_Toc234790650" w:history="1">
            <w:r w:rsidRPr="00791ADA">
              <w:rPr>
                <w:rStyle w:val="Hyperlink"/>
                <w:rFonts w:ascii="Arial" w:hAnsi="Arial" w:cs="Arial"/>
                <w:noProof/>
              </w:rPr>
              <w:t>2.2 Porter's Five Forces Analysis</w:t>
            </w:r>
            <w:r>
              <w:rPr>
                <w:noProof/>
                <w:webHidden/>
              </w:rPr>
              <w:tab/>
            </w:r>
            <w:r>
              <w:rPr>
                <w:noProof/>
                <w:webHidden/>
              </w:rPr>
              <w:fldChar w:fldCharType="begin"/>
            </w:r>
            <w:r>
              <w:rPr>
                <w:noProof/>
                <w:webHidden/>
              </w:rPr>
              <w:instrText xml:space="preserve"> PAGEREF _Toc234790650 \h </w:instrText>
            </w:r>
            <w:r>
              <w:rPr>
                <w:noProof/>
                <w:webHidden/>
              </w:rPr>
            </w:r>
            <w:r>
              <w:rPr>
                <w:noProof/>
                <w:webHidden/>
              </w:rPr>
              <w:fldChar w:fldCharType="separate"/>
            </w:r>
            <w:r>
              <w:rPr>
                <w:noProof/>
                <w:webHidden/>
              </w:rPr>
              <w:t>5</w:t>
            </w:r>
            <w:r>
              <w:rPr>
                <w:noProof/>
                <w:webHidden/>
              </w:rPr>
              <w:fldChar w:fldCharType="end"/>
            </w:r>
          </w:hyperlink>
        </w:p>
        <w:p w14:paraId="0CE0025D" w14:textId="29114696" w:rsidR="00EF6C6D" w:rsidRDefault="00EF6C6D" w:rsidP="00EF6C6D">
          <w:pPr>
            <w:pStyle w:val="TOC2"/>
            <w:rPr>
              <w:noProof/>
              <w:kern w:val="2"/>
              <w:sz w:val="24"/>
              <w:szCs w:val="24"/>
              <w:lang w:val="ro-RO" w:eastAsia="ro-RO"/>
              <w14:ligatures w14:val="standardContextual"/>
            </w:rPr>
          </w:pPr>
          <w:hyperlink w:anchor="_Toc234790651" w:history="1">
            <w:r w:rsidRPr="00791ADA">
              <w:rPr>
                <w:rStyle w:val="Hyperlink"/>
                <w:rFonts w:ascii="Arial" w:hAnsi="Arial" w:cs="Arial"/>
                <w:noProof/>
              </w:rPr>
              <w:t>2.3 Internal Analysis: VRIO and SWOT</w:t>
            </w:r>
            <w:r>
              <w:rPr>
                <w:noProof/>
                <w:webHidden/>
              </w:rPr>
              <w:tab/>
            </w:r>
            <w:r>
              <w:rPr>
                <w:noProof/>
                <w:webHidden/>
              </w:rPr>
              <w:fldChar w:fldCharType="begin"/>
            </w:r>
            <w:r>
              <w:rPr>
                <w:noProof/>
                <w:webHidden/>
              </w:rPr>
              <w:instrText xml:space="preserve"> PAGEREF _Toc234790651 \h </w:instrText>
            </w:r>
            <w:r>
              <w:rPr>
                <w:noProof/>
                <w:webHidden/>
              </w:rPr>
            </w:r>
            <w:r>
              <w:rPr>
                <w:noProof/>
                <w:webHidden/>
              </w:rPr>
              <w:fldChar w:fldCharType="separate"/>
            </w:r>
            <w:r>
              <w:rPr>
                <w:noProof/>
                <w:webHidden/>
              </w:rPr>
              <w:t>6</w:t>
            </w:r>
            <w:r>
              <w:rPr>
                <w:noProof/>
                <w:webHidden/>
              </w:rPr>
              <w:fldChar w:fldCharType="end"/>
            </w:r>
          </w:hyperlink>
        </w:p>
        <w:p w14:paraId="08C762A9" w14:textId="6C240563" w:rsidR="00EF6C6D" w:rsidRDefault="00EF6C6D" w:rsidP="00EF6C6D">
          <w:pPr>
            <w:pStyle w:val="TOC2"/>
            <w:rPr>
              <w:noProof/>
              <w:kern w:val="2"/>
              <w:sz w:val="24"/>
              <w:szCs w:val="24"/>
              <w:lang w:val="ro-RO" w:eastAsia="ro-RO"/>
              <w14:ligatures w14:val="standardContextual"/>
            </w:rPr>
          </w:pPr>
          <w:hyperlink w:anchor="_Toc234790652" w:history="1">
            <w:r w:rsidRPr="00791ADA">
              <w:rPr>
                <w:rStyle w:val="Hyperlink"/>
                <w:rFonts w:ascii="Arial" w:hAnsi="Arial" w:cs="Arial"/>
                <w:noProof/>
              </w:rPr>
              <w:t>2.4 TOWS Strategic Implications</w:t>
            </w:r>
            <w:r>
              <w:rPr>
                <w:noProof/>
                <w:webHidden/>
              </w:rPr>
              <w:tab/>
            </w:r>
            <w:r>
              <w:rPr>
                <w:noProof/>
                <w:webHidden/>
              </w:rPr>
              <w:fldChar w:fldCharType="begin"/>
            </w:r>
            <w:r>
              <w:rPr>
                <w:noProof/>
                <w:webHidden/>
              </w:rPr>
              <w:instrText xml:space="preserve"> PAGEREF _Toc234790652 \h </w:instrText>
            </w:r>
            <w:r>
              <w:rPr>
                <w:noProof/>
                <w:webHidden/>
              </w:rPr>
            </w:r>
            <w:r>
              <w:rPr>
                <w:noProof/>
                <w:webHidden/>
              </w:rPr>
              <w:fldChar w:fldCharType="separate"/>
            </w:r>
            <w:r>
              <w:rPr>
                <w:noProof/>
                <w:webHidden/>
              </w:rPr>
              <w:t>6</w:t>
            </w:r>
            <w:r>
              <w:rPr>
                <w:noProof/>
                <w:webHidden/>
              </w:rPr>
              <w:fldChar w:fldCharType="end"/>
            </w:r>
          </w:hyperlink>
        </w:p>
        <w:p w14:paraId="64209BB3" w14:textId="50999231" w:rsidR="00EF6C6D" w:rsidRDefault="00EF6C6D">
          <w:pPr>
            <w:pStyle w:val="TOC1"/>
            <w:rPr>
              <w:noProof/>
              <w:kern w:val="2"/>
              <w:sz w:val="24"/>
              <w:szCs w:val="24"/>
              <w:lang w:val="ro-RO" w:eastAsia="ro-RO"/>
              <w14:ligatures w14:val="standardContextual"/>
            </w:rPr>
          </w:pPr>
          <w:hyperlink w:anchor="_Toc234790653" w:history="1">
            <w:r w:rsidRPr="00791ADA">
              <w:rPr>
                <w:rStyle w:val="Hyperlink"/>
                <w:rFonts w:ascii="Arial" w:hAnsi="Arial" w:cs="Arial"/>
                <w:noProof/>
              </w:rPr>
              <w:t>3. Global Market and International Business Context</w:t>
            </w:r>
            <w:r>
              <w:rPr>
                <w:noProof/>
                <w:webHidden/>
              </w:rPr>
              <w:tab/>
            </w:r>
            <w:r>
              <w:rPr>
                <w:noProof/>
                <w:webHidden/>
              </w:rPr>
              <w:fldChar w:fldCharType="begin"/>
            </w:r>
            <w:r>
              <w:rPr>
                <w:noProof/>
                <w:webHidden/>
              </w:rPr>
              <w:instrText xml:space="preserve"> PAGEREF _Toc234790653 \h </w:instrText>
            </w:r>
            <w:r>
              <w:rPr>
                <w:noProof/>
                <w:webHidden/>
              </w:rPr>
            </w:r>
            <w:r>
              <w:rPr>
                <w:noProof/>
                <w:webHidden/>
              </w:rPr>
              <w:fldChar w:fldCharType="separate"/>
            </w:r>
            <w:r>
              <w:rPr>
                <w:noProof/>
                <w:webHidden/>
              </w:rPr>
              <w:t>7</w:t>
            </w:r>
            <w:r>
              <w:rPr>
                <w:noProof/>
                <w:webHidden/>
              </w:rPr>
              <w:fldChar w:fldCharType="end"/>
            </w:r>
          </w:hyperlink>
        </w:p>
        <w:p w14:paraId="5202059B" w14:textId="0ACDD558" w:rsidR="00EF6C6D" w:rsidRDefault="00EF6C6D">
          <w:pPr>
            <w:pStyle w:val="TOC1"/>
            <w:rPr>
              <w:noProof/>
              <w:kern w:val="2"/>
              <w:sz w:val="24"/>
              <w:szCs w:val="24"/>
              <w:lang w:val="ro-RO" w:eastAsia="ro-RO"/>
              <w14:ligatures w14:val="standardContextual"/>
            </w:rPr>
          </w:pPr>
          <w:hyperlink w:anchor="_Toc234790654" w:history="1">
            <w:r w:rsidRPr="00791ADA">
              <w:rPr>
                <w:rStyle w:val="Hyperlink"/>
                <w:rFonts w:ascii="Arial" w:hAnsi="Arial" w:cs="Arial"/>
                <w:noProof/>
              </w:rPr>
              <w:t>4. Strategic Options and Evaluation</w:t>
            </w:r>
            <w:r>
              <w:rPr>
                <w:noProof/>
                <w:webHidden/>
              </w:rPr>
              <w:tab/>
            </w:r>
            <w:r>
              <w:rPr>
                <w:noProof/>
                <w:webHidden/>
              </w:rPr>
              <w:fldChar w:fldCharType="begin"/>
            </w:r>
            <w:r>
              <w:rPr>
                <w:noProof/>
                <w:webHidden/>
              </w:rPr>
              <w:instrText xml:space="preserve"> PAGEREF _Toc234790654 \h </w:instrText>
            </w:r>
            <w:r>
              <w:rPr>
                <w:noProof/>
                <w:webHidden/>
              </w:rPr>
            </w:r>
            <w:r>
              <w:rPr>
                <w:noProof/>
                <w:webHidden/>
              </w:rPr>
              <w:fldChar w:fldCharType="separate"/>
            </w:r>
            <w:r>
              <w:rPr>
                <w:noProof/>
                <w:webHidden/>
              </w:rPr>
              <w:t>8</w:t>
            </w:r>
            <w:r>
              <w:rPr>
                <w:noProof/>
                <w:webHidden/>
              </w:rPr>
              <w:fldChar w:fldCharType="end"/>
            </w:r>
          </w:hyperlink>
        </w:p>
        <w:p w14:paraId="329DF482" w14:textId="29E36644" w:rsidR="00EF6C6D" w:rsidRDefault="00EF6C6D" w:rsidP="00EF6C6D">
          <w:pPr>
            <w:pStyle w:val="TOC2"/>
            <w:rPr>
              <w:noProof/>
              <w:kern w:val="2"/>
              <w:sz w:val="24"/>
              <w:szCs w:val="24"/>
              <w:lang w:val="ro-RO" w:eastAsia="ro-RO"/>
              <w14:ligatures w14:val="standardContextual"/>
            </w:rPr>
          </w:pPr>
          <w:hyperlink w:anchor="_Toc234790655" w:history="1">
            <w:r w:rsidRPr="00791ADA">
              <w:rPr>
                <w:rStyle w:val="Hyperlink"/>
                <w:rFonts w:ascii="Arial" w:hAnsi="Arial" w:cs="Arial"/>
                <w:noProof/>
              </w:rPr>
              <w:t>4.1 Option 1: Technology-Led Differentiation Strategy</w:t>
            </w:r>
            <w:r>
              <w:rPr>
                <w:noProof/>
                <w:webHidden/>
              </w:rPr>
              <w:tab/>
            </w:r>
            <w:r>
              <w:rPr>
                <w:noProof/>
                <w:webHidden/>
              </w:rPr>
              <w:fldChar w:fldCharType="begin"/>
            </w:r>
            <w:r>
              <w:rPr>
                <w:noProof/>
                <w:webHidden/>
              </w:rPr>
              <w:instrText xml:space="preserve"> PAGEREF _Toc234790655 \h </w:instrText>
            </w:r>
            <w:r>
              <w:rPr>
                <w:noProof/>
                <w:webHidden/>
              </w:rPr>
            </w:r>
            <w:r>
              <w:rPr>
                <w:noProof/>
                <w:webHidden/>
              </w:rPr>
              <w:fldChar w:fldCharType="separate"/>
            </w:r>
            <w:r>
              <w:rPr>
                <w:noProof/>
                <w:webHidden/>
              </w:rPr>
              <w:t>8</w:t>
            </w:r>
            <w:r>
              <w:rPr>
                <w:noProof/>
                <w:webHidden/>
              </w:rPr>
              <w:fldChar w:fldCharType="end"/>
            </w:r>
          </w:hyperlink>
        </w:p>
        <w:p w14:paraId="70B9F9F6" w14:textId="3C121279" w:rsidR="00EF6C6D" w:rsidRDefault="00EF6C6D" w:rsidP="00EF6C6D">
          <w:pPr>
            <w:pStyle w:val="TOC2"/>
            <w:rPr>
              <w:noProof/>
              <w:kern w:val="2"/>
              <w:sz w:val="24"/>
              <w:szCs w:val="24"/>
              <w:lang w:val="ro-RO" w:eastAsia="ro-RO"/>
              <w14:ligatures w14:val="standardContextual"/>
            </w:rPr>
          </w:pPr>
          <w:hyperlink w:anchor="_Toc234790656" w:history="1">
            <w:r w:rsidRPr="00791ADA">
              <w:rPr>
                <w:rStyle w:val="Hyperlink"/>
                <w:rFonts w:ascii="Arial" w:hAnsi="Arial" w:cs="Arial"/>
                <w:noProof/>
              </w:rPr>
              <w:t>4.2 Option 2: Market Development</w:t>
            </w:r>
            <w:r>
              <w:rPr>
                <w:noProof/>
                <w:webHidden/>
              </w:rPr>
              <w:tab/>
            </w:r>
            <w:r>
              <w:rPr>
                <w:noProof/>
                <w:webHidden/>
              </w:rPr>
              <w:fldChar w:fldCharType="begin"/>
            </w:r>
            <w:r>
              <w:rPr>
                <w:noProof/>
                <w:webHidden/>
              </w:rPr>
              <w:instrText xml:space="preserve"> PAGEREF _Toc234790656 \h </w:instrText>
            </w:r>
            <w:r>
              <w:rPr>
                <w:noProof/>
                <w:webHidden/>
              </w:rPr>
            </w:r>
            <w:r>
              <w:rPr>
                <w:noProof/>
                <w:webHidden/>
              </w:rPr>
              <w:fldChar w:fldCharType="separate"/>
            </w:r>
            <w:r>
              <w:rPr>
                <w:noProof/>
                <w:webHidden/>
              </w:rPr>
              <w:t>8</w:t>
            </w:r>
            <w:r>
              <w:rPr>
                <w:noProof/>
                <w:webHidden/>
              </w:rPr>
              <w:fldChar w:fldCharType="end"/>
            </w:r>
          </w:hyperlink>
        </w:p>
        <w:p w14:paraId="29B7514C" w14:textId="7D511E7A" w:rsidR="00EF6C6D" w:rsidRDefault="00EF6C6D" w:rsidP="00EF6C6D">
          <w:pPr>
            <w:pStyle w:val="TOC2"/>
            <w:rPr>
              <w:noProof/>
              <w:kern w:val="2"/>
              <w:sz w:val="24"/>
              <w:szCs w:val="24"/>
              <w:lang w:val="ro-RO" w:eastAsia="ro-RO"/>
              <w14:ligatures w14:val="standardContextual"/>
            </w:rPr>
          </w:pPr>
          <w:hyperlink w:anchor="_Toc234790657" w:history="1">
            <w:r w:rsidRPr="00791ADA">
              <w:rPr>
                <w:rStyle w:val="Hyperlink"/>
                <w:rFonts w:ascii="Arial" w:hAnsi="Arial" w:cs="Arial"/>
                <w:noProof/>
              </w:rPr>
              <w:t>4.3 Option 3: Cost Leadership</w:t>
            </w:r>
            <w:r>
              <w:rPr>
                <w:noProof/>
                <w:webHidden/>
              </w:rPr>
              <w:tab/>
            </w:r>
            <w:r>
              <w:rPr>
                <w:noProof/>
                <w:webHidden/>
              </w:rPr>
              <w:fldChar w:fldCharType="begin"/>
            </w:r>
            <w:r>
              <w:rPr>
                <w:noProof/>
                <w:webHidden/>
              </w:rPr>
              <w:instrText xml:space="preserve"> PAGEREF _Toc234790657 \h </w:instrText>
            </w:r>
            <w:r>
              <w:rPr>
                <w:noProof/>
                <w:webHidden/>
              </w:rPr>
            </w:r>
            <w:r>
              <w:rPr>
                <w:noProof/>
                <w:webHidden/>
              </w:rPr>
              <w:fldChar w:fldCharType="separate"/>
            </w:r>
            <w:r>
              <w:rPr>
                <w:noProof/>
                <w:webHidden/>
              </w:rPr>
              <w:t>8</w:t>
            </w:r>
            <w:r>
              <w:rPr>
                <w:noProof/>
                <w:webHidden/>
              </w:rPr>
              <w:fldChar w:fldCharType="end"/>
            </w:r>
          </w:hyperlink>
        </w:p>
        <w:p w14:paraId="78B69F0E" w14:textId="4446B987" w:rsidR="00EF6C6D" w:rsidRDefault="00EF6C6D" w:rsidP="00EF6C6D">
          <w:pPr>
            <w:pStyle w:val="TOC2"/>
            <w:rPr>
              <w:noProof/>
              <w:kern w:val="2"/>
              <w:sz w:val="24"/>
              <w:szCs w:val="24"/>
              <w:lang w:val="ro-RO" w:eastAsia="ro-RO"/>
              <w14:ligatures w14:val="standardContextual"/>
            </w:rPr>
          </w:pPr>
          <w:hyperlink w:anchor="_Toc234790658" w:history="1">
            <w:r w:rsidRPr="00791ADA">
              <w:rPr>
                <w:rStyle w:val="Hyperlink"/>
                <w:rFonts w:ascii="Arial" w:hAnsi="Arial" w:cs="Arial"/>
                <w:noProof/>
              </w:rPr>
              <w:t>4.4 SFA Evaluation with Social-Sentiment Evidence</w:t>
            </w:r>
            <w:r>
              <w:rPr>
                <w:noProof/>
                <w:webHidden/>
              </w:rPr>
              <w:tab/>
            </w:r>
            <w:r>
              <w:rPr>
                <w:noProof/>
                <w:webHidden/>
              </w:rPr>
              <w:fldChar w:fldCharType="begin"/>
            </w:r>
            <w:r>
              <w:rPr>
                <w:noProof/>
                <w:webHidden/>
              </w:rPr>
              <w:instrText xml:space="preserve"> PAGEREF _Toc234790658 \h </w:instrText>
            </w:r>
            <w:r>
              <w:rPr>
                <w:noProof/>
                <w:webHidden/>
              </w:rPr>
            </w:r>
            <w:r>
              <w:rPr>
                <w:noProof/>
                <w:webHidden/>
              </w:rPr>
              <w:fldChar w:fldCharType="separate"/>
            </w:r>
            <w:r>
              <w:rPr>
                <w:noProof/>
                <w:webHidden/>
              </w:rPr>
              <w:t>9</w:t>
            </w:r>
            <w:r>
              <w:rPr>
                <w:noProof/>
                <w:webHidden/>
              </w:rPr>
              <w:fldChar w:fldCharType="end"/>
            </w:r>
          </w:hyperlink>
        </w:p>
        <w:p w14:paraId="1100E31C" w14:textId="3797DCAA" w:rsidR="00EF6C6D" w:rsidRDefault="00EF6C6D">
          <w:pPr>
            <w:pStyle w:val="TOC1"/>
            <w:rPr>
              <w:noProof/>
              <w:kern w:val="2"/>
              <w:sz w:val="24"/>
              <w:szCs w:val="24"/>
              <w:lang w:val="ro-RO" w:eastAsia="ro-RO"/>
              <w14:ligatures w14:val="standardContextual"/>
            </w:rPr>
          </w:pPr>
          <w:hyperlink w:anchor="_Toc234790659" w:history="1">
            <w:r w:rsidRPr="00791ADA">
              <w:rPr>
                <w:rStyle w:val="Hyperlink"/>
                <w:rFonts w:ascii="Arial" w:hAnsi="Arial" w:cs="Arial"/>
                <w:noProof/>
              </w:rPr>
              <w:t>5. Recommended Strategy</w:t>
            </w:r>
            <w:r>
              <w:rPr>
                <w:noProof/>
                <w:webHidden/>
              </w:rPr>
              <w:tab/>
            </w:r>
            <w:r>
              <w:rPr>
                <w:noProof/>
                <w:webHidden/>
              </w:rPr>
              <w:fldChar w:fldCharType="begin"/>
            </w:r>
            <w:r>
              <w:rPr>
                <w:noProof/>
                <w:webHidden/>
              </w:rPr>
              <w:instrText xml:space="preserve"> PAGEREF _Toc234790659 \h </w:instrText>
            </w:r>
            <w:r>
              <w:rPr>
                <w:noProof/>
                <w:webHidden/>
              </w:rPr>
            </w:r>
            <w:r>
              <w:rPr>
                <w:noProof/>
                <w:webHidden/>
              </w:rPr>
              <w:fldChar w:fldCharType="separate"/>
            </w:r>
            <w:r>
              <w:rPr>
                <w:noProof/>
                <w:webHidden/>
              </w:rPr>
              <w:t>9</w:t>
            </w:r>
            <w:r>
              <w:rPr>
                <w:noProof/>
                <w:webHidden/>
              </w:rPr>
              <w:fldChar w:fldCharType="end"/>
            </w:r>
          </w:hyperlink>
        </w:p>
        <w:p w14:paraId="6A1568EF" w14:textId="0D6620A6" w:rsidR="00EF6C6D" w:rsidRDefault="00EF6C6D">
          <w:pPr>
            <w:pStyle w:val="TOC1"/>
            <w:rPr>
              <w:noProof/>
              <w:kern w:val="2"/>
              <w:sz w:val="24"/>
              <w:szCs w:val="24"/>
              <w:lang w:val="ro-RO" w:eastAsia="ro-RO"/>
              <w14:ligatures w14:val="standardContextual"/>
            </w:rPr>
          </w:pPr>
          <w:hyperlink w:anchor="_Toc234790660" w:history="1">
            <w:r w:rsidRPr="00791ADA">
              <w:rPr>
                <w:rStyle w:val="Hyperlink"/>
                <w:rFonts w:ascii="Arial" w:hAnsi="Arial" w:cs="Arial"/>
                <w:noProof/>
              </w:rPr>
              <w:t>6. Stakeholder Analysis</w:t>
            </w:r>
            <w:r>
              <w:rPr>
                <w:noProof/>
                <w:webHidden/>
              </w:rPr>
              <w:tab/>
            </w:r>
            <w:r>
              <w:rPr>
                <w:noProof/>
                <w:webHidden/>
              </w:rPr>
              <w:fldChar w:fldCharType="begin"/>
            </w:r>
            <w:r>
              <w:rPr>
                <w:noProof/>
                <w:webHidden/>
              </w:rPr>
              <w:instrText xml:space="preserve"> PAGEREF _Toc234790660 \h </w:instrText>
            </w:r>
            <w:r>
              <w:rPr>
                <w:noProof/>
                <w:webHidden/>
              </w:rPr>
            </w:r>
            <w:r>
              <w:rPr>
                <w:noProof/>
                <w:webHidden/>
              </w:rPr>
              <w:fldChar w:fldCharType="separate"/>
            </w:r>
            <w:r>
              <w:rPr>
                <w:noProof/>
                <w:webHidden/>
              </w:rPr>
              <w:t>10</w:t>
            </w:r>
            <w:r>
              <w:rPr>
                <w:noProof/>
                <w:webHidden/>
              </w:rPr>
              <w:fldChar w:fldCharType="end"/>
            </w:r>
          </w:hyperlink>
        </w:p>
        <w:p w14:paraId="526788C4" w14:textId="57C861F0" w:rsidR="00EF6C6D" w:rsidRDefault="00EF6C6D">
          <w:pPr>
            <w:pStyle w:val="TOC1"/>
            <w:rPr>
              <w:noProof/>
              <w:kern w:val="2"/>
              <w:sz w:val="24"/>
              <w:szCs w:val="24"/>
              <w:lang w:val="ro-RO" w:eastAsia="ro-RO"/>
              <w14:ligatures w14:val="standardContextual"/>
            </w:rPr>
          </w:pPr>
          <w:hyperlink w:anchor="_Toc234790661" w:history="1">
            <w:r w:rsidRPr="00791ADA">
              <w:rPr>
                <w:rStyle w:val="Hyperlink"/>
                <w:rFonts w:ascii="Arial" w:hAnsi="Arial" w:cs="Arial"/>
                <w:noProof/>
              </w:rPr>
              <w:t>7. Implementation and Monitoring</w:t>
            </w:r>
            <w:r>
              <w:rPr>
                <w:noProof/>
                <w:webHidden/>
              </w:rPr>
              <w:tab/>
            </w:r>
            <w:r>
              <w:rPr>
                <w:noProof/>
                <w:webHidden/>
              </w:rPr>
              <w:fldChar w:fldCharType="begin"/>
            </w:r>
            <w:r>
              <w:rPr>
                <w:noProof/>
                <w:webHidden/>
              </w:rPr>
              <w:instrText xml:space="preserve"> PAGEREF _Toc234790661 \h </w:instrText>
            </w:r>
            <w:r>
              <w:rPr>
                <w:noProof/>
                <w:webHidden/>
              </w:rPr>
            </w:r>
            <w:r>
              <w:rPr>
                <w:noProof/>
                <w:webHidden/>
              </w:rPr>
              <w:fldChar w:fldCharType="separate"/>
            </w:r>
            <w:r>
              <w:rPr>
                <w:noProof/>
                <w:webHidden/>
              </w:rPr>
              <w:t>11</w:t>
            </w:r>
            <w:r>
              <w:rPr>
                <w:noProof/>
                <w:webHidden/>
              </w:rPr>
              <w:fldChar w:fldCharType="end"/>
            </w:r>
          </w:hyperlink>
        </w:p>
        <w:p w14:paraId="68F6AF47" w14:textId="76EEC6A2" w:rsidR="00EF6C6D" w:rsidRDefault="00EF6C6D">
          <w:pPr>
            <w:pStyle w:val="TOC1"/>
            <w:rPr>
              <w:noProof/>
              <w:kern w:val="2"/>
              <w:sz w:val="24"/>
              <w:szCs w:val="24"/>
              <w:lang w:val="ro-RO" w:eastAsia="ro-RO"/>
              <w14:ligatures w14:val="standardContextual"/>
            </w:rPr>
          </w:pPr>
          <w:hyperlink w:anchor="_Toc234790662" w:history="1">
            <w:r w:rsidRPr="00791ADA">
              <w:rPr>
                <w:rStyle w:val="Hyperlink"/>
                <w:rFonts w:ascii="Arial" w:hAnsi="Arial" w:cs="Arial"/>
                <w:noProof/>
              </w:rPr>
              <w:t>8. Strategic Foresight (2026–2035)</w:t>
            </w:r>
            <w:r>
              <w:rPr>
                <w:noProof/>
                <w:webHidden/>
              </w:rPr>
              <w:tab/>
            </w:r>
            <w:r>
              <w:rPr>
                <w:noProof/>
                <w:webHidden/>
              </w:rPr>
              <w:fldChar w:fldCharType="begin"/>
            </w:r>
            <w:r>
              <w:rPr>
                <w:noProof/>
                <w:webHidden/>
              </w:rPr>
              <w:instrText xml:space="preserve"> PAGEREF _Toc234790662 \h </w:instrText>
            </w:r>
            <w:r>
              <w:rPr>
                <w:noProof/>
                <w:webHidden/>
              </w:rPr>
            </w:r>
            <w:r>
              <w:rPr>
                <w:noProof/>
                <w:webHidden/>
              </w:rPr>
              <w:fldChar w:fldCharType="separate"/>
            </w:r>
            <w:r>
              <w:rPr>
                <w:noProof/>
                <w:webHidden/>
              </w:rPr>
              <w:t>11</w:t>
            </w:r>
            <w:r>
              <w:rPr>
                <w:noProof/>
                <w:webHidden/>
              </w:rPr>
              <w:fldChar w:fldCharType="end"/>
            </w:r>
          </w:hyperlink>
        </w:p>
        <w:p w14:paraId="5AAF1C18" w14:textId="621EDF2D" w:rsidR="00EF6C6D" w:rsidRDefault="00EF6C6D">
          <w:pPr>
            <w:pStyle w:val="TOC1"/>
            <w:rPr>
              <w:noProof/>
              <w:kern w:val="2"/>
              <w:sz w:val="24"/>
              <w:szCs w:val="24"/>
              <w:lang w:val="ro-RO" w:eastAsia="ro-RO"/>
              <w14:ligatures w14:val="standardContextual"/>
            </w:rPr>
          </w:pPr>
          <w:hyperlink w:anchor="_Toc234790663" w:history="1">
            <w:r w:rsidRPr="00791ADA">
              <w:rPr>
                <w:rStyle w:val="Hyperlink"/>
                <w:rFonts w:ascii="Arial" w:hAnsi="Arial" w:cs="Arial"/>
                <w:noProof/>
              </w:rPr>
              <w:t>9. Conclusion</w:t>
            </w:r>
            <w:r>
              <w:rPr>
                <w:noProof/>
                <w:webHidden/>
              </w:rPr>
              <w:tab/>
            </w:r>
            <w:r>
              <w:rPr>
                <w:noProof/>
                <w:webHidden/>
              </w:rPr>
              <w:fldChar w:fldCharType="begin"/>
            </w:r>
            <w:r>
              <w:rPr>
                <w:noProof/>
                <w:webHidden/>
              </w:rPr>
              <w:instrText xml:space="preserve"> PAGEREF _Toc234790663 \h </w:instrText>
            </w:r>
            <w:r>
              <w:rPr>
                <w:noProof/>
                <w:webHidden/>
              </w:rPr>
            </w:r>
            <w:r>
              <w:rPr>
                <w:noProof/>
                <w:webHidden/>
              </w:rPr>
              <w:fldChar w:fldCharType="separate"/>
            </w:r>
            <w:r>
              <w:rPr>
                <w:noProof/>
                <w:webHidden/>
              </w:rPr>
              <w:t>12</w:t>
            </w:r>
            <w:r>
              <w:rPr>
                <w:noProof/>
                <w:webHidden/>
              </w:rPr>
              <w:fldChar w:fldCharType="end"/>
            </w:r>
          </w:hyperlink>
        </w:p>
        <w:p w14:paraId="0AD5B4BD" w14:textId="11B05A72" w:rsidR="00EF6C6D" w:rsidRDefault="00EF6C6D" w:rsidP="00EF6C6D">
          <w:pPr>
            <w:pStyle w:val="TOC2"/>
            <w:rPr>
              <w:noProof/>
              <w:kern w:val="2"/>
              <w:sz w:val="24"/>
              <w:szCs w:val="24"/>
              <w:lang w:val="ro-RO" w:eastAsia="ro-RO"/>
              <w14:ligatures w14:val="standardContextual"/>
            </w:rPr>
          </w:pPr>
          <w:hyperlink w:anchor="_Toc234790664" w:history="1">
            <w:r w:rsidRPr="00791AD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_Toc234790664 \h </w:instrText>
            </w:r>
            <w:r>
              <w:rPr>
                <w:noProof/>
                <w:webHidden/>
              </w:rPr>
            </w:r>
            <w:r>
              <w:rPr>
                <w:noProof/>
                <w:webHidden/>
              </w:rPr>
              <w:fldChar w:fldCharType="separate"/>
            </w:r>
            <w:r>
              <w:rPr>
                <w:noProof/>
                <w:webHidden/>
              </w:rPr>
              <w:t>12</w:t>
            </w:r>
            <w:r>
              <w:rPr>
                <w:noProof/>
                <w:webHidden/>
              </w:rPr>
              <w:fldChar w:fldCharType="end"/>
            </w:r>
          </w:hyperlink>
        </w:p>
        <w:p w14:paraId="43837F57" w14:textId="1E7F18A5" w:rsidR="00EF6C6D" w:rsidRDefault="00EF6C6D" w:rsidP="00EF6C6D">
          <w:pPr>
            <w:pStyle w:val="TOC2"/>
            <w:rPr>
              <w:noProof/>
              <w:kern w:val="2"/>
              <w:sz w:val="24"/>
              <w:szCs w:val="24"/>
              <w:lang w:val="ro-RO" w:eastAsia="ro-RO"/>
              <w14:ligatures w14:val="standardContextual"/>
            </w:rPr>
          </w:pPr>
          <w:hyperlink w:anchor="_Toc234790665" w:history="1">
            <w:r w:rsidRPr="00791ADA">
              <w:rPr>
                <w:rStyle w:val="Hyperlink"/>
                <w:rFonts w:ascii="Arial" w:hAnsi="Arial" w:cs="Arial"/>
                <w:noProof/>
              </w:rPr>
              <w:t>Appendix A1 – PESTEL Analysis Table</w:t>
            </w:r>
            <w:r>
              <w:rPr>
                <w:noProof/>
                <w:webHidden/>
              </w:rPr>
              <w:tab/>
            </w:r>
            <w:r>
              <w:rPr>
                <w:noProof/>
                <w:webHidden/>
              </w:rPr>
              <w:fldChar w:fldCharType="begin"/>
            </w:r>
            <w:r>
              <w:rPr>
                <w:noProof/>
                <w:webHidden/>
              </w:rPr>
              <w:instrText xml:space="preserve"> PAGEREF _Toc234790665 \h </w:instrText>
            </w:r>
            <w:r>
              <w:rPr>
                <w:noProof/>
                <w:webHidden/>
              </w:rPr>
            </w:r>
            <w:r>
              <w:rPr>
                <w:noProof/>
                <w:webHidden/>
              </w:rPr>
              <w:fldChar w:fldCharType="separate"/>
            </w:r>
            <w:r>
              <w:rPr>
                <w:noProof/>
                <w:webHidden/>
              </w:rPr>
              <w:t>16</w:t>
            </w:r>
            <w:r>
              <w:rPr>
                <w:noProof/>
                <w:webHidden/>
              </w:rPr>
              <w:fldChar w:fldCharType="end"/>
            </w:r>
          </w:hyperlink>
        </w:p>
        <w:p w14:paraId="26B90DCA" w14:textId="3930B452" w:rsidR="00EF6C6D" w:rsidRDefault="00EF6C6D" w:rsidP="00EF6C6D">
          <w:pPr>
            <w:pStyle w:val="TOC2"/>
            <w:rPr>
              <w:noProof/>
              <w:kern w:val="2"/>
              <w:sz w:val="24"/>
              <w:szCs w:val="24"/>
              <w:lang w:val="ro-RO" w:eastAsia="ro-RO"/>
              <w14:ligatures w14:val="standardContextual"/>
            </w:rPr>
          </w:pPr>
          <w:hyperlink w:anchor="_Toc234790666" w:history="1">
            <w:r w:rsidRPr="00791ADA">
              <w:rPr>
                <w:rStyle w:val="Hyperlink"/>
                <w:rFonts w:ascii="Arial" w:hAnsi="Arial" w:cs="Arial"/>
                <w:noProof/>
              </w:rPr>
              <w:t>Appendix A2 – Porter's Five Forces Table</w:t>
            </w:r>
            <w:r>
              <w:rPr>
                <w:noProof/>
                <w:webHidden/>
              </w:rPr>
              <w:tab/>
            </w:r>
            <w:r>
              <w:rPr>
                <w:noProof/>
                <w:webHidden/>
              </w:rPr>
              <w:fldChar w:fldCharType="begin"/>
            </w:r>
            <w:r>
              <w:rPr>
                <w:noProof/>
                <w:webHidden/>
              </w:rPr>
              <w:instrText xml:space="preserve"> PAGEREF _Toc234790666 \h </w:instrText>
            </w:r>
            <w:r>
              <w:rPr>
                <w:noProof/>
                <w:webHidden/>
              </w:rPr>
            </w:r>
            <w:r>
              <w:rPr>
                <w:noProof/>
                <w:webHidden/>
              </w:rPr>
              <w:fldChar w:fldCharType="separate"/>
            </w:r>
            <w:r>
              <w:rPr>
                <w:noProof/>
                <w:webHidden/>
              </w:rPr>
              <w:t>17</w:t>
            </w:r>
            <w:r>
              <w:rPr>
                <w:noProof/>
                <w:webHidden/>
              </w:rPr>
              <w:fldChar w:fldCharType="end"/>
            </w:r>
          </w:hyperlink>
        </w:p>
        <w:p w14:paraId="2452C86A" w14:textId="57495545" w:rsidR="00EF6C6D" w:rsidRDefault="00EF6C6D" w:rsidP="00EF6C6D">
          <w:pPr>
            <w:pStyle w:val="TOC2"/>
            <w:rPr>
              <w:noProof/>
              <w:kern w:val="2"/>
              <w:sz w:val="24"/>
              <w:szCs w:val="24"/>
              <w:lang w:val="ro-RO" w:eastAsia="ro-RO"/>
              <w14:ligatures w14:val="standardContextual"/>
            </w:rPr>
          </w:pPr>
          <w:hyperlink w:anchor="_Toc234790667" w:history="1">
            <w:r w:rsidRPr="00791ADA">
              <w:rPr>
                <w:rStyle w:val="Hyperlink"/>
                <w:rFonts w:ascii="Arial" w:hAnsi="Arial" w:cs="Arial"/>
                <w:noProof/>
              </w:rPr>
              <w:t>Appendix A3 – VRIO Analysis Table</w:t>
            </w:r>
            <w:r>
              <w:rPr>
                <w:noProof/>
                <w:webHidden/>
              </w:rPr>
              <w:tab/>
            </w:r>
            <w:r>
              <w:rPr>
                <w:noProof/>
                <w:webHidden/>
              </w:rPr>
              <w:fldChar w:fldCharType="begin"/>
            </w:r>
            <w:r>
              <w:rPr>
                <w:noProof/>
                <w:webHidden/>
              </w:rPr>
              <w:instrText xml:space="preserve"> PAGEREF _Toc234790667 \h </w:instrText>
            </w:r>
            <w:r>
              <w:rPr>
                <w:noProof/>
                <w:webHidden/>
              </w:rPr>
            </w:r>
            <w:r>
              <w:rPr>
                <w:noProof/>
                <w:webHidden/>
              </w:rPr>
              <w:fldChar w:fldCharType="separate"/>
            </w:r>
            <w:r>
              <w:rPr>
                <w:noProof/>
                <w:webHidden/>
              </w:rPr>
              <w:t>18</w:t>
            </w:r>
            <w:r>
              <w:rPr>
                <w:noProof/>
                <w:webHidden/>
              </w:rPr>
              <w:fldChar w:fldCharType="end"/>
            </w:r>
          </w:hyperlink>
        </w:p>
        <w:p w14:paraId="16DF4FAB" w14:textId="7D91C61C" w:rsidR="00EF6C6D" w:rsidRDefault="00EF6C6D" w:rsidP="00EF6C6D">
          <w:pPr>
            <w:pStyle w:val="TOC2"/>
            <w:rPr>
              <w:noProof/>
              <w:kern w:val="2"/>
              <w:sz w:val="24"/>
              <w:szCs w:val="24"/>
              <w:lang w:val="ro-RO" w:eastAsia="ro-RO"/>
              <w14:ligatures w14:val="standardContextual"/>
            </w:rPr>
          </w:pPr>
          <w:hyperlink w:anchor="_Toc234790668" w:history="1">
            <w:r w:rsidRPr="00791ADA">
              <w:rPr>
                <w:rStyle w:val="Hyperlink"/>
                <w:rFonts w:ascii="Arial" w:hAnsi="Arial" w:cs="Arial"/>
                <w:noProof/>
              </w:rPr>
              <w:t>Appendix A4 – SWOT Analysis Table</w:t>
            </w:r>
            <w:r>
              <w:rPr>
                <w:noProof/>
                <w:webHidden/>
              </w:rPr>
              <w:tab/>
            </w:r>
            <w:r>
              <w:rPr>
                <w:noProof/>
                <w:webHidden/>
              </w:rPr>
              <w:fldChar w:fldCharType="begin"/>
            </w:r>
            <w:r>
              <w:rPr>
                <w:noProof/>
                <w:webHidden/>
              </w:rPr>
              <w:instrText xml:space="preserve"> PAGEREF _Toc234790668 \h </w:instrText>
            </w:r>
            <w:r>
              <w:rPr>
                <w:noProof/>
                <w:webHidden/>
              </w:rPr>
            </w:r>
            <w:r>
              <w:rPr>
                <w:noProof/>
                <w:webHidden/>
              </w:rPr>
              <w:fldChar w:fldCharType="separate"/>
            </w:r>
            <w:r>
              <w:rPr>
                <w:noProof/>
                <w:webHidden/>
              </w:rPr>
              <w:t>19</w:t>
            </w:r>
            <w:r>
              <w:rPr>
                <w:noProof/>
                <w:webHidden/>
              </w:rPr>
              <w:fldChar w:fldCharType="end"/>
            </w:r>
          </w:hyperlink>
        </w:p>
        <w:p w14:paraId="10001FB3" w14:textId="6E99B259" w:rsidR="00EF6C6D" w:rsidRDefault="00EF6C6D" w:rsidP="00EF6C6D">
          <w:pPr>
            <w:pStyle w:val="TOC2"/>
            <w:rPr>
              <w:noProof/>
              <w:kern w:val="2"/>
              <w:sz w:val="24"/>
              <w:szCs w:val="24"/>
              <w:lang w:val="ro-RO" w:eastAsia="ro-RO"/>
              <w14:ligatures w14:val="standardContextual"/>
            </w:rPr>
          </w:pPr>
          <w:hyperlink w:anchor="_Toc234790669" w:history="1">
            <w:r w:rsidRPr="00791ADA">
              <w:rPr>
                <w:rStyle w:val="Hyperlink"/>
                <w:rFonts w:ascii="Arial" w:hAnsi="Arial" w:cs="Arial"/>
                <w:noProof/>
              </w:rPr>
              <w:t>Appendix A5 – TOWS Matrix Table</w:t>
            </w:r>
            <w:r>
              <w:rPr>
                <w:noProof/>
                <w:webHidden/>
              </w:rPr>
              <w:tab/>
            </w:r>
            <w:r>
              <w:rPr>
                <w:noProof/>
                <w:webHidden/>
              </w:rPr>
              <w:fldChar w:fldCharType="begin"/>
            </w:r>
            <w:r>
              <w:rPr>
                <w:noProof/>
                <w:webHidden/>
              </w:rPr>
              <w:instrText xml:space="preserve"> PAGEREF _Toc234790669 \h </w:instrText>
            </w:r>
            <w:r>
              <w:rPr>
                <w:noProof/>
                <w:webHidden/>
              </w:rPr>
            </w:r>
            <w:r>
              <w:rPr>
                <w:noProof/>
                <w:webHidden/>
              </w:rPr>
              <w:fldChar w:fldCharType="separate"/>
            </w:r>
            <w:r>
              <w:rPr>
                <w:noProof/>
                <w:webHidden/>
              </w:rPr>
              <w:t>19</w:t>
            </w:r>
            <w:r>
              <w:rPr>
                <w:noProof/>
                <w:webHidden/>
              </w:rPr>
              <w:fldChar w:fldCharType="end"/>
            </w:r>
          </w:hyperlink>
        </w:p>
        <w:p w14:paraId="6FCCE1ED" w14:textId="74BC3112" w:rsidR="00EF6C6D" w:rsidRDefault="00EF6C6D" w:rsidP="00EF6C6D">
          <w:pPr>
            <w:pStyle w:val="TOC2"/>
            <w:rPr>
              <w:noProof/>
              <w:kern w:val="2"/>
              <w:sz w:val="24"/>
              <w:szCs w:val="24"/>
              <w:lang w:val="ro-RO" w:eastAsia="ro-RO"/>
              <w14:ligatures w14:val="standardContextual"/>
            </w:rPr>
          </w:pPr>
          <w:hyperlink w:anchor="_Toc234790670" w:history="1">
            <w:r w:rsidRPr="00791ADA">
              <w:rPr>
                <w:rStyle w:val="Hyperlink"/>
                <w:rFonts w:ascii="Arial" w:hAnsi="Arial" w:cs="Arial"/>
                <w:noProof/>
              </w:rPr>
              <w:t>Appendix A6 – Strategic Options Summary Table</w:t>
            </w:r>
            <w:r>
              <w:rPr>
                <w:noProof/>
                <w:webHidden/>
              </w:rPr>
              <w:tab/>
            </w:r>
            <w:r>
              <w:rPr>
                <w:noProof/>
                <w:webHidden/>
              </w:rPr>
              <w:fldChar w:fldCharType="begin"/>
            </w:r>
            <w:r>
              <w:rPr>
                <w:noProof/>
                <w:webHidden/>
              </w:rPr>
              <w:instrText xml:space="preserve"> PAGEREF _Toc234790670 \h </w:instrText>
            </w:r>
            <w:r>
              <w:rPr>
                <w:noProof/>
                <w:webHidden/>
              </w:rPr>
            </w:r>
            <w:r>
              <w:rPr>
                <w:noProof/>
                <w:webHidden/>
              </w:rPr>
              <w:fldChar w:fldCharType="separate"/>
            </w:r>
            <w:r>
              <w:rPr>
                <w:noProof/>
                <w:webHidden/>
              </w:rPr>
              <w:t>20</w:t>
            </w:r>
            <w:r>
              <w:rPr>
                <w:noProof/>
                <w:webHidden/>
              </w:rPr>
              <w:fldChar w:fldCharType="end"/>
            </w:r>
          </w:hyperlink>
        </w:p>
        <w:p w14:paraId="22044161" w14:textId="67F9B338" w:rsidR="00EF6C6D" w:rsidRDefault="00EF6C6D" w:rsidP="00EF6C6D">
          <w:pPr>
            <w:pStyle w:val="TOC2"/>
            <w:rPr>
              <w:noProof/>
              <w:kern w:val="2"/>
              <w:sz w:val="24"/>
              <w:szCs w:val="24"/>
              <w:lang w:val="ro-RO" w:eastAsia="ro-RO"/>
              <w14:ligatures w14:val="standardContextual"/>
            </w:rPr>
          </w:pPr>
          <w:hyperlink w:anchor="_Toc234790671" w:history="1">
            <w:r w:rsidRPr="00791ADA">
              <w:rPr>
                <w:rStyle w:val="Hyperlink"/>
                <w:rFonts w:ascii="Arial" w:hAnsi="Arial" w:cs="Arial"/>
                <w:noProof/>
              </w:rPr>
              <w:t>Appendix A7 – SFA Evaluation Table</w:t>
            </w:r>
            <w:r>
              <w:rPr>
                <w:noProof/>
                <w:webHidden/>
              </w:rPr>
              <w:tab/>
            </w:r>
            <w:r>
              <w:rPr>
                <w:noProof/>
                <w:webHidden/>
              </w:rPr>
              <w:fldChar w:fldCharType="begin"/>
            </w:r>
            <w:r>
              <w:rPr>
                <w:noProof/>
                <w:webHidden/>
              </w:rPr>
              <w:instrText xml:space="preserve"> PAGEREF _Toc234790671 \h </w:instrText>
            </w:r>
            <w:r>
              <w:rPr>
                <w:noProof/>
                <w:webHidden/>
              </w:rPr>
            </w:r>
            <w:r>
              <w:rPr>
                <w:noProof/>
                <w:webHidden/>
              </w:rPr>
              <w:fldChar w:fldCharType="separate"/>
            </w:r>
            <w:r>
              <w:rPr>
                <w:noProof/>
                <w:webHidden/>
              </w:rPr>
              <w:t>21</w:t>
            </w:r>
            <w:r>
              <w:rPr>
                <w:noProof/>
                <w:webHidden/>
              </w:rPr>
              <w:fldChar w:fldCharType="end"/>
            </w:r>
          </w:hyperlink>
        </w:p>
        <w:p w14:paraId="184CD885" w14:textId="247E535E" w:rsidR="00EF6C6D" w:rsidRDefault="00EF6C6D" w:rsidP="00EF6C6D">
          <w:pPr>
            <w:pStyle w:val="TOC2"/>
            <w:rPr>
              <w:noProof/>
              <w:kern w:val="2"/>
              <w:sz w:val="24"/>
              <w:szCs w:val="24"/>
              <w:lang w:val="ro-RO" w:eastAsia="ro-RO"/>
              <w14:ligatures w14:val="standardContextual"/>
            </w:rPr>
          </w:pPr>
          <w:hyperlink w:anchor="_Toc234790672" w:history="1">
            <w:r w:rsidRPr="00791ADA">
              <w:rPr>
                <w:rStyle w:val="Hyperlink"/>
                <w:rFonts w:ascii="Arial" w:hAnsi="Arial" w:cs="Arial"/>
                <w:noProof/>
              </w:rPr>
              <w:t>Appendix A8 – Implementation and Monitoring Plan</w:t>
            </w:r>
            <w:r>
              <w:rPr>
                <w:noProof/>
                <w:webHidden/>
              </w:rPr>
              <w:tab/>
            </w:r>
            <w:r>
              <w:rPr>
                <w:noProof/>
                <w:webHidden/>
              </w:rPr>
              <w:fldChar w:fldCharType="begin"/>
            </w:r>
            <w:r>
              <w:rPr>
                <w:noProof/>
                <w:webHidden/>
              </w:rPr>
              <w:instrText xml:space="preserve"> PAGEREF _Toc234790672 \h </w:instrText>
            </w:r>
            <w:r>
              <w:rPr>
                <w:noProof/>
                <w:webHidden/>
              </w:rPr>
            </w:r>
            <w:r>
              <w:rPr>
                <w:noProof/>
                <w:webHidden/>
              </w:rPr>
              <w:fldChar w:fldCharType="separate"/>
            </w:r>
            <w:r>
              <w:rPr>
                <w:noProof/>
                <w:webHidden/>
              </w:rPr>
              <w:t>22</w:t>
            </w:r>
            <w:r>
              <w:rPr>
                <w:noProof/>
                <w:webHidden/>
              </w:rPr>
              <w:fldChar w:fldCharType="end"/>
            </w:r>
          </w:hyperlink>
        </w:p>
        <w:p w14:paraId="571B1538" w14:textId="459EF6A0" w:rsidR="00EF6C6D" w:rsidRDefault="00EF6C6D" w:rsidP="00EF6C6D">
          <w:pPr>
            <w:pStyle w:val="TOC2"/>
            <w:rPr>
              <w:noProof/>
              <w:kern w:val="2"/>
              <w:sz w:val="24"/>
              <w:szCs w:val="24"/>
              <w:lang w:val="ro-RO" w:eastAsia="ro-RO"/>
              <w14:ligatures w14:val="standardContextual"/>
            </w:rPr>
          </w:pPr>
          <w:hyperlink w:anchor="_Toc234790673" w:history="1">
            <w:r w:rsidRPr="00791ADA">
              <w:rPr>
                <w:rStyle w:val="Hyperlink"/>
                <w:rFonts w:ascii="Arial" w:hAnsi="Arial" w:cs="Arial"/>
                <w:noProof/>
              </w:rPr>
              <w:t>Appendix A9 – Mendelow's Stakeholder Matrix (Descriptive)</w:t>
            </w:r>
            <w:r>
              <w:rPr>
                <w:noProof/>
                <w:webHidden/>
              </w:rPr>
              <w:tab/>
            </w:r>
            <w:r>
              <w:rPr>
                <w:noProof/>
                <w:webHidden/>
              </w:rPr>
              <w:fldChar w:fldCharType="begin"/>
            </w:r>
            <w:r>
              <w:rPr>
                <w:noProof/>
                <w:webHidden/>
              </w:rPr>
              <w:instrText xml:space="preserve"> PAGEREF _Toc234790673 \h </w:instrText>
            </w:r>
            <w:r>
              <w:rPr>
                <w:noProof/>
                <w:webHidden/>
              </w:rPr>
            </w:r>
            <w:r>
              <w:rPr>
                <w:noProof/>
                <w:webHidden/>
              </w:rPr>
              <w:fldChar w:fldCharType="separate"/>
            </w:r>
            <w:r>
              <w:rPr>
                <w:noProof/>
                <w:webHidden/>
              </w:rPr>
              <w:t>23</w:t>
            </w:r>
            <w:r>
              <w:rPr>
                <w:noProof/>
                <w:webHidden/>
              </w:rPr>
              <w:fldChar w:fldCharType="end"/>
            </w:r>
          </w:hyperlink>
        </w:p>
        <w:p w14:paraId="78A5E847" w14:textId="4509FA4F" w:rsidR="00762F04" w:rsidRPr="00EF6C6D" w:rsidRDefault="00762F04" w:rsidP="00EF6C6D">
          <w:pPr>
            <w:spacing w:line="360" w:lineRule="auto"/>
            <w:jc w:val="both"/>
            <w:rPr>
              <w:rFonts w:ascii="Arial" w:hAnsi="Arial" w:cs="Arial"/>
            </w:rPr>
          </w:pPr>
          <w:r w:rsidRPr="00EF6C6D">
            <w:rPr>
              <w:rFonts w:ascii="Arial" w:hAnsi="Arial" w:cs="Arial"/>
              <w:noProof/>
            </w:rPr>
            <w:fldChar w:fldCharType="end"/>
          </w:r>
        </w:p>
      </w:sdtContent>
    </w:sdt>
    <w:p w14:paraId="0FCCEEC5" w14:textId="77777777" w:rsidR="00762F04" w:rsidRPr="00EF6C6D" w:rsidRDefault="00762F04" w:rsidP="00EF6C6D">
      <w:pPr>
        <w:pStyle w:val="Heading1"/>
        <w:spacing w:before="0" w:line="360" w:lineRule="auto"/>
        <w:jc w:val="both"/>
        <w:rPr>
          <w:rFonts w:ascii="Arial" w:hAnsi="Arial" w:cs="Arial"/>
          <w:b w:val="0"/>
          <w:bCs w:val="0"/>
          <w:sz w:val="22"/>
          <w:szCs w:val="22"/>
        </w:rPr>
      </w:pPr>
    </w:p>
    <w:p w14:paraId="5633B389" w14:textId="6255F984" w:rsidR="00617A93" w:rsidRPr="00EF6C6D" w:rsidRDefault="00762F04" w:rsidP="00EF6C6D">
      <w:pPr>
        <w:pStyle w:val="Heading2"/>
        <w:spacing w:line="360" w:lineRule="auto"/>
        <w:rPr>
          <w:rFonts w:ascii="Arial" w:hAnsi="Arial" w:cs="Arial"/>
          <w:color w:val="365F91" w:themeColor="accent1" w:themeShade="BF"/>
        </w:rPr>
      </w:pPr>
      <w:r w:rsidRPr="00EF6C6D">
        <w:rPr>
          <w:rFonts w:ascii="Arial" w:hAnsi="Arial" w:cs="Arial"/>
          <w:sz w:val="22"/>
          <w:szCs w:val="22"/>
        </w:rPr>
        <w:br w:type="page"/>
      </w:r>
      <w:bookmarkStart w:id="0" w:name="_Toc234790647"/>
      <w:r w:rsidR="00376204" w:rsidRPr="00EF6C6D">
        <w:lastRenderedPageBreak/>
        <w:t xml:space="preserve">1. Introduction to </w:t>
      </w:r>
      <w:proofErr w:type="spellStart"/>
      <w:r w:rsidR="00376204" w:rsidRPr="00EF6C6D">
        <w:t>VodafoneThree</w:t>
      </w:r>
      <w:bookmarkEnd w:id="0"/>
      <w:proofErr w:type="spellEnd"/>
    </w:p>
    <w:p w14:paraId="187B5F9F" w14:textId="77777777" w:rsidR="00617A93" w:rsidRPr="00EF6C6D" w:rsidRDefault="00000000" w:rsidP="00EF6C6D">
      <w:pPr>
        <w:spacing w:after="0" w:line="360" w:lineRule="auto"/>
        <w:jc w:val="both"/>
        <w:rPr>
          <w:rFonts w:ascii="Arial" w:hAnsi="Arial" w:cs="Arial"/>
        </w:rPr>
      </w:pPr>
      <w:r w:rsidRPr="00EF6C6D">
        <w:rPr>
          <w:rFonts w:ascii="Arial" w:hAnsi="Arial" w:cs="Arial"/>
        </w:rPr>
        <w:t xml:space="preserve">Vodafone Group Plc is one of Europe's largest telecommunications operators, providing mobile, broadband, cloud and digital services across Europe and Africa. The defining development for the UK business is the merger of Vodafone UK and Three UK, which formed </w:t>
      </w:r>
      <w:proofErr w:type="spellStart"/>
      <w:r w:rsidRPr="00EF6C6D">
        <w:rPr>
          <w:rFonts w:ascii="Arial" w:hAnsi="Arial" w:cs="Arial"/>
        </w:rPr>
        <w:t>VodafoneThree</w:t>
      </w:r>
      <w:proofErr w:type="spellEnd"/>
      <w:r w:rsidRPr="00EF6C6D">
        <w:rPr>
          <w:rFonts w:ascii="Arial" w:hAnsi="Arial" w:cs="Arial"/>
        </w:rPr>
        <w:t xml:space="preserve">. The merger created the UK's largest mobile operator by subscriber base and marked a significant strategic transformation in the UK telecommunications market. This report evaluates </w:t>
      </w:r>
      <w:proofErr w:type="spellStart"/>
      <w:r w:rsidRPr="00EF6C6D">
        <w:rPr>
          <w:rFonts w:ascii="Arial" w:hAnsi="Arial" w:cs="Arial"/>
        </w:rPr>
        <w:t>VodafoneThree's</w:t>
      </w:r>
      <w:proofErr w:type="spellEnd"/>
      <w:r w:rsidRPr="00EF6C6D">
        <w:rPr>
          <w:rFonts w:ascii="Arial" w:hAnsi="Arial" w:cs="Arial"/>
        </w:rPr>
        <w:t xml:space="preserve"> strategic position using PESTEL, Porter's Five Forces, VRIO, SWOT, TOWS and SFA before recommending an evidence-based long-term growth strategy supported by strategic foresight.</w:t>
      </w:r>
    </w:p>
    <w:p w14:paraId="501009DD" w14:textId="5775D634" w:rsidR="00617A93" w:rsidRPr="00EF6C6D" w:rsidRDefault="00376204" w:rsidP="00EF6C6D">
      <w:pPr>
        <w:pStyle w:val="Heading1"/>
        <w:spacing w:before="0" w:line="360" w:lineRule="auto"/>
        <w:jc w:val="both"/>
        <w:rPr>
          <w:rFonts w:ascii="Arial" w:hAnsi="Arial" w:cs="Arial"/>
          <w:sz w:val="22"/>
          <w:szCs w:val="22"/>
        </w:rPr>
      </w:pPr>
      <w:bookmarkStart w:id="1" w:name="_Toc234790648"/>
      <w:r w:rsidRPr="00EF6C6D">
        <w:rPr>
          <w:rFonts w:ascii="Arial" w:hAnsi="Arial" w:cs="Arial"/>
          <w:sz w:val="22"/>
          <w:szCs w:val="22"/>
        </w:rPr>
        <w:t>2. Evaluation of the Current Market Situation</w:t>
      </w:r>
      <w:bookmarkEnd w:id="1"/>
    </w:p>
    <w:p w14:paraId="1257387B" w14:textId="55F0D833" w:rsidR="00617A93" w:rsidRPr="00EF6C6D" w:rsidRDefault="00376204" w:rsidP="00EF6C6D">
      <w:pPr>
        <w:pStyle w:val="Heading2"/>
        <w:spacing w:before="0" w:line="360" w:lineRule="auto"/>
        <w:jc w:val="both"/>
        <w:rPr>
          <w:rFonts w:ascii="Arial" w:hAnsi="Arial" w:cs="Arial"/>
          <w:sz w:val="22"/>
          <w:szCs w:val="22"/>
        </w:rPr>
      </w:pPr>
      <w:bookmarkStart w:id="2" w:name="_Toc234790649"/>
      <w:r w:rsidRPr="00EF6C6D">
        <w:rPr>
          <w:rFonts w:ascii="Arial" w:hAnsi="Arial" w:cs="Arial"/>
          <w:sz w:val="22"/>
          <w:szCs w:val="22"/>
        </w:rPr>
        <w:t>2</w:t>
      </w:r>
      <w:r w:rsidR="009409B8" w:rsidRPr="00EF6C6D">
        <w:rPr>
          <w:rFonts w:ascii="Arial" w:hAnsi="Arial" w:cs="Arial"/>
          <w:sz w:val="22"/>
          <w:szCs w:val="22"/>
        </w:rPr>
        <w:t>.1 PESTEL Analysis</w:t>
      </w:r>
      <w:bookmarkEnd w:id="2"/>
    </w:p>
    <w:p w14:paraId="371E8E51" w14:textId="77777777" w:rsidR="00685B03" w:rsidRPr="00EF6C6D" w:rsidRDefault="00000000" w:rsidP="00EF6C6D">
      <w:pPr>
        <w:spacing w:after="0" w:line="360" w:lineRule="auto"/>
        <w:rPr>
          <w:rFonts w:ascii="Arial" w:hAnsi="Arial" w:cs="Arial"/>
        </w:rPr>
      </w:pPr>
      <w:r w:rsidRPr="00EF6C6D">
        <w:rPr>
          <w:rFonts w:ascii="Arial" w:hAnsi="Arial" w:cs="Arial"/>
        </w:rPr>
        <w:t xml:space="preserve">A combination of complementary strategic tools is used to evaluate </w:t>
      </w:r>
      <w:proofErr w:type="spellStart"/>
      <w:r w:rsidRPr="00EF6C6D">
        <w:rPr>
          <w:rFonts w:ascii="Arial" w:hAnsi="Arial" w:cs="Arial"/>
        </w:rPr>
        <w:t>VodafoneThree</w:t>
      </w:r>
      <w:proofErr w:type="spellEnd"/>
      <w:r w:rsidRPr="00EF6C6D">
        <w:rPr>
          <w:rFonts w:ascii="Arial" w:hAnsi="Arial" w:cs="Arial"/>
        </w:rPr>
        <w:t xml:space="preserve"> from both external and internal perspectives before developing strategic recommendations.</w:t>
      </w:r>
    </w:p>
    <w:p w14:paraId="2A4685C8" w14:textId="77777777" w:rsidR="00685B03" w:rsidRPr="00EF6C6D" w:rsidRDefault="00000000" w:rsidP="00EF6C6D">
      <w:pPr>
        <w:spacing w:after="0" w:line="360" w:lineRule="auto"/>
        <w:rPr>
          <w:rFonts w:ascii="Arial" w:hAnsi="Arial" w:cs="Arial"/>
        </w:rPr>
      </w:pPr>
      <w:r w:rsidRPr="00EF6C6D">
        <w:rPr>
          <w:rFonts w:ascii="Arial" w:hAnsi="Arial" w:cs="Arial"/>
        </w:rPr>
        <w:t xml:space="preserve">While the PESTEL analysis offers a structured overview of the macro-environmental forces shaping </w:t>
      </w:r>
      <w:proofErr w:type="spellStart"/>
      <w:r w:rsidRPr="00EF6C6D">
        <w:rPr>
          <w:rFonts w:ascii="Arial" w:hAnsi="Arial" w:cs="Arial"/>
        </w:rPr>
        <w:t>VodafoneThree’s</w:t>
      </w:r>
      <w:proofErr w:type="spellEnd"/>
      <w:r w:rsidRPr="00EF6C6D">
        <w:rPr>
          <w:rFonts w:ascii="Arial" w:hAnsi="Arial" w:cs="Arial"/>
        </w:rPr>
        <w:t xml:space="preserve"> context, it also has important limitations that must be </w:t>
      </w:r>
      <w:proofErr w:type="spellStart"/>
      <w:r w:rsidRPr="00EF6C6D">
        <w:rPr>
          <w:rFonts w:ascii="Arial" w:hAnsi="Arial" w:cs="Arial"/>
        </w:rPr>
        <w:t>recognised</w:t>
      </w:r>
      <w:proofErr w:type="spellEnd"/>
      <w:r w:rsidRPr="00EF6C6D">
        <w:rPr>
          <w:rFonts w:ascii="Arial" w:hAnsi="Arial" w:cs="Arial"/>
        </w:rPr>
        <w:t>. PESTEL focuses exclusively on external factors and therefore provides only one side of the strategic story, leaving internal capabilities, competitive dynamics and execution risks to be addressed through complementary tools such as VRIO, Five Forces and SWOT. In addition, the analysis is inherently time-</w:t>
      </w:r>
      <w:proofErr w:type="gramStart"/>
      <w:r w:rsidRPr="00EF6C6D">
        <w:rPr>
          <w:rFonts w:ascii="Arial" w:hAnsi="Arial" w:cs="Arial"/>
        </w:rPr>
        <w:t>bound:</w:t>
      </w:r>
      <w:proofErr w:type="gramEnd"/>
      <w:r w:rsidRPr="00EF6C6D">
        <w:rPr>
          <w:rFonts w:ascii="Arial" w:hAnsi="Arial" w:cs="Arial"/>
        </w:rPr>
        <w:t xml:space="preserve"> political, regulatory and technological variables in UK telecommunications and AI-enabled health connectivity can change rapidly, meaning that conclusions drawn from today’s data may become outdated and require frequent reassessment. Finally, PESTEL relies on subjective interpretation of complex macro trends and secondary data, which raises the risk of oversimplified bullet lists that obscure relative impact and interdependencies; this reinforces the need to treat PESTEL as a starting point for deeper scenario analysis rather than a definitive forecast.</w:t>
      </w:r>
    </w:p>
    <w:p w14:paraId="6E8700A7" w14:textId="77777777" w:rsidR="00617A93" w:rsidRPr="00EF6C6D" w:rsidRDefault="00B56580" w:rsidP="00EF6C6D">
      <w:pPr>
        <w:spacing w:after="0" w:line="360" w:lineRule="auto"/>
        <w:jc w:val="both"/>
        <w:rPr>
          <w:rFonts w:ascii="Arial" w:hAnsi="Arial" w:cs="Arial"/>
        </w:rPr>
      </w:pPr>
      <w:r w:rsidRPr="00EF6C6D">
        <w:rPr>
          <w:rFonts w:ascii="Arial" w:hAnsi="Arial" w:cs="Arial"/>
        </w:rPr>
        <w:t xml:space="preserve">PESTEL provides a structured way of </w:t>
      </w:r>
      <w:proofErr w:type="spellStart"/>
      <w:r w:rsidRPr="00EF6C6D">
        <w:rPr>
          <w:rFonts w:ascii="Arial" w:hAnsi="Arial" w:cs="Arial"/>
        </w:rPr>
        <w:t>analysing</w:t>
      </w:r>
      <w:proofErr w:type="spellEnd"/>
      <w:r w:rsidRPr="00EF6C6D">
        <w:rPr>
          <w:rFonts w:ascii="Arial" w:hAnsi="Arial" w:cs="Arial"/>
        </w:rPr>
        <w:t xml:space="preserve"> the external environment by examining six macro-environmental dimensions — Political, Economic, Social, Technological, Environmental and Legal — enabling strategists to map structural opportunities and threats beyond immediate competitive rivalry (Johnson, Scholes and Whittington, 2023). Full details are in Appendix A1. Politically and legally, the CMA cleared the merger subject to an eight-year Network Commitment, jointly monitored by the CMA and Ofcom, including protected tariffs on the Three, SMARTY, Vodafone and VOXI brands and MVNO whole</w:t>
      </w:r>
      <w:r w:rsidRPr="00EF6C6D">
        <w:rPr>
          <w:rFonts w:ascii="Arial" w:hAnsi="Arial" w:cs="Arial"/>
        </w:rPr>
        <w:lastRenderedPageBreak/>
        <w:t xml:space="preserve">sale access guarantees (Competition and Markets </w:t>
      </w:r>
      <w:proofErr w:type="gramStart"/>
      <w:r w:rsidRPr="00EF6C6D">
        <w:rPr>
          <w:rFonts w:ascii="Arial" w:hAnsi="Arial" w:cs="Arial"/>
        </w:rPr>
        <w:t>Authority, 2024</w:t>
      </w:r>
      <w:proofErr w:type="gramEnd"/>
      <w:r w:rsidRPr="00EF6C6D">
        <w:rPr>
          <w:rFonts w:ascii="Arial" w:hAnsi="Arial" w:cs="Arial"/>
        </w:rPr>
        <w:t xml:space="preserve">, 2025; Competition and Markets Authority and Ofcom, 2025). Economically, persistent inflation raises infrastructure costs, though </w:t>
      </w:r>
      <w:proofErr w:type="spellStart"/>
      <w:r w:rsidRPr="00EF6C6D">
        <w:rPr>
          <w:rFonts w:ascii="Arial" w:hAnsi="Arial" w:cs="Arial"/>
        </w:rPr>
        <w:t>VodafoneThree's</w:t>
      </w:r>
      <w:proofErr w:type="spellEnd"/>
      <w:r w:rsidRPr="00EF6C6D">
        <w:rPr>
          <w:rFonts w:ascii="Arial" w:hAnsi="Arial" w:cs="Arial"/>
        </w:rPr>
        <w:t xml:space="preserve"> scale allows investment to be distributed more efficiently than before. Socially, hybrid working continues to increase demand for reliable connectivity. In addition, the UK's ageing demographic — people aged 65 and over representing approximately 19% of the population (Office for National Statistics, 2023) — creates a structurally growing segment with distinct AI and IoT connectivity needs, explored fully in Section 3. Technologically, Ofcom's Connected Nations 2025 report confirms outdoor 5G reaching 97% of UK premises, shifting the competitive battleground to AI-enabled service quality (Ofcom, 2025a). Environmentally, energy-efficient infrastructure and UK data-protection compliance remain essential operating conditions.</w:t>
      </w:r>
    </w:p>
    <w:p w14:paraId="4C30ECF2" w14:textId="708146E9" w:rsidR="00617A93" w:rsidRPr="00EF6C6D" w:rsidRDefault="00376204" w:rsidP="00EF6C6D">
      <w:pPr>
        <w:pStyle w:val="Heading2"/>
        <w:spacing w:before="0" w:line="360" w:lineRule="auto"/>
        <w:jc w:val="both"/>
        <w:rPr>
          <w:rFonts w:ascii="Arial" w:hAnsi="Arial" w:cs="Arial"/>
          <w:sz w:val="22"/>
          <w:szCs w:val="22"/>
        </w:rPr>
      </w:pPr>
      <w:bookmarkStart w:id="3" w:name="_Toc234790650"/>
      <w:r w:rsidRPr="00EF6C6D">
        <w:rPr>
          <w:rFonts w:ascii="Arial" w:hAnsi="Arial" w:cs="Arial"/>
          <w:sz w:val="22"/>
          <w:szCs w:val="22"/>
        </w:rPr>
        <w:t>2</w:t>
      </w:r>
      <w:r w:rsidR="009409B8" w:rsidRPr="00EF6C6D">
        <w:rPr>
          <w:rFonts w:ascii="Arial" w:hAnsi="Arial" w:cs="Arial"/>
          <w:sz w:val="22"/>
          <w:szCs w:val="22"/>
        </w:rPr>
        <w:t>.2 Porter's Five Forces Analysis</w:t>
      </w:r>
      <w:bookmarkEnd w:id="3"/>
    </w:p>
    <w:p w14:paraId="0BFED782" w14:textId="77777777" w:rsidR="00685B03" w:rsidRPr="00EF6C6D" w:rsidRDefault="00000000" w:rsidP="00EF6C6D">
      <w:pPr>
        <w:spacing w:after="0" w:line="360" w:lineRule="auto"/>
        <w:rPr>
          <w:rFonts w:ascii="Arial" w:hAnsi="Arial" w:cs="Arial"/>
        </w:rPr>
      </w:pPr>
      <w:r w:rsidRPr="00EF6C6D">
        <w:rPr>
          <w:rFonts w:ascii="Arial" w:hAnsi="Arial" w:cs="Arial"/>
        </w:rPr>
        <w:t xml:space="preserve">Porter’s Five Forces help to clarify the structural profit pressures in UK mobile telecommunications, but the framework is subject to several limitations when applied to a fast-moving, highly regulated and technology-intensive industry. First, the model assumes relatively stable industry boundaries and focuses on competition rather than collaboration, which underplays the strategic importance of long-term partnerships with </w:t>
      </w:r>
      <w:proofErr w:type="spellStart"/>
      <w:r w:rsidRPr="00EF6C6D">
        <w:rPr>
          <w:rFonts w:ascii="Arial" w:hAnsi="Arial" w:cs="Arial"/>
        </w:rPr>
        <w:t>hyperscalers</w:t>
      </w:r>
      <w:proofErr w:type="spellEnd"/>
      <w:r w:rsidRPr="00EF6C6D">
        <w:rPr>
          <w:rFonts w:ascii="Arial" w:hAnsi="Arial" w:cs="Arial"/>
        </w:rPr>
        <w:t xml:space="preserve">, equipment vendors and the NHS in shaping </w:t>
      </w:r>
      <w:proofErr w:type="spellStart"/>
      <w:r w:rsidRPr="00EF6C6D">
        <w:rPr>
          <w:rFonts w:ascii="Arial" w:hAnsi="Arial" w:cs="Arial"/>
        </w:rPr>
        <w:t>VodafoneThree’s</w:t>
      </w:r>
      <w:proofErr w:type="spellEnd"/>
      <w:r w:rsidRPr="00EF6C6D">
        <w:rPr>
          <w:rFonts w:ascii="Arial" w:hAnsi="Arial" w:cs="Arial"/>
        </w:rPr>
        <w:t xml:space="preserve"> future profit pool. Second, Five Forces tends to treat the state mainly as a rule-setter and does not fully capture the active role of government and regulators in influencing each force through spectrum policy, merger remedies and price-transparency rules — all of which materially affect rivalry, entry barriers and buyer power in this case. Finally, the framework is largely backward-looking and qualitatively oriented, offering limited guidance on how to quantify or </w:t>
      </w:r>
      <w:proofErr w:type="spellStart"/>
      <w:r w:rsidRPr="00EF6C6D">
        <w:rPr>
          <w:rFonts w:ascii="Arial" w:hAnsi="Arial" w:cs="Arial"/>
        </w:rPr>
        <w:t>prioritise</w:t>
      </w:r>
      <w:proofErr w:type="spellEnd"/>
      <w:r w:rsidRPr="00EF6C6D">
        <w:rPr>
          <w:rFonts w:ascii="Arial" w:hAnsi="Arial" w:cs="Arial"/>
        </w:rPr>
        <w:t xml:space="preserve"> forces over time, which reduces its usefulness as a standalone tool for dynamic foresight in AI-native, 5G and future 6G markets.</w:t>
      </w:r>
    </w:p>
    <w:p w14:paraId="4A9E56AA" w14:textId="77777777" w:rsidR="00617A93" w:rsidRPr="00EF6C6D" w:rsidRDefault="00000000" w:rsidP="00EF6C6D">
      <w:pPr>
        <w:spacing w:after="0" w:line="360" w:lineRule="auto"/>
        <w:jc w:val="both"/>
        <w:rPr>
          <w:rFonts w:ascii="Arial" w:hAnsi="Arial" w:cs="Arial"/>
        </w:rPr>
      </w:pPr>
      <w:r w:rsidRPr="00EF6C6D">
        <w:rPr>
          <w:rFonts w:ascii="Arial" w:hAnsi="Arial" w:cs="Arial"/>
        </w:rPr>
        <w:t xml:space="preserve">Porter's Five Forces (Porter, 1980) reveals structural </w:t>
      </w:r>
      <w:proofErr w:type="gramStart"/>
      <w:r w:rsidRPr="00EF6C6D">
        <w:rPr>
          <w:rFonts w:ascii="Arial" w:hAnsi="Arial" w:cs="Arial"/>
        </w:rPr>
        <w:t>advantage</w:t>
      </w:r>
      <w:proofErr w:type="gramEnd"/>
      <w:r w:rsidRPr="00EF6C6D">
        <w:rPr>
          <w:rFonts w:ascii="Arial" w:hAnsi="Arial" w:cs="Arial"/>
        </w:rPr>
        <w:t xml:space="preserve"> and exposure across five pressure points: rivalry, supplier power, buyer power, new entrants and substitutes (Appendix A2). Rivalry remains high: EE (BT Group) won RootMetrics' UK network award for the eleventh consecutive year and leads </w:t>
      </w:r>
      <w:proofErr w:type="spellStart"/>
      <w:r w:rsidRPr="00EF6C6D">
        <w:rPr>
          <w:rFonts w:ascii="Arial" w:hAnsi="Arial" w:cs="Arial"/>
        </w:rPr>
        <w:t>Opensignal's</w:t>
      </w:r>
      <w:proofErr w:type="spellEnd"/>
      <w:r w:rsidRPr="00EF6C6D">
        <w:rPr>
          <w:rFonts w:ascii="Arial" w:hAnsi="Arial" w:cs="Arial"/>
        </w:rPr>
        <w:t xml:space="preserve"> reliability and overall speed categories, while Virgin Media O2 reports 41% fixed-mobile convergence penetration and 87% outdoor 5G coverage (BT Group plc, 2025; </w:t>
      </w:r>
      <w:proofErr w:type="spellStart"/>
      <w:r w:rsidRPr="00EF6C6D">
        <w:rPr>
          <w:rFonts w:ascii="Arial" w:hAnsi="Arial" w:cs="Arial"/>
        </w:rPr>
        <w:t>Opensignal</w:t>
      </w:r>
      <w:proofErr w:type="spellEnd"/>
      <w:r w:rsidRPr="00EF6C6D">
        <w:rPr>
          <w:rFonts w:ascii="Arial" w:hAnsi="Arial" w:cs="Arial"/>
        </w:rPr>
        <w:t>, 2026; Virgin Media O2, 2026). The merger reduces supplier power by strengthening bargaining leverage with Ericsson and Nokia (</w:t>
      </w:r>
      <w:proofErr w:type="spellStart"/>
      <w:r w:rsidRPr="00EF6C6D">
        <w:rPr>
          <w:rFonts w:ascii="Arial" w:hAnsi="Arial" w:cs="Arial"/>
        </w:rPr>
        <w:t>VodafoneThree</w:t>
      </w:r>
      <w:proofErr w:type="spellEnd"/>
      <w:r w:rsidRPr="00EF6C6D">
        <w:rPr>
          <w:rFonts w:ascii="Arial" w:hAnsi="Arial" w:cs="Arial"/>
        </w:rPr>
        <w:t xml:space="preserve">, 2025), but buyer power remains high because Ofcom's 2025 pricing transparency rules require in-contract price rises to be disclosed in </w:t>
      </w:r>
      <w:r w:rsidRPr="00EF6C6D">
        <w:rPr>
          <w:rFonts w:ascii="Arial" w:hAnsi="Arial" w:cs="Arial"/>
        </w:rPr>
        <w:lastRenderedPageBreak/>
        <w:t xml:space="preserve">pounds and pence. New entrants face high spectrum and infrastructure barriers, though MVNOs sustain pressure in value-sensitive segments. OTT platforms and </w:t>
      </w:r>
      <w:proofErr w:type="spellStart"/>
      <w:r w:rsidRPr="00EF6C6D">
        <w:rPr>
          <w:rFonts w:ascii="Arial" w:hAnsi="Arial" w:cs="Arial"/>
        </w:rPr>
        <w:t>hyperscaler</w:t>
      </w:r>
      <w:proofErr w:type="spellEnd"/>
      <w:r w:rsidRPr="00EF6C6D">
        <w:rPr>
          <w:rFonts w:ascii="Arial" w:hAnsi="Arial" w:cs="Arial"/>
        </w:rPr>
        <w:t xml:space="preserve"> network-as-a-service offerings represent a moderate substitute threat, reinforcing the case for diversification into enterprise and health-adjacent digital services.</w:t>
      </w:r>
    </w:p>
    <w:p w14:paraId="376F99B1" w14:textId="148E5BE6" w:rsidR="00617A93" w:rsidRPr="00EF6C6D" w:rsidRDefault="00376204" w:rsidP="00EF6C6D">
      <w:pPr>
        <w:pStyle w:val="Heading2"/>
        <w:spacing w:before="0" w:line="360" w:lineRule="auto"/>
        <w:jc w:val="both"/>
        <w:rPr>
          <w:rFonts w:ascii="Arial" w:hAnsi="Arial" w:cs="Arial"/>
          <w:sz w:val="22"/>
          <w:szCs w:val="22"/>
        </w:rPr>
      </w:pPr>
      <w:bookmarkStart w:id="4" w:name="_Toc234790651"/>
      <w:r w:rsidRPr="00EF6C6D">
        <w:rPr>
          <w:rFonts w:ascii="Arial" w:hAnsi="Arial" w:cs="Arial"/>
          <w:sz w:val="22"/>
          <w:szCs w:val="22"/>
        </w:rPr>
        <w:t>2</w:t>
      </w:r>
      <w:r w:rsidR="009409B8" w:rsidRPr="00EF6C6D">
        <w:rPr>
          <w:rFonts w:ascii="Arial" w:hAnsi="Arial" w:cs="Arial"/>
          <w:sz w:val="22"/>
          <w:szCs w:val="22"/>
        </w:rPr>
        <w:t>.3 Internal Analysis: VRIO and SWOT</w:t>
      </w:r>
      <w:bookmarkEnd w:id="4"/>
    </w:p>
    <w:p w14:paraId="4F67DE49" w14:textId="77777777" w:rsidR="00685B03" w:rsidRPr="00EF6C6D" w:rsidRDefault="00000000" w:rsidP="00EF6C6D">
      <w:pPr>
        <w:spacing w:after="0" w:line="360" w:lineRule="auto"/>
        <w:rPr>
          <w:rFonts w:ascii="Arial" w:hAnsi="Arial" w:cs="Arial"/>
        </w:rPr>
      </w:pPr>
      <w:r w:rsidRPr="00EF6C6D">
        <w:rPr>
          <w:rFonts w:ascii="Arial" w:hAnsi="Arial" w:cs="Arial"/>
        </w:rPr>
        <w:t xml:space="preserve">The VRIO assessment clarifies which </w:t>
      </w:r>
      <w:proofErr w:type="spellStart"/>
      <w:r w:rsidRPr="00EF6C6D">
        <w:rPr>
          <w:rFonts w:ascii="Arial" w:hAnsi="Arial" w:cs="Arial"/>
        </w:rPr>
        <w:t>VodafoneThree</w:t>
      </w:r>
      <w:proofErr w:type="spellEnd"/>
      <w:r w:rsidRPr="00EF6C6D">
        <w:rPr>
          <w:rFonts w:ascii="Arial" w:hAnsi="Arial" w:cs="Arial"/>
        </w:rPr>
        <w:t xml:space="preserve"> resources are most likely to underpin sustained competitive advantage, yet the framework itself has important constraints. VRIO offers a static snapshot of resources and tends to </w:t>
      </w:r>
      <w:proofErr w:type="spellStart"/>
      <w:r w:rsidRPr="00EF6C6D">
        <w:rPr>
          <w:rFonts w:ascii="Arial" w:hAnsi="Arial" w:cs="Arial"/>
        </w:rPr>
        <w:t>prioritise</w:t>
      </w:r>
      <w:proofErr w:type="spellEnd"/>
      <w:r w:rsidRPr="00EF6C6D">
        <w:rPr>
          <w:rFonts w:ascii="Arial" w:hAnsi="Arial" w:cs="Arial"/>
        </w:rPr>
        <w:t xml:space="preserve"> tangible assets, which means that dynamic capabilities such as </w:t>
      </w:r>
      <w:proofErr w:type="spellStart"/>
      <w:r w:rsidRPr="00EF6C6D">
        <w:rPr>
          <w:rFonts w:ascii="Arial" w:hAnsi="Arial" w:cs="Arial"/>
        </w:rPr>
        <w:t>organisational</w:t>
      </w:r>
      <w:proofErr w:type="spellEnd"/>
      <w:r w:rsidRPr="00EF6C6D">
        <w:rPr>
          <w:rFonts w:ascii="Arial" w:hAnsi="Arial" w:cs="Arial"/>
        </w:rPr>
        <w:t xml:space="preserve"> learning, ecosystem orchestration and the evolution of AI expertise over time may be under-represented despite their critical role in digital and health connectivity markets. Moreover, determining whether a resource is genuinely rare, inimitable and fully exploited </w:t>
      </w:r>
      <w:proofErr w:type="spellStart"/>
      <w:r w:rsidRPr="00EF6C6D">
        <w:rPr>
          <w:rFonts w:ascii="Arial" w:hAnsi="Arial" w:cs="Arial"/>
        </w:rPr>
        <w:t>organisationally</w:t>
      </w:r>
      <w:proofErr w:type="spellEnd"/>
      <w:r w:rsidRPr="00EF6C6D">
        <w:rPr>
          <w:rFonts w:ascii="Arial" w:hAnsi="Arial" w:cs="Arial"/>
        </w:rPr>
        <w:t xml:space="preserve"> often relies on managerial judgement and imperfect information about rivals, introducing subjectivity into the analysis and the risk of overestimating the durability of advantage. Finally, VRIO focuses on firm-specific resources and does not explicitly account for network effects or institutional relationships — for example, NHS partnerships, rural coverage </w:t>
      </w:r>
      <w:proofErr w:type="spellStart"/>
      <w:r w:rsidRPr="00EF6C6D">
        <w:rPr>
          <w:rFonts w:ascii="Arial" w:hAnsi="Arial" w:cs="Arial"/>
        </w:rPr>
        <w:t>programmes</w:t>
      </w:r>
      <w:proofErr w:type="spellEnd"/>
      <w:r w:rsidRPr="00EF6C6D">
        <w:rPr>
          <w:rFonts w:ascii="Arial" w:hAnsi="Arial" w:cs="Arial"/>
        </w:rPr>
        <w:t xml:space="preserve"> and regulatory goodwill — which can be decisive in scaling ageing-in-place and AI health connectivity services.</w:t>
      </w:r>
    </w:p>
    <w:p w14:paraId="5EC77F31" w14:textId="77777777" w:rsidR="00617A93" w:rsidRPr="00EF6C6D" w:rsidRDefault="00000000" w:rsidP="00EF6C6D">
      <w:pPr>
        <w:spacing w:after="0" w:line="360" w:lineRule="auto"/>
        <w:jc w:val="both"/>
        <w:rPr>
          <w:rFonts w:ascii="Arial" w:hAnsi="Arial" w:cs="Arial"/>
        </w:rPr>
      </w:pPr>
      <w:r w:rsidRPr="00EF6C6D">
        <w:rPr>
          <w:rFonts w:ascii="Arial" w:hAnsi="Arial" w:cs="Arial"/>
        </w:rPr>
        <w:t xml:space="preserve">The VRIO framework (Barney, 1991) tests each resource against four criteria — Valuable, Rare, Inimitable and </w:t>
      </w:r>
      <w:proofErr w:type="spellStart"/>
      <w:r w:rsidRPr="00EF6C6D">
        <w:rPr>
          <w:rFonts w:ascii="Arial" w:hAnsi="Arial" w:cs="Arial"/>
        </w:rPr>
        <w:t>Organised</w:t>
      </w:r>
      <w:proofErr w:type="spellEnd"/>
      <w:r w:rsidRPr="00EF6C6D">
        <w:rPr>
          <w:rFonts w:ascii="Arial" w:hAnsi="Arial" w:cs="Arial"/>
        </w:rPr>
        <w:t xml:space="preserve"> — to determine how durable each competitive advantage is (Appendix A3). </w:t>
      </w:r>
      <w:proofErr w:type="spellStart"/>
      <w:r w:rsidRPr="00EF6C6D">
        <w:rPr>
          <w:rFonts w:ascii="Arial" w:hAnsi="Arial" w:cs="Arial"/>
        </w:rPr>
        <w:t>VodafoneThree's</w:t>
      </w:r>
      <w:proofErr w:type="spellEnd"/>
      <w:r w:rsidRPr="00EF6C6D">
        <w:rPr>
          <w:rFonts w:ascii="Arial" w:hAnsi="Arial" w:cs="Arial"/>
        </w:rPr>
        <w:t xml:space="preserve"> expanded 5G spectrum satisfies all four criteria and appears to represent the firm's strongest source of sustained competitive advantage. Financial capacity provides only a temporary competitive advantage since rivals can also raise capital; brand reputation sits at parity with EE; and AI capabilities represent a potential sustained advantage if </w:t>
      </w:r>
      <w:proofErr w:type="spellStart"/>
      <w:r w:rsidRPr="00EF6C6D">
        <w:rPr>
          <w:rFonts w:ascii="Arial" w:hAnsi="Arial" w:cs="Arial"/>
        </w:rPr>
        <w:t>organisational</w:t>
      </w:r>
      <w:proofErr w:type="spellEnd"/>
      <w:r w:rsidRPr="00EF6C6D">
        <w:rPr>
          <w:rFonts w:ascii="Arial" w:hAnsi="Arial" w:cs="Arial"/>
        </w:rPr>
        <w:t xml:space="preserve"> integration is successfully completed (Barney, 1991). The SWOT analysis (Appendix A4) </w:t>
      </w:r>
      <w:proofErr w:type="spellStart"/>
      <w:r w:rsidRPr="00EF6C6D">
        <w:rPr>
          <w:rFonts w:ascii="Arial" w:hAnsi="Arial" w:cs="Arial"/>
        </w:rPr>
        <w:t>synthesises</w:t>
      </w:r>
      <w:proofErr w:type="spellEnd"/>
      <w:r w:rsidRPr="00EF6C6D">
        <w:rPr>
          <w:rFonts w:ascii="Arial" w:hAnsi="Arial" w:cs="Arial"/>
        </w:rPr>
        <w:t xml:space="preserve"> these findings with the external environment (Johnson, Scholes and Whittington, 2023): strengths are scale, spectrum and technology partnerships; weaknesses are integration complexity and brand fragility among legacy Three customers; opportunities include AI, IoT and the ageing population health connectivity market; and key threats are intense rivalry, regulatory scrutiny and cybersecurity risk.</w:t>
      </w:r>
    </w:p>
    <w:p w14:paraId="2667717D" w14:textId="218388AB" w:rsidR="00617A93" w:rsidRPr="00EF6C6D" w:rsidRDefault="00376204" w:rsidP="00EF6C6D">
      <w:pPr>
        <w:pStyle w:val="Heading2"/>
        <w:spacing w:before="0" w:line="360" w:lineRule="auto"/>
        <w:jc w:val="both"/>
        <w:rPr>
          <w:rFonts w:ascii="Arial" w:hAnsi="Arial" w:cs="Arial"/>
          <w:sz w:val="22"/>
          <w:szCs w:val="22"/>
        </w:rPr>
      </w:pPr>
      <w:bookmarkStart w:id="5" w:name="_Toc234790652"/>
      <w:r w:rsidRPr="00EF6C6D">
        <w:rPr>
          <w:rFonts w:ascii="Arial" w:hAnsi="Arial" w:cs="Arial"/>
          <w:sz w:val="22"/>
          <w:szCs w:val="22"/>
        </w:rPr>
        <w:t>2</w:t>
      </w:r>
      <w:r w:rsidR="009409B8" w:rsidRPr="00EF6C6D">
        <w:rPr>
          <w:rFonts w:ascii="Arial" w:hAnsi="Arial" w:cs="Arial"/>
          <w:sz w:val="22"/>
          <w:szCs w:val="22"/>
        </w:rPr>
        <w:t>.4 TOWS Strategic Implications</w:t>
      </w:r>
      <w:bookmarkEnd w:id="5"/>
    </w:p>
    <w:p w14:paraId="69799775" w14:textId="77777777" w:rsidR="00617A93" w:rsidRPr="00EF6C6D" w:rsidRDefault="00000000" w:rsidP="00EF6C6D">
      <w:pPr>
        <w:spacing w:after="0" w:line="360" w:lineRule="auto"/>
        <w:jc w:val="both"/>
        <w:rPr>
          <w:rFonts w:ascii="Arial" w:hAnsi="Arial" w:cs="Arial"/>
        </w:rPr>
      </w:pPr>
      <w:r w:rsidRPr="00EF6C6D">
        <w:rPr>
          <w:rFonts w:ascii="Arial" w:hAnsi="Arial" w:cs="Arial"/>
        </w:rPr>
        <w:t xml:space="preserve">The TOWS matrix (Weihrich, 1982) builds on the SWOT analysis by translating its findings into practical strategic actions </w:t>
      </w:r>
      <w:r w:rsidR="001957C0" w:rsidRPr="00EF6C6D">
        <w:rPr>
          <w:rFonts w:ascii="Arial" w:hAnsi="Arial" w:cs="Arial"/>
        </w:rPr>
        <w:t>t</w:t>
      </w:r>
      <w:r w:rsidR="007C4424" w:rsidRPr="00EF6C6D">
        <w:rPr>
          <w:rFonts w:ascii="Arial" w:hAnsi="Arial" w:cs="Arial"/>
        </w:rPr>
        <w:t>h</w:t>
      </w:r>
      <w:r w:rsidR="001957C0" w:rsidRPr="00EF6C6D">
        <w:rPr>
          <w:rFonts w:ascii="Arial" w:hAnsi="Arial" w:cs="Arial"/>
        </w:rPr>
        <w:t>rough</w:t>
      </w:r>
      <w:r w:rsidRPr="00EF6C6D">
        <w:rPr>
          <w:rFonts w:ascii="Arial" w:hAnsi="Arial" w:cs="Arial"/>
        </w:rPr>
        <w:t xml:space="preserve"> </w:t>
      </w:r>
      <w:proofErr w:type="gramStart"/>
      <w:r w:rsidRPr="00EF6C6D">
        <w:rPr>
          <w:rFonts w:ascii="Arial" w:hAnsi="Arial" w:cs="Arial"/>
        </w:rPr>
        <w:t>cross-matching</w:t>
      </w:r>
      <w:proofErr w:type="gramEnd"/>
      <w:r w:rsidRPr="00EF6C6D">
        <w:rPr>
          <w:rFonts w:ascii="Arial" w:hAnsi="Arial" w:cs="Arial"/>
        </w:rPr>
        <w:t xml:space="preserve"> each quadrant: </w:t>
      </w:r>
      <w:proofErr w:type="gramStart"/>
      <w:r w:rsidRPr="00EF6C6D">
        <w:rPr>
          <w:rFonts w:ascii="Arial" w:hAnsi="Arial" w:cs="Arial"/>
        </w:rPr>
        <w:t>SO</w:t>
      </w:r>
      <w:proofErr w:type="gramEnd"/>
      <w:r w:rsidRPr="00EF6C6D">
        <w:rPr>
          <w:rFonts w:ascii="Arial" w:hAnsi="Arial" w:cs="Arial"/>
        </w:rPr>
        <w:t xml:space="preserve"> strategies </w:t>
      </w:r>
      <w:r w:rsidRPr="00EF6C6D">
        <w:rPr>
          <w:rFonts w:ascii="Arial" w:hAnsi="Arial" w:cs="Arial"/>
        </w:rPr>
        <w:lastRenderedPageBreak/>
        <w:t xml:space="preserve">exploit opportunities with existing strengths; WO strategies overcome weaknesses to seize opportunities; ST strategies deploy strengths against threats; WT strategies </w:t>
      </w:r>
      <w:proofErr w:type="spellStart"/>
      <w:r w:rsidRPr="00EF6C6D">
        <w:rPr>
          <w:rFonts w:ascii="Arial" w:hAnsi="Arial" w:cs="Arial"/>
        </w:rPr>
        <w:t>minimise</w:t>
      </w:r>
      <w:proofErr w:type="spellEnd"/>
      <w:r w:rsidRPr="00EF6C6D">
        <w:rPr>
          <w:rFonts w:ascii="Arial" w:hAnsi="Arial" w:cs="Arial"/>
        </w:rPr>
        <w:t xml:space="preserve"> weakness exposure (Appendix A5). All four quadrants converge on the technology-led differentiation strategy as the primary pathway, with the ageing population opportunity reinforcing each quadrant's logic.</w:t>
      </w:r>
    </w:p>
    <w:p w14:paraId="78B4558B" w14:textId="10F7D5BE" w:rsidR="00617A93" w:rsidRPr="00EF6C6D" w:rsidRDefault="00376204" w:rsidP="00EF6C6D">
      <w:pPr>
        <w:pStyle w:val="Heading1"/>
        <w:spacing w:before="0" w:line="360" w:lineRule="auto"/>
        <w:jc w:val="both"/>
        <w:rPr>
          <w:rFonts w:ascii="Arial" w:hAnsi="Arial" w:cs="Arial"/>
          <w:sz w:val="22"/>
          <w:szCs w:val="22"/>
        </w:rPr>
      </w:pPr>
      <w:bookmarkStart w:id="6" w:name="_Toc234790653"/>
      <w:r w:rsidRPr="00EF6C6D">
        <w:rPr>
          <w:rFonts w:ascii="Arial" w:hAnsi="Arial" w:cs="Arial"/>
          <w:sz w:val="22"/>
          <w:szCs w:val="22"/>
        </w:rPr>
        <w:t>3. Global Market and International Business Context</w:t>
      </w:r>
      <w:bookmarkEnd w:id="6"/>
    </w:p>
    <w:p w14:paraId="3942A0DE" w14:textId="7D38DF59" w:rsidR="00685B03" w:rsidRPr="00EF6C6D" w:rsidRDefault="00000000" w:rsidP="00EF6C6D">
      <w:pPr>
        <w:spacing w:after="0" w:line="360" w:lineRule="auto"/>
        <w:rPr>
          <w:rFonts w:ascii="Arial" w:hAnsi="Arial" w:cs="Arial"/>
        </w:rPr>
      </w:pPr>
      <w:r w:rsidRPr="00EF6C6D">
        <w:rPr>
          <w:rFonts w:ascii="Arial" w:hAnsi="Arial" w:cs="Arial"/>
        </w:rPr>
        <w:t>The tools presented in the appendices must be interpreted against the backdrop of the global telecommunications industry and international business expansion</w:t>
      </w:r>
      <w:r w:rsidR="00A17181" w:rsidRPr="00EF6C6D">
        <w:rPr>
          <w:rFonts w:ascii="Arial" w:hAnsi="Arial" w:cs="Arial"/>
        </w:rPr>
        <w:t xml:space="preserve">. Worldwide, the telecommunications market is valued at approximately US$2 trillion and continues to grow, driven by 5G deployment, cloud services, AI and enterprise </w:t>
      </w:r>
      <w:proofErr w:type="spellStart"/>
      <w:r w:rsidR="00A17181" w:rsidRPr="00EF6C6D">
        <w:rPr>
          <w:rFonts w:ascii="Arial" w:hAnsi="Arial" w:cs="Arial"/>
        </w:rPr>
        <w:t>digitalisation</w:t>
      </w:r>
      <w:proofErr w:type="spellEnd"/>
      <w:r w:rsidR="00A17181" w:rsidRPr="00EF6C6D">
        <w:rPr>
          <w:rFonts w:ascii="Arial" w:hAnsi="Arial" w:cs="Arial"/>
        </w:rPr>
        <w:t xml:space="preserve"> (GSMA, 2025).</w:t>
      </w:r>
      <w:r w:rsidR="003E6C75" w:rsidRPr="00EF6C6D">
        <w:rPr>
          <w:rFonts w:ascii="Arial" w:hAnsi="Arial" w:cs="Arial"/>
        </w:rPr>
        <w:t xml:space="preserve"> </w:t>
      </w:r>
      <w:r w:rsidRPr="00EF6C6D">
        <w:rPr>
          <w:rFonts w:ascii="Arial" w:hAnsi="Arial" w:cs="Arial"/>
        </w:rPr>
        <w:t xml:space="preserve">Vodafone competes in this environment as a European and African operator that combines core connectivity with higher-value digital services and Internet of Things solutions. To enter and grow </w:t>
      </w:r>
      <w:proofErr w:type="gramStart"/>
      <w:r w:rsidRPr="00EF6C6D">
        <w:rPr>
          <w:rFonts w:ascii="Arial" w:hAnsi="Arial" w:cs="Arial"/>
        </w:rPr>
        <w:t>in</w:t>
      </w:r>
      <w:proofErr w:type="gramEnd"/>
      <w:r w:rsidRPr="00EF6C6D">
        <w:rPr>
          <w:rFonts w:ascii="Arial" w:hAnsi="Arial" w:cs="Arial"/>
        </w:rPr>
        <w:t xml:space="preserve"> individual country markets, the Group relies on a mix of wholly owned subsidiaries, joint ventures and strategic partnerships rather than simple exporting, allowing it to navigate import tariffs, local regulations, competitive landscapes and cultural nuances more effectively. This international presence shapes the nature of the business as a capital-intensive, highly regulated and relationship-driven platform that must balance global scale with local adaptation. However, the relative importance of these factors differs from manufacturing industries because </w:t>
      </w:r>
      <w:proofErr w:type="spellStart"/>
      <w:r w:rsidRPr="00EF6C6D">
        <w:rPr>
          <w:rFonts w:ascii="Arial" w:hAnsi="Arial" w:cs="Arial"/>
        </w:rPr>
        <w:t>VodafoneThree</w:t>
      </w:r>
      <w:proofErr w:type="spellEnd"/>
      <w:r w:rsidRPr="00EF6C6D">
        <w:rPr>
          <w:rFonts w:ascii="Arial" w:hAnsi="Arial" w:cs="Arial"/>
        </w:rPr>
        <w:t xml:space="preserve"> delivers predominantly domestic digital services rather than physical exports.</w:t>
      </w:r>
    </w:p>
    <w:p w14:paraId="4C2249BA" w14:textId="77777777" w:rsidR="00617A93" w:rsidRPr="00EF6C6D" w:rsidRDefault="00000000" w:rsidP="00EF6C6D">
      <w:pPr>
        <w:spacing w:after="0" w:line="360" w:lineRule="auto"/>
        <w:rPr>
          <w:rFonts w:ascii="Arial" w:hAnsi="Arial" w:cs="Arial"/>
        </w:rPr>
      </w:pPr>
      <w:r w:rsidRPr="00EF6C6D">
        <w:rPr>
          <w:rFonts w:ascii="Arial" w:hAnsi="Arial" w:cs="Arial"/>
        </w:rPr>
        <w:t xml:space="preserve">For completeness, the international business context also needs to acknowledge factors such as import tariffs, shipping costs and local consumer culture, even though these play a more indirect role for </w:t>
      </w:r>
      <w:proofErr w:type="spellStart"/>
      <w:r w:rsidRPr="00EF6C6D">
        <w:rPr>
          <w:rFonts w:ascii="Arial" w:hAnsi="Arial" w:cs="Arial"/>
        </w:rPr>
        <w:t>VodafoneThree</w:t>
      </w:r>
      <w:proofErr w:type="spellEnd"/>
      <w:r w:rsidRPr="00EF6C6D">
        <w:rPr>
          <w:rFonts w:ascii="Arial" w:hAnsi="Arial" w:cs="Arial"/>
        </w:rPr>
        <w:t xml:space="preserve"> than for firms trading large volumes of manufactured goods. Core revenues arise from domestic sales of communications services, so customs duties and transport charges mainly affect the cost and availability of network equipment, smartphones, routers and health-related IoT devices rather than the tariff structure offered to UK customers. However, these upstream cost drivers can still influence how quickly standalone 5G and ageing-in-place solutions are rolled out, especially in rural or economically disadvantaged areas. At the same time, cultural nuances among local consumers – including varying levels of digital confidence, different expectations of privacy, and contrasting attitudes towards long-term contracts – directly shape adoption, loyalty and the design of support services for older adults. Integrating these softer, locally specific variables into planning reinforces that </w:t>
      </w:r>
      <w:proofErr w:type="spellStart"/>
      <w:r w:rsidRPr="00EF6C6D">
        <w:rPr>
          <w:rFonts w:ascii="Arial" w:hAnsi="Arial" w:cs="Arial"/>
        </w:rPr>
        <w:t>VodafoneThree’s</w:t>
      </w:r>
      <w:proofErr w:type="spellEnd"/>
      <w:r w:rsidRPr="00EF6C6D">
        <w:rPr>
          <w:rFonts w:ascii="Arial" w:hAnsi="Arial" w:cs="Arial"/>
        </w:rPr>
        <w:t xml:space="preserve"> nature as a business </w:t>
      </w:r>
      <w:r w:rsidRPr="00EF6C6D">
        <w:rPr>
          <w:rFonts w:ascii="Arial" w:hAnsi="Arial" w:cs="Arial"/>
        </w:rPr>
        <w:lastRenderedPageBreak/>
        <w:t xml:space="preserve">is not only technical and financial but also deeply social and </w:t>
      </w:r>
      <w:proofErr w:type="spellStart"/>
      <w:r w:rsidRPr="00EF6C6D">
        <w:rPr>
          <w:rFonts w:ascii="Arial" w:hAnsi="Arial" w:cs="Arial"/>
        </w:rPr>
        <w:t>behavioural</w:t>
      </w:r>
      <w:proofErr w:type="spellEnd"/>
      <w:r w:rsidRPr="00EF6C6D">
        <w:rPr>
          <w:rFonts w:ascii="Arial" w:hAnsi="Arial" w:cs="Arial"/>
        </w:rPr>
        <w:t xml:space="preserve"> in the way it delivers AI-enabled connectivity.</w:t>
      </w:r>
    </w:p>
    <w:p w14:paraId="5A733FAF" w14:textId="4BB65632" w:rsidR="00617A93" w:rsidRPr="00EF6C6D" w:rsidRDefault="00376204" w:rsidP="00EF6C6D">
      <w:pPr>
        <w:pStyle w:val="Heading1"/>
        <w:spacing w:before="0" w:line="360" w:lineRule="auto"/>
        <w:jc w:val="both"/>
        <w:rPr>
          <w:rFonts w:ascii="Arial" w:hAnsi="Arial" w:cs="Arial"/>
          <w:sz w:val="22"/>
          <w:szCs w:val="22"/>
        </w:rPr>
      </w:pPr>
      <w:bookmarkStart w:id="7" w:name="_Toc234790654"/>
      <w:r w:rsidRPr="00EF6C6D">
        <w:rPr>
          <w:rFonts w:ascii="Arial" w:hAnsi="Arial" w:cs="Arial"/>
          <w:sz w:val="22"/>
          <w:szCs w:val="22"/>
        </w:rPr>
        <w:t>4. Strategic Options and Evaluation</w:t>
      </w:r>
      <w:bookmarkEnd w:id="7"/>
    </w:p>
    <w:p w14:paraId="125EF19F" w14:textId="77777777" w:rsidR="00617A93" w:rsidRPr="00EF6C6D" w:rsidRDefault="00000000" w:rsidP="00EF6C6D">
      <w:pPr>
        <w:spacing w:after="0" w:line="360" w:lineRule="auto"/>
        <w:jc w:val="both"/>
        <w:rPr>
          <w:rFonts w:ascii="Arial" w:hAnsi="Arial" w:cs="Arial"/>
        </w:rPr>
      </w:pPr>
      <w:r w:rsidRPr="00EF6C6D">
        <w:rPr>
          <w:rFonts w:ascii="Arial" w:hAnsi="Arial" w:cs="Arial"/>
        </w:rPr>
        <w:t>Three growth options were identified, each assessed against resources, stakeholder expectations, competitive context and the AI and ageing opportunity in Section 3. A summary is in Appendix A6; the SFA evaluation table is in Appendix A7.</w:t>
      </w:r>
    </w:p>
    <w:p w14:paraId="5F681A74" w14:textId="332233C4" w:rsidR="00617A93" w:rsidRPr="00EF6C6D" w:rsidRDefault="00376204" w:rsidP="00EF6C6D">
      <w:pPr>
        <w:pStyle w:val="Heading2"/>
        <w:spacing w:before="0" w:line="360" w:lineRule="auto"/>
        <w:jc w:val="both"/>
        <w:rPr>
          <w:rFonts w:ascii="Arial" w:hAnsi="Arial" w:cs="Arial"/>
          <w:sz w:val="22"/>
          <w:szCs w:val="22"/>
        </w:rPr>
      </w:pPr>
      <w:bookmarkStart w:id="8" w:name="_Toc234790655"/>
      <w:r w:rsidRPr="00EF6C6D">
        <w:rPr>
          <w:rFonts w:ascii="Arial" w:hAnsi="Arial" w:cs="Arial"/>
          <w:sz w:val="22"/>
          <w:szCs w:val="22"/>
        </w:rPr>
        <w:t>4</w:t>
      </w:r>
      <w:r w:rsidR="009409B8" w:rsidRPr="00EF6C6D">
        <w:rPr>
          <w:rFonts w:ascii="Arial" w:hAnsi="Arial" w:cs="Arial"/>
          <w:sz w:val="22"/>
          <w:szCs w:val="22"/>
        </w:rPr>
        <w:t>.1 Option 1: Technology-Led Differentiation Strategy</w:t>
      </w:r>
      <w:bookmarkEnd w:id="8"/>
    </w:p>
    <w:p w14:paraId="37CBCF19" w14:textId="77777777" w:rsidR="00617A93" w:rsidRPr="00EF6C6D" w:rsidRDefault="00000000" w:rsidP="00EF6C6D">
      <w:pPr>
        <w:spacing w:after="0" w:line="360" w:lineRule="auto"/>
        <w:jc w:val="both"/>
        <w:rPr>
          <w:rFonts w:ascii="Arial" w:hAnsi="Arial" w:cs="Arial"/>
        </w:rPr>
      </w:pPr>
      <w:r w:rsidRPr="00EF6C6D">
        <w:rPr>
          <w:rFonts w:ascii="Arial" w:hAnsi="Arial" w:cs="Arial"/>
        </w:rPr>
        <w:t xml:space="preserve">The technology-led differentiation strategy would expand standalone 5G, AI-enabled customer support and enterprise digital services, </w:t>
      </w:r>
      <w:proofErr w:type="spellStart"/>
      <w:r w:rsidRPr="00EF6C6D">
        <w:rPr>
          <w:rFonts w:ascii="Arial" w:hAnsi="Arial" w:cs="Arial"/>
        </w:rPr>
        <w:t>maximising</w:t>
      </w:r>
      <w:proofErr w:type="spellEnd"/>
      <w:r w:rsidRPr="00EF6C6D">
        <w:rPr>
          <w:rFonts w:ascii="Arial" w:hAnsi="Arial" w:cs="Arial"/>
        </w:rPr>
        <w:t xml:space="preserve"> the scale and spectrum created by the merger. Unlike EE, which competes primarily on network performance, or Virgin Media O2, which focuses on fixed-mobile convergence, </w:t>
      </w:r>
      <w:proofErr w:type="spellStart"/>
      <w:r w:rsidRPr="00EF6C6D">
        <w:rPr>
          <w:rFonts w:ascii="Arial" w:hAnsi="Arial" w:cs="Arial"/>
        </w:rPr>
        <w:t>VodafoneThree</w:t>
      </w:r>
      <w:proofErr w:type="spellEnd"/>
      <w:r w:rsidRPr="00EF6C6D">
        <w:rPr>
          <w:rFonts w:ascii="Arial" w:hAnsi="Arial" w:cs="Arial"/>
        </w:rPr>
        <w:t xml:space="preserve"> is positioned to differentiate through AI-enabled solutions and superior customer experience. The 5G and AI capabilities developed for enterprise IoT are directly transferable to health monitoring and ageing-in-place services, opening an additional long-term revenue opportunity that neither rival appears to have developed at a comparable scale. This approach is expected to provide a durable advantage that is difficult to replicate quickly, but it requires sustained capital investment and depends on successful </w:t>
      </w:r>
      <w:proofErr w:type="spellStart"/>
      <w:r w:rsidRPr="00EF6C6D">
        <w:rPr>
          <w:rFonts w:ascii="Arial" w:hAnsi="Arial" w:cs="Arial"/>
        </w:rPr>
        <w:t>organisational</w:t>
      </w:r>
      <w:proofErr w:type="spellEnd"/>
      <w:r w:rsidRPr="00EF6C6D">
        <w:rPr>
          <w:rFonts w:ascii="Arial" w:hAnsi="Arial" w:cs="Arial"/>
        </w:rPr>
        <w:t xml:space="preserve"> integration and customer acceptance of AI-enabled services. At the same time, the higher investment in AI, cybersecurity and health connectivity increases short-term execution risk and may delay full profitability benefits, illustrating that the strategy delivers growth at the cost of greater complexity and exposure to regulatory scrutiny.</w:t>
      </w:r>
    </w:p>
    <w:p w14:paraId="20D4CEB2" w14:textId="2D9BF75B" w:rsidR="00617A93" w:rsidRPr="00EF6C6D" w:rsidRDefault="00376204" w:rsidP="00EF6C6D">
      <w:pPr>
        <w:pStyle w:val="Heading2"/>
        <w:spacing w:before="0" w:line="360" w:lineRule="auto"/>
        <w:jc w:val="both"/>
        <w:rPr>
          <w:rFonts w:ascii="Arial" w:hAnsi="Arial" w:cs="Arial"/>
          <w:sz w:val="22"/>
          <w:szCs w:val="22"/>
        </w:rPr>
      </w:pPr>
      <w:bookmarkStart w:id="9" w:name="_Toc234790656"/>
      <w:r w:rsidRPr="00EF6C6D">
        <w:rPr>
          <w:rFonts w:ascii="Arial" w:hAnsi="Arial" w:cs="Arial"/>
          <w:sz w:val="22"/>
          <w:szCs w:val="22"/>
        </w:rPr>
        <w:t>4</w:t>
      </w:r>
      <w:r w:rsidR="009409B8" w:rsidRPr="00EF6C6D">
        <w:rPr>
          <w:rFonts w:ascii="Arial" w:hAnsi="Arial" w:cs="Arial"/>
          <w:sz w:val="22"/>
          <w:szCs w:val="22"/>
        </w:rPr>
        <w:t>.2 Option 2: Market Development</w:t>
      </w:r>
      <w:bookmarkEnd w:id="9"/>
    </w:p>
    <w:p w14:paraId="1F0A49A0" w14:textId="77777777" w:rsidR="00617A93" w:rsidRPr="00EF6C6D" w:rsidRDefault="00000000" w:rsidP="00EF6C6D">
      <w:pPr>
        <w:spacing w:after="0" w:line="360" w:lineRule="auto"/>
        <w:jc w:val="both"/>
        <w:rPr>
          <w:rFonts w:ascii="Arial" w:hAnsi="Arial" w:cs="Arial"/>
        </w:rPr>
      </w:pPr>
      <w:r w:rsidRPr="00EF6C6D">
        <w:rPr>
          <w:rFonts w:ascii="Arial" w:hAnsi="Arial" w:cs="Arial"/>
        </w:rPr>
        <w:t xml:space="preserve">Market development would expand coverage in underserved rural areas, aligning with the £1 billion Shared Rural Network </w:t>
      </w:r>
      <w:proofErr w:type="spellStart"/>
      <w:r w:rsidRPr="00EF6C6D">
        <w:rPr>
          <w:rFonts w:ascii="Arial" w:hAnsi="Arial" w:cs="Arial"/>
        </w:rPr>
        <w:t>programme</w:t>
      </w:r>
      <w:proofErr w:type="spellEnd"/>
      <w:r w:rsidRPr="00EF6C6D">
        <w:rPr>
          <w:rFonts w:ascii="Arial" w:hAnsi="Arial" w:cs="Arial"/>
        </w:rPr>
        <w:t xml:space="preserve"> (Department for Digital, Culture, Media and Sport, 2020) and addressing the </w:t>
      </w:r>
      <w:proofErr w:type="gramStart"/>
      <w:r w:rsidRPr="00EF6C6D">
        <w:rPr>
          <w:rFonts w:ascii="Arial" w:hAnsi="Arial" w:cs="Arial"/>
        </w:rPr>
        <w:t>rural older</w:t>
      </w:r>
      <w:proofErr w:type="gramEnd"/>
      <w:r w:rsidRPr="00EF6C6D">
        <w:rPr>
          <w:rFonts w:ascii="Arial" w:hAnsi="Arial" w:cs="Arial"/>
        </w:rPr>
        <w:t xml:space="preserve"> adults most isolated from digital infrastructure. However, EE and Virgin Media O2 pursue similar coverage goals, limiting differentiation potential, and financial returns are slower. This option is best positioned as a complementary pillar of the recommended strategy rather than its primary engine. Furthermore, lower customer density reduces economies of scale, making this strategy less commercially attractive as a standalone option.</w:t>
      </w:r>
    </w:p>
    <w:p w14:paraId="68B73320" w14:textId="1C09D224" w:rsidR="00617A93" w:rsidRPr="00EF6C6D" w:rsidRDefault="00376204" w:rsidP="00EF6C6D">
      <w:pPr>
        <w:pStyle w:val="Heading2"/>
        <w:spacing w:before="0" w:line="360" w:lineRule="auto"/>
        <w:jc w:val="both"/>
        <w:rPr>
          <w:rFonts w:ascii="Arial" w:hAnsi="Arial" w:cs="Arial"/>
          <w:sz w:val="22"/>
          <w:szCs w:val="22"/>
        </w:rPr>
      </w:pPr>
      <w:bookmarkStart w:id="10" w:name="_Toc234790657"/>
      <w:r w:rsidRPr="00EF6C6D">
        <w:rPr>
          <w:rFonts w:ascii="Arial" w:hAnsi="Arial" w:cs="Arial"/>
          <w:sz w:val="22"/>
          <w:szCs w:val="22"/>
        </w:rPr>
        <w:t>4</w:t>
      </w:r>
      <w:r w:rsidR="009409B8" w:rsidRPr="00EF6C6D">
        <w:rPr>
          <w:rFonts w:ascii="Arial" w:hAnsi="Arial" w:cs="Arial"/>
          <w:sz w:val="22"/>
          <w:szCs w:val="22"/>
        </w:rPr>
        <w:t>.3 Option 3: Cost Leadership</w:t>
      </w:r>
      <w:bookmarkEnd w:id="10"/>
    </w:p>
    <w:p w14:paraId="57312EB6" w14:textId="77777777" w:rsidR="00617A93" w:rsidRPr="00EF6C6D" w:rsidRDefault="00000000" w:rsidP="00EF6C6D">
      <w:pPr>
        <w:spacing w:after="0" w:line="360" w:lineRule="auto"/>
        <w:jc w:val="both"/>
        <w:rPr>
          <w:rFonts w:ascii="Arial" w:hAnsi="Arial" w:cs="Arial"/>
        </w:rPr>
      </w:pPr>
      <w:r w:rsidRPr="00EF6C6D">
        <w:rPr>
          <w:rFonts w:ascii="Arial" w:hAnsi="Arial" w:cs="Arial"/>
        </w:rPr>
        <w:t>Cost leadership would use the £700 million per annum synergy target (Vodafone Group Plc, 2025a) to reduce costs and sharpen pricing. However, rivals can respond rapidly, lower margins constrain 5G, AI and cybersecurity investment, and the evidence in Sec</w:t>
      </w:r>
      <w:r w:rsidRPr="00EF6C6D">
        <w:rPr>
          <w:rFonts w:ascii="Arial" w:hAnsi="Arial" w:cs="Arial"/>
        </w:rPr>
        <w:lastRenderedPageBreak/>
        <w:t xml:space="preserve">tion 3 directly undermines this option: academic research and social-sentiment analysis of </w:t>
      </w:r>
      <w:proofErr w:type="spellStart"/>
      <w:r w:rsidRPr="00EF6C6D">
        <w:rPr>
          <w:rFonts w:ascii="Arial" w:hAnsi="Arial" w:cs="Arial"/>
        </w:rPr>
        <w:t>TrustPilot</w:t>
      </w:r>
      <w:proofErr w:type="spellEnd"/>
      <w:r w:rsidRPr="00EF6C6D">
        <w:rPr>
          <w:rFonts w:ascii="Arial" w:hAnsi="Arial" w:cs="Arial"/>
        </w:rPr>
        <w:t xml:space="preserve">, </w:t>
      </w:r>
      <w:proofErr w:type="gramStart"/>
      <w:r w:rsidRPr="00EF6C6D">
        <w:rPr>
          <w:rFonts w:ascii="Arial" w:hAnsi="Arial" w:cs="Arial"/>
        </w:rPr>
        <w:t>Which</w:t>
      </w:r>
      <w:proofErr w:type="gramEnd"/>
      <w:r w:rsidRPr="00EF6C6D">
        <w:rPr>
          <w:rFonts w:ascii="Arial" w:hAnsi="Arial" w:cs="Arial"/>
        </w:rPr>
        <w:t xml:space="preserve">? and Twitter/X confirm that reliability, quality and trust — not price — are the primary loyalty drivers for the 60-plus cohort (Saka and Das, 2025; Ooi and </w:t>
      </w:r>
      <w:proofErr w:type="spellStart"/>
      <w:r w:rsidRPr="00EF6C6D">
        <w:rPr>
          <w:rFonts w:ascii="Arial" w:hAnsi="Arial" w:cs="Arial"/>
        </w:rPr>
        <w:t>Periasamy</w:t>
      </w:r>
      <w:proofErr w:type="spellEnd"/>
      <w:r w:rsidRPr="00EF6C6D">
        <w:rPr>
          <w:rFonts w:ascii="Arial" w:hAnsi="Arial" w:cs="Arial"/>
        </w:rPr>
        <w:t>, 2026). Cost leadership is better positioned as a support for operational efficiency rather than as the primary strategic direction (Porter, 1985).</w:t>
      </w:r>
    </w:p>
    <w:p w14:paraId="14D9DF07" w14:textId="12B9CB1D" w:rsidR="00617A93" w:rsidRPr="00EF6C6D" w:rsidRDefault="00376204" w:rsidP="00EF6C6D">
      <w:pPr>
        <w:pStyle w:val="Heading2"/>
        <w:spacing w:before="0" w:line="360" w:lineRule="auto"/>
        <w:jc w:val="both"/>
        <w:rPr>
          <w:rFonts w:ascii="Arial" w:hAnsi="Arial" w:cs="Arial"/>
          <w:sz w:val="22"/>
          <w:szCs w:val="22"/>
        </w:rPr>
      </w:pPr>
      <w:bookmarkStart w:id="11" w:name="_Toc234790658"/>
      <w:r w:rsidRPr="00EF6C6D">
        <w:rPr>
          <w:rFonts w:ascii="Arial" w:hAnsi="Arial" w:cs="Arial"/>
          <w:sz w:val="22"/>
          <w:szCs w:val="22"/>
        </w:rPr>
        <w:t>4</w:t>
      </w:r>
      <w:r w:rsidR="009409B8" w:rsidRPr="00EF6C6D">
        <w:rPr>
          <w:rFonts w:ascii="Arial" w:hAnsi="Arial" w:cs="Arial"/>
          <w:sz w:val="22"/>
          <w:szCs w:val="22"/>
        </w:rPr>
        <w:t>.4 SFA Evaluation with Social-Sentiment Evidence</w:t>
      </w:r>
      <w:bookmarkEnd w:id="11"/>
    </w:p>
    <w:p w14:paraId="054DBA08" w14:textId="77777777" w:rsidR="00685B03" w:rsidRPr="00EF6C6D" w:rsidRDefault="00000000" w:rsidP="00EF6C6D">
      <w:pPr>
        <w:spacing w:after="0" w:line="360" w:lineRule="auto"/>
        <w:rPr>
          <w:rFonts w:ascii="Arial" w:hAnsi="Arial" w:cs="Arial"/>
        </w:rPr>
      </w:pPr>
      <w:r w:rsidRPr="00EF6C6D">
        <w:rPr>
          <w:rFonts w:ascii="Arial" w:hAnsi="Arial" w:cs="Arial"/>
        </w:rPr>
        <w:t xml:space="preserve">The SFA framework (Johnson, Scholes and Whittington, 2023) tests suitability, feasibility and acceptability in an integrated way. On suitability, the technology-led differentiation strategy is rated High because it aligns with national 5G and digital infrastructure objectives, social-sentiment evidence that network quality and trust drive switching, and the ageing population’s growing need for AI-enabled health connectivity. On feasibility, it again scores High: spectrum, capital and technology partnerships are in place, although integration fatigue and the fact that cash-flow accretion is not expected until the late 2020s highlight that the strategy carries material timing and execution costs. On acceptability, technology-led differentiation offers clear benefits to customers, older adults, regulators and shareholders, but these benefits must be balanced against higher upfront investment and increased exposure to data privacy and AI governance requirements. Taken together, these trade-offs justify </w:t>
      </w:r>
      <w:proofErr w:type="spellStart"/>
      <w:r w:rsidRPr="00EF6C6D">
        <w:rPr>
          <w:rFonts w:ascii="Arial" w:hAnsi="Arial" w:cs="Arial"/>
        </w:rPr>
        <w:t>prioritising</w:t>
      </w:r>
      <w:proofErr w:type="spellEnd"/>
      <w:r w:rsidRPr="00EF6C6D">
        <w:rPr>
          <w:rFonts w:ascii="Arial" w:hAnsi="Arial" w:cs="Arial"/>
        </w:rPr>
        <w:t xml:space="preserve"> technology-led differentiation as the primary engine of long-term growth, with market development and cost efficiency reframed as supporting pillars rather than standalone directions.</w:t>
      </w:r>
    </w:p>
    <w:p w14:paraId="11E67803" w14:textId="4D0AD526" w:rsidR="00617A93" w:rsidRPr="00EF6C6D" w:rsidRDefault="00376204" w:rsidP="00EF6C6D">
      <w:pPr>
        <w:pStyle w:val="Heading1"/>
        <w:spacing w:before="0" w:line="360" w:lineRule="auto"/>
        <w:jc w:val="both"/>
        <w:rPr>
          <w:rFonts w:ascii="Arial" w:hAnsi="Arial" w:cs="Arial"/>
          <w:sz w:val="22"/>
          <w:szCs w:val="22"/>
        </w:rPr>
      </w:pPr>
      <w:bookmarkStart w:id="12" w:name="_Toc234790659"/>
      <w:r w:rsidRPr="00EF6C6D">
        <w:rPr>
          <w:rFonts w:ascii="Arial" w:hAnsi="Arial" w:cs="Arial"/>
          <w:sz w:val="22"/>
          <w:szCs w:val="22"/>
        </w:rPr>
        <w:t>5. Recommended Strategy</w:t>
      </w:r>
      <w:bookmarkEnd w:id="12"/>
    </w:p>
    <w:p w14:paraId="5196B9EB" w14:textId="77777777" w:rsidR="00617A93" w:rsidRPr="00EF6C6D" w:rsidRDefault="00000000" w:rsidP="00EF6C6D">
      <w:pPr>
        <w:spacing w:after="0" w:line="360" w:lineRule="auto"/>
        <w:jc w:val="both"/>
        <w:rPr>
          <w:rFonts w:ascii="Arial" w:hAnsi="Arial" w:cs="Arial"/>
        </w:rPr>
      </w:pPr>
      <w:r w:rsidRPr="00EF6C6D">
        <w:rPr>
          <w:rFonts w:ascii="Arial" w:hAnsi="Arial" w:cs="Arial"/>
        </w:rPr>
        <w:t xml:space="preserve">The technology-led differentiation strategy is preferred because it best uses the merger's scale and spectrum, is expected to deliver faster commercial growth than market </w:t>
      </w:r>
      <w:proofErr w:type="gramStart"/>
      <w:r w:rsidRPr="00EF6C6D">
        <w:rPr>
          <w:rFonts w:ascii="Arial" w:hAnsi="Arial" w:cs="Arial"/>
        </w:rPr>
        <w:t>development, and</w:t>
      </w:r>
      <w:proofErr w:type="gramEnd"/>
      <w:r w:rsidRPr="00EF6C6D">
        <w:rPr>
          <w:rFonts w:ascii="Arial" w:hAnsi="Arial" w:cs="Arial"/>
        </w:rPr>
        <w:t xml:space="preserve"> is harder for EE and Virgin Media O2 to imitate than cost leadership. The ageing population analysis in Section 3 strengthens this recommendation by identifying a demographically driven addressable market that price competition and coverage expansion alone cannot capture. The strategy is expected to create value for a wide range of stakeholders: consumers gain improved quality and security; older adults gain AI-enabled health connectivity supporting independent living; businesses gain advanced digital solutions; and government benefits from investment aligned to the UK Wireless Infrastructure Strategy (Department for Science, Innovation and Technology, 2023). Social-sentiment evidence confirms network quality and trust as dominant consumer expectations (</w:t>
      </w:r>
      <w:proofErr w:type="spellStart"/>
      <w:r w:rsidRPr="00EF6C6D">
        <w:rPr>
          <w:rFonts w:ascii="Arial" w:hAnsi="Arial" w:cs="Arial"/>
        </w:rPr>
        <w:t>Opensignal</w:t>
      </w:r>
      <w:proofErr w:type="spellEnd"/>
      <w:r w:rsidRPr="00EF6C6D">
        <w:rPr>
          <w:rFonts w:ascii="Arial" w:hAnsi="Arial" w:cs="Arial"/>
        </w:rPr>
        <w:t xml:space="preserve">, 2026), while academic evidence confirms these as the loyalty drivers for older adult consumers (Saka and Das, 2025). The strategy aligns with Vodafone's </w:t>
      </w:r>
      <w:r w:rsidRPr="00EF6C6D">
        <w:rPr>
          <w:rFonts w:ascii="Arial" w:hAnsi="Arial" w:cs="Arial"/>
        </w:rPr>
        <w:lastRenderedPageBreak/>
        <w:t xml:space="preserve">mission to connect everyone (Vodafone Group Plc, 2025d; n.d.) and positions </w:t>
      </w:r>
      <w:proofErr w:type="spellStart"/>
      <w:r w:rsidRPr="00EF6C6D">
        <w:rPr>
          <w:rFonts w:ascii="Arial" w:hAnsi="Arial" w:cs="Arial"/>
        </w:rPr>
        <w:t>VodafoneThree</w:t>
      </w:r>
      <w:proofErr w:type="spellEnd"/>
      <w:r w:rsidRPr="00EF6C6D">
        <w:rPr>
          <w:rFonts w:ascii="Arial" w:hAnsi="Arial" w:cs="Arial"/>
        </w:rPr>
        <w:t xml:space="preserve"> to capture the UK's largest structural growth opportunity over the next decade.</w:t>
      </w:r>
    </w:p>
    <w:p w14:paraId="1E675A5E" w14:textId="186BD172" w:rsidR="00617A93" w:rsidRPr="00EF6C6D" w:rsidRDefault="00376204" w:rsidP="00EF6C6D">
      <w:pPr>
        <w:pStyle w:val="Heading1"/>
        <w:spacing w:before="0" w:line="360" w:lineRule="auto"/>
        <w:jc w:val="both"/>
        <w:rPr>
          <w:rFonts w:ascii="Arial" w:hAnsi="Arial" w:cs="Arial"/>
          <w:sz w:val="22"/>
          <w:szCs w:val="22"/>
        </w:rPr>
      </w:pPr>
      <w:bookmarkStart w:id="13" w:name="_Toc234790660"/>
      <w:r w:rsidRPr="00EF6C6D">
        <w:rPr>
          <w:rFonts w:ascii="Arial" w:hAnsi="Arial" w:cs="Arial"/>
          <w:sz w:val="22"/>
          <w:szCs w:val="22"/>
        </w:rPr>
        <w:t>6. Stakeholder Analysis</w:t>
      </w:r>
      <w:bookmarkEnd w:id="13"/>
    </w:p>
    <w:p w14:paraId="7E02947F" w14:textId="77777777" w:rsidR="00685B03" w:rsidRPr="00EF6C6D" w:rsidRDefault="00000000" w:rsidP="00EF6C6D">
      <w:pPr>
        <w:spacing w:after="0" w:line="360" w:lineRule="auto"/>
        <w:rPr>
          <w:rFonts w:ascii="Arial" w:hAnsi="Arial" w:cs="Arial"/>
        </w:rPr>
      </w:pPr>
      <w:r w:rsidRPr="00EF6C6D">
        <w:rPr>
          <w:rFonts w:ascii="Arial" w:hAnsi="Arial" w:cs="Arial"/>
        </w:rPr>
        <w:t xml:space="preserve">Stakeholder mapping also needs to be complemented by an explicit consideration of conflicts and trade-offs between different groups. There is a clear tension between shareholder expectations for timely returns on the £11 billion investment and regulatory demands for protected tariffs, rural coverage and MVNO access, which may slow short-term margin expansion while strengthening long-term </w:t>
      </w:r>
      <w:proofErr w:type="spellStart"/>
      <w:r w:rsidRPr="00EF6C6D">
        <w:rPr>
          <w:rFonts w:ascii="Arial" w:hAnsi="Arial" w:cs="Arial"/>
        </w:rPr>
        <w:t>licence</w:t>
      </w:r>
      <w:proofErr w:type="spellEnd"/>
      <w:r w:rsidRPr="00EF6C6D">
        <w:rPr>
          <w:rFonts w:ascii="Arial" w:hAnsi="Arial" w:cs="Arial"/>
        </w:rPr>
        <w:t xml:space="preserve"> to operate. The CMA’s price-transparency rules and protected tariffs create a potential conflict between older customers’ desire for stable, trustworthy pricing and shareholder pressure for revenue growth through in-contract price rises, requiring disciplined communication and product design to avoid perceived opportunism. Operational synergies and automation can also clash with employee interests where integration fatigue, redeployment and </w:t>
      </w:r>
      <w:proofErr w:type="spellStart"/>
      <w:r w:rsidRPr="00EF6C6D">
        <w:rPr>
          <w:rFonts w:ascii="Arial" w:hAnsi="Arial" w:cs="Arial"/>
        </w:rPr>
        <w:t>organisational</w:t>
      </w:r>
      <w:proofErr w:type="spellEnd"/>
      <w:r w:rsidRPr="00EF6C6D">
        <w:rPr>
          <w:rFonts w:ascii="Arial" w:hAnsi="Arial" w:cs="Arial"/>
        </w:rPr>
        <w:t xml:space="preserve"> change threaten engagement, making transparent dialogue and reskilling </w:t>
      </w:r>
      <w:proofErr w:type="spellStart"/>
      <w:r w:rsidRPr="00EF6C6D">
        <w:rPr>
          <w:rFonts w:ascii="Arial" w:hAnsi="Arial" w:cs="Arial"/>
        </w:rPr>
        <w:t>programmes</w:t>
      </w:r>
      <w:proofErr w:type="spellEnd"/>
      <w:r w:rsidRPr="00EF6C6D">
        <w:rPr>
          <w:rFonts w:ascii="Arial" w:hAnsi="Arial" w:cs="Arial"/>
        </w:rPr>
        <w:t xml:space="preserve"> critical to sustaining the capabilities needed for AI and health connectivity delivery. Finally, the use of AI and IoT for health monitoring introduces a three-way tension between NHS and social-care commissioners seeking cost-effective remote care, older adults demanding strong privacy safeguards, and the company’s need to </w:t>
      </w:r>
      <w:proofErr w:type="spellStart"/>
      <w:r w:rsidRPr="00EF6C6D">
        <w:rPr>
          <w:rFonts w:ascii="Arial" w:hAnsi="Arial" w:cs="Arial"/>
        </w:rPr>
        <w:t>monetise</w:t>
      </w:r>
      <w:proofErr w:type="spellEnd"/>
      <w:r w:rsidRPr="00EF6C6D">
        <w:rPr>
          <w:rFonts w:ascii="Arial" w:hAnsi="Arial" w:cs="Arial"/>
        </w:rPr>
        <w:t xml:space="preserve"> data-intensive services, which must be resolved through privacy-by-design, clear consent mechanisms and governance that </w:t>
      </w:r>
      <w:proofErr w:type="spellStart"/>
      <w:r w:rsidRPr="00EF6C6D">
        <w:rPr>
          <w:rFonts w:ascii="Arial" w:hAnsi="Arial" w:cs="Arial"/>
        </w:rPr>
        <w:t>prioritise</w:t>
      </w:r>
      <w:proofErr w:type="spellEnd"/>
      <w:r w:rsidRPr="00EF6C6D">
        <w:rPr>
          <w:rFonts w:ascii="Arial" w:hAnsi="Arial" w:cs="Arial"/>
        </w:rPr>
        <w:t xml:space="preserve"> patient trust. Successfully balancing these competing stakeholder interests will determine the long-term legitimacy and sustainability of </w:t>
      </w:r>
      <w:proofErr w:type="spellStart"/>
      <w:r w:rsidRPr="00EF6C6D">
        <w:rPr>
          <w:rFonts w:ascii="Arial" w:hAnsi="Arial" w:cs="Arial"/>
        </w:rPr>
        <w:t>VodafoneThree's</w:t>
      </w:r>
      <w:proofErr w:type="spellEnd"/>
      <w:r w:rsidRPr="00EF6C6D">
        <w:rPr>
          <w:rFonts w:ascii="Arial" w:hAnsi="Arial" w:cs="Arial"/>
        </w:rPr>
        <w:t xml:space="preserve"> strategic transformation.</w:t>
      </w:r>
    </w:p>
    <w:p w14:paraId="4407CFDC" w14:textId="77777777" w:rsidR="00617A93" w:rsidRPr="00EF6C6D" w:rsidRDefault="00000000" w:rsidP="00EF6C6D">
      <w:pPr>
        <w:spacing w:after="0" w:line="360" w:lineRule="auto"/>
        <w:jc w:val="both"/>
        <w:rPr>
          <w:rFonts w:ascii="Arial" w:hAnsi="Arial" w:cs="Arial"/>
        </w:rPr>
      </w:pPr>
      <w:r w:rsidRPr="00EF6C6D">
        <w:rPr>
          <w:rFonts w:ascii="Arial" w:hAnsi="Arial" w:cs="Arial"/>
        </w:rPr>
        <w:t xml:space="preserve">Mendelow's power-interest matrix (Appendix A9; Mendelow, 1991) helps identify which stakeholders require the greatest management attention during implementation (Freeman, 1984). Government, Ofcom and the CMA occupy the 'manage closely' quadrant, enforcing the eight-year Network Commitment through annual reporting (Competition and Markets Authority and Ofcom, 2025). Shareholders require close management given the £11 billion investment and multi-year accretion timeline. Employees and suppliers sit in the 'keep satisfied' quadrant; social-media monitoring signals integration fatigue requiring proactive change communication. Customers and communities require transparent pricing and coverage updates, with particular care for older consumers under the CMA's protected tariff obligations. NHS integrated care systems and social care commissioners represent a new institutional customer category with potentially high power </w:t>
      </w:r>
      <w:r w:rsidRPr="00EF6C6D">
        <w:rPr>
          <w:rFonts w:ascii="Arial" w:hAnsi="Arial" w:cs="Arial"/>
        </w:rPr>
        <w:lastRenderedPageBreak/>
        <w:t xml:space="preserve">and interest in </w:t>
      </w:r>
      <w:proofErr w:type="spellStart"/>
      <w:r w:rsidRPr="00EF6C6D">
        <w:rPr>
          <w:rFonts w:ascii="Arial" w:hAnsi="Arial" w:cs="Arial"/>
        </w:rPr>
        <w:t>VodafoneThree's</w:t>
      </w:r>
      <w:proofErr w:type="spellEnd"/>
      <w:r w:rsidRPr="00EF6C6D">
        <w:rPr>
          <w:rFonts w:ascii="Arial" w:hAnsi="Arial" w:cs="Arial"/>
        </w:rPr>
        <w:t xml:space="preserve"> health connectivity product line, and early engagement is expected to accelerate commercial development while reinforcing social responsibility credentials.</w:t>
      </w:r>
    </w:p>
    <w:p w14:paraId="7ABE1158" w14:textId="1684F36A" w:rsidR="00617A93" w:rsidRPr="00EF6C6D" w:rsidRDefault="00376204" w:rsidP="00EF6C6D">
      <w:pPr>
        <w:pStyle w:val="Heading1"/>
        <w:spacing w:before="0" w:line="360" w:lineRule="auto"/>
        <w:jc w:val="both"/>
        <w:rPr>
          <w:rFonts w:ascii="Arial" w:hAnsi="Arial" w:cs="Arial"/>
          <w:sz w:val="22"/>
          <w:szCs w:val="22"/>
        </w:rPr>
      </w:pPr>
      <w:bookmarkStart w:id="14" w:name="_Toc234790661"/>
      <w:r w:rsidRPr="00EF6C6D">
        <w:rPr>
          <w:rFonts w:ascii="Arial" w:hAnsi="Arial" w:cs="Arial"/>
          <w:sz w:val="22"/>
          <w:szCs w:val="22"/>
        </w:rPr>
        <w:t>7. Implementation and Monitoring</w:t>
      </w:r>
      <w:bookmarkEnd w:id="14"/>
    </w:p>
    <w:p w14:paraId="68AC68C8" w14:textId="77777777" w:rsidR="00617A93" w:rsidRPr="00EF6C6D" w:rsidRDefault="00000000" w:rsidP="00EF6C6D">
      <w:pPr>
        <w:spacing w:after="0" w:line="360" w:lineRule="auto"/>
        <w:jc w:val="both"/>
        <w:rPr>
          <w:rFonts w:ascii="Arial" w:hAnsi="Arial" w:cs="Arial"/>
        </w:rPr>
      </w:pPr>
      <w:r w:rsidRPr="00EF6C6D">
        <w:rPr>
          <w:rFonts w:ascii="Arial" w:hAnsi="Arial" w:cs="Arial"/>
        </w:rPr>
        <w:t xml:space="preserve">Delivery requires a phased approach. In Year 1, </w:t>
      </w:r>
      <w:proofErr w:type="spellStart"/>
      <w:r w:rsidRPr="00EF6C6D">
        <w:rPr>
          <w:rFonts w:ascii="Arial" w:hAnsi="Arial" w:cs="Arial"/>
        </w:rPr>
        <w:t>VodafoneThree</w:t>
      </w:r>
      <w:proofErr w:type="spellEnd"/>
      <w:r w:rsidRPr="00EF6C6D">
        <w:rPr>
          <w:rFonts w:ascii="Arial" w:hAnsi="Arial" w:cs="Arial"/>
        </w:rPr>
        <w:t xml:space="preserve"> should complete network and </w:t>
      </w:r>
      <w:proofErr w:type="spellStart"/>
      <w:r w:rsidRPr="00EF6C6D">
        <w:rPr>
          <w:rFonts w:ascii="Arial" w:hAnsi="Arial" w:cs="Arial"/>
        </w:rPr>
        <w:t>organisational</w:t>
      </w:r>
      <w:proofErr w:type="spellEnd"/>
      <w:r w:rsidRPr="00EF6C6D">
        <w:rPr>
          <w:rFonts w:ascii="Arial" w:hAnsi="Arial" w:cs="Arial"/>
        </w:rPr>
        <w:t xml:space="preserve"> integration, building on the 4G speed uplift already delivered to millions of former Three UK and SMARTY customers. In Years 2–5, the focus shifts to standalone 5G, AI enterprise services and AI health connectivity products launched in partnership with NHS and social care stakeholders. The Balanced Scorecard monitors progress across Financial, Customer, Internal Process and Learning and Growth perspectives, using KPIs such as Net Promoter Score, customer churn, 5G coverage, digital and enterprise revenue, older-adult digital inclusion metrics, the £700 million synergy target, employee engagement scores and qualitative indicators such as an AI customer trust score or NHS partnership satisfaction index. Regulatory milestones are reviewed against the CMA's Network Commitment at years three, five and eight. Key risks – integration delays, regulatory change and NHS adoption speed – are mitigated through transparent reporting and proactive engagement with older-adult consumer groups, but each mitigation also carries costs in terms of management attention and potential constraints on commercial flexibility.</w:t>
      </w:r>
    </w:p>
    <w:p w14:paraId="393CBEC3" w14:textId="58FD58DE" w:rsidR="00617A93" w:rsidRPr="00EF6C6D" w:rsidRDefault="00376204" w:rsidP="00EF6C6D">
      <w:pPr>
        <w:pStyle w:val="Heading1"/>
        <w:spacing w:before="0" w:line="360" w:lineRule="auto"/>
        <w:jc w:val="both"/>
        <w:rPr>
          <w:rFonts w:ascii="Arial" w:hAnsi="Arial" w:cs="Arial"/>
          <w:sz w:val="22"/>
          <w:szCs w:val="22"/>
        </w:rPr>
      </w:pPr>
      <w:bookmarkStart w:id="15" w:name="_Toc234790662"/>
      <w:r w:rsidRPr="00EF6C6D">
        <w:rPr>
          <w:rFonts w:ascii="Arial" w:hAnsi="Arial" w:cs="Arial"/>
          <w:sz w:val="22"/>
          <w:szCs w:val="22"/>
        </w:rPr>
        <w:t>8. Strategic Foresight (2026–2035)</w:t>
      </w:r>
      <w:bookmarkEnd w:id="15"/>
    </w:p>
    <w:p w14:paraId="6A6F0D36" w14:textId="5EBA5FEB" w:rsidR="00685B03" w:rsidRPr="00EF6C6D" w:rsidRDefault="00000000" w:rsidP="00EF6C6D">
      <w:pPr>
        <w:spacing w:after="0" w:line="360" w:lineRule="auto"/>
        <w:rPr>
          <w:rFonts w:ascii="Arial" w:hAnsi="Arial" w:cs="Arial"/>
        </w:rPr>
      </w:pPr>
      <w:r w:rsidRPr="00EF6C6D">
        <w:rPr>
          <w:rFonts w:ascii="Arial" w:hAnsi="Arial" w:cs="Arial"/>
        </w:rPr>
        <w:t xml:space="preserve">Strategic foresight adds a final layer of insight to the nature of </w:t>
      </w:r>
      <w:proofErr w:type="spellStart"/>
      <w:r w:rsidRPr="00EF6C6D">
        <w:rPr>
          <w:rFonts w:ascii="Arial" w:hAnsi="Arial" w:cs="Arial"/>
        </w:rPr>
        <w:t>VodafoneThree’s</w:t>
      </w:r>
      <w:proofErr w:type="spellEnd"/>
      <w:r w:rsidRPr="00EF6C6D">
        <w:rPr>
          <w:rFonts w:ascii="Arial" w:hAnsi="Arial" w:cs="Arial"/>
        </w:rPr>
        <w:t xml:space="preserve"> business by highlighting how trends in AI-native networks, future 6G standards, cybersecurity and sustainability could reshape the value of its resources over the next decade. Rather than providing detailed scenarios, the analysis focuses on using the tools in the appendices to </w:t>
      </w:r>
      <w:r w:rsidR="00A17181" w:rsidRPr="00EF6C6D">
        <w:rPr>
          <w:rFonts w:ascii="Arial" w:hAnsi="Arial" w:cs="Arial"/>
        </w:rPr>
        <w:t>monitor how external drivers may strengthen or weaken the sustainability of the recommended technology-led differentiation strategy.</w:t>
      </w:r>
      <w:r w:rsidRPr="00EF6C6D">
        <w:rPr>
          <w:rFonts w:ascii="Arial" w:hAnsi="Arial" w:cs="Arial"/>
        </w:rPr>
        <w:t xml:space="preserve"> The post-merger integration experience demonstrates that future competitiveness depends not only on technological investment but also on </w:t>
      </w:r>
      <w:proofErr w:type="spellStart"/>
      <w:r w:rsidRPr="00EF6C6D">
        <w:rPr>
          <w:rFonts w:ascii="Arial" w:hAnsi="Arial" w:cs="Arial"/>
        </w:rPr>
        <w:t>organisational</w:t>
      </w:r>
      <w:proofErr w:type="spellEnd"/>
      <w:r w:rsidRPr="00EF6C6D">
        <w:rPr>
          <w:rFonts w:ascii="Arial" w:hAnsi="Arial" w:cs="Arial"/>
        </w:rPr>
        <w:t xml:space="preserve"> adaptability and institutional trust, especially when scale increases regulatory attention and public expectations. This underlines that foresight must consider not just the opportunities created by AI and 6G but also the costs and constraints associated with sustaining stakeholder confidence in an environment of rapid change.</w:t>
      </w:r>
    </w:p>
    <w:p w14:paraId="23EBCE33" w14:textId="114A023E" w:rsidR="00187C85" w:rsidRPr="00EF6C6D" w:rsidRDefault="00187C85" w:rsidP="00EF6C6D">
      <w:pPr>
        <w:spacing w:after="0" w:line="360" w:lineRule="auto"/>
        <w:rPr>
          <w:rFonts w:ascii="Arial" w:hAnsi="Arial" w:cs="Arial"/>
        </w:rPr>
      </w:pPr>
      <w:r w:rsidRPr="00EF6C6D">
        <w:rPr>
          <w:rFonts w:ascii="Arial" w:hAnsi="Arial" w:cs="Arial"/>
        </w:rPr>
        <w:lastRenderedPageBreak/>
        <w:t xml:space="preserve">Continuous horizon scanning and periodic reviews of PESTEL, VRIO and stakeholder priorities will enable </w:t>
      </w:r>
      <w:proofErr w:type="spellStart"/>
      <w:r w:rsidRPr="00EF6C6D">
        <w:rPr>
          <w:rFonts w:ascii="Arial" w:hAnsi="Arial" w:cs="Arial"/>
        </w:rPr>
        <w:t>VodafoneThree</w:t>
      </w:r>
      <w:proofErr w:type="spellEnd"/>
      <w:r w:rsidRPr="00EF6C6D">
        <w:rPr>
          <w:rFonts w:ascii="Arial" w:hAnsi="Arial" w:cs="Arial"/>
        </w:rPr>
        <w:t xml:space="preserve"> to adapt its strategy as technological, regulatory and geopolitical conditions evolve.</w:t>
      </w:r>
    </w:p>
    <w:p w14:paraId="2B7B9968" w14:textId="51E64E97" w:rsidR="00617A93" w:rsidRPr="00EF6C6D" w:rsidRDefault="00376204" w:rsidP="00EF6C6D">
      <w:pPr>
        <w:pStyle w:val="Heading1"/>
        <w:spacing w:before="0" w:line="360" w:lineRule="auto"/>
        <w:jc w:val="both"/>
        <w:rPr>
          <w:rFonts w:ascii="Arial" w:hAnsi="Arial" w:cs="Arial"/>
          <w:sz w:val="22"/>
          <w:szCs w:val="22"/>
        </w:rPr>
      </w:pPr>
      <w:bookmarkStart w:id="16" w:name="_Toc234790663"/>
      <w:r w:rsidRPr="00EF6C6D">
        <w:rPr>
          <w:rFonts w:ascii="Arial" w:hAnsi="Arial" w:cs="Arial"/>
          <w:sz w:val="22"/>
          <w:szCs w:val="22"/>
        </w:rPr>
        <w:t>9. Conclusion</w:t>
      </w:r>
      <w:bookmarkEnd w:id="16"/>
    </w:p>
    <w:p w14:paraId="22502531" w14:textId="77777777" w:rsidR="00187C85" w:rsidRPr="00EF6C6D" w:rsidRDefault="00187C85" w:rsidP="00EF6C6D">
      <w:pPr>
        <w:spacing w:line="360" w:lineRule="auto"/>
        <w:rPr>
          <w:rFonts w:ascii="Arial" w:hAnsi="Arial" w:cs="Arial"/>
          <w:b/>
          <w:bCs/>
        </w:rPr>
      </w:pPr>
      <w:r w:rsidRPr="00EF6C6D">
        <w:rPr>
          <w:rFonts w:ascii="Arial" w:hAnsi="Arial" w:cs="Arial"/>
        </w:rPr>
        <w:t xml:space="preserve">This report has evaluated </w:t>
      </w:r>
      <w:proofErr w:type="spellStart"/>
      <w:r w:rsidRPr="00EF6C6D">
        <w:rPr>
          <w:rFonts w:ascii="Arial" w:hAnsi="Arial" w:cs="Arial"/>
        </w:rPr>
        <w:t>VodafoneThree's</w:t>
      </w:r>
      <w:proofErr w:type="spellEnd"/>
      <w:r w:rsidRPr="00EF6C6D">
        <w:rPr>
          <w:rFonts w:ascii="Arial" w:hAnsi="Arial" w:cs="Arial"/>
        </w:rPr>
        <w:t xml:space="preserve"> strategic position following its merger with Three UK and concluded that technology-led differentiation, anchored in AI-enabled connectivity and ageing-in-place services, offers the strongest response to the opportunities and challenges identified through the strategic analyses. While the merger has strengthened the company's scale, spectrum assets and investment capacity, </w:t>
      </w:r>
      <w:proofErr w:type="spellStart"/>
      <w:r w:rsidRPr="00EF6C6D">
        <w:rPr>
          <w:rFonts w:ascii="Arial" w:hAnsi="Arial" w:cs="Arial"/>
        </w:rPr>
        <w:t>VodafoneThree's</w:t>
      </w:r>
      <w:proofErr w:type="spellEnd"/>
      <w:r w:rsidRPr="00EF6C6D">
        <w:rPr>
          <w:rFonts w:ascii="Arial" w:hAnsi="Arial" w:cs="Arial"/>
        </w:rPr>
        <w:t xml:space="preserve"> long-term competitive advantage will ultimately depend on its ability to combine technological innovation with stakeholder trust, regulatory compliance and strategic adaptability in an increasingly uncertain global business environment.</w:t>
      </w:r>
    </w:p>
    <w:p w14:paraId="364F6C51" w14:textId="0FF0C206" w:rsidR="00617A93" w:rsidRPr="00EF6C6D" w:rsidRDefault="00000000" w:rsidP="00EF6C6D">
      <w:pPr>
        <w:pStyle w:val="Heading2"/>
        <w:spacing w:line="360" w:lineRule="auto"/>
        <w:rPr>
          <w:rFonts w:ascii="Arial" w:hAnsi="Arial" w:cs="Arial"/>
          <w:sz w:val="22"/>
          <w:szCs w:val="22"/>
        </w:rPr>
      </w:pPr>
      <w:bookmarkStart w:id="17" w:name="_Toc234790664"/>
      <w:r w:rsidRPr="00EF6C6D">
        <w:rPr>
          <w:rFonts w:ascii="Arial" w:hAnsi="Arial" w:cs="Arial"/>
          <w:sz w:val="22"/>
          <w:szCs w:val="22"/>
        </w:rPr>
        <w:t>References</w:t>
      </w:r>
      <w:bookmarkEnd w:id="17"/>
    </w:p>
    <w:p w14:paraId="13E91940"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Barney, J. (1991) ‘Firm resources and sustained competitive advantage’, </w:t>
      </w:r>
      <w:r w:rsidRPr="00EF6C6D">
        <w:rPr>
          <w:rStyle w:val="Emphasis"/>
          <w:rFonts w:ascii="Arial" w:hAnsi="Arial" w:cs="Arial"/>
          <w:sz w:val="22"/>
          <w:szCs w:val="22"/>
        </w:rPr>
        <w:t>Journal of Management</w:t>
      </w:r>
      <w:r w:rsidRPr="00EF6C6D">
        <w:rPr>
          <w:rFonts w:ascii="Arial" w:hAnsi="Arial" w:cs="Arial"/>
          <w:sz w:val="22"/>
          <w:szCs w:val="22"/>
        </w:rPr>
        <w:t>, 17(1), pp. 99–120.</w:t>
      </w:r>
    </w:p>
    <w:p w14:paraId="707A7501"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BT Group plc (2025) ‘Results for the full year to 31 March 2025’, 22 May. Available at: </w:t>
      </w:r>
      <w:r w:rsidRPr="00EF6C6D">
        <w:rPr>
          <w:rFonts w:ascii="Arial" w:hAnsi="Arial" w:cs="Arial"/>
          <w:sz w:val="22"/>
          <w:szCs w:val="22"/>
        </w:rPr>
        <w:fldChar w:fldCharType="begin"/>
      </w:r>
      <w:r w:rsidRPr="00EF6C6D">
        <w:rPr>
          <w:rFonts w:ascii="Arial" w:hAnsi="Arial" w:cs="Arial"/>
          <w:sz w:val="22"/>
          <w:szCs w:val="22"/>
        </w:rPr>
        <w:instrText>HYPERLINK "https://www.bt.com/bt-plc/assets/documents/investors/financial-reporting-and-news/quarterly-results/fy25/h2/h2-fy25-release.pdf"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https://www.bt.com/bt-plc/assets/documents/investors/financial-reporting-and-news/quarterly-results/fy25/h2/h2-fy25-release.pdf</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24E78F84"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Competition and Markets Authority (2024) ‘CMA clears Vodafone/Three merger, subject to legally binding commitments’, 5 December. Available at: </w:t>
      </w:r>
      <w:r w:rsidRPr="00EF6C6D">
        <w:rPr>
          <w:rFonts w:ascii="Arial" w:hAnsi="Arial" w:cs="Arial"/>
          <w:sz w:val="22"/>
          <w:szCs w:val="22"/>
        </w:rPr>
        <w:fldChar w:fldCharType="begin"/>
      </w:r>
      <w:r w:rsidRPr="00EF6C6D">
        <w:rPr>
          <w:rFonts w:ascii="Arial" w:hAnsi="Arial" w:cs="Arial"/>
          <w:sz w:val="22"/>
          <w:szCs w:val="22"/>
        </w:rPr>
        <w:instrText>HYPERLINK "https://www.gov.uk/government/news/cma-clears-vodafone-three-merger-subject-to-legally-binding-commitments"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https://www.gov.uk/government/news/cma-clears-vodafone-three-merger-subject-to-legally-binding-commitments</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62798102" w14:textId="0369899C"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Competition and Markets Authority (20</w:t>
      </w:r>
      <w:r w:rsidR="003948B3" w:rsidRPr="00EF6C6D">
        <w:rPr>
          <w:rFonts w:ascii="Arial" w:hAnsi="Arial" w:cs="Arial"/>
          <w:sz w:val="22"/>
          <w:szCs w:val="22"/>
        </w:rPr>
        <w:t>2</w:t>
      </w:r>
      <w:r w:rsidRPr="00EF6C6D">
        <w:rPr>
          <w:rFonts w:ascii="Arial" w:hAnsi="Arial" w:cs="Arial"/>
          <w:sz w:val="22"/>
          <w:szCs w:val="22"/>
        </w:rPr>
        <w:t xml:space="preserve">5) </w:t>
      </w:r>
      <w:r w:rsidR="003948B3" w:rsidRPr="00EF6C6D">
        <w:rPr>
          <w:rFonts w:ascii="Arial" w:hAnsi="Arial" w:cs="Arial"/>
          <w:sz w:val="22"/>
          <w:szCs w:val="22"/>
        </w:rPr>
        <w:t>'</w:t>
      </w:r>
      <w:r w:rsidRPr="00EF6C6D">
        <w:rPr>
          <w:rStyle w:val="Emphasis"/>
          <w:rFonts w:ascii="Arial" w:hAnsi="Arial" w:cs="Arial"/>
          <w:i w:val="0"/>
          <w:iCs w:val="0"/>
          <w:sz w:val="22"/>
          <w:szCs w:val="22"/>
        </w:rPr>
        <w:t>Final undertakings: anticipated joint venture between Vodafone Group Plc and CK Hutchison Holdings Limited</w:t>
      </w:r>
      <w:r w:rsidR="003948B3" w:rsidRPr="00EF6C6D">
        <w:rPr>
          <w:rStyle w:val="Emphasis"/>
          <w:rFonts w:ascii="Arial" w:hAnsi="Arial" w:cs="Arial"/>
          <w:i w:val="0"/>
          <w:iCs w:val="0"/>
          <w:sz w:val="22"/>
          <w:szCs w:val="22"/>
        </w:rPr>
        <w:t>'</w:t>
      </w:r>
      <w:r w:rsidRPr="00EF6C6D">
        <w:rPr>
          <w:rFonts w:ascii="Arial" w:hAnsi="Arial" w:cs="Arial"/>
          <w:sz w:val="22"/>
          <w:szCs w:val="22"/>
        </w:rPr>
        <w:t xml:space="preserve">, 28 March. Available at: </w:t>
      </w:r>
      <w:r w:rsidRPr="00EF6C6D">
        <w:rPr>
          <w:rFonts w:ascii="Arial" w:hAnsi="Arial" w:cs="Arial"/>
          <w:sz w:val="22"/>
          <w:szCs w:val="22"/>
        </w:rPr>
        <w:fldChar w:fldCharType="begin"/>
      </w:r>
      <w:r w:rsidRPr="00EF6C6D">
        <w:rPr>
          <w:rFonts w:ascii="Arial" w:hAnsi="Arial" w:cs="Arial"/>
          <w:sz w:val="22"/>
          <w:szCs w:val="22"/>
        </w:rPr>
        <w:instrText>HYPERLINK "https://assets.publishing.service.gov.uk/media/67e6630b87cebda7c4ca4d0c/Final_undertakings.pdf"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https://assets.publishing.service.gov.uk/media/67e6630b87cebda7c4ca4d0c/Final_undertakings.pdf</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6A57238F" w14:textId="390039DB"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Competition and Markets Authority and Ofcom (2025) </w:t>
      </w:r>
      <w:r w:rsidR="003948B3" w:rsidRPr="00EF6C6D">
        <w:rPr>
          <w:rFonts w:ascii="Arial" w:hAnsi="Arial" w:cs="Arial"/>
          <w:sz w:val="22"/>
          <w:szCs w:val="22"/>
        </w:rPr>
        <w:t>'</w:t>
      </w:r>
      <w:r w:rsidRPr="00EF6C6D">
        <w:rPr>
          <w:rStyle w:val="Emphasis"/>
          <w:rFonts w:ascii="Arial" w:hAnsi="Arial" w:cs="Arial"/>
          <w:i w:val="0"/>
          <w:iCs w:val="0"/>
          <w:sz w:val="22"/>
          <w:szCs w:val="22"/>
        </w:rPr>
        <w:t>Joint statement from the CMA and Ofcom</w:t>
      </w:r>
      <w:r w:rsidR="003948B3" w:rsidRPr="00EF6C6D">
        <w:rPr>
          <w:rStyle w:val="Emphasis"/>
          <w:rFonts w:ascii="Arial" w:hAnsi="Arial" w:cs="Arial"/>
          <w:i w:val="0"/>
          <w:iCs w:val="0"/>
          <w:sz w:val="22"/>
          <w:szCs w:val="22"/>
        </w:rPr>
        <w:t>'</w:t>
      </w:r>
      <w:r w:rsidRPr="00EF6C6D">
        <w:rPr>
          <w:rFonts w:ascii="Arial" w:hAnsi="Arial" w:cs="Arial"/>
          <w:sz w:val="22"/>
          <w:szCs w:val="22"/>
        </w:rPr>
        <w:t xml:space="preserve">, 2 June. Available at: </w:t>
      </w:r>
      <w:r w:rsidRPr="00EF6C6D">
        <w:rPr>
          <w:rFonts w:ascii="Arial" w:hAnsi="Arial" w:cs="Arial"/>
          <w:sz w:val="22"/>
          <w:szCs w:val="22"/>
        </w:rPr>
        <w:lastRenderedPageBreak/>
        <w:fldChar w:fldCharType="begin"/>
      </w:r>
      <w:r w:rsidRPr="00EF6C6D">
        <w:rPr>
          <w:rFonts w:ascii="Arial" w:hAnsi="Arial" w:cs="Arial"/>
          <w:sz w:val="22"/>
          <w:szCs w:val="22"/>
        </w:rPr>
        <w:instrText>HYPERLINK "https://assets.publishing.service.gov.uk/media/683d54cee2008d4b92c80e1f/joint_statement_from_the_CMA_and_Ofcom.pdf"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https://assets.publishing.service.gov.uk/media/683d54cee2008d4b92c80e1f/joint_statement_from_the_CMA_and_Ofcom.pdf</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2BFC0C21"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Department for Digital, Culture, Media and Sport (2020) ‘Shared Rural Network’, 9 March. Available at: </w:t>
      </w:r>
      <w:r w:rsidRPr="00EF6C6D">
        <w:rPr>
          <w:rFonts w:ascii="Arial" w:hAnsi="Arial" w:cs="Arial"/>
          <w:sz w:val="22"/>
          <w:szCs w:val="22"/>
        </w:rPr>
        <w:fldChar w:fldCharType="begin"/>
      </w:r>
      <w:r w:rsidRPr="00EF6C6D">
        <w:rPr>
          <w:rFonts w:ascii="Arial" w:hAnsi="Arial" w:cs="Arial"/>
          <w:sz w:val="22"/>
          <w:szCs w:val="22"/>
        </w:rPr>
        <w:instrText>HYPERLINK "https://www.gov.uk/government/news/shared-rural-network"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https://www.gov.uk/government/news/shared-rural-network</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7F6A0608" w14:textId="47B702AE"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Department for Science, Innovation and Technology (2023) </w:t>
      </w:r>
      <w:r w:rsidR="003948B3" w:rsidRPr="00EF6C6D">
        <w:rPr>
          <w:rFonts w:ascii="Arial" w:hAnsi="Arial" w:cs="Arial"/>
          <w:sz w:val="22"/>
          <w:szCs w:val="22"/>
        </w:rPr>
        <w:t>'</w:t>
      </w:r>
      <w:r w:rsidRPr="00EF6C6D">
        <w:rPr>
          <w:rStyle w:val="Emphasis"/>
          <w:rFonts w:ascii="Arial" w:hAnsi="Arial" w:cs="Arial"/>
          <w:i w:val="0"/>
          <w:iCs w:val="0"/>
          <w:sz w:val="22"/>
          <w:szCs w:val="22"/>
        </w:rPr>
        <w:t>UK Wireless Infrastructure Strategy</w:t>
      </w:r>
      <w:r w:rsidR="003948B3" w:rsidRPr="00EF6C6D">
        <w:rPr>
          <w:rStyle w:val="Emphasis"/>
          <w:rFonts w:ascii="Arial" w:hAnsi="Arial" w:cs="Arial"/>
          <w:i w:val="0"/>
          <w:iCs w:val="0"/>
          <w:sz w:val="22"/>
          <w:szCs w:val="22"/>
        </w:rPr>
        <w:t>'</w:t>
      </w:r>
      <w:r w:rsidRPr="00EF6C6D">
        <w:rPr>
          <w:rFonts w:ascii="Arial" w:hAnsi="Arial" w:cs="Arial"/>
          <w:sz w:val="22"/>
          <w:szCs w:val="22"/>
        </w:rPr>
        <w:t xml:space="preserve">, 11 April. Available at: </w:t>
      </w:r>
      <w:r w:rsidRPr="00EF6C6D">
        <w:rPr>
          <w:rFonts w:ascii="Arial" w:hAnsi="Arial" w:cs="Arial"/>
          <w:sz w:val="22"/>
          <w:szCs w:val="22"/>
        </w:rPr>
        <w:fldChar w:fldCharType="begin"/>
      </w:r>
      <w:r w:rsidRPr="00EF6C6D">
        <w:rPr>
          <w:rFonts w:ascii="Arial" w:hAnsi="Arial" w:cs="Arial"/>
          <w:sz w:val="22"/>
          <w:szCs w:val="22"/>
        </w:rPr>
        <w:instrText>HYPERLINK "https://www.gov.uk/government/publications/uk-wireless-infrastructure-strategy/uk-wireless-infrastructure-strategy"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https://www.gov.uk/government/publications/uk-wireless-infrastructure-strategy/uk-wireless-infrastructure-strategy</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21765C04"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European Commission (2024) Regulation (EU) 2024/1689 of the European Parliament and of the Council of 13 June 2024 laying down harmonised rules on artificial intelligence (Artificial Intelligence Act). Brussels: European Commission.</w:t>
      </w:r>
    </w:p>
    <w:p w14:paraId="54B4C9B6"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Freeman, R.E. (1984) </w:t>
      </w:r>
      <w:r w:rsidRPr="00EF6C6D">
        <w:rPr>
          <w:rStyle w:val="Emphasis"/>
          <w:rFonts w:ascii="Arial" w:hAnsi="Arial" w:cs="Arial"/>
          <w:i w:val="0"/>
          <w:iCs w:val="0"/>
          <w:sz w:val="22"/>
          <w:szCs w:val="22"/>
        </w:rPr>
        <w:t>Strategic Management: A Stakeholder Approach</w:t>
      </w:r>
      <w:r w:rsidRPr="00EF6C6D">
        <w:rPr>
          <w:rFonts w:ascii="Arial" w:hAnsi="Arial" w:cs="Arial"/>
          <w:sz w:val="22"/>
          <w:szCs w:val="22"/>
        </w:rPr>
        <w:t>. Boston, MA: Pitman.</w:t>
      </w:r>
    </w:p>
    <w:p w14:paraId="494391E6" w14:textId="65C79007" w:rsidR="00A17181" w:rsidRPr="00EF6C6D" w:rsidRDefault="00A17181" w:rsidP="00EF6C6D">
      <w:pPr>
        <w:pStyle w:val="my-2"/>
        <w:spacing w:line="360" w:lineRule="auto"/>
        <w:rPr>
          <w:rFonts w:ascii="Arial" w:hAnsi="Arial" w:cs="Arial"/>
          <w:sz w:val="22"/>
          <w:szCs w:val="22"/>
        </w:rPr>
      </w:pPr>
      <w:r w:rsidRPr="00EF6C6D">
        <w:rPr>
          <w:rFonts w:ascii="Arial" w:hAnsi="Arial" w:cs="Arial"/>
          <w:sz w:val="22"/>
          <w:szCs w:val="22"/>
          <w:lang w:val="en-US"/>
        </w:rPr>
        <w:t>GSMA (2025</w:t>
      </w:r>
      <w:r w:rsidRPr="00EF6C6D">
        <w:rPr>
          <w:rFonts w:ascii="Arial" w:hAnsi="Arial" w:cs="Arial"/>
          <w:i/>
          <w:iCs/>
          <w:sz w:val="22"/>
          <w:szCs w:val="22"/>
          <w:lang w:val="en-US"/>
        </w:rPr>
        <w:t>) The Mobile Economy 2025</w:t>
      </w:r>
      <w:r w:rsidRPr="00EF6C6D">
        <w:rPr>
          <w:rFonts w:ascii="Arial" w:hAnsi="Arial" w:cs="Arial"/>
          <w:sz w:val="22"/>
          <w:szCs w:val="22"/>
          <w:lang w:val="en-US"/>
        </w:rPr>
        <w:t xml:space="preserve">. London: GSMA. Available at: </w:t>
      </w:r>
      <w:hyperlink r:id="rId8" w:tgtFrame="_blank" w:history="1">
        <w:r w:rsidRPr="00EF6C6D">
          <w:rPr>
            <w:rStyle w:val="Hyperlink"/>
            <w:rFonts w:ascii="Arial" w:hAnsi="Arial" w:cs="Arial"/>
            <w:sz w:val="22"/>
            <w:szCs w:val="22"/>
            <w:lang w:val="en-US"/>
          </w:rPr>
          <w:t>https://www.gsma.com/mobileeconomy/</w:t>
        </w:r>
      </w:hyperlink>
      <w:r w:rsidRPr="00EF6C6D">
        <w:rPr>
          <w:rFonts w:ascii="Arial" w:hAnsi="Arial" w:cs="Arial"/>
          <w:sz w:val="22"/>
          <w:szCs w:val="22"/>
          <w:lang w:val="en-US"/>
        </w:rPr>
        <w:t xml:space="preserve"> (Accessed: 11 July 2026).</w:t>
      </w:r>
    </w:p>
    <w:p w14:paraId="36AB372A"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International Monetary Fund (2024) </w:t>
      </w:r>
      <w:r w:rsidRPr="00EF6C6D">
        <w:rPr>
          <w:rStyle w:val="Emphasis"/>
          <w:rFonts w:ascii="Arial" w:hAnsi="Arial" w:cs="Arial"/>
          <w:i w:val="0"/>
          <w:iCs w:val="0"/>
          <w:sz w:val="22"/>
          <w:szCs w:val="22"/>
        </w:rPr>
        <w:t>Fiscal Monitor, April 2024</w:t>
      </w:r>
      <w:r w:rsidRPr="00EF6C6D">
        <w:rPr>
          <w:rFonts w:ascii="Arial" w:hAnsi="Arial" w:cs="Arial"/>
          <w:sz w:val="22"/>
          <w:szCs w:val="22"/>
        </w:rPr>
        <w:t>. Washington, DC: International Monetary Fund.</w:t>
      </w:r>
    </w:p>
    <w:p w14:paraId="61701D3F"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Johnson, G., Scholes, K. and Whittington, R. (2023) </w:t>
      </w:r>
      <w:r w:rsidRPr="00EF6C6D">
        <w:rPr>
          <w:rStyle w:val="Emphasis"/>
          <w:rFonts w:ascii="Arial" w:hAnsi="Arial" w:cs="Arial"/>
          <w:sz w:val="22"/>
          <w:szCs w:val="22"/>
        </w:rPr>
        <w:t>Exploring Strategy</w:t>
      </w:r>
      <w:r w:rsidRPr="00EF6C6D">
        <w:rPr>
          <w:rFonts w:ascii="Arial" w:hAnsi="Arial" w:cs="Arial"/>
          <w:sz w:val="22"/>
          <w:szCs w:val="22"/>
        </w:rPr>
        <w:t>. 13th edn. Harlow: Pearson.</w:t>
      </w:r>
    </w:p>
    <w:p w14:paraId="251EF5AC"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Kaplan, R.S. and Norton, D.P. (1996) </w:t>
      </w:r>
      <w:r w:rsidRPr="00EF6C6D">
        <w:rPr>
          <w:rStyle w:val="Emphasis"/>
          <w:rFonts w:ascii="Arial" w:hAnsi="Arial" w:cs="Arial"/>
          <w:i w:val="0"/>
          <w:iCs w:val="0"/>
          <w:sz w:val="22"/>
          <w:szCs w:val="22"/>
        </w:rPr>
        <w:t>The Balanced Scorecard: Translating Strategy into Action</w:t>
      </w:r>
      <w:r w:rsidRPr="00EF6C6D">
        <w:rPr>
          <w:rFonts w:ascii="Arial" w:hAnsi="Arial" w:cs="Arial"/>
          <w:sz w:val="22"/>
          <w:szCs w:val="22"/>
        </w:rPr>
        <w:t>. Boston, MA: Harvard Business School Press.</w:t>
      </w:r>
    </w:p>
    <w:p w14:paraId="2FC37DA9"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Kingston, A., Robinson, L., Booth, H., Knapp, M. and Jagger, C. (2018) ‘Projections of multi-morbidity in the older population in England to 2035: estimates from the Population Ageing and Care Simulation (PACSim) model’, </w:t>
      </w:r>
      <w:r w:rsidRPr="00EF6C6D">
        <w:rPr>
          <w:rStyle w:val="Emphasis"/>
          <w:rFonts w:ascii="Arial" w:hAnsi="Arial" w:cs="Arial"/>
          <w:i w:val="0"/>
          <w:iCs w:val="0"/>
          <w:sz w:val="22"/>
          <w:szCs w:val="22"/>
        </w:rPr>
        <w:t>Age and Ageing</w:t>
      </w:r>
      <w:r w:rsidRPr="00EF6C6D">
        <w:rPr>
          <w:rFonts w:ascii="Arial" w:hAnsi="Arial" w:cs="Arial"/>
          <w:sz w:val="22"/>
          <w:szCs w:val="22"/>
        </w:rPr>
        <w:t>, 47(3), pp. 374–380. doi:10.1093/ageing/afx201.</w:t>
      </w:r>
    </w:p>
    <w:p w14:paraId="79B87C61"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Mendelow, A.L. (1991) ‘Stakeholder mapping’, </w:t>
      </w:r>
      <w:r w:rsidRPr="00EF6C6D">
        <w:rPr>
          <w:rStyle w:val="Emphasis"/>
          <w:rFonts w:ascii="Arial" w:hAnsi="Arial" w:cs="Arial"/>
          <w:i w:val="0"/>
          <w:iCs w:val="0"/>
          <w:sz w:val="22"/>
          <w:szCs w:val="22"/>
        </w:rPr>
        <w:t>Proceedings of the Second International Conference on Information Systems</w:t>
      </w:r>
      <w:r w:rsidRPr="00EF6C6D">
        <w:rPr>
          <w:rFonts w:ascii="Arial" w:hAnsi="Arial" w:cs="Arial"/>
          <w:sz w:val="22"/>
          <w:szCs w:val="22"/>
        </w:rPr>
        <w:t>. Cambridge, MA.</w:t>
      </w:r>
    </w:p>
    <w:p w14:paraId="35889A16"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lastRenderedPageBreak/>
        <w:t xml:space="preserve">Office for National Statistics (2023) </w:t>
      </w:r>
      <w:r w:rsidRPr="00EF6C6D">
        <w:rPr>
          <w:rStyle w:val="Emphasis"/>
          <w:rFonts w:ascii="Arial" w:hAnsi="Arial" w:cs="Arial"/>
          <w:i w:val="0"/>
          <w:iCs w:val="0"/>
          <w:sz w:val="22"/>
          <w:szCs w:val="22"/>
        </w:rPr>
        <w:t>National population projections: 2021-based interim</w:t>
      </w:r>
      <w:r w:rsidRPr="00EF6C6D">
        <w:rPr>
          <w:rFonts w:ascii="Arial" w:hAnsi="Arial" w:cs="Arial"/>
          <w:sz w:val="22"/>
          <w:szCs w:val="22"/>
        </w:rPr>
        <w:t xml:space="preserve">. Available at: </w:t>
      </w:r>
      <w:r w:rsidRPr="00EF6C6D">
        <w:rPr>
          <w:rFonts w:ascii="Arial" w:hAnsi="Arial" w:cs="Arial"/>
          <w:sz w:val="22"/>
          <w:szCs w:val="22"/>
        </w:rPr>
        <w:fldChar w:fldCharType="begin"/>
      </w:r>
      <w:r w:rsidRPr="00EF6C6D">
        <w:rPr>
          <w:rFonts w:ascii="Arial" w:hAnsi="Arial" w:cs="Arial"/>
          <w:sz w:val="22"/>
          <w:szCs w:val="22"/>
        </w:rPr>
        <w:instrText>HYPERLINK "https://www.ons.gov.uk/peoplepopulationandcommunity/populationandmigration/populationprojections"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https://www.ons.gov.uk/peoplepopulationandcommunity/populationandmigration/populationprojections</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548C19C7"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Ofcom (2025a) </w:t>
      </w:r>
      <w:r w:rsidRPr="00EF6C6D">
        <w:rPr>
          <w:rStyle w:val="Emphasis"/>
          <w:rFonts w:ascii="Arial" w:hAnsi="Arial" w:cs="Arial"/>
          <w:i w:val="0"/>
          <w:iCs w:val="0"/>
          <w:sz w:val="22"/>
          <w:szCs w:val="22"/>
        </w:rPr>
        <w:t>Connected Nations 2025</w:t>
      </w:r>
      <w:r w:rsidRPr="00EF6C6D">
        <w:rPr>
          <w:rFonts w:ascii="Arial" w:hAnsi="Arial" w:cs="Arial"/>
          <w:sz w:val="22"/>
          <w:szCs w:val="22"/>
        </w:rPr>
        <w:t xml:space="preserve">. Available at: </w:t>
      </w:r>
      <w:r w:rsidRPr="00EF6C6D">
        <w:rPr>
          <w:rFonts w:ascii="Arial" w:hAnsi="Arial" w:cs="Arial"/>
          <w:sz w:val="22"/>
          <w:szCs w:val="22"/>
        </w:rPr>
        <w:fldChar w:fldCharType="begin"/>
      </w:r>
      <w:r w:rsidRPr="00EF6C6D">
        <w:rPr>
          <w:rFonts w:ascii="Arial" w:hAnsi="Arial" w:cs="Arial"/>
          <w:sz w:val="22"/>
          <w:szCs w:val="22"/>
        </w:rPr>
        <w:instrText>HYPERLINK "https://www.ofcom.org.uk/research-and-data/telecoms-research/connected-nations/connected-nations-2025"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https://www.ofcom.org.uk/research-and-data/telecoms-research/connected-nations/connected-nations-2025</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1DC5D4B1"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Ofcom (2025b) ‘Final results of UK 5G mobile spectrum auction for 26 GHz and 40 GHz’, 24 October. Available at: </w:t>
      </w:r>
      <w:r w:rsidRPr="00EF6C6D">
        <w:rPr>
          <w:rFonts w:ascii="Arial" w:hAnsi="Arial" w:cs="Arial"/>
          <w:sz w:val="22"/>
          <w:szCs w:val="22"/>
        </w:rPr>
        <w:fldChar w:fldCharType="begin"/>
      </w:r>
      <w:r w:rsidRPr="00EF6C6D">
        <w:rPr>
          <w:rFonts w:ascii="Arial" w:hAnsi="Arial" w:cs="Arial"/>
          <w:sz w:val="22"/>
          <w:szCs w:val="22"/>
        </w:rPr>
        <w:instrText>HYPERLINK "https://www.ofcom.org.uk/spectrum/spectrum-management/spectrum-awards/awards-in-progress/26-and-40ghz-auction"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https://www.ofcom.org.uk/spectrum/spectrum-management/spectrum-awards/awards-in-progress/26-and-40ghz-auction</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497D4545"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Ooi, R. and Periasamy, B. (2026) ‘Agentic AI for ageing healthcare systems in advanced economies: a structured review of evidence, institutional barriers, and a sociotechnical implementation roadmap’, </w:t>
      </w:r>
      <w:r w:rsidRPr="00EF6C6D">
        <w:rPr>
          <w:rStyle w:val="Emphasis"/>
          <w:rFonts w:ascii="Arial" w:hAnsi="Arial" w:cs="Arial"/>
          <w:i w:val="0"/>
          <w:iCs w:val="0"/>
          <w:sz w:val="22"/>
          <w:szCs w:val="22"/>
        </w:rPr>
        <w:t>IGMIN Research</w:t>
      </w:r>
      <w:r w:rsidRPr="00EF6C6D">
        <w:rPr>
          <w:rFonts w:ascii="Arial" w:hAnsi="Arial" w:cs="Arial"/>
          <w:sz w:val="22"/>
          <w:szCs w:val="22"/>
        </w:rPr>
        <w:t>, Article ID igmin337. doi:10.61927/igmin337.</w:t>
      </w:r>
    </w:p>
    <w:p w14:paraId="65D74008"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Opensignal (2026) </w:t>
      </w:r>
      <w:r w:rsidRPr="00EF6C6D">
        <w:rPr>
          <w:rStyle w:val="Emphasis"/>
          <w:rFonts w:ascii="Arial" w:hAnsi="Arial" w:cs="Arial"/>
          <w:i w:val="0"/>
          <w:iCs w:val="0"/>
          <w:sz w:val="22"/>
          <w:szCs w:val="22"/>
        </w:rPr>
        <w:t>United Kingdom Mobile Network Experience Report</w:t>
      </w:r>
      <w:r w:rsidRPr="00EF6C6D">
        <w:rPr>
          <w:rFonts w:ascii="Arial" w:hAnsi="Arial" w:cs="Arial"/>
          <w:sz w:val="22"/>
          <w:szCs w:val="22"/>
        </w:rPr>
        <w:t xml:space="preserve">, January. Available at: </w:t>
      </w:r>
      <w:r w:rsidRPr="00EF6C6D">
        <w:rPr>
          <w:rFonts w:ascii="Arial" w:hAnsi="Arial" w:cs="Arial"/>
          <w:sz w:val="22"/>
          <w:szCs w:val="22"/>
        </w:rPr>
        <w:fldChar w:fldCharType="begin"/>
      </w:r>
      <w:r w:rsidRPr="00EF6C6D">
        <w:rPr>
          <w:rFonts w:ascii="Arial" w:hAnsi="Arial" w:cs="Arial"/>
          <w:sz w:val="22"/>
          <w:szCs w:val="22"/>
        </w:rPr>
        <w:instrText>HYPERLINK "https://insights.opensignal.com/reports/2026/01/uk/mobile-network-experience"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https://insights.opensignal.com/reports/2026/01/uk/mobile-network-experience</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0DC05631"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Porter, M.E. (1980) </w:t>
      </w:r>
      <w:r w:rsidRPr="00EF6C6D">
        <w:rPr>
          <w:rStyle w:val="Emphasis"/>
          <w:rFonts w:ascii="Arial" w:hAnsi="Arial" w:cs="Arial"/>
          <w:i w:val="0"/>
          <w:iCs w:val="0"/>
          <w:sz w:val="22"/>
          <w:szCs w:val="22"/>
        </w:rPr>
        <w:t>Competitive Strategy: Techniques for Analyzing Industries and Competitors</w:t>
      </w:r>
      <w:r w:rsidRPr="00EF6C6D">
        <w:rPr>
          <w:rFonts w:ascii="Arial" w:hAnsi="Arial" w:cs="Arial"/>
          <w:sz w:val="22"/>
          <w:szCs w:val="22"/>
        </w:rPr>
        <w:t>. New York: Free Press.</w:t>
      </w:r>
    </w:p>
    <w:p w14:paraId="26B73CC4"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Porter, M.E. (1985) </w:t>
      </w:r>
      <w:r w:rsidRPr="00EF6C6D">
        <w:rPr>
          <w:rStyle w:val="Emphasis"/>
          <w:rFonts w:ascii="Arial" w:hAnsi="Arial" w:cs="Arial"/>
          <w:i w:val="0"/>
          <w:iCs w:val="0"/>
          <w:sz w:val="22"/>
          <w:szCs w:val="22"/>
        </w:rPr>
        <w:t>Competitive Advantage: Creating and Sustaining Superior Performance</w:t>
      </w:r>
      <w:r w:rsidRPr="00EF6C6D">
        <w:rPr>
          <w:rFonts w:ascii="Arial" w:hAnsi="Arial" w:cs="Arial"/>
          <w:sz w:val="22"/>
          <w:szCs w:val="22"/>
        </w:rPr>
        <w:t>. New York: Free Press.</w:t>
      </w:r>
    </w:p>
    <w:p w14:paraId="5EA2F010"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Saka, S. and Das, S. (2025) ‘“Watch My Health, Not My Data”: understanding perceptions, barriers, emotional impact, and coping strategies pertaining to IoT privacy and security in health monitoring for older adults’, </w:t>
      </w:r>
      <w:r w:rsidRPr="00EF6C6D">
        <w:rPr>
          <w:rStyle w:val="Emphasis"/>
          <w:rFonts w:ascii="Arial" w:hAnsi="Arial" w:cs="Arial"/>
          <w:i w:val="0"/>
          <w:iCs w:val="0"/>
          <w:sz w:val="22"/>
          <w:szCs w:val="22"/>
        </w:rPr>
        <w:t>CHI Conference on Human Factors in Computing Systems (CHI '25)</w:t>
      </w:r>
      <w:r w:rsidRPr="00EF6C6D">
        <w:rPr>
          <w:rFonts w:ascii="Arial" w:hAnsi="Arial" w:cs="Arial"/>
          <w:sz w:val="22"/>
          <w:szCs w:val="22"/>
        </w:rPr>
        <w:t>, April–May, Yokohama. ACM. doi:10.1145/3706598.3714019.</w:t>
      </w:r>
    </w:p>
    <w:p w14:paraId="2BE06CE1" w14:textId="17DC0618"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Schwartz, P. (1991) </w:t>
      </w:r>
      <w:r w:rsidRPr="00EF6C6D">
        <w:rPr>
          <w:rStyle w:val="Emphasis"/>
          <w:rFonts w:ascii="Arial" w:hAnsi="Arial" w:cs="Arial"/>
          <w:i w:val="0"/>
          <w:iCs w:val="0"/>
          <w:sz w:val="22"/>
          <w:szCs w:val="22"/>
        </w:rPr>
        <w:t>The Art of the Long View: Planning for the Future in an Uncertain World</w:t>
      </w:r>
      <w:r w:rsidRPr="00EF6C6D">
        <w:rPr>
          <w:rFonts w:ascii="Arial" w:hAnsi="Arial" w:cs="Arial"/>
          <w:sz w:val="22"/>
          <w:szCs w:val="22"/>
        </w:rPr>
        <w:t>. New York: Doub</w:t>
      </w:r>
      <w:r w:rsidR="00187C85" w:rsidRPr="00EF6C6D">
        <w:rPr>
          <w:rFonts w:ascii="Arial" w:hAnsi="Arial" w:cs="Arial"/>
          <w:sz w:val="22"/>
          <w:szCs w:val="22"/>
        </w:rPr>
        <w:t>led</w:t>
      </w:r>
      <w:r w:rsidRPr="00EF6C6D">
        <w:rPr>
          <w:rFonts w:ascii="Arial" w:hAnsi="Arial" w:cs="Arial"/>
          <w:sz w:val="22"/>
          <w:szCs w:val="22"/>
        </w:rPr>
        <w:t>ay.</w:t>
      </w:r>
    </w:p>
    <w:p w14:paraId="5BBDD020"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lastRenderedPageBreak/>
        <w:t xml:space="preserve">Steventon, A., Bardsley, M., Billings, J., Dixon, J., Doll, H., Hirani, S. and Newman, S. (2012) ‘Effect of telehealth on use of secondary care and mortality: findings from the Whole System Demonstrator cluster randomised trial’, </w:t>
      </w:r>
      <w:r w:rsidRPr="00EF6C6D">
        <w:rPr>
          <w:rStyle w:val="Emphasis"/>
          <w:rFonts w:ascii="Arial" w:hAnsi="Arial" w:cs="Arial"/>
          <w:i w:val="0"/>
          <w:iCs w:val="0"/>
          <w:sz w:val="22"/>
          <w:szCs w:val="22"/>
        </w:rPr>
        <w:t>BMJ</w:t>
      </w:r>
      <w:r w:rsidRPr="00EF6C6D">
        <w:rPr>
          <w:rFonts w:ascii="Arial" w:hAnsi="Arial" w:cs="Arial"/>
          <w:sz w:val="22"/>
          <w:szCs w:val="22"/>
        </w:rPr>
        <w:t>, 344, p. e3874. doi:10.1136/bmj.e3874.</w:t>
      </w:r>
    </w:p>
    <w:p w14:paraId="1BE6340B"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Virgin Media O2 (2026) ‘VMO2 IFRS Annual Bond Report – Q4 2025’, March. Available at: </w:t>
      </w:r>
      <w:r w:rsidRPr="00EF6C6D">
        <w:rPr>
          <w:rFonts w:ascii="Arial" w:hAnsi="Arial" w:cs="Arial"/>
          <w:sz w:val="22"/>
          <w:szCs w:val="22"/>
        </w:rPr>
        <w:fldChar w:fldCharType="begin"/>
      </w:r>
      <w:r w:rsidRPr="00EF6C6D">
        <w:rPr>
          <w:rFonts w:ascii="Arial" w:hAnsi="Arial" w:cs="Arial"/>
          <w:sz w:val="22"/>
          <w:szCs w:val="22"/>
        </w:rPr>
        <w:instrText>HYPERLINK "https://news.virginmediao2.co.uk/wp-content/uploads/2026/03/VMED-O2-Annual-Bond-Report-Q4-2025.pdf"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https://news.virginmediao2.co.uk/wp-content/uploads/2026/03/VMED-O2-Annual-Bond-Report-Q4-2025.pdf</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69674A5B"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RootMetrics (2025) </w:t>
      </w:r>
      <w:r w:rsidRPr="00EF6C6D">
        <w:rPr>
          <w:rStyle w:val="Emphasis"/>
          <w:rFonts w:ascii="Arial" w:hAnsi="Arial" w:cs="Arial"/>
          <w:i w:val="0"/>
          <w:iCs w:val="0"/>
          <w:sz w:val="22"/>
          <w:szCs w:val="22"/>
        </w:rPr>
        <w:t>UK RootScore Report</w:t>
      </w:r>
      <w:r w:rsidRPr="00EF6C6D">
        <w:rPr>
          <w:rFonts w:ascii="Arial" w:hAnsi="Arial" w:cs="Arial"/>
          <w:sz w:val="22"/>
          <w:szCs w:val="22"/>
        </w:rPr>
        <w:t xml:space="preserve">. Available at: </w:t>
      </w:r>
      <w:r w:rsidRPr="00EF6C6D">
        <w:rPr>
          <w:rFonts w:ascii="Arial" w:hAnsi="Arial" w:cs="Arial"/>
          <w:sz w:val="22"/>
          <w:szCs w:val="22"/>
        </w:rPr>
        <w:fldChar w:fldCharType="begin"/>
      </w:r>
      <w:r w:rsidRPr="00EF6C6D">
        <w:rPr>
          <w:rFonts w:ascii="Arial" w:hAnsi="Arial" w:cs="Arial"/>
          <w:sz w:val="22"/>
          <w:szCs w:val="22"/>
        </w:rPr>
        <w:instrText>HYPERLINK "https://www.rootmetrics.com"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https://www.rootmetrics.com</w:t>
      </w:r>
      <w:r w:rsidRPr="00EF6C6D">
        <w:rPr>
          <w:rFonts w:ascii="Arial" w:hAnsi="Arial" w:cs="Arial"/>
          <w:sz w:val="22"/>
          <w:szCs w:val="22"/>
        </w:rPr>
        <w:fldChar w:fldCharType="end"/>
      </w:r>
      <w:r w:rsidRPr="00EF6C6D">
        <w:rPr>
          <w:rFonts w:ascii="Arial" w:hAnsi="Arial" w:cs="Arial"/>
          <w:sz w:val="22"/>
          <w:szCs w:val="22"/>
        </w:rPr>
        <w:t xml:space="preserve"> (Accessed: 10 July 2026).</w:t>
      </w:r>
    </w:p>
    <w:p w14:paraId="3A9C8663"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Vodafone Group Plc (2023) ‘Merger of Vodafone UK and Three UK to create one of Europe’s leading 5G networks’, 14 June. Available at: </w:t>
      </w:r>
      <w:r w:rsidRPr="00EF6C6D">
        <w:rPr>
          <w:rFonts w:ascii="Arial" w:hAnsi="Arial" w:cs="Arial"/>
          <w:sz w:val="22"/>
          <w:szCs w:val="22"/>
        </w:rPr>
        <w:fldChar w:fldCharType="begin"/>
      </w:r>
      <w:r w:rsidRPr="00EF6C6D">
        <w:rPr>
          <w:rFonts w:ascii="Arial" w:hAnsi="Arial" w:cs="Arial"/>
          <w:sz w:val="22"/>
          <w:szCs w:val="22"/>
        </w:rPr>
        <w:instrText>HYPERLINK "https://www.vodafone.com/news/newsroom/corporate-and-financial/merger-vodafone-uk-three-uk-europe-leading-5g-networks"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https://www.vodafone.com/news/newsroom/corporate-and-financial/merger-vodafone-uk-three-uk-europe-leading-5g-networks</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21DC4B13"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Vodafone Group Plc (2025a) ‘Completion of Vodafone and Three merger in the UK’, 2 June. Available at: </w:t>
      </w:r>
      <w:r w:rsidRPr="00EF6C6D">
        <w:rPr>
          <w:rFonts w:ascii="Arial" w:hAnsi="Arial" w:cs="Arial"/>
          <w:sz w:val="22"/>
          <w:szCs w:val="22"/>
        </w:rPr>
        <w:fldChar w:fldCharType="begin"/>
      </w:r>
      <w:r w:rsidRPr="00EF6C6D">
        <w:rPr>
          <w:rFonts w:ascii="Arial" w:hAnsi="Arial" w:cs="Arial"/>
          <w:sz w:val="22"/>
          <w:szCs w:val="22"/>
        </w:rPr>
        <w:instrText>HYPERLINK "https://www.vodafone.com/news/newsroom/corporate-and-financial/completion-of-vodafone-and-three-merger-in-the-uk"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https://www.vodafone.com/news/newsroom/corporate-and-financial/completion-of-vodafone-and-three-merger-in-the-uk</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1B38D9D8"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Vodafone Group Plc (2025b) </w:t>
      </w:r>
      <w:r w:rsidRPr="00EF6C6D">
        <w:rPr>
          <w:rStyle w:val="Emphasis"/>
          <w:rFonts w:ascii="Arial" w:hAnsi="Arial" w:cs="Arial"/>
          <w:i w:val="0"/>
          <w:iCs w:val="0"/>
          <w:sz w:val="22"/>
          <w:szCs w:val="22"/>
        </w:rPr>
        <w:t>Annual Report 2025</w:t>
      </w:r>
      <w:r w:rsidRPr="00EF6C6D">
        <w:rPr>
          <w:rFonts w:ascii="Arial" w:hAnsi="Arial" w:cs="Arial"/>
          <w:sz w:val="22"/>
          <w:szCs w:val="22"/>
        </w:rPr>
        <w:t xml:space="preserve">. Newbury: Vodafone Group Plc. Available at: </w:t>
      </w:r>
      <w:r w:rsidRPr="00EF6C6D">
        <w:rPr>
          <w:rFonts w:ascii="Arial" w:hAnsi="Arial" w:cs="Arial"/>
          <w:sz w:val="22"/>
          <w:szCs w:val="22"/>
        </w:rPr>
        <w:fldChar w:fldCharType="begin"/>
      </w:r>
      <w:r w:rsidRPr="00EF6C6D">
        <w:rPr>
          <w:rFonts w:ascii="Arial" w:hAnsi="Arial" w:cs="Arial"/>
          <w:sz w:val="22"/>
          <w:szCs w:val="22"/>
        </w:rPr>
        <w:instrText>HYPERLINK "https://reports.investors.vodafone.com/view/897876789/"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https://reports.investors.vodafone.com/view/897876789/</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6F09E0F3" w14:textId="38202016" w:rsidR="00FB3702" w:rsidRPr="00EF6C6D" w:rsidRDefault="00A17181" w:rsidP="00EF6C6D">
      <w:pPr>
        <w:pStyle w:val="my-2"/>
        <w:spacing w:line="360" w:lineRule="auto"/>
        <w:rPr>
          <w:rFonts w:ascii="Arial" w:hAnsi="Arial" w:cs="Arial"/>
          <w:sz w:val="22"/>
          <w:szCs w:val="22"/>
        </w:rPr>
      </w:pPr>
      <w:r w:rsidRPr="00EF6C6D">
        <w:rPr>
          <w:rFonts w:ascii="Arial" w:hAnsi="Arial" w:cs="Arial"/>
          <w:sz w:val="22"/>
          <w:szCs w:val="22"/>
        </w:rPr>
        <w:t>Vodafone Group Plc (2025c) 'Our strategic priorities'.</w:t>
      </w:r>
      <w:r w:rsidR="00FB3702" w:rsidRPr="00EF6C6D">
        <w:rPr>
          <w:rFonts w:ascii="Arial" w:hAnsi="Arial" w:cs="Arial"/>
          <w:sz w:val="22"/>
          <w:szCs w:val="22"/>
        </w:rPr>
        <w:t xml:space="preserve"> Available at: </w:t>
      </w:r>
      <w:r w:rsidR="00FB3702" w:rsidRPr="00EF6C6D">
        <w:rPr>
          <w:rFonts w:ascii="Arial" w:hAnsi="Arial" w:cs="Arial"/>
          <w:sz w:val="22"/>
          <w:szCs w:val="22"/>
        </w:rPr>
        <w:fldChar w:fldCharType="begin"/>
      </w:r>
      <w:r w:rsidR="00FB3702" w:rsidRPr="00EF6C6D">
        <w:rPr>
          <w:rFonts w:ascii="Arial" w:hAnsi="Arial" w:cs="Arial"/>
          <w:sz w:val="22"/>
          <w:szCs w:val="22"/>
        </w:rPr>
        <w:instrText>HYPERLINK "https://www.vodafone.com/our-company/our-strategic-priorities" \t "_blank"</w:instrText>
      </w:r>
      <w:r w:rsidR="00FB3702" w:rsidRPr="00EF6C6D">
        <w:rPr>
          <w:rFonts w:ascii="Arial" w:hAnsi="Arial" w:cs="Arial"/>
          <w:sz w:val="22"/>
          <w:szCs w:val="22"/>
        </w:rPr>
      </w:r>
      <w:r w:rsidR="00FB3702" w:rsidRPr="00EF6C6D">
        <w:rPr>
          <w:rFonts w:ascii="Arial" w:hAnsi="Arial" w:cs="Arial"/>
          <w:sz w:val="22"/>
          <w:szCs w:val="22"/>
        </w:rPr>
        <w:fldChar w:fldCharType="separate"/>
      </w:r>
      <w:r w:rsidR="00FB3702" w:rsidRPr="00EF6C6D">
        <w:rPr>
          <w:rStyle w:val="text-box-trim-both"/>
          <w:rFonts w:ascii="Arial" w:hAnsi="Arial" w:cs="Arial"/>
          <w:color w:val="0000FF"/>
          <w:sz w:val="22"/>
          <w:szCs w:val="22"/>
          <w:u w:val="single"/>
        </w:rPr>
        <w:t>https://www.vodafone.com/our-company/our-strategic-priorities</w:t>
      </w:r>
      <w:r w:rsidR="00FB3702" w:rsidRPr="00EF6C6D">
        <w:rPr>
          <w:rFonts w:ascii="Arial" w:hAnsi="Arial" w:cs="Arial"/>
          <w:sz w:val="22"/>
          <w:szCs w:val="22"/>
        </w:rPr>
        <w:fldChar w:fldCharType="end"/>
      </w:r>
      <w:r w:rsidR="00FB3702" w:rsidRPr="00EF6C6D">
        <w:rPr>
          <w:rFonts w:ascii="Arial" w:hAnsi="Arial" w:cs="Arial"/>
          <w:sz w:val="22"/>
          <w:szCs w:val="22"/>
        </w:rPr>
        <w:t xml:space="preserve"> (Accessed: 11 July 2026).</w:t>
      </w:r>
    </w:p>
    <w:p w14:paraId="6907ADEE" w14:textId="300795D2"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Vodafone Group Plc (2025d) </w:t>
      </w:r>
      <w:r w:rsidR="003948B3" w:rsidRPr="00EF6C6D">
        <w:rPr>
          <w:rFonts w:ascii="Arial" w:hAnsi="Arial" w:cs="Arial"/>
          <w:sz w:val="22"/>
          <w:szCs w:val="22"/>
        </w:rPr>
        <w:t>'</w:t>
      </w:r>
      <w:r w:rsidRPr="00EF6C6D">
        <w:rPr>
          <w:rStyle w:val="Emphasis"/>
          <w:rFonts w:ascii="Arial" w:hAnsi="Arial" w:cs="Arial"/>
          <w:i w:val="0"/>
          <w:iCs w:val="0"/>
          <w:sz w:val="22"/>
          <w:szCs w:val="22"/>
        </w:rPr>
        <w:t>Our company</w:t>
      </w:r>
      <w:r w:rsidR="003948B3" w:rsidRPr="00EF6C6D">
        <w:rPr>
          <w:rStyle w:val="Emphasis"/>
          <w:rFonts w:ascii="Arial" w:hAnsi="Arial" w:cs="Arial"/>
          <w:i w:val="0"/>
          <w:iCs w:val="0"/>
          <w:sz w:val="22"/>
          <w:szCs w:val="22"/>
        </w:rPr>
        <w:t>'</w:t>
      </w:r>
      <w:r w:rsidRPr="00EF6C6D">
        <w:rPr>
          <w:rFonts w:ascii="Arial" w:hAnsi="Arial" w:cs="Arial"/>
          <w:sz w:val="22"/>
          <w:szCs w:val="22"/>
        </w:rPr>
        <w:t xml:space="preserve">. Available at: </w:t>
      </w:r>
      <w:r w:rsidRPr="00EF6C6D">
        <w:rPr>
          <w:rFonts w:ascii="Arial" w:hAnsi="Arial" w:cs="Arial"/>
          <w:sz w:val="22"/>
          <w:szCs w:val="22"/>
        </w:rPr>
        <w:fldChar w:fldCharType="begin"/>
      </w:r>
      <w:r w:rsidRPr="00EF6C6D">
        <w:rPr>
          <w:rFonts w:ascii="Arial" w:hAnsi="Arial" w:cs="Arial"/>
          <w:sz w:val="22"/>
          <w:szCs w:val="22"/>
        </w:rPr>
        <w:instrText>HYPERLINK "https://www.vodafone.com/our-company"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https://www.vodafone.com/our-company</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66A873C7" w14:textId="1A15E4DE"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Vodafone Group Plc (n.d.) </w:t>
      </w:r>
      <w:r w:rsidR="003948B3" w:rsidRPr="00EF6C6D">
        <w:rPr>
          <w:rFonts w:ascii="Arial" w:hAnsi="Arial" w:cs="Arial"/>
          <w:sz w:val="22"/>
          <w:szCs w:val="22"/>
        </w:rPr>
        <w:t>'</w:t>
      </w:r>
      <w:r w:rsidRPr="00EF6C6D">
        <w:rPr>
          <w:rStyle w:val="Emphasis"/>
          <w:rFonts w:ascii="Arial" w:hAnsi="Arial" w:cs="Arial"/>
          <w:i w:val="0"/>
          <w:iCs w:val="0"/>
          <w:sz w:val="22"/>
          <w:szCs w:val="22"/>
        </w:rPr>
        <w:t>Our mission</w:t>
      </w:r>
      <w:r w:rsidR="003948B3" w:rsidRPr="00EF6C6D">
        <w:rPr>
          <w:rStyle w:val="Emphasis"/>
          <w:rFonts w:ascii="Arial" w:hAnsi="Arial" w:cs="Arial"/>
          <w:i w:val="0"/>
          <w:iCs w:val="0"/>
          <w:sz w:val="22"/>
          <w:szCs w:val="22"/>
        </w:rPr>
        <w:t>'</w:t>
      </w:r>
      <w:r w:rsidRPr="00EF6C6D">
        <w:rPr>
          <w:rFonts w:ascii="Arial" w:hAnsi="Arial" w:cs="Arial"/>
          <w:sz w:val="22"/>
          <w:szCs w:val="22"/>
        </w:rPr>
        <w:t xml:space="preserve">. Available at: </w:t>
      </w:r>
      <w:r w:rsidRPr="00EF6C6D">
        <w:rPr>
          <w:rFonts w:ascii="Arial" w:hAnsi="Arial" w:cs="Arial"/>
          <w:sz w:val="22"/>
          <w:szCs w:val="22"/>
        </w:rPr>
        <w:fldChar w:fldCharType="begin"/>
      </w:r>
      <w:r w:rsidRPr="00EF6C6D">
        <w:rPr>
          <w:rFonts w:ascii="Arial" w:hAnsi="Arial" w:cs="Arial"/>
          <w:sz w:val="22"/>
          <w:szCs w:val="22"/>
        </w:rPr>
        <w:instrText>HYPERLINK "https://www.vodafone.com/our-company/our-mission"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https://www.vodafone.com/our-company/our-mission</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676E7DD8"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lastRenderedPageBreak/>
        <w:t xml:space="preserve">VodafoneThree (2025) ‘VodafoneThree signs multibillion pound investment deals’, 22 September. Available at: </w:t>
      </w:r>
      <w:r w:rsidRPr="00EF6C6D">
        <w:rPr>
          <w:rFonts w:ascii="Arial" w:hAnsi="Arial" w:cs="Arial"/>
          <w:sz w:val="22"/>
          <w:szCs w:val="22"/>
        </w:rPr>
        <w:fldChar w:fldCharType="begin"/>
      </w:r>
      <w:r w:rsidRPr="00EF6C6D">
        <w:rPr>
          <w:rFonts w:ascii="Arial" w:hAnsi="Arial" w:cs="Arial"/>
          <w:sz w:val="22"/>
          <w:szCs w:val="22"/>
        </w:rPr>
        <w:instrText>HYPERLINK "https://www.vodafone.co.uk/newscentre/press-release/multibillion-pound-investment-deals-signed-to-build-uk-best-network/" \t "_blank"</w:instrText>
      </w:r>
      <w:r w:rsidRPr="00EF6C6D">
        <w:rPr>
          <w:rFonts w:ascii="Arial" w:hAnsi="Arial" w:cs="Arial"/>
          <w:sz w:val="22"/>
          <w:szCs w:val="22"/>
        </w:rPr>
      </w:r>
      <w:r w:rsidRPr="00EF6C6D">
        <w:rPr>
          <w:rFonts w:ascii="Arial" w:hAnsi="Arial" w:cs="Arial"/>
          <w:sz w:val="22"/>
          <w:szCs w:val="22"/>
        </w:rPr>
        <w:fldChar w:fldCharType="separate"/>
      </w:r>
      <w:r w:rsidRPr="00EF6C6D">
        <w:rPr>
          <w:rStyle w:val="text-box-trim-both"/>
          <w:rFonts w:ascii="Arial" w:hAnsi="Arial" w:cs="Arial"/>
          <w:color w:val="0000FF"/>
          <w:sz w:val="22"/>
          <w:szCs w:val="22"/>
          <w:u w:val="single"/>
        </w:rPr>
        <w:t>https://www.vodafone.co.uk/newscentre/press-release/multibillion-pound-investment-deals-signed-to-build-uk-best-network/</w:t>
      </w:r>
      <w:r w:rsidRPr="00EF6C6D">
        <w:rPr>
          <w:rFonts w:ascii="Arial" w:hAnsi="Arial" w:cs="Arial"/>
          <w:sz w:val="22"/>
          <w:szCs w:val="22"/>
        </w:rPr>
        <w:fldChar w:fldCharType="end"/>
      </w:r>
      <w:r w:rsidRPr="00EF6C6D">
        <w:rPr>
          <w:rFonts w:ascii="Arial" w:hAnsi="Arial" w:cs="Arial"/>
          <w:sz w:val="22"/>
          <w:szCs w:val="22"/>
        </w:rPr>
        <w:t xml:space="preserve"> (Accessed: 11 July 2026).</w:t>
      </w:r>
    </w:p>
    <w:p w14:paraId="14DEBE88" w14:textId="77777777"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 xml:space="preserve">Weihrich, H. (1982) ‘The TOWS matrix – a tool for situational analysis’, </w:t>
      </w:r>
      <w:r w:rsidRPr="00EF6C6D">
        <w:rPr>
          <w:rStyle w:val="Emphasis"/>
          <w:rFonts w:ascii="Arial" w:hAnsi="Arial" w:cs="Arial"/>
          <w:i w:val="0"/>
          <w:iCs w:val="0"/>
          <w:sz w:val="22"/>
          <w:szCs w:val="22"/>
        </w:rPr>
        <w:t>Long Range Planning</w:t>
      </w:r>
      <w:r w:rsidRPr="00EF6C6D">
        <w:rPr>
          <w:rFonts w:ascii="Arial" w:hAnsi="Arial" w:cs="Arial"/>
          <w:sz w:val="22"/>
          <w:szCs w:val="22"/>
        </w:rPr>
        <w:t>, 15(2), pp. 54–66.</w:t>
      </w:r>
    </w:p>
    <w:p w14:paraId="404032EF" w14:textId="5F44D119" w:rsidR="00FB3702" w:rsidRPr="00EF6C6D" w:rsidRDefault="00FB3702" w:rsidP="00EF6C6D">
      <w:pPr>
        <w:pStyle w:val="my-2"/>
        <w:spacing w:line="360" w:lineRule="auto"/>
        <w:rPr>
          <w:rFonts w:ascii="Arial" w:hAnsi="Arial" w:cs="Arial"/>
          <w:sz w:val="22"/>
          <w:szCs w:val="22"/>
        </w:rPr>
      </w:pPr>
      <w:r w:rsidRPr="00EF6C6D">
        <w:rPr>
          <w:rFonts w:ascii="Arial" w:hAnsi="Arial" w:cs="Arial"/>
          <w:sz w:val="22"/>
          <w:szCs w:val="22"/>
        </w:rPr>
        <w:t>Appendices</w:t>
      </w:r>
    </w:p>
    <w:p w14:paraId="1D4F11B6" w14:textId="77777777" w:rsidR="000B76CA" w:rsidRPr="00EF6C6D" w:rsidRDefault="000B76CA" w:rsidP="00EF6C6D">
      <w:pPr>
        <w:pStyle w:val="Heading2"/>
        <w:spacing w:before="0" w:line="360" w:lineRule="auto"/>
        <w:jc w:val="both"/>
        <w:rPr>
          <w:rFonts w:ascii="Arial" w:hAnsi="Arial" w:cs="Arial"/>
          <w:b w:val="0"/>
          <w:bCs w:val="0"/>
          <w:sz w:val="22"/>
          <w:szCs w:val="22"/>
        </w:rPr>
      </w:pPr>
    </w:p>
    <w:p w14:paraId="47595834" w14:textId="77777777" w:rsidR="00FB3702" w:rsidRPr="00EF6C6D" w:rsidRDefault="00FB3702" w:rsidP="00EF6C6D">
      <w:pPr>
        <w:spacing w:line="360" w:lineRule="auto"/>
        <w:rPr>
          <w:rFonts w:ascii="Arial" w:hAnsi="Arial" w:cs="Arial"/>
        </w:rPr>
      </w:pPr>
    </w:p>
    <w:p w14:paraId="237DB65C" w14:textId="77777777" w:rsidR="00FB3702" w:rsidRPr="00EF6C6D" w:rsidRDefault="00FB3702" w:rsidP="00EF6C6D">
      <w:pPr>
        <w:spacing w:line="360" w:lineRule="auto"/>
        <w:rPr>
          <w:rFonts w:ascii="Arial" w:hAnsi="Arial" w:cs="Arial"/>
        </w:rPr>
      </w:pPr>
    </w:p>
    <w:p w14:paraId="5C86F5DA" w14:textId="77777777" w:rsidR="00FB3702" w:rsidRPr="00EF6C6D" w:rsidRDefault="00FB3702" w:rsidP="00EF6C6D">
      <w:pPr>
        <w:spacing w:line="360" w:lineRule="auto"/>
        <w:rPr>
          <w:rFonts w:ascii="Arial" w:hAnsi="Arial" w:cs="Arial"/>
        </w:rPr>
      </w:pPr>
    </w:p>
    <w:p w14:paraId="4FD97CB1" w14:textId="77777777" w:rsidR="00FB3702" w:rsidRPr="00EF6C6D" w:rsidRDefault="00FB3702" w:rsidP="00EF6C6D">
      <w:pPr>
        <w:spacing w:line="360" w:lineRule="auto"/>
        <w:rPr>
          <w:rFonts w:ascii="Arial" w:hAnsi="Arial" w:cs="Arial"/>
        </w:rPr>
      </w:pPr>
    </w:p>
    <w:p w14:paraId="1786CBE6" w14:textId="77777777" w:rsidR="00FB3702" w:rsidRPr="00EF6C6D" w:rsidRDefault="00FB3702" w:rsidP="00EF6C6D">
      <w:pPr>
        <w:spacing w:line="360" w:lineRule="auto"/>
        <w:rPr>
          <w:rFonts w:ascii="Arial" w:hAnsi="Arial" w:cs="Arial"/>
        </w:rPr>
      </w:pPr>
    </w:p>
    <w:p w14:paraId="7D673679" w14:textId="77777777" w:rsidR="004A368D" w:rsidRPr="00EF6C6D" w:rsidRDefault="004A368D" w:rsidP="00EF6C6D">
      <w:pPr>
        <w:spacing w:after="0" w:line="360" w:lineRule="auto"/>
        <w:rPr>
          <w:rFonts w:ascii="Arial" w:hAnsi="Arial" w:cs="Arial"/>
        </w:rPr>
      </w:pPr>
    </w:p>
    <w:p w14:paraId="7BA1CB78" w14:textId="77777777" w:rsidR="00617A93" w:rsidRPr="00EF6C6D" w:rsidRDefault="00000000" w:rsidP="00EF6C6D">
      <w:pPr>
        <w:pStyle w:val="Heading2"/>
        <w:spacing w:before="0" w:line="360" w:lineRule="auto"/>
        <w:jc w:val="both"/>
        <w:rPr>
          <w:rFonts w:ascii="Arial" w:hAnsi="Arial" w:cs="Arial"/>
          <w:sz w:val="22"/>
          <w:szCs w:val="22"/>
        </w:rPr>
      </w:pPr>
      <w:bookmarkStart w:id="18" w:name="_Toc234790665"/>
      <w:r w:rsidRPr="00EF6C6D">
        <w:rPr>
          <w:rFonts w:ascii="Arial" w:hAnsi="Arial" w:cs="Arial"/>
          <w:sz w:val="22"/>
          <w:szCs w:val="22"/>
        </w:rPr>
        <w:t>Appendix A1 – PESTEL Analysis Table</w:t>
      </w:r>
      <w:bookmarkEnd w:id="18"/>
    </w:p>
    <w:tbl>
      <w:tblPr>
        <w:tblStyle w:val="TableGrid"/>
        <w:tblW w:w="0" w:type="auto"/>
        <w:tblLook w:val="04A0" w:firstRow="1" w:lastRow="0" w:firstColumn="1" w:lastColumn="0" w:noHBand="0" w:noVBand="1"/>
      </w:tblPr>
      <w:tblGrid>
        <w:gridCol w:w="2882"/>
        <w:gridCol w:w="2882"/>
        <w:gridCol w:w="2882"/>
      </w:tblGrid>
      <w:tr w:rsidR="00617A93" w:rsidRPr="00EF6C6D" w14:paraId="7310C22F" w14:textId="77777777">
        <w:tc>
          <w:tcPr>
            <w:tcW w:w="2882" w:type="dxa"/>
          </w:tcPr>
          <w:p w14:paraId="0907C331" w14:textId="77777777" w:rsidR="00617A93" w:rsidRPr="00EF6C6D" w:rsidRDefault="00000000" w:rsidP="00EF6C6D">
            <w:pPr>
              <w:spacing w:line="360" w:lineRule="auto"/>
              <w:jc w:val="both"/>
              <w:rPr>
                <w:rFonts w:ascii="Arial" w:hAnsi="Arial" w:cs="Arial"/>
              </w:rPr>
            </w:pPr>
            <w:r w:rsidRPr="00EF6C6D">
              <w:rPr>
                <w:rFonts w:ascii="Arial" w:hAnsi="Arial" w:cs="Arial"/>
              </w:rPr>
              <w:t>Dimension</w:t>
            </w:r>
          </w:p>
        </w:tc>
        <w:tc>
          <w:tcPr>
            <w:tcW w:w="2882" w:type="dxa"/>
          </w:tcPr>
          <w:p w14:paraId="09D7E760" w14:textId="77777777" w:rsidR="00617A93" w:rsidRPr="00EF6C6D" w:rsidRDefault="00000000" w:rsidP="00EF6C6D">
            <w:pPr>
              <w:spacing w:line="360" w:lineRule="auto"/>
              <w:jc w:val="both"/>
              <w:rPr>
                <w:rFonts w:ascii="Arial" w:hAnsi="Arial" w:cs="Arial"/>
              </w:rPr>
            </w:pPr>
            <w:r w:rsidRPr="00EF6C6D">
              <w:rPr>
                <w:rFonts w:ascii="Arial" w:hAnsi="Arial" w:cs="Arial"/>
              </w:rPr>
              <w:t>Key Factor</w:t>
            </w:r>
          </w:p>
        </w:tc>
        <w:tc>
          <w:tcPr>
            <w:tcW w:w="2882" w:type="dxa"/>
          </w:tcPr>
          <w:p w14:paraId="3AD406AC"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Implication for </w:t>
            </w:r>
            <w:proofErr w:type="spellStart"/>
            <w:r w:rsidRPr="00EF6C6D">
              <w:rPr>
                <w:rFonts w:ascii="Arial" w:hAnsi="Arial" w:cs="Arial"/>
              </w:rPr>
              <w:t>VodafoneThree</w:t>
            </w:r>
            <w:proofErr w:type="spellEnd"/>
          </w:p>
        </w:tc>
      </w:tr>
      <w:tr w:rsidR="00617A93" w:rsidRPr="00EF6C6D" w14:paraId="5E27DBAE" w14:textId="77777777">
        <w:tc>
          <w:tcPr>
            <w:tcW w:w="2882" w:type="dxa"/>
          </w:tcPr>
          <w:p w14:paraId="64F66CC6" w14:textId="77777777" w:rsidR="00617A93" w:rsidRPr="00EF6C6D" w:rsidRDefault="00000000" w:rsidP="00EF6C6D">
            <w:pPr>
              <w:spacing w:line="360" w:lineRule="auto"/>
              <w:jc w:val="both"/>
              <w:rPr>
                <w:rFonts w:ascii="Arial" w:hAnsi="Arial" w:cs="Arial"/>
              </w:rPr>
            </w:pPr>
            <w:r w:rsidRPr="00EF6C6D">
              <w:rPr>
                <w:rFonts w:ascii="Arial" w:hAnsi="Arial" w:cs="Arial"/>
              </w:rPr>
              <w:t>Political / Legal</w:t>
            </w:r>
          </w:p>
        </w:tc>
        <w:tc>
          <w:tcPr>
            <w:tcW w:w="2882" w:type="dxa"/>
          </w:tcPr>
          <w:p w14:paraId="5CB7D0C1" w14:textId="77777777" w:rsidR="00617A93" w:rsidRPr="00EF6C6D" w:rsidRDefault="00000000" w:rsidP="00EF6C6D">
            <w:pPr>
              <w:spacing w:line="360" w:lineRule="auto"/>
              <w:jc w:val="both"/>
              <w:rPr>
                <w:rFonts w:ascii="Arial" w:hAnsi="Arial" w:cs="Arial"/>
              </w:rPr>
            </w:pPr>
            <w:r w:rsidRPr="00EF6C6D">
              <w:rPr>
                <w:rFonts w:ascii="Arial" w:hAnsi="Arial" w:cs="Arial"/>
              </w:rPr>
              <w:t>CMA Phase 2 clearance; eight-year Network Commitment; CMA/Ofcom joint monitoring (Competition and Markets Authority and Ofcom, 2025)</w:t>
            </w:r>
          </w:p>
        </w:tc>
        <w:tc>
          <w:tcPr>
            <w:tcW w:w="2882" w:type="dxa"/>
          </w:tcPr>
          <w:p w14:paraId="12D05A60" w14:textId="77777777" w:rsidR="00617A93" w:rsidRPr="00EF6C6D" w:rsidRDefault="00000000" w:rsidP="00EF6C6D">
            <w:pPr>
              <w:spacing w:line="360" w:lineRule="auto"/>
              <w:jc w:val="both"/>
              <w:rPr>
                <w:rFonts w:ascii="Arial" w:hAnsi="Arial" w:cs="Arial"/>
              </w:rPr>
            </w:pPr>
            <w:r w:rsidRPr="00EF6C6D">
              <w:rPr>
                <w:rFonts w:ascii="Arial" w:hAnsi="Arial" w:cs="Arial"/>
              </w:rPr>
              <w:t>Maintains protected tariffs; guarantees MVNO wholesale access; submits annual regulatory reports</w:t>
            </w:r>
          </w:p>
        </w:tc>
      </w:tr>
      <w:tr w:rsidR="00617A93" w:rsidRPr="00EF6C6D" w14:paraId="56C42360" w14:textId="77777777">
        <w:tc>
          <w:tcPr>
            <w:tcW w:w="2882" w:type="dxa"/>
          </w:tcPr>
          <w:p w14:paraId="3A239500" w14:textId="77777777" w:rsidR="00617A93" w:rsidRPr="00EF6C6D" w:rsidRDefault="00000000" w:rsidP="00EF6C6D">
            <w:pPr>
              <w:spacing w:line="360" w:lineRule="auto"/>
              <w:jc w:val="both"/>
              <w:rPr>
                <w:rFonts w:ascii="Arial" w:hAnsi="Arial" w:cs="Arial"/>
              </w:rPr>
            </w:pPr>
            <w:r w:rsidRPr="00EF6C6D">
              <w:rPr>
                <w:rFonts w:ascii="Arial" w:hAnsi="Arial" w:cs="Arial"/>
              </w:rPr>
              <w:t>Economic</w:t>
            </w:r>
          </w:p>
        </w:tc>
        <w:tc>
          <w:tcPr>
            <w:tcW w:w="2882" w:type="dxa"/>
          </w:tcPr>
          <w:p w14:paraId="02180555" w14:textId="77777777" w:rsidR="00617A93" w:rsidRPr="00EF6C6D" w:rsidRDefault="00000000" w:rsidP="00EF6C6D">
            <w:pPr>
              <w:spacing w:line="360" w:lineRule="auto"/>
              <w:jc w:val="both"/>
              <w:rPr>
                <w:rFonts w:ascii="Arial" w:hAnsi="Arial" w:cs="Arial"/>
              </w:rPr>
            </w:pPr>
            <w:r w:rsidRPr="00EF6C6D">
              <w:rPr>
                <w:rFonts w:ascii="Arial" w:hAnsi="Arial" w:cs="Arial"/>
              </w:rPr>
              <w:t>Persistent inflation; £700m p.a. synergy target by year five (Vodafone Group Plc, 2025a)</w:t>
            </w:r>
          </w:p>
        </w:tc>
        <w:tc>
          <w:tcPr>
            <w:tcW w:w="2882" w:type="dxa"/>
          </w:tcPr>
          <w:p w14:paraId="6E9149AB" w14:textId="77777777" w:rsidR="00617A93" w:rsidRPr="00EF6C6D" w:rsidRDefault="00000000" w:rsidP="00EF6C6D">
            <w:pPr>
              <w:spacing w:line="360" w:lineRule="auto"/>
              <w:jc w:val="both"/>
              <w:rPr>
                <w:rFonts w:ascii="Arial" w:hAnsi="Arial" w:cs="Arial"/>
              </w:rPr>
            </w:pPr>
            <w:r w:rsidRPr="00EF6C6D">
              <w:rPr>
                <w:rFonts w:ascii="Arial" w:hAnsi="Arial" w:cs="Arial"/>
              </w:rPr>
              <w:t>Distributes investment costs through scale; maintains capital discipline until FY29 accretion</w:t>
            </w:r>
          </w:p>
        </w:tc>
      </w:tr>
      <w:tr w:rsidR="00617A93" w:rsidRPr="00EF6C6D" w14:paraId="45897B1D" w14:textId="77777777">
        <w:tc>
          <w:tcPr>
            <w:tcW w:w="2882" w:type="dxa"/>
          </w:tcPr>
          <w:p w14:paraId="3D8E0D31" w14:textId="77777777" w:rsidR="00617A93" w:rsidRPr="00EF6C6D" w:rsidRDefault="00000000" w:rsidP="00EF6C6D">
            <w:pPr>
              <w:spacing w:line="360" w:lineRule="auto"/>
              <w:jc w:val="both"/>
              <w:rPr>
                <w:rFonts w:ascii="Arial" w:hAnsi="Arial" w:cs="Arial"/>
              </w:rPr>
            </w:pPr>
            <w:r w:rsidRPr="00EF6C6D">
              <w:rPr>
                <w:rFonts w:ascii="Arial" w:hAnsi="Arial" w:cs="Arial"/>
              </w:rPr>
              <w:t>Social</w:t>
            </w:r>
          </w:p>
        </w:tc>
        <w:tc>
          <w:tcPr>
            <w:tcW w:w="2882" w:type="dxa"/>
          </w:tcPr>
          <w:p w14:paraId="0D9CD92F"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Hybrid working; rising data demand; UK 65+ approx. </w:t>
            </w:r>
            <w:r w:rsidRPr="00EF6C6D">
              <w:rPr>
                <w:rFonts w:ascii="Arial" w:hAnsi="Arial" w:cs="Arial"/>
              </w:rPr>
              <w:lastRenderedPageBreak/>
              <w:t>19% of population and growing (Office for National Statistics, 2023)</w:t>
            </w:r>
          </w:p>
        </w:tc>
        <w:tc>
          <w:tcPr>
            <w:tcW w:w="2882" w:type="dxa"/>
          </w:tcPr>
          <w:p w14:paraId="5544A562" w14:textId="77777777" w:rsidR="00617A93" w:rsidRPr="00EF6C6D" w:rsidRDefault="00000000" w:rsidP="00EF6C6D">
            <w:pPr>
              <w:spacing w:line="360" w:lineRule="auto"/>
              <w:jc w:val="both"/>
              <w:rPr>
                <w:rFonts w:ascii="Arial" w:hAnsi="Arial" w:cs="Arial"/>
              </w:rPr>
            </w:pPr>
            <w:proofErr w:type="spellStart"/>
            <w:r w:rsidRPr="00EF6C6D">
              <w:rPr>
                <w:rFonts w:ascii="Arial" w:hAnsi="Arial" w:cs="Arial"/>
              </w:rPr>
              <w:lastRenderedPageBreak/>
              <w:t>Prioritises</w:t>
            </w:r>
            <w:proofErr w:type="spellEnd"/>
            <w:r w:rsidRPr="00EF6C6D">
              <w:rPr>
                <w:rFonts w:ascii="Arial" w:hAnsi="Arial" w:cs="Arial"/>
              </w:rPr>
              <w:t xml:space="preserve"> network quality as the primary driver of </w:t>
            </w:r>
            <w:r w:rsidRPr="00EF6C6D">
              <w:rPr>
                <w:rFonts w:ascii="Arial" w:hAnsi="Arial" w:cs="Arial"/>
              </w:rPr>
              <w:lastRenderedPageBreak/>
              <w:t>customer loyalty; develops AI/IoT connectivity for the ageing segment</w:t>
            </w:r>
          </w:p>
        </w:tc>
      </w:tr>
      <w:tr w:rsidR="00617A93" w:rsidRPr="00EF6C6D" w14:paraId="101C4E47" w14:textId="77777777">
        <w:tc>
          <w:tcPr>
            <w:tcW w:w="2882" w:type="dxa"/>
          </w:tcPr>
          <w:p w14:paraId="4644F18F" w14:textId="77777777" w:rsidR="00617A93" w:rsidRPr="00EF6C6D" w:rsidRDefault="00000000" w:rsidP="00EF6C6D">
            <w:pPr>
              <w:spacing w:line="360" w:lineRule="auto"/>
              <w:jc w:val="both"/>
              <w:rPr>
                <w:rFonts w:ascii="Arial" w:hAnsi="Arial" w:cs="Arial"/>
              </w:rPr>
            </w:pPr>
            <w:r w:rsidRPr="00EF6C6D">
              <w:rPr>
                <w:rFonts w:ascii="Arial" w:hAnsi="Arial" w:cs="Arial"/>
              </w:rPr>
              <w:t>Technological</w:t>
            </w:r>
          </w:p>
        </w:tc>
        <w:tc>
          <w:tcPr>
            <w:tcW w:w="2882" w:type="dxa"/>
          </w:tcPr>
          <w:p w14:paraId="5DF3D59C"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97% outdoor 5G coverage (Ofcom, 2025a); AI-native network transition; 6G </w:t>
            </w:r>
            <w:proofErr w:type="spellStart"/>
            <w:r w:rsidRPr="00EF6C6D">
              <w:rPr>
                <w:rFonts w:ascii="Arial" w:hAnsi="Arial" w:cs="Arial"/>
              </w:rPr>
              <w:t>standardisation</w:t>
            </w:r>
            <w:proofErr w:type="spellEnd"/>
            <w:r w:rsidRPr="00EF6C6D">
              <w:rPr>
                <w:rFonts w:ascii="Arial" w:hAnsi="Arial" w:cs="Arial"/>
              </w:rPr>
              <w:t xml:space="preserve"> by 2030</w:t>
            </w:r>
          </w:p>
        </w:tc>
        <w:tc>
          <w:tcPr>
            <w:tcW w:w="2882" w:type="dxa"/>
          </w:tcPr>
          <w:p w14:paraId="6E56B9A1" w14:textId="77777777" w:rsidR="00617A93" w:rsidRPr="00EF6C6D" w:rsidRDefault="00000000" w:rsidP="00EF6C6D">
            <w:pPr>
              <w:spacing w:line="360" w:lineRule="auto"/>
              <w:jc w:val="both"/>
              <w:rPr>
                <w:rFonts w:ascii="Arial" w:hAnsi="Arial" w:cs="Arial"/>
              </w:rPr>
            </w:pPr>
            <w:r w:rsidRPr="00EF6C6D">
              <w:rPr>
                <w:rFonts w:ascii="Arial" w:hAnsi="Arial" w:cs="Arial"/>
              </w:rPr>
              <w:t>Shifts differentiation to AI services, health-adjacent IoT and enterprise digital solutions</w:t>
            </w:r>
          </w:p>
        </w:tc>
      </w:tr>
      <w:tr w:rsidR="00617A93" w:rsidRPr="00EF6C6D" w14:paraId="445D31AC" w14:textId="77777777">
        <w:tc>
          <w:tcPr>
            <w:tcW w:w="2882" w:type="dxa"/>
          </w:tcPr>
          <w:p w14:paraId="28F3A5C7" w14:textId="77777777" w:rsidR="00617A93" w:rsidRPr="00EF6C6D" w:rsidRDefault="00000000" w:rsidP="00EF6C6D">
            <w:pPr>
              <w:spacing w:line="360" w:lineRule="auto"/>
              <w:jc w:val="both"/>
              <w:rPr>
                <w:rFonts w:ascii="Arial" w:hAnsi="Arial" w:cs="Arial"/>
              </w:rPr>
            </w:pPr>
            <w:r w:rsidRPr="00EF6C6D">
              <w:rPr>
                <w:rFonts w:ascii="Arial" w:hAnsi="Arial" w:cs="Arial"/>
              </w:rPr>
              <w:t>Environmental</w:t>
            </w:r>
          </w:p>
        </w:tc>
        <w:tc>
          <w:tcPr>
            <w:tcW w:w="2882" w:type="dxa"/>
          </w:tcPr>
          <w:p w14:paraId="262B8EAC" w14:textId="77777777" w:rsidR="00617A93" w:rsidRPr="00EF6C6D" w:rsidRDefault="00000000" w:rsidP="00EF6C6D">
            <w:pPr>
              <w:spacing w:line="360" w:lineRule="auto"/>
              <w:jc w:val="both"/>
              <w:rPr>
                <w:rFonts w:ascii="Arial" w:hAnsi="Arial" w:cs="Arial"/>
              </w:rPr>
            </w:pPr>
            <w:r w:rsidRPr="00EF6C6D">
              <w:rPr>
                <w:rFonts w:ascii="Arial" w:hAnsi="Arial" w:cs="Arial"/>
              </w:rPr>
              <w:t>UK net-zero 2050; Science Based Targets; rising energy use from 5G and AI (Vodafone Group Plc, 2025b)</w:t>
            </w:r>
          </w:p>
        </w:tc>
        <w:tc>
          <w:tcPr>
            <w:tcW w:w="2882" w:type="dxa"/>
          </w:tcPr>
          <w:p w14:paraId="700D2BFB" w14:textId="77777777" w:rsidR="00617A93" w:rsidRPr="00EF6C6D" w:rsidRDefault="00000000" w:rsidP="00EF6C6D">
            <w:pPr>
              <w:spacing w:line="360" w:lineRule="auto"/>
              <w:jc w:val="both"/>
              <w:rPr>
                <w:rFonts w:ascii="Arial" w:hAnsi="Arial" w:cs="Arial"/>
              </w:rPr>
            </w:pPr>
            <w:r w:rsidRPr="00EF6C6D">
              <w:rPr>
                <w:rFonts w:ascii="Arial" w:hAnsi="Arial" w:cs="Arial"/>
              </w:rPr>
              <w:t>Embeds energy-efficient RAN design; procures renewable energy; meets ESG reporting obligations</w:t>
            </w:r>
          </w:p>
        </w:tc>
      </w:tr>
      <w:tr w:rsidR="00617A93" w:rsidRPr="00EF6C6D" w14:paraId="45C622C1" w14:textId="77777777">
        <w:tc>
          <w:tcPr>
            <w:tcW w:w="2882" w:type="dxa"/>
          </w:tcPr>
          <w:p w14:paraId="46476621" w14:textId="77777777" w:rsidR="00617A93" w:rsidRPr="00EF6C6D" w:rsidRDefault="00000000" w:rsidP="00EF6C6D">
            <w:pPr>
              <w:spacing w:line="360" w:lineRule="auto"/>
              <w:jc w:val="both"/>
              <w:rPr>
                <w:rFonts w:ascii="Arial" w:hAnsi="Arial" w:cs="Arial"/>
              </w:rPr>
            </w:pPr>
            <w:r w:rsidRPr="00EF6C6D">
              <w:rPr>
                <w:rFonts w:ascii="Arial" w:hAnsi="Arial" w:cs="Arial"/>
              </w:rPr>
              <w:t>Legal</w:t>
            </w:r>
          </w:p>
        </w:tc>
        <w:tc>
          <w:tcPr>
            <w:tcW w:w="2882" w:type="dxa"/>
          </w:tcPr>
          <w:p w14:paraId="3C25E73D" w14:textId="77777777" w:rsidR="00617A93" w:rsidRPr="00EF6C6D" w:rsidRDefault="00000000" w:rsidP="00EF6C6D">
            <w:pPr>
              <w:spacing w:line="360" w:lineRule="auto"/>
              <w:jc w:val="both"/>
              <w:rPr>
                <w:rFonts w:ascii="Arial" w:hAnsi="Arial" w:cs="Arial"/>
              </w:rPr>
            </w:pPr>
            <w:r w:rsidRPr="00EF6C6D">
              <w:rPr>
                <w:rFonts w:ascii="Arial" w:hAnsi="Arial" w:cs="Arial"/>
              </w:rPr>
              <w:t>Telecommunications (Security) Act 2021; UK GDPR; EU AI Act high-risk classification (European Commission, 2024); Ofcom price-transparency rules</w:t>
            </w:r>
          </w:p>
        </w:tc>
        <w:tc>
          <w:tcPr>
            <w:tcW w:w="2882" w:type="dxa"/>
          </w:tcPr>
          <w:p w14:paraId="1524F48B" w14:textId="77777777" w:rsidR="00617A93" w:rsidRPr="00EF6C6D" w:rsidRDefault="00000000" w:rsidP="00EF6C6D">
            <w:pPr>
              <w:spacing w:line="360" w:lineRule="auto"/>
              <w:jc w:val="both"/>
              <w:rPr>
                <w:rFonts w:ascii="Arial" w:hAnsi="Arial" w:cs="Arial"/>
              </w:rPr>
            </w:pPr>
            <w:r w:rsidRPr="00EF6C6D">
              <w:rPr>
                <w:rFonts w:ascii="Arial" w:hAnsi="Arial" w:cs="Arial"/>
              </w:rPr>
              <w:t>Audits supply-chain security; implements privacy-by-design for health data; discloses in-contract price changes</w:t>
            </w:r>
          </w:p>
        </w:tc>
      </w:tr>
    </w:tbl>
    <w:p w14:paraId="5D303109" w14:textId="77777777" w:rsidR="00617A93" w:rsidRPr="00EF6C6D" w:rsidRDefault="00000000" w:rsidP="00EF6C6D">
      <w:pPr>
        <w:spacing w:after="0" w:line="360" w:lineRule="auto"/>
        <w:jc w:val="both"/>
        <w:rPr>
          <w:rFonts w:ascii="Arial" w:hAnsi="Arial" w:cs="Arial"/>
        </w:rPr>
      </w:pPr>
      <w:r w:rsidRPr="00EF6C6D">
        <w:rPr>
          <w:rFonts w:ascii="Arial" w:hAnsi="Arial" w:cs="Arial"/>
          <w:i/>
        </w:rPr>
        <w:t xml:space="preserve">Table A1. PESTEL Analysis of </w:t>
      </w:r>
      <w:proofErr w:type="spellStart"/>
      <w:r w:rsidRPr="00EF6C6D">
        <w:rPr>
          <w:rFonts w:ascii="Arial" w:hAnsi="Arial" w:cs="Arial"/>
          <w:i/>
        </w:rPr>
        <w:t>VodafoneThree</w:t>
      </w:r>
      <w:proofErr w:type="spellEnd"/>
      <w:r w:rsidRPr="00EF6C6D">
        <w:rPr>
          <w:rFonts w:ascii="Arial" w:hAnsi="Arial" w:cs="Arial"/>
          <w:i/>
        </w:rPr>
        <w:t>. Source: Author's own analysis.</w:t>
      </w:r>
    </w:p>
    <w:p w14:paraId="1CD607D4" w14:textId="77777777" w:rsidR="00617A93" w:rsidRPr="00EF6C6D" w:rsidRDefault="00617A93" w:rsidP="00EF6C6D">
      <w:pPr>
        <w:spacing w:after="0" w:line="360" w:lineRule="auto"/>
        <w:jc w:val="both"/>
        <w:rPr>
          <w:rFonts w:ascii="Arial" w:hAnsi="Arial" w:cs="Arial"/>
        </w:rPr>
      </w:pPr>
    </w:p>
    <w:p w14:paraId="59F71686" w14:textId="77777777" w:rsidR="00762F04" w:rsidRPr="00EF6C6D" w:rsidRDefault="00762F04" w:rsidP="00EF6C6D">
      <w:pPr>
        <w:pStyle w:val="Heading2"/>
        <w:spacing w:before="0" w:line="360" w:lineRule="auto"/>
        <w:jc w:val="both"/>
        <w:rPr>
          <w:rFonts w:ascii="Arial" w:hAnsi="Arial" w:cs="Arial"/>
          <w:b w:val="0"/>
          <w:bCs w:val="0"/>
          <w:sz w:val="22"/>
          <w:szCs w:val="22"/>
        </w:rPr>
      </w:pPr>
    </w:p>
    <w:p w14:paraId="7727E998" w14:textId="77777777" w:rsidR="004A368D" w:rsidRPr="00EF6C6D" w:rsidRDefault="004A368D" w:rsidP="00EF6C6D">
      <w:pPr>
        <w:spacing w:after="0" w:line="360" w:lineRule="auto"/>
        <w:rPr>
          <w:rFonts w:ascii="Arial" w:hAnsi="Arial" w:cs="Arial"/>
        </w:rPr>
      </w:pPr>
    </w:p>
    <w:p w14:paraId="51396108" w14:textId="77777777" w:rsidR="00762F04" w:rsidRPr="00EF6C6D" w:rsidRDefault="00762F04" w:rsidP="00EF6C6D">
      <w:pPr>
        <w:pStyle w:val="Heading2"/>
        <w:spacing w:before="0" w:line="360" w:lineRule="auto"/>
        <w:jc w:val="both"/>
        <w:rPr>
          <w:rFonts w:ascii="Arial" w:hAnsi="Arial" w:cs="Arial"/>
          <w:sz w:val="22"/>
          <w:szCs w:val="22"/>
        </w:rPr>
      </w:pPr>
      <w:bookmarkStart w:id="19" w:name="_Toc234790666"/>
      <w:r w:rsidRPr="00EF6C6D">
        <w:rPr>
          <w:rFonts w:ascii="Arial" w:hAnsi="Arial" w:cs="Arial"/>
          <w:sz w:val="22"/>
          <w:szCs w:val="22"/>
        </w:rPr>
        <w:t>Appendix A2 – Porter's Five Forces Table</w:t>
      </w:r>
      <w:bookmarkEnd w:id="19"/>
    </w:p>
    <w:tbl>
      <w:tblPr>
        <w:tblStyle w:val="TableGrid"/>
        <w:tblW w:w="0" w:type="auto"/>
        <w:tblLook w:val="04A0" w:firstRow="1" w:lastRow="0" w:firstColumn="1" w:lastColumn="0" w:noHBand="0" w:noVBand="1"/>
      </w:tblPr>
      <w:tblGrid>
        <w:gridCol w:w="2882"/>
        <w:gridCol w:w="2882"/>
        <w:gridCol w:w="2882"/>
      </w:tblGrid>
      <w:tr w:rsidR="00617A93" w:rsidRPr="00EF6C6D" w14:paraId="0221B6FD" w14:textId="77777777">
        <w:tc>
          <w:tcPr>
            <w:tcW w:w="2882" w:type="dxa"/>
          </w:tcPr>
          <w:p w14:paraId="214C50A4" w14:textId="77777777" w:rsidR="00617A93" w:rsidRPr="00EF6C6D" w:rsidRDefault="00000000" w:rsidP="00EF6C6D">
            <w:pPr>
              <w:spacing w:line="360" w:lineRule="auto"/>
              <w:jc w:val="both"/>
              <w:rPr>
                <w:rFonts w:ascii="Arial" w:hAnsi="Arial" w:cs="Arial"/>
              </w:rPr>
            </w:pPr>
            <w:r w:rsidRPr="00EF6C6D">
              <w:rPr>
                <w:rFonts w:ascii="Arial" w:hAnsi="Arial" w:cs="Arial"/>
              </w:rPr>
              <w:t>Force</w:t>
            </w:r>
          </w:p>
        </w:tc>
        <w:tc>
          <w:tcPr>
            <w:tcW w:w="2882" w:type="dxa"/>
          </w:tcPr>
          <w:p w14:paraId="07BE6A2A" w14:textId="77777777" w:rsidR="00617A93" w:rsidRPr="00EF6C6D" w:rsidRDefault="00000000" w:rsidP="00EF6C6D">
            <w:pPr>
              <w:spacing w:line="360" w:lineRule="auto"/>
              <w:jc w:val="both"/>
              <w:rPr>
                <w:rFonts w:ascii="Arial" w:hAnsi="Arial" w:cs="Arial"/>
              </w:rPr>
            </w:pPr>
            <w:r w:rsidRPr="00EF6C6D">
              <w:rPr>
                <w:rFonts w:ascii="Arial" w:hAnsi="Arial" w:cs="Arial"/>
              </w:rPr>
              <w:t>Assessment</w:t>
            </w:r>
          </w:p>
        </w:tc>
        <w:tc>
          <w:tcPr>
            <w:tcW w:w="2882" w:type="dxa"/>
          </w:tcPr>
          <w:p w14:paraId="2EFB84C8" w14:textId="77777777" w:rsidR="00617A93" w:rsidRPr="00EF6C6D" w:rsidRDefault="00000000" w:rsidP="00EF6C6D">
            <w:pPr>
              <w:spacing w:line="360" w:lineRule="auto"/>
              <w:jc w:val="both"/>
              <w:rPr>
                <w:rFonts w:ascii="Arial" w:hAnsi="Arial" w:cs="Arial"/>
              </w:rPr>
            </w:pPr>
            <w:r w:rsidRPr="00EF6C6D">
              <w:rPr>
                <w:rFonts w:ascii="Arial" w:hAnsi="Arial" w:cs="Arial"/>
              </w:rPr>
              <w:t>Strategic Implication</w:t>
            </w:r>
          </w:p>
        </w:tc>
      </w:tr>
      <w:tr w:rsidR="00617A93" w:rsidRPr="00EF6C6D" w14:paraId="1388C84D" w14:textId="77777777">
        <w:tc>
          <w:tcPr>
            <w:tcW w:w="2882" w:type="dxa"/>
          </w:tcPr>
          <w:p w14:paraId="6275C294" w14:textId="77777777" w:rsidR="00617A93" w:rsidRPr="00EF6C6D" w:rsidRDefault="00000000" w:rsidP="00EF6C6D">
            <w:pPr>
              <w:spacing w:line="360" w:lineRule="auto"/>
              <w:jc w:val="both"/>
              <w:rPr>
                <w:rFonts w:ascii="Arial" w:hAnsi="Arial" w:cs="Arial"/>
              </w:rPr>
            </w:pPr>
            <w:r w:rsidRPr="00EF6C6D">
              <w:rPr>
                <w:rFonts w:ascii="Arial" w:hAnsi="Arial" w:cs="Arial"/>
              </w:rPr>
              <w:t>Competitive Rivalry</w:t>
            </w:r>
          </w:p>
        </w:tc>
        <w:tc>
          <w:tcPr>
            <w:tcW w:w="2882" w:type="dxa"/>
          </w:tcPr>
          <w:p w14:paraId="5AB68A39"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HIGH — EE leads performance (RootMetrics; </w:t>
            </w:r>
            <w:proofErr w:type="spellStart"/>
            <w:r w:rsidRPr="00EF6C6D">
              <w:rPr>
                <w:rFonts w:ascii="Arial" w:hAnsi="Arial" w:cs="Arial"/>
              </w:rPr>
              <w:t>Opensignal</w:t>
            </w:r>
            <w:proofErr w:type="spellEnd"/>
            <w:r w:rsidRPr="00EF6C6D">
              <w:rPr>
                <w:rFonts w:ascii="Arial" w:hAnsi="Arial" w:cs="Arial"/>
              </w:rPr>
              <w:t>, 2026); VMO2 reports 41% convergence penetration (Virgin Media O2, 2026)</w:t>
            </w:r>
          </w:p>
        </w:tc>
        <w:tc>
          <w:tcPr>
            <w:tcW w:w="2882" w:type="dxa"/>
          </w:tcPr>
          <w:p w14:paraId="27E1911D" w14:textId="77777777" w:rsidR="00617A93" w:rsidRPr="00EF6C6D" w:rsidRDefault="00000000" w:rsidP="00EF6C6D">
            <w:pPr>
              <w:spacing w:line="360" w:lineRule="auto"/>
              <w:jc w:val="both"/>
              <w:rPr>
                <w:rFonts w:ascii="Arial" w:hAnsi="Arial" w:cs="Arial"/>
              </w:rPr>
            </w:pPr>
            <w:r w:rsidRPr="00EF6C6D">
              <w:rPr>
                <w:rFonts w:ascii="Arial" w:hAnsi="Arial" w:cs="Arial"/>
              </w:rPr>
              <w:t>Differentiates on AI quality, enterprise services and ageing population health connectivity</w:t>
            </w:r>
          </w:p>
        </w:tc>
      </w:tr>
      <w:tr w:rsidR="00617A93" w:rsidRPr="00EF6C6D" w14:paraId="476F39EC" w14:textId="77777777">
        <w:tc>
          <w:tcPr>
            <w:tcW w:w="2882" w:type="dxa"/>
          </w:tcPr>
          <w:p w14:paraId="0178DF62" w14:textId="77777777" w:rsidR="00617A93" w:rsidRPr="00EF6C6D" w:rsidRDefault="00000000" w:rsidP="00EF6C6D">
            <w:pPr>
              <w:spacing w:line="360" w:lineRule="auto"/>
              <w:jc w:val="both"/>
              <w:rPr>
                <w:rFonts w:ascii="Arial" w:hAnsi="Arial" w:cs="Arial"/>
              </w:rPr>
            </w:pPr>
            <w:r w:rsidRPr="00EF6C6D">
              <w:rPr>
                <w:rFonts w:ascii="Arial" w:hAnsi="Arial" w:cs="Arial"/>
              </w:rPr>
              <w:t>Supplier Power</w:t>
            </w:r>
          </w:p>
        </w:tc>
        <w:tc>
          <w:tcPr>
            <w:tcW w:w="2882" w:type="dxa"/>
          </w:tcPr>
          <w:p w14:paraId="151E68ED" w14:textId="77777777" w:rsidR="00617A93" w:rsidRPr="00EF6C6D" w:rsidRDefault="00000000" w:rsidP="00EF6C6D">
            <w:pPr>
              <w:spacing w:line="360" w:lineRule="auto"/>
              <w:jc w:val="both"/>
              <w:rPr>
                <w:rFonts w:ascii="Arial" w:hAnsi="Arial" w:cs="Arial"/>
              </w:rPr>
            </w:pPr>
            <w:r w:rsidRPr="00EF6C6D">
              <w:rPr>
                <w:rFonts w:ascii="Arial" w:hAnsi="Arial" w:cs="Arial"/>
              </w:rPr>
              <w:t>MEDIUM (</w:t>
            </w:r>
            <w:proofErr w:type="gramStart"/>
            <w:r w:rsidRPr="00EF6C6D">
              <w:rPr>
                <w:rFonts w:ascii="Arial" w:hAnsi="Arial" w:cs="Arial"/>
              </w:rPr>
              <w:t>reduced) —</w:t>
            </w:r>
            <w:proofErr w:type="gramEnd"/>
            <w:r w:rsidRPr="00EF6C6D">
              <w:rPr>
                <w:rFonts w:ascii="Arial" w:hAnsi="Arial" w:cs="Arial"/>
              </w:rPr>
              <w:t xml:space="preserve"> merger increases leverage with Ericsson and Nokia </w:t>
            </w:r>
            <w:r w:rsidRPr="00EF6C6D">
              <w:rPr>
                <w:rFonts w:ascii="Arial" w:hAnsi="Arial" w:cs="Arial"/>
              </w:rPr>
              <w:lastRenderedPageBreak/>
              <w:t>(</w:t>
            </w:r>
            <w:proofErr w:type="spellStart"/>
            <w:r w:rsidRPr="00EF6C6D">
              <w:rPr>
                <w:rFonts w:ascii="Arial" w:hAnsi="Arial" w:cs="Arial"/>
              </w:rPr>
              <w:t>VodafoneThree</w:t>
            </w:r>
            <w:proofErr w:type="spellEnd"/>
            <w:r w:rsidRPr="00EF6C6D">
              <w:rPr>
                <w:rFonts w:ascii="Arial" w:hAnsi="Arial" w:cs="Arial"/>
              </w:rPr>
              <w:t>, 2025)</w:t>
            </w:r>
          </w:p>
        </w:tc>
        <w:tc>
          <w:tcPr>
            <w:tcW w:w="2882" w:type="dxa"/>
          </w:tcPr>
          <w:p w14:paraId="4AAC1A06" w14:textId="77777777" w:rsidR="00617A93" w:rsidRPr="00EF6C6D" w:rsidRDefault="00000000" w:rsidP="00EF6C6D">
            <w:pPr>
              <w:spacing w:line="360" w:lineRule="auto"/>
              <w:jc w:val="both"/>
              <w:rPr>
                <w:rFonts w:ascii="Arial" w:hAnsi="Arial" w:cs="Arial"/>
              </w:rPr>
            </w:pPr>
            <w:r w:rsidRPr="00EF6C6D">
              <w:rPr>
                <w:rFonts w:ascii="Arial" w:hAnsi="Arial" w:cs="Arial"/>
              </w:rPr>
              <w:lastRenderedPageBreak/>
              <w:t>Leverages scale in negotiations; co-develops AI health connectivity prod</w:t>
            </w:r>
            <w:r w:rsidRPr="00EF6C6D">
              <w:rPr>
                <w:rFonts w:ascii="Arial" w:hAnsi="Arial" w:cs="Arial"/>
              </w:rPr>
              <w:lastRenderedPageBreak/>
              <w:t>ucts</w:t>
            </w:r>
          </w:p>
        </w:tc>
      </w:tr>
      <w:tr w:rsidR="00617A93" w:rsidRPr="00EF6C6D" w14:paraId="674B114F" w14:textId="77777777">
        <w:tc>
          <w:tcPr>
            <w:tcW w:w="2882" w:type="dxa"/>
          </w:tcPr>
          <w:p w14:paraId="110DFDE3" w14:textId="77777777" w:rsidR="00617A93" w:rsidRPr="00EF6C6D" w:rsidRDefault="00000000" w:rsidP="00EF6C6D">
            <w:pPr>
              <w:spacing w:line="360" w:lineRule="auto"/>
              <w:jc w:val="both"/>
              <w:rPr>
                <w:rFonts w:ascii="Arial" w:hAnsi="Arial" w:cs="Arial"/>
              </w:rPr>
            </w:pPr>
            <w:r w:rsidRPr="00EF6C6D">
              <w:rPr>
                <w:rFonts w:ascii="Arial" w:hAnsi="Arial" w:cs="Arial"/>
              </w:rPr>
              <w:t>Buyer Power</w:t>
            </w:r>
          </w:p>
        </w:tc>
        <w:tc>
          <w:tcPr>
            <w:tcW w:w="2882" w:type="dxa"/>
          </w:tcPr>
          <w:p w14:paraId="60D19733" w14:textId="77777777" w:rsidR="00617A93" w:rsidRPr="00EF6C6D" w:rsidRDefault="00000000" w:rsidP="00EF6C6D">
            <w:pPr>
              <w:spacing w:line="360" w:lineRule="auto"/>
              <w:jc w:val="both"/>
              <w:rPr>
                <w:rFonts w:ascii="Arial" w:hAnsi="Arial" w:cs="Arial"/>
              </w:rPr>
            </w:pPr>
            <w:r w:rsidRPr="00EF6C6D">
              <w:rPr>
                <w:rFonts w:ascii="Arial" w:hAnsi="Arial" w:cs="Arial"/>
              </w:rPr>
              <w:t>HIGH — easy tariff comparison</w:t>
            </w:r>
            <w:r w:rsidR="00114DCF" w:rsidRPr="00EF6C6D">
              <w:rPr>
                <w:rFonts w:ascii="Arial" w:hAnsi="Arial" w:cs="Arial"/>
              </w:rPr>
              <w:t xml:space="preserve"> driven by </w:t>
            </w:r>
            <w:r w:rsidRPr="00EF6C6D">
              <w:rPr>
                <w:rFonts w:ascii="Arial" w:hAnsi="Arial" w:cs="Arial"/>
              </w:rPr>
              <w:t>Ofcom 2025 pricing transparency rules (Ofcom, 2025a)</w:t>
            </w:r>
          </w:p>
        </w:tc>
        <w:tc>
          <w:tcPr>
            <w:tcW w:w="2882" w:type="dxa"/>
          </w:tcPr>
          <w:p w14:paraId="63A26008" w14:textId="77777777" w:rsidR="00617A93" w:rsidRPr="00EF6C6D" w:rsidRDefault="00000000" w:rsidP="00EF6C6D">
            <w:pPr>
              <w:spacing w:line="360" w:lineRule="auto"/>
              <w:jc w:val="both"/>
              <w:rPr>
                <w:rFonts w:ascii="Arial" w:hAnsi="Arial" w:cs="Arial"/>
              </w:rPr>
            </w:pPr>
            <w:r w:rsidRPr="00EF6C6D">
              <w:rPr>
                <w:rFonts w:ascii="Arial" w:hAnsi="Arial" w:cs="Arial"/>
              </w:rPr>
              <w:t>Invests in customer experience and loyalty; protects tariffs per CMA undertakings</w:t>
            </w:r>
          </w:p>
        </w:tc>
      </w:tr>
      <w:tr w:rsidR="00617A93" w:rsidRPr="00EF6C6D" w14:paraId="1BBAFBB4" w14:textId="77777777">
        <w:tc>
          <w:tcPr>
            <w:tcW w:w="2882" w:type="dxa"/>
          </w:tcPr>
          <w:p w14:paraId="45E3EDF3" w14:textId="77777777" w:rsidR="00617A93" w:rsidRPr="00EF6C6D" w:rsidRDefault="00000000" w:rsidP="00EF6C6D">
            <w:pPr>
              <w:spacing w:line="360" w:lineRule="auto"/>
              <w:jc w:val="both"/>
              <w:rPr>
                <w:rFonts w:ascii="Arial" w:hAnsi="Arial" w:cs="Arial"/>
              </w:rPr>
            </w:pPr>
            <w:r w:rsidRPr="00EF6C6D">
              <w:rPr>
                <w:rFonts w:ascii="Arial" w:hAnsi="Arial" w:cs="Arial"/>
              </w:rPr>
              <w:t>Threat of New Entrants</w:t>
            </w:r>
          </w:p>
        </w:tc>
        <w:tc>
          <w:tcPr>
            <w:tcW w:w="2882" w:type="dxa"/>
          </w:tcPr>
          <w:p w14:paraId="542C4C7B" w14:textId="77777777" w:rsidR="00617A93" w:rsidRPr="00EF6C6D" w:rsidRDefault="00000000" w:rsidP="00EF6C6D">
            <w:pPr>
              <w:spacing w:line="360" w:lineRule="auto"/>
              <w:jc w:val="both"/>
              <w:rPr>
                <w:rFonts w:ascii="Arial" w:hAnsi="Arial" w:cs="Arial"/>
              </w:rPr>
            </w:pPr>
            <w:r w:rsidRPr="00EF6C6D">
              <w:rPr>
                <w:rFonts w:ascii="Arial" w:hAnsi="Arial" w:cs="Arial"/>
              </w:rPr>
              <w:t>LOW — high spectrum and infrastructure barriers</w:t>
            </w:r>
          </w:p>
        </w:tc>
        <w:tc>
          <w:tcPr>
            <w:tcW w:w="2882" w:type="dxa"/>
          </w:tcPr>
          <w:p w14:paraId="427EF648" w14:textId="77777777" w:rsidR="00617A93" w:rsidRPr="00EF6C6D" w:rsidRDefault="00000000" w:rsidP="00EF6C6D">
            <w:pPr>
              <w:spacing w:line="360" w:lineRule="auto"/>
              <w:jc w:val="both"/>
              <w:rPr>
                <w:rFonts w:ascii="Arial" w:hAnsi="Arial" w:cs="Arial"/>
              </w:rPr>
            </w:pPr>
            <w:r w:rsidRPr="00EF6C6D">
              <w:rPr>
                <w:rFonts w:ascii="Arial" w:hAnsi="Arial" w:cs="Arial"/>
              </w:rPr>
              <w:t>Monitors MVNO price pressure in value-sensitive segments</w:t>
            </w:r>
          </w:p>
        </w:tc>
      </w:tr>
      <w:tr w:rsidR="00617A93" w:rsidRPr="00EF6C6D" w14:paraId="7C6ABDD4" w14:textId="77777777">
        <w:tc>
          <w:tcPr>
            <w:tcW w:w="2882" w:type="dxa"/>
          </w:tcPr>
          <w:p w14:paraId="6F56F02B" w14:textId="77777777" w:rsidR="00617A93" w:rsidRPr="00EF6C6D" w:rsidRDefault="00000000" w:rsidP="00EF6C6D">
            <w:pPr>
              <w:spacing w:line="360" w:lineRule="auto"/>
              <w:jc w:val="both"/>
              <w:rPr>
                <w:rFonts w:ascii="Arial" w:hAnsi="Arial" w:cs="Arial"/>
              </w:rPr>
            </w:pPr>
            <w:r w:rsidRPr="00EF6C6D">
              <w:rPr>
                <w:rFonts w:ascii="Arial" w:hAnsi="Arial" w:cs="Arial"/>
              </w:rPr>
              <w:t>Threat of Substitutes</w:t>
            </w:r>
          </w:p>
        </w:tc>
        <w:tc>
          <w:tcPr>
            <w:tcW w:w="2882" w:type="dxa"/>
          </w:tcPr>
          <w:p w14:paraId="7548A245"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MODERATE — OTT platforms; </w:t>
            </w:r>
            <w:proofErr w:type="spellStart"/>
            <w:r w:rsidRPr="00EF6C6D">
              <w:rPr>
                <w:rFonts w:ascii="Arial" w:hAnsi="Arial" w:cs="Arial"/>
              </w:rPr>
              <w:t>hyperscaler</w:t>
            </w:r>
            <w:proofErr w:type="spellEnd"/>
            <w:r w:rsidRPr="00EF6C6D">
              <w:rPr>
                <w:rFonts w:ascii="Arial" w:hAnsi="Arial" w:cs="Arial"/>
              </w:rPr>
              <w:t xml:space="preserve"> network-as-a-service</w:t>
            </w:r>
          </w:p>
        </w:tc>
        <w:tc>
          <w:tcPr>
            <w:tcW w:w="2882" w:type="dxa"/>
          </w:tcPr>
          <w:p w14:paraId="7E862C9F" w14:textId="77777777" w:rsidR="00617A93" w:rsidRPr="00EF6C6D" w:rsidRDefault="00000000" w:rsidP="00EF6C6D">
            <w:pPr>
              <w:spacing w:line="360" w:lineRule="auto"/>
              <w:jc w:val="both"/>
              <w:rPr>
                <w:rFonts w:ascii="Arial" w:hAnsi="Arial" w:cs="Arial"/>
              </w:rPr>
            </w:pPr>
            <w:r w:rsidRPr="00EF6C6D">
              <w:rPr>
                <w:rFonts w:ascii="Arial" w:hAnsi="Arial" w:cs="Arial"/>
              </w:rPr>
              <w:t>Diversifies into managed health connectivity and enterprise digital services</w:t>
            </w:r>
          </w:p>
        </w:tc>
      </w:tr>
    </w:tbl>
    <w:p w14:paraId="260167C7" w14:textId="77777777" w:rsidR="00617A93" w:rsidRPr="00EF6C6D" w:rsidRDefault="00000000" w:rsidP="00EF6C6D">
      <w:pPr>
        <w:spacing w:after="0" w:line="360" w:lineRule="auto"/>
        <w:jc w:val="both"/>
        <w:rPr>
          <w:rFonts w:ascii="Arial" w:hAnsi="Arial" w:cs="Arial"/>
        </w:rPr>
      </w:pPr>
      <w:r w:rsidRPr="00EF6C6D">
        <w:rPr>
          <w:rFonts w:ascii="Arial" w:hAnsi="Arial" w:cs="Arial"/>
          <w:i/>
        </w:rPr>
        <w:t>Table A2. Porter's Five Forces Analysis. Source: Author's own analysis based on Porter (1980).</w:t>
      </w:r>
    </w:p>
    <w:p w14:paraId="1EF6F737" w14:textId="77777777" w:rsidR="00617A93" w:rsidRPr="00EF6C6D" w:rsidRDefault="00617A93" w:rsidP="00EF6C6D">
      <w:pPr>
        <w:spacing w:after="0" w:line="360" w:lineRule="auto"/>
        <w:jc w:val="both"/>
        <w:rPr>
          <w:rFonts w:ascii="Arial" w:hAnsi="Arial" w:cs="Arial"/>
        </w:rPr>
      </w:pPr>
    </w:p>
    <w:p w14:paraId="0376BC1F" w14:textId="77777777" w:rsidR="00617A93" w:rsidRPr="00EF6C6D" w:rsidRDefault="00000000" w:rsidP="00EF6C6D">
      <w:pPr>
        <w:pStyle w:val="Heading2"/>
        <w:spacing w:before="0" w:line="360" w:lineRule="auto"/>
        <w:jc w:val="both"/>
        <w:rPr>
          <w:rFonts w:ascii="Arial" w:hAnsi="Arial" w:cs="Arial"/>
          <w:sz w:val="22"/>
          <w:szCs w:val="22"/>
        </w:rPr>
      </w:pPr>
      <w:bookmarkStart w:id="20" w:name="_Toc234790667"/>
      <w:r w:rsidRPr="00EF6C6D">
        <w:rPr>
          <w:rFonts w:ascii="Arial" w:hAnsi="Arial" w:cs="Arial"/>
          <w:sz w:val="22"/>
          <w:szCs w:val="22"/>
        </w:rPr>
        <w:t>Appendix A3 – VRIO Analysis Table</w:t>
      </w:r>
      <w:bookmarkEnd w:id="20"/>
    </w:p>
    <w:tbl>
      <w:tblPr>
        <w:tblStyle w:val="TableGrid"/>
        <w:tblW w:w="0" w:type="auto"/>
        <w:tblLook w:val="04A0" w:firstRow="1" w:lastRow="0" w:firstColumn="1" w:lastColumn="0" w:noHBand="0" w:noVBand="1"/>
      </w:tblPr>
      <w:tblGrid>
        <w:gridCol w:w="2882"/>
        <w:gridCol w:w="2882"/>
        <w:gridCol w:w="2882"/>
      </w:tblGrid>
      <w:tr w:rsidR="00617A93" w:rsidRPr="00EF6C6D" w14:paraId="5E0FC114" w14:textId="77777777">
        <w:tc>
          <w:tcPr>
            <w:tcW w:w="2882" w:type="dxa"/>
          </w:tcPr>
          <w:p w14:paraId="7D1B9B25" w14:textId="77777777" w:rsidR="00617A93" w:rsidRPr="00EF6C6D" w:rsidRDefault="00000000" w:rsidP="00EF6C6D">
            <w:pPr>
              <w:spacing w:line="360" w:lineRule="auto"/>
              <w:jc w:val="both"/>
              <w:rPr>
                <w:rFonts w:ascii="Arial" w:hAnsi="Arial" w:cs="Arial"/>
              </w:rPr>
            </w:pPr>
            <w:r w:rsidRPr="00EF6C6D">
              <w:rPr>
                <w:rFonts w:ascii="Arial" w:hAnsi="Arial" w:cs="Arial"/>
              </w:rPr>
              <w:t>Resource / Capability</w:t>
            </w:r>
          </w:p>
        </w:tc>
        <w:tc>
          <w:tcPr>
            <w:tcW w:w="2882" w:type="dxa"/>
          </w:tcPr>
          <w:p w14:paraId="271BC8E3" w14:textId="77777777" w:rsidR="00617A93" w:rsidRPr="00EF6C6D" w:rsidRDefault="00000000" w:rsidP="00EF6C6D">
            <w:pPr>
              <w:spacing w:line="360" w:lineRule="auto"/>
              <w:jc w:val="both"/>
              <w:rPr>
                <w:rFonts w:ascii="Arial" w:hAnsi="Arial" w:cs="Arial"/>
              </w:rPr>
            </w:pPr>
            <w:r w:rsidRPr="00EF6C6D">
              <w:rPr>
                <w:rFonts w:ascii="Arial" w:hAnsi="Arial" w:cs="Arial"/>
              </w:rPr>
              <w:t>V / R / I / O</w:t>
            </w:r>
          </w:p>
        </w:tc>
        <w:tc>
          <w:tcPr>
            <w:tcW w:w="2882" w:type="dxa"/>
          </w:tcPr>
          <w:p w14:paraId="6FF67C69" w14:textId="77777777" w:rsidR="00617A93" w:rsidRPr="00EF6C6D" w:rsidRDefault="00000000" w:rsidP="00EF6C6D">
            <w:pPr>
              <w:spacing w:line="360" w:lineRule="auto"/>
              <w:jc w:val="both"/>
              <w:rPr>
                <w:rFonts w:ascii="Arial" w:hAnsi="Arial" w:cs="Arial"/>
              </w:rPr>
            </w:pPr>
            <w:r w:rsidRPr="00EF6C6D">
              <w:rPr>
                <w:rFonts w:ascii="Arial" w:hAnsi="Arial" w:cs="Arial"/>
              </w:rPr>
              <w:t>Competitive Outcome</w:t>
            </w:r>
          </w:p>
        </w:tc>
      </w:tr>
      <w:tr w:rsidR="00617A93" w:rsidRPr="00EF6C6D" w14:paraId="5819B3F8" w14:textId="77777777">
        <w:tc>
          <w:tcPr>
            <w:tcW w:w="2882" w:type="dxa"/>
          </w:tcPr>
          <w:p w14:paraId="1D6EFCB3" w14:textId="77777777" w:rsidR="00617A93" w:rsidRPr="00EF6C6D" w:rsidRDefault="00000000" w:rsidP="00EF6C6D">
            <w:pPr>
              <w:spacing w:line="360" w:lineRule="auto"/>
              <w:jc w:val="both"/>
              <w:rPr>
                <w:rFonts w:ascii="Arial" w:hAnsi="Arial" w:cs="Arial"/>
              </w:rPr>
            </w:pPr>
            <w:r w:rsidRPr="00EF6C6D">
              <w:rPr>
                <w:rFonts w:ascii="Arial" w:hAnsi="Arial" w:cs="Arial"/>
              </w:rPr>
              <w:t>Expanded 5G spectrum (post-merger)</w:t>
            </w:r>
          </w:p>
        </w:tc>
        <w:tc>
          <w:tcPr>
            <w:tcW w:w="2882" w:type="dxa"/>
          </w:tcPr>
          <w:p w14:paraId="45E1301A"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V </w:t>
            </w:r>
            <w:proofErr w:type="gramStart"/>
            <w:r w:rsidRPr="00EF6C6D">
              <w:rPr>
                <w:rFonts w:ascii="Segoe UI Symbol" w:hAnsi="Segoe UI Symbol" w:cs="Segoe UI Symbol"/>
              </w:rPr>
              <w:t>✓</w:t>
            </w:r>
            <w:r w:rsidRPr="00EF6C6D">
              <w:rPr>
                <w:rFonts w:ascii="Arial" w:hAnsi="Arial" w:cs="Arial"/>
              </w:rPr>
              <w:t xml:space="preserve">  R</w:t>
            </w:r>
            <w:proofErr w:type="gramEnd"/>
            <w:r w:rsidRPr="00EF6C6D">
              <w:rPr>
                <w:rFonts w:ascii="Arial" w:hAnsi="Arial" w:cs="Arial"/>
              </w:rPr>
              <w:t xml:space="preserve"> </w:t>
            </w:r>
            <w:proofErr w:type="gramStart"/>
            <w:r w:rsidRPr="00EF6C6D">
              <w:rPr>
                <w:rFonts w:ascii="Segoe UI Symbol" w:hAnsi="Segoe UI Symbol" w:cs="Segoe UI Symbol"/>
              </w:rPr>
              <w:t>✓</w:t>
            </w:r>
            <w:r w:rsidRPr="00EF6C6D">
              <w:rPr>
                <w:rFonts w:ascii="Arial" w:hAnsi="Arial" w:cs="Arial"/>
              </w:rPr>
              <w:t xml:space="preserve">  I</w:t>
            </w:r>
            <w:proofErr w:type="gramEnd"/>
            <w:r w:rsidRPr="00EF6C6D">
              <w:rPr>
                <w:rFonts w:ascii="Arial" w:hAnsi="Arial" w:cs="Arial"/>
              </w:rPr>
              <w:t xml:space="preserve"> </w:t>
            </w:r>
            <w:proofErr w:type="gramStart"/>
            <w:r w:rsidRPr="00EF6C6D">
              <w:rPr>
                <w:rFonts w:ascii="Segoe UI Symbol" w:hAnsi="Segoe UI Symbol" w:cs="Segoe UI Symbol"/>
              </w:rPr>
              <w:t>✓</w:t>
            </w:r>
            <w:r w:rsidRPr="00EF6C6D">
              <w:rPr>
                <w:rFonts w:ascii="Arial" w:hAnsi="Arial" w:cs="Arial"/>
              </w:rPr>
              <w:t xml:space="preserve">  O</w:t>
            </w:r>
            <w:proofErr w:type="gramEnd"/>
            <w:r w:rsidRPr="00EF6C6D">
              <w:rPr>
                <w:rFonts w:ascii="Arial" w:hAnsi="Arial" w:cs="Arial"/>
              </w:rPr>
              <w:t xml:space="preserve"> </w:t>
            </w:r>
            <w:r w:rsidRPr="00EF6C6D">
              <w:rPr>
                <w:rFonts w:ascii="Segoe UI Symbol" w:hAnsi="Segoe UI Symbol" w:cs="Segoe UI Symbol"/>
              </w:rPr>
              <w:t>✓</w:t>
            </w:r>
          </w:p>
        </w:tc>
        <w:tc>
          <w:tcPr>
            <w:tcW w:w="2882" w:type="dxa"/>
          </w:tcPr>
          <w:p w14:paraId="6AFF1D73" w14:textId="77777777" w:rsidR="00617A93" w:rsidRPr="00EF6C6D" w:rsidRDefault="00000000" w:rsidP="00EF6C6D">
            <w:pPr>
              <w:spacing w:line="360" w:lineRule="auto"/>
              <w:jc w:val="both"/>
              <w:rPr>
                <w:rFonts w:ascii="Arial" w:hAnsi="Arial" w:cs="Arial"/>
              </w:rPr>
            </w:pPr>
            <w:r w:rsidRPr="00EF6C6D">
              <w:rPr>
                <w:rFonts w:ascii="Arial" w:hAnsi="Arial" w:cs="Arial"/>
              </w:rPr>
              <w:t>Strongest source of sustained competitive advantage — foundation for AI/health IoT at scale</w:t>
            </w:r>
          </w:p>
        </w:tc>
      </w:tr>
      <w:tr w:rsidR="00617A93" w:rsidRPr="00EF6C6D" w14:paraId="2FE5E399" w14:textId="77777777">
        <w:tc>
          <w:tcPr>
            <w:tcW w:w="2882" w:type="dxa"/>
          </w:tcPr>
          <w:p w14:paraId="6D1A2036" w14:textId="77777777" w:rsidR="00617A93" w:rsidRPr="00EF6C6D" w:rsidRDefault="00000000" w:rsidP="00EF6C6D">
            <w:pPr>
              <w:spacing w:line="360" w:lineRule="auto"/>
              <w:jc w:val="both"/>
              <w:rPr>
                <w:rFonts w:ascii="Arial" w:hAnsi="Arial" w:cs="Arial"/>
              </w:rPr>
            </w:pPr>
            <w:r w:rsidRPr="00EF6C6D">
              <w:rPr>
                <w:rFonts w:ascii="Arial" w:hAnsi="Arial" w:cs="Arial"/>
              </w:rPr>
              <w:t>Financial capacity / synergy potential</w:t>
            </w:r>
          </w:p>
        </w:tc>
        <w:tc>
          <w:tcPr>
            <w:tcW w:w="2882" w:type="dxa"/>
          </w:tcPr>
          <w:p w14:paraId="1E529FC5"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V </w:t>
            </w:r>
            <w:proofErr w:type="gramStart"/>
            <w:r w:rsidRPr="00EF6C6D">
              <w:rPr>
                <w:rFonts w:ascii="Segoe UI Symbol" w:hAnsi="Segoe UI Symbol" w:cs="Segoe UI Symbol"/>
              </w:rPr>
              <w:t>✓</w:t>
            </w:r>
            <w:r w:rsidRPr="00EF6C6D">
              <w:rPr>
                <w:rFonts w:ascii="Arial" w:hAnsi="Arial" w:cs="Arial"/>
              </w:rPr>
              <w:t xml:space="preserve">  R</w:t>
            </w:r>
            <w:proofErr w:type="gramEnd"/>
            <w:r w:rsidRPr="00EF6C6D">
              <w:rPr>
                <w:rFonts w:ascii="Arial" w:hAnsi="Arial" w:cs="Arial"/>
              </w:rPr>
              <w:t xml:space="preserve"> </w:t>
            </w:r>
            <w:proofErr w:type="gramStart"/>
            <w:r w:rsidRPr="00EF6C6D">
              <w:rPr>
                <w:rFonts w:ascii="Segoe UI Symbol" w:hAnsi="Segoe UI Symbol" w:cs="Segoe UI Symbol"/>
              </w:rPr>
              <w:t>✗</w:t>
            </w:r>
            <w:r w:rsidRPr="00EF6C6D">
              <w:rPr>
                <w:rFonts w:ascii="Arial" w:hAnsi="Arial" w:cs="Arial"/>
              </w:rPr>
              <w:t xml:space="preserve">  I</w:t>
            </w:r>
            <w:proofErr w:type="gramEnd"/>
            <w:r w:rsidRPr="00EF6C6D">
              <w:rPr>
                <w:rFonts w:ascii="Arial" w:hAnsi="Arial" w:cs="Arial"/>
              </w:rPr>
              <w:t xml:space="preserve"> </w:t>
            </w:r>
            <w:proofErr w:type="gramStart"/>
            <w:r w:rsidRPr="00EF6C6D">
              <w:rPr>
                <w:rFonts w:ascii="Segoe UI Symbol" w:hAnsi="Segoe UI Symbol" w:cs="Segoe UI Symbol"/>
              </w:rPr>
              <w:t>✗</w:t>
            </w:r>
            <w:r w:rsidRPr="00EF6C6D">
              <w:rPr>
                <w:rFonts w:ascii="Arial" w:hAnsi="Arial" w:cs="Arial"/>
              </w:rPr>
              <w:t xml:space="preserve">  O</w:t>
            </w:r>
            <w:proofErr w:type="gramEnd"/>
            <w:r w:rsidRPr="00EF6C6D">
              <w:rPr>
                <w:rFonts w:ascii="Arial" w:hAnsi="Arial" w:cs="Arial"/>
              </w:rPr>
              <w:t xml:space="preserve"> </w:t>
            </w:r>
            <w:r w:rsidRPr="00EF6C6D">
              <w:rPr>
                <w:rFonts w:ascii="Segoe UI Symbol" w:hAnsi="Segoe UI Symbol" w:cs="Segoe UI Symbol"/>
              </w:rPr>
              <w:t>✓</w:t>
            </w:r>
          </w:p>
        </w:tc>
        <w:tc>
          <w:tcPr>
            <w:tcW w:w="2882" w:type="dxa"/>
          </w:tcPr>
          <w:p w14:paraId="62C80E9F" w14:textId="77777777" w:rsidR="00617A93" w:rsidRPr="00EF6C6D" w:rsidRDefault="00000000" w:rsidP="00EF6C6D">
            <w:pPr>
              <w:spacing w:line="360" w:lineRule="auto"/>
              <w:jc w:val="both"/>
              <w:rPr>
                <w:rFonts w:ascii="Arial" w:hAnsi="Arial" w:cs="Arial"/>
              </w:rPr>
            </w:pPr>
            <w:r w:rsidRPr="00EF6C6D">
              <w:rPr>
                <w:rFonts w:ascii="Arial" w:hAnsi="Arial" w:cs="Arial"/>
              </w:rPr>
              <w:t>Temporary competitive advantage — rivals can also raise capital (Barney, 1991)</w:t>
            </w:r>
          </w:p>
        </w:tc>
      </w:tr>
      <w:tr w:rsidR="00617A93" w:rsidRPr="00EF6C6D" w14:paraId="6B23300F" w14:textId="77777777">
        <w:tc>
          <w:tcPr>
            <w:tcW w:w="2882" w:type="dxa"/>
          </w:tcPr>
          <w:p w14:paraId="21592566" w14:textId="77777777" w:rsidR="00617A93" w:rsidRPr="00EF6C6D" w:rsidRDefault="00000000" w:rsidP="00EF6C6D">
            <w:pPr>
              <w:spacing w:line="360" w:lineRule="auto"/>
              <w:jc w:val="both"/>
              <w:rPr>
                <w:rFonts w:ascii="Arial" w:hAnsi="Arial" w:cs="Arial"/>
              </w:rPr>
            </w:pPr>
            <w:r w:rsidRPr="00EF6C6D">
              <w:rPr>
                <w:rFonts w:ascii="Arial" w:hAnsi="Arial" w:cs="Arial"/>
              </w:rPr>
              <w:t>Brand reputation</w:t>
            </w:r>
          </w:p>
        </w:tc>
        <w:tc>
          <w:tcPr>
            <w:tcW w:w="2882" w:type="dxa"/>
          </w:tcPr>
          <w:p w14:paraId="73FC7219"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V </w:t>
            </w:r>
            <w:proofErr w:type="gramStart"/>
            <w:r w:rsidRPr="00EF6C6D">
              <w:rPr>
                <w:rFonts w:ascii="Segoe UI Symbol" w:hAnsi="Segoe UI Symbol" w:cs="Segoe UI Symbol"/>
              </w:rPr>
              <w:t>✓</w:t>
            </w:r>
            <w:r w:rsidRPr="00EF6C6D">
              <w:rPr>
                <w:rFonts w:ascii="Arial" w:hAnsi="Arial" w:cs="Arial"/>
              </w:rPr>
              <w:t xml:space="preserve">  R</w:t>
            </w:r>
            <w:proofErr w:type="gramEnd"/>
            <w:r w:rsidRPr="00EF6C6D">
              <w:rPr>
                <w:rFonts w:ascii="Arial" w:hAnsi="Arial" w:cs="Arial"/>
              </w:rPr>
              <w:t xml:space="preserve"> </w:t>
            </w:r>
            <w:proofErr w:type="gramStart"/>
            <w:r w:rsidRPr="00EF6C6D">
              <w:rPr>
                <w:rFonts w:ascii="Segoe UI Symbol" w:hAnsi="Segoe UI Symbol" w:cs="Segoe UI Symbol"/>
              </w:rPr>
              <w:t>✗</w:t>
            </w:r>
            <w:r w:rsidRPr="00EF6C6D">
              <w:rPr>
                <w:rFonts w:ascii="Arial" w:hAnsi="Arial" w:cs="Arial"/>
              </w:rPr>
              <w:t xml:space="preserve">  I</w:t>
            </w:r>
            <w:proofErr w:type="gramEnd"/>
            <w:r w:rsidRPr="00EF6C6D">
              <w:rPr>
                <w:rFonts w:ascii="Arial" w:hAnsi="Arial" w:cs="Arial"/>
              </w:rPr>
              <w:t xml:space="preserve"> </w:t>
            </w:r>
            <w:proofErr w:type="gramStart"/>
            <w:r w:rsidRPr="00EF6C6D">
              <w:rPr>
                <w:rFonts w:ascii="Segoe UI Symbol" w:hAnsi="Segoe UI Symbol" w:cs="Segoe UI Symbol"/>
              </w:rPr>
              <w:t>✗</w:t>
            </w:r>
            <w:r w:rsidRPr="00EF6C6D">
              <w:rPr>
                <w:rFonts w:ascii="Arial" w:hAnsi="Arial" w:cs="Arial"/>
              </w:rPr>
              <w:t xml:space="preserve">  O</w:t>
            </w:r>
            <w:proofErr w:type="gramEnd"/>
            <w:r w:rsidRPr="00EF6C6D">
              <w:rPr>
                <w:rFonts w:ascii="Arial" w:hAnsi="Arial" w:cs="Arial"/>
              </w:rPr>
              <w:t xml:space="preserve"> </w:t>
            </w:r>
            <w:r w:rsidRPr="00EF6C6D">
              <w:rPr>
                <w:rFonts w:ascii="Segoe UI Symbol" w:hAnsi="Segoe UI Symbol" w:cs="Segoe UI Symbol"/>
              </w:rPr>
              <w:t>✓</w:t>
            </w:r>
          </w:p>
        </w:tc>
        <w:tc>
          <w:tcPr>
            <w:tcW w:w="2882" w:type="dxa"/>
          </w:tcPr>
          <w:p w14:paraId="36B22431" w14:textId="77777777" w:rsidR="00617A93" w:rsidRPr="00EF6C6D" w:rsidRDefault="00000000" w:rsidP="00EF6C6D">
            <w:pPr>
              <w:spacing w:line="360" w:lineRule="auto"/>
              <w:jc w:val="both"/>
              <w:rPr>
                <w:rFonts w:ascii="Arial" w:hAnsi="Arial" w:cs="Arial"/>
              </w:rPr>
            </w:pPr>
            <w:r w:rsidRPr="00EF6C6D">
              <w:rPr>
                <w:rFonts w:ascii="Arial" w:hAnsi="Arial" w:cs="Arial"/>
              </w:rPr>
              <w:t>Competitive parity — EE leads on trust; legacy Three perception fragile</w:t>
            </w:r>
          </w:p>
        </w:tc>
      </w:tr>
      <w:tr w:rsidR="00617A93" w:rsidRPr="00EF6C6D" w14:paraId="173FAF1A" w14:textId="77777777">
        <w:tc>
          <w:tcPr>
            <w:tcW w:w="2882" w:type="dxa"/>
          </w:tcPr>
          <w:p w14:paraId="3FF79B7F" w14:textId="77777777" w:rsidR="00617A93" w:rsidRPr="00EF6C6D" w:rsidRDefault="00000000" w:rsidP="00EF6C6D">
            <w:pPr>
              <w:spacing w:line="360" w:lineRule="auto"/>
              <w:jc w:val="both"/>
              <w:rPr>
                <w:rFonts w:ascii="Arial" w:hAnsi="Arial" w:cs="Arial"/>
              </w:rPr>
            </w:pPr>
            <w:r w:rsidRPr="00EF6C6D">
              <w:rPr>
                <w:rFonts w:ascii="Arial" w:hAnsi="Arial" w:cs="Arial"/>
              </w:rPr>
              <w:t>AI and digital capabilities</w:t>
            </w:r>
          </w:p>
        </w:tc>
        <w:tc>
          <w:tcPr>
            <w:tcW w:w="2882" w:type="dxa"/>
          </w:tcPr>
          <w:p w14:paraId="19152E48"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V </w:t>
            </w:r>
            <w:proofErr w:type="gramStart"/>
            <w:r w:rsidRPr="00EF6C6D">
              <w:rPr>
                <w:rFonts w:ascii="Segoe UI Symbol" w:hAnsi="Segoe UI Symbol" w:cs="Segoe UI Symbol"/>
              </w:rPr>
              <w:t>✓</w:t>
            </w:r>
            <w:r w:rsidRPr="00EF6C6D">
              <w:rPr>
                <w:rFonts w:ascii="Arial" w:hAnsi="Arial" w:cs="Arial"/>
              </w:rPr>
              <w:t xml:space="preserve">  R</w:t>
            </w:r>
            <w:proofErr w:type="gramEnd"/>
            <w:r w:rsidRPr="00EF6C6D">
              <w:rPr>
                <w:rFonts w:ascii="Arial" w:hAnsi="Arial" w:cs="Arial"/>
              </w:rPr>
              <w:t xml:space="preserve"> </w:t>
            </w:r>
            <w:proofErr w:type="gramStart"/>
            <w:r w:rsidRPr="00EF6C6D">
              <w:rPr>
                <w:rFonts w:ascii="Segoe UI Symbol" w:hAnsi="Segoe UI Symbol" w:cs="Segoe UI Symbol"/>
              </w:rPr>
              <w:t>✓</w:t>
            </w:r>
            <w:r w:rsidRPr="00EF6C6D">
              <w:rPr>
                <w:rFonts w:ascii="Arial" w:hAnsi="Arial" w:cs="Arial"/>
              </w:rPr>
              <w:t xml:space="preserve">  I</w:t>
            </w:r>
            <w:proofErr w:type="gramEnd"/>
            <w:r w:rsidRPr="00EF6C6D">
              <w:rPr>
                <w:rFonts w:ascii="Arial" w:hAnsi="Arial" w:cs="Arial"/>
              </w:rPr>
              <w:t xml:space="preserve"> </w:t>
            </w:r>
            <w:proofErr w:type="gramStart"/>
            <w:r w:rsidRPr="00EF6C6D">
              <w:rPr>
                <w:rFonts w:ascii="Segoe UI Symbol" w:hAnsi="Segoe UI Symbol" w:cs="Segoe UI Symbol"/>
              </w:rPr>
              <w:t>✓</w:t>
            </w:r>
            <w:r w:rsidRPr="00EF6C6D">
              <w:rPr>
                <w:rFonts w:ascii="Arial" w:hAnsi="Arial" w:cs="Arial"/>
              </w:rPr>
              <w:t xml:space="preserve">  O</w:t>
            </w:r>
            <w:proofErr w:type="gramEnd"/>
            <w:r w:rsidRPr="00EF6C6D">
              <w:rPr>
                <w:rFonts w:ascii="Arial" w:hAnsi="Arial" w:cs="Arial"/>
              </w:rPr>
              <w:t xml:space="preserve"> </w:t>
            </w:r>
            <w:r w:rsidRPr="00EF6C6D">
              <w:rPr>
                <w:rFonts w:ascii="Segoe UI Symbol" w:hAnsi="Segoe UI Symbol" w:cs="Segoe UI Symbol"/>
              </w:rPr>
              <w:t>✗</w:t>
            </w:r>
            <w:r w:rsidRPr="00EF6C6D">
              <w:rPr>
                <w:rFonts w:ascii="Arial" w:hAnsi="Arial" w:cs="Arial"/>
              </w:rPr>
              <w:t xml:space="preserve"> (partial)</w:t>
            </w:r>
          </w:p>
        </w:tc>
        <w:tc>
          <w:tcPr>
            <w:tcW w:w="2882" w:type="dxa"/>
          </w:tcPr>
          <w:p w14:paraId="5C9D3D25"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Potential sustained advantage if </w:t>
            </w:r>
            <w:proofErr w:type="spellStart"/>
            <w:r w:rsidRPr="00EF6C6D">
              <w:rPr>
                <w:rFonts w:ascii="Arial" w:hAnsi="Arial" w:cs="Arial"/>
              </w:rPr>
              <w:t>organisational</w:t>
            </w:r>
            <w:proofErr w:type="spellEnd"/>
            <w:r w:rsidRPr="00EF6C6D">
              <w:rPr>
                <w:rFonts w:ascii="Arial" w:hAnsi="Arial" w:cs="Arial"/>
              </w:rPr>
              <w:t xml:space="preserve"> integration is successfully completed</w:t>
            </w:r>
          </w:p>
        </w:tc>
      </w:tr>
      <w:tr w:rsidR="00617A93" w:rsidRPr="00EF6C6D" w14:paraId="31A6F690" w14:textId="77777777">
        <w:tc>
          <w:tcPr>
            <w:tcW w:w="2882" w:type="dxa"/>
          </w:tcPr>
          <w:p w14:paraId="012D3930" w14:textId="77777777" w:rsidR="00617A93" w:rsidRPr="00EF6C6D" w:rsidRDefault="00000000" w:rsidP="00EF6C6D">
            <w:pPr>
              <w:spacing w:line="360" w:lineRule="auto"/>
              <w:jc w:val="both"/>
              <w:rPr>
                <w:rFonts w:ascii="Arial" w:hAnsi="Arial" w:cs="Arial"/>
              </w:rPr>
            </w:pPr>
            <w:r w:rsidRPr="00EF6C6D">
              <w:rPr>
                <w:rFonts w:ascii="Arial" w:hAnsi="Arial" w:cs="Arial"/>
              </w:rPr>
              <w:t>Network scale / 27m+ subscribers</w:t>
            </w:r>
          </w:p>
        </w:tc>
        <w:tc>
          <w:tcPr>
            <w:tcW w:w="2882" w:type="dxa"/>
          </w:tcPr>
          <w:p w14:paraId="3EF79784"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V </w:t>
            </w:r>
            <w:proofErr w:type="gramStart"/>
            <w:r w:rsidRPr="00EF6C6D">
              <w:rPr>
                <w:rFonts w:ascii="Segoe UI Symbol" w:hAnsi="Segoe UI Symbol" w:cs="Segoe UI Symbol"/>
              </w:rPr>
              <w:t>✓</w:t>
            </w:r>
            <w:r w:rsidRPr="00EF6C6D">
              <w:rPr>
                <w:rFonts w:ascii="Arial" w:hAnsi="Arial" w:cs="Arial"/>
              </w:rPr>
              <w:t xml:space="preserve">  R</w:t>
            </w:r>
            <w:proofErr w:type="gramEnd"/>
            <w:r w:rsidRPr="00EF6C6D">
              <w:rPr>
                <w:rFonts w:ascii="Arial" w:hAnsi="Arial" w:cs="Arial"/>
              </w:rPr>
              <w:t xml:space="preserve"> </w:t>
            </w:r>
            <w:proofErr w:type="gramStart"/>
            <w:r w:rsidRPr="00EF6C6D">
              <w:rPr>
                <w:rFonts w:ascii="Segoe UI Symbol" w:hAnsi="Segoe UI Symbol" w:cs="Segoe UI Symbol"/>
              </w:rPr>
              <w:t>✗</w:t>
            </w:r>
            <w:r w:rsidRPr="00EF6C6D">
              <w:rPr>
                <w:rFonts w:ascii="Arial" w:hAnsi="Arial" w:cs="Arial"/>
              </w:rPr>
              <w:t xml:space="preserve">  I</w:t>
            </w:r>
            <w:proofErr w:type="gramEnd"/>
            <w:r w:rsidRPr="00EF6C6D">
              <w:rPr>
                <w:rFonts w:ascii="Arial" w:hAnsi="Arial" w:cs="Arial"/>
              </w:rPr>
              <w:t xml:space="preserve"> </w:t>
            </w:r>
            <w:proofErr w:type="gramStart"/>
            <w:r w:rsidRPr="00EF6C6D">
              <w:rPr>
                <w:rFonts w:ascii="Segoe UI Symbol" w:hAnsi="Segoe UI Symbol" w:cs="Segoe UI Symbol"/>
              </w:rPr>
              <w:t>✗</w:t>
            </w:r>
            <w:r w:rsidRPr="00EF6C6D">
              <w:rPr>
                <w:rFonts w:ascii="Arial" w:hAnsi="Arial" w:cs="Arial"/>
              </w:rPr>
              <w:t xml:space="preserve">  O</w:t>
            </w:r>
            <w:proofErr w:type="gramEnd"/>
            <w:r w:rsidRPr="00EF6C6D">
              <w:rPr>
                <w:rFonts w:ascii="Arial" w:hAnsi="Arial" w:cs="Arial"/>
              </w:rPr>
              <w:t xml:space="preserve"> </w:t>
            </w:r>
            <w:r w:rsidRPr="00EF6C6D">
              <w:rPr>
                <w:rFonts w:ascii="Segoe UI Symbol" w:hAnsi="Segoe UI Symbol" w:cs="Segoe UI Symbol"/>
              </w:rPr>
              <w:t>✓</w:t>
            </w:r>
          </w:p>
        </w:tc>
        <w:tc>
          <w:tcPr>
            <w:tcW w:w="2882" w:type="dxa"/>
          </w:tcPr>
          <w:p w14:paraId="3B7C7BD2" w14:textId="77777777" w:rsidR="00617A93" w:rsidRPr="00EF6C6D" w:rsidRDefault="00000000" w:rsidP="00EF6C6D">
            <w:pPr>
              <w:spacing w:line="360" w:lineRule="auto"/>
              <w:jc w:val="both"/>
              <w:rPr>
                <w:rFonts w:ascii="Arial" w:hAnsi="Arial" w:cs="Arial"/>
              </w:rPr>
            </w:pPr>
            <w:r w:rsidRPr="00EF6C6D">
              <w:rPr>
                <w:rFonts w:ascii="Arial" w:hAnsi="Arial" w:cs="Arial"/>
              </w:rPr>
              <w:t>Competitive parity / temporary competitive advantage</w:t>
            </w:r>
          </w:p>
        </w:tc>
      </w:tr>
    </w:tbl>
    <w:p w14:paraId="6D4DD2E5" w14:textId="77777777" w:rsidR="00617A93" w:rsidRPr="00EF6C6D" w:rsidRDefault="00000000" w:rsidP="00EF6C6D">
      <w:pPr>
        <w:spacing w:after="0" w:line="360" w:lineRule="auto"/>
        <w:jc w:val="both"/>
        <w:rPr>
          <w:rFonts w:ascii="Arial" w:hAnsi="Arial" w:cs="Arial"/>
        </w:rPr>
      </w:pPr>
      <w:r w:rsidRPr="00EF6C6D">
        <w:rPr>
          <w:rFonts w:ascii="Arial" w:hAnsi="Arial" w:cs="Arial"/>
          <w:i/>
        </w:rPr>
        <w:t>Table A3. VRIO Analysis. Source: Author's own analysis based on Barney (1991).</w:t>
      </w:r>
    </w:p>
    <w:p w14:paraId="5DA07A33" w14:textId="77777777" w:rsidR="00617A93" w:rsidRPr="00EF6C6D" w:rsidRDefault="00617A93" w:rsidP="00EF6C6D">
      <w:pPr>
        <w:spacing w:after="0" w:line="360" w:lineRule="auto"/>
        <w:jc w:val="both"/>
        <w:rPr>
          <w:rFonts w:ascii="Arial" w:hAnsi="Arial" w:cs="Arial"/>
        </w:rPr>
      </w:pPr>
    </w:p>
    <w:p w14:paraId="707CDCA7" w14:textId="77777777" w:rsidR="00617A93" w:rsidRPr="00EF6C6D" w:rsidRDefault="00000000" w:rsidP="00EF6C6D">
      <w:pPr>
        <w:pStyle w:val="Heading2"/>
        <w:spacing w:before="0" w:line="360" w:lineRule="auto"/>
        <w:jc w:val="both"/>
        <w:rPr>
          <w:rFonts w:ascii="Arial" w:hAnsi="Arial" w:cs="Arial"/>
          <w:sz w:val="22"/>
          <w:szCs w:val="22"/>
        </w:rPr>
      </w:pPr>
      <w:bookmarkStart w:id="21" w:name="_Toc234790668"/>
      <w:r w:rsidRPr="00EF6C6D">
        <w:rPr>
          <w:rFonts w:ascii="Arial" w:hAnsi="Arial" w:cs="Arial"/>
          <w:sz w:val="22"/>
          <w:szCs w:val="22"/>
        </w:rPr>
        <w:t>Appendix A4 – SWOT Analysis Table</w:t>
      </w:r>
      <w:bookmarkEnd w:id="21"/>
    </w:p>
    <w:tbl>
      <w:tblPr>
        <w:tblStyle w:val="TableGrid"/>
        <w:tblW w:w="0" w:type="auto"/>
        <w:tblLook w:val="04A0" w:firstRow="1" w:lastRow="0" w:firstColumn="1" w:lastColumn="0" w:noHBand="0" w:noVBand="1"/>
      </w:tblPr>
      <w:tblGrid>
        <w:gridCol w:w="2882"/>
        <w:gridCol w:w="2882"/>
        <w:gridCol w:w="2882"/>
      </w:tblGrid>
      <w:tr w:rsidR="00617A93" w:rsidRPr="00EF6C6D" w14:paraId="54671533" w14:textId="77777777">
        <w:tc>
          <w:tcPr>
            <w:tcW w:w="2882" w:type="dxa"/>
          </w:tcPr>
          <w:p w14:paraId="0129E29D" w14:textId="77777777" w:rsidR="00617A93" w:rsidRPr="00EF6C6D" w:rsidRDefault="00000000" w:rsidP="00EF6C6D">
            <w:pPr>
              <w:spacing w:line="360" w:lineRule="auto"/>
              <w:jc w:val="both"/>
              <w:rPr>
                <w:rFonts w:ascii="Arial" w:hAnsi="Arial" w:cs="Arial"/>
              </w:rPr>
            </w:pPr>
            <w:r w:rsidRPr="00EF6C6D">
              <w:rPr>
                <w:rFonts w:ascii="Arial" w:hAnsi="Arial" w:cs="Arial"/>
              </w:rPr>
              <w:t>Quadrant</w:t>
            </w:r>
          </w:p>
        </w:tc>
        <w:tc>
          <w:tcPr>
            <w:tcW w:w="2882" w:type="dxa"/>
          </w:tcPr>
          <w:p w14:paraId="3EE762E6" w14:textId="77777777" w:rsidR="00617A93" w:rsidRPr="00EF6C6D" w:rsidRDefault="00000000" w:rsidP="00EF6C6D">
            <w:pPr>
              <w:spacing w:line="360" w:lineRule="auto"/>
              <w:jc w:val="both"/>
              <w:rPr>
                <w:rFonts w:ascii="Arial" w:hAnsi="Arial" w:cs="Arial"/>
              </w:rPr>
            </w:pPr>
            <w:r w:rsidRPr="00EF6C6D">
              <w:rPr>
                <w:rFonts w:ascii="Arial" w:hAnsi="Arial" w:cs="Arial"/>
              </w:rPr>
              <w:t>Factor</w:t>
            </w:r>
          </w:p>
        </w:tc>
        <w:tc>
          <w:tcPr>
            <w:tcW w:w="2882" w:type="dxa"/>
          </w:tcPr>
          <w:p w14:paraId="4DC9DE6F" w14:textId="77777777" w:rsidR="00617A93" w:rsidRPr="00EF6C6D" w:rsidRDefault="00000000" w:rsidP="00EF6C6D">
            <w:pPr>
              <w:spacing w:line="360" w:lineRule="auto"/>
              <w:jc w:val="both"/>
              <w:rPr>
                <w:rFonts w:ascii="Arial" w:hAnsi="Arial" w:cs="Arial"/>
              </w:rPr>
            </w:pPr>
            <w:r w:rsidRPr="00EF6C6D">
              <w:rPr>
                <w:rFonts w:ascii="Arial" w:hAnsi="Arial" w:cs="Arial"/>
              </w:rPr>
              <w:t>Strategic Implication</w:t>
            </w:r>
          </w:p>
        </w:tc>
      </w:tr>
      <w:tr w:rsidR="00617A93" w:rsidRPr="00EF6C6D" w14:paraId="56D48E26" w14:textId="77777777">
        <w:tc>
          <w:tcPr>
            <w:tcW w:w="2882" w:type="dxa"/>
          </w:tcPr>
          <w:p w14:paraId="11A52D4E" w14:textId="77777777" w:rsidR="00617A93" w:rsidRPr="00EF6C6D" w:rsidRDefault="00000000" w:rsidP="00EF6C6D">
            <w:pPr>
              <w:spacing w:line="360" w:lineRule="auto"/>
              <w:jc w:val="both"/>
              <w:rPr>
                <w:rFonts w:ascii="Arial" w:hAnsi="Arial" w:cs="Arial"/>
              </w:rPr>
            </w:pPr>
            <w:r w:rsidRPr="00EF6C6D">
              <w:rPr>
                <w:rFonts w:ascii="Arial" w:hAnsi="Arial" w:cs="Arial"/>
              </w:rPr>
              <w:t>Strengths</w:t>
            </w:r>
          </w:p>
        </w:tc>
        <w:tc>
          <w:tcPr>
            <w:tcW w:w="2882" w:type="dxa"/>
          </w:tcPr>
          <w:p w14:paraId="08C7D2C5" w14:textId="77777777" w:rsidR="00617A93" w:rsidRPr="00EF6C6D" w:rsidRDefault="00000000" w:rsidP="00EF6C6D">
            <w:pPr>
              <w:spacing w:line="360" w:lineRule="auto"/>
              <w:jc w:val="both"/>
              <w:rPr>
                <w:rFonts w:ascii="Arial" w:hAnsi="Arial" w:cs="Arial"/>
              </w:rPr>
            </w:pPr>
            <w:r w:rsidRPr="00EF6C6D">
              <w:rPr>
                <w:rFonts w:ascii="Arial" w:hAnsi="Arial" w:cs="Arial"/>
              </w:rPr>
              <w:t>Scale and spectrum; technology partnerships with Ericsson and Nokia (</w:t>
            </w:r>
            <w:proofErr w:type="spellStart"/>
            <w:r w:rsidRPr="00EF6C6D">
              <w:rPr>
                <w:rFonts w:ascii="Arial" w:hAnsi="Arial" w:cs="Arial"/>
              </w:rPr>
              <w:t>VodafoneThree</w:t>
            </w:r>
            <w:proofErr w:type="spellEnd"/>
            <w:r w:rsidRPr="00EF6C6D">
              <w:rPr>
                <w:rFonts w:ascii="Arial" w:hAnsi="Arial" w:cs="Arial"/>
              </w:rPr>
              <w:t>, 2025)</w:t>
            </w:r>
          </w:p>
        </w:tc>
        <w:tc>
          <w:tcPr>
            <w:tcW w:w="2882" w:type="dxa"/>
          </w:tcPr>
          <w:p w14:paraId="74ED8357"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Enables AI/IoT services for </w:t>
            </w:r>
            <w:proofErr w:type="gramStart"/>
            <w:r w:rsidRPr="00EF6C6D">
              <w:rPr>
                <w:rFonts w:ascii="Arial" w:hAnsi="Arial" w:cs="Arial"/>
              </w:rPr>
              <w:t>enterprise</w:t>
            </w:r>
            <w:proofErr w:type="gramEnd"/>
            <w:r w:rsidRPr="00EF6C6D">
              <w:rPr>
                <w:rFonts w:ascii="Arial" w:hAnsi="Arial" w:cs="Arial"/>
              </w:rPr>
              <w:t xml:space="preserve"> and older adult health connectivity segments</w:t>
            </w:r>
          </w:p>
        </w:tc>
      </w:tr>
      <w:tr w:rsidR="00617A93" w:rsidRPr="00EF6C6D" w14:paraId="0E260639" w14:textId="77777777">
        <w:tc>
          <w:tcPr>
            <w:tcW w:w="2882" w:type="dxa"/>
          </w:tcPr>
          <w:p w14:paraId="335E3739" w14:textId="77777777" w:rsidR="00617A93" w:rsidRPr="00EF6C6D" w:rsidRDefault="00000000" w:rsidP="00EF6C6D">
            <w:pPr>
              <w:spacing w:line="360" w:lineRule="auto"/>
              <w:jc w:val="both"/>
              <w:rPr>
                <w:rFonts w:ascii="Arial" w:hAnsi="Arial" w:cs="Arial"/>
              </w:rPr>
            </w:pPr>
            <w:r w:rsidRPr="00EF6C6D">
              <w:rPr>
                <w:rFonts w:ascii="Arial" w:hAnsi="Arial" w:cs="Arial"/>
              </w:rPr>
              <w:t>Weaknesses</w:t>
            </w:r>
          </w:p>
        </w:tc>
        <w:tc>
          <w:tcPr>
            <w:tcW w:w="2882" w:type="dxa"/>
          </w:tcPr>
          <w:p w14:paraId="4079635E" w14:textId="77777777" w:rsidR="00617A93" w:rsidRPr="00EF6C6D" w:rsidRDefault="00000000" w:rsidP="00EF6C6D">
            <w:pPr>
              <w:spacing w:line="360" w:lineRule="auto"/>
              <w:jc w:val="both"/>
              <w:rPr>
                <w:rFonts w:ascii="Arial" w:hAnsi="Arial" w:cs="Arial"/>
              </w:rPr>
            </w:pPr>
            <w:r w:rsidRPr="00EF6C6D">
              <w:rPr>
                <w:rFonts w:ascii="Arial" w:hAnsi="Arial" w:cs="Arial"/>
              </w:rPr>
              <w:t>Post-merger integration complexity; brand fragility among legacy Three customers</w:t>
            </w:r>
          </w:p>
        </w:tc>
        <w:tc>
          <w:tcPr>
            <w:tcW w:w="2882" w:type="dxa"/>
          </w:tcPr>
          <w:p w14:paraId="0BE5E8F0" w14:textId="77777777" w:rsidR="00617A93" w:rsidRPr="00EF6C6D" w:rsidRDefault="00000000" w:rsidP="00EF6C6D">
            <w:pPr>
              <w:spacing w:line="360" w:lineRule="auto"/>
              <w:jc w:val="both"/>
              <w:rPr>
                <w:rFonts w:ascii="Arial" w:hAnsi="Arial" w:cs="Arial"/>
              </w:rPr>
            </w:pPr>
            <w:r w:rsidRPr="00EF6C6D">
              <w:rPr>
                <w:rFonts w:ascii="Arial" w:hAnsi="Arial" w:cs="Arial"/>
              </w:rPr>
              <w:t>May lead to implementation delays and increased customer churn; requires trust-building with older consumers</w:t>
            </w:r>
          </w:p>
        </w:tc>
      </w:tr>
      <w:tr w:rsidR="00617A93" w:rsidRPr="00EF6C6D" w14:paraId="4E2D64CB" w14:textId="77777777">
        <w:tc>
          <w:tcPr>
            <w:tcW w:w="2882" w:type="dxa"/>
          </w:tcPr>
          <w:p w14:paraId="63C973AC" w14:textId="77777777" w:rsidR="00617A93" w:rsidRPr="00EF6C6D" w:rsidRDefault="00000000" w:rsidP="00EF6C6D">
            <w:pPr>
              <w:spacing w:line="360" w:lineRule="auto"/>
              <w:jc w:val="both"/>
              <w:rPr>
                <w:rFonts w:ascii="Arial" w:hAnsi="Arial" w:cs="Arial"/>
              </w:rPr>
            </w:pPr>
            <w:r w:rsidRPr="00EF6C6D">
              <w:rPr>
                <w:rFonts w:ascii="Arial" w:hAnsi="Arial" w:cs="Arial"/>
              </w:rPr>
              <w:t>Opportunities</w:t>
            </w:r>
          </w:p>
        </w:tc>
        <w:tc>
          <w:tcPr>
            <w:tcW w:w="2882" w:type="dxa"/>
          </w:tcPr>
          <w:p w14:paraId="42678BD0" w14:textId="77777777" w:rsidR="00617A93" w:rsidRPr="00EF6C6D" w:rsidRDefault="00000000" w:rsidP="00EF6C6D">
            <w:pPr>
              <w:spacing w:line="360" w:lineRule="auto"/>
              <w:jc w:val="both"/>
              <w:rPr>
                <w:rFonts w:ascii="Arial" w:hAnsi="Arial" w:cs="Arial"/>
              </w:rPr>
            </w:pPr>
            <w:r w:rsidRPr="00EF6C6D">
              <w:rPr>
                <w:rFonts w:ascii="Arial" w:hAnsi="Arial" w:cs="Arial"/>
              </w:rPr>
              <w:t>AI + Ageing population (NHS remote monitoring); Enterprise IoT; rural coverage growth (Ooi and Periasamy, 2026; Kingston et al., 2018)</w:t>
            </w:r>
          </w:p>
        </w:tc>
        <w:tc>
          <w:tcPr>
            <w:tcW w:w="2882" w:type="dxa"/>
          </w:tcPr>
          <w:p w14:paraId="196B8DD8" w14:textId="77777777" w:rsidR="00617A93" w:rsidRPr="00EF6C6D" w:rsidRDefault="00000000" w:rsidP="00EF6C6D">
            <w:pPr>
              <w:spacing w:line="360" w:lineRule="auto"/>
              <w:jc w:val="both"/>
              <w:rPr>
                <w:rFonts w:ascii="Arial" w:hAnsi="Arial" w:cs="Arial"/>
              </w:rPr>
            </w:pPr>
            <w:r w:rsidRPr="00EF6C6D">
              <w:rPr>
                <w:rFonts w:ascii="Arial" w:hAnsi="Arial" w:cs="Arial"/>
              </w:rPr>
              <w:t>Creates access to a large, loyalty-driven revenue pool directly enabled by the technology-led differentiation strategy</w:t>
            </w:r>
          </w:p>
        </w:tc>
      </w:tr>
      <w:tr w:rsidR="00617A93" w:rsidRPr="00EF6C6D" w14:paraId="22781A93" w14:textId="77777777">
        <w:tc>
          <w:tcPr>
            <w:tcW w:w="2882" w:type="dxa"/>
          </w:tcPr>
          <w:p w14:paraId="3E80AAF8" w14:textId="77777777" w:rsidR="00617A93" w:rsidRPr="00EF6C6D" w:rsidRDefault="00000000" w:rsidP="00EF6C6D">
            <w:pPr>
              <w:spacing w:line="360" w:lineRule="auto"/>
              <w:jc w:val="both"/>
              <w:rPr>
                <w:rFonts w:ascii="Arial" w:hAnsi="Arial" w:cs="Arial"/>
              </w:rPr>
            </w:pPr>
            <w:r w:rsidRPr="00EF6C6D">
              <w:rPr>
                <w:rFonts w:ascii="Arial" w:hAnsi="Arial" w:cs="Arial"/>
              </w:rPr>
              <w:t>Threats</w:t>
            </w:r>
          </w:p>
        </w:tc>
        <w:tc>
          <w:tcPr>
            <w:tcW w:w="2882" w:type="dxa"/>
          </w:tcPr>
          <w:p w14:paraId="692BC329" w14:textId="77777777" w:rsidR="00617A93" w:rsidRPr="00EF6C6D" w:rsidRDefault="00000000" w:rsidP="00EF6C6D">
            <w:pPr>
              <w:spacing w:line="360" w:lineRule="auto"/>
              <w:jc w:val="both"/>
              <w:rPr>
                <w:rFonts w:ascii="Arial" w:hAnsi="Arial" w:cs="Arial"/>
              </w:rPr>
            </w:pPr>
            <w:r w:rsidRPr="00EF6C6D">
              <w:rPr>
                <w:rFonts w:ascii="Arial" w:hAnsi="Arial" w:cs="Arial"/>
              </w:rPr>
              <w:t>Rival investment (EE, VMO2); regulatory evolution; cybersecurity — especially health data (Saka and Das, 2025)</w:t>
            </w:r>
          </w:p>
        </w:tc>
        <w:tc>
          <w:tcPr>
            <w:tcW w:w="2882" w:type="dxa"/>
          </w:tcPr>
          <w:p w14:paraId="4EEAD848" w14:textId="77777777" w:rsidR="00617A93" w:rsidRPr="00EF6C6D" w:rsidRDefault="00000000" w:rsidP="00EF6C6D">
            <w:pPr>
              <w:spacing w:line="360" w:lineRule="auto"/>
              <w:jc w:val="both"/>
              <w:rPr>
                <w:rFonts w:ascii="Arial" w:hAnsi="Arial" w:cs="Arial"/>
              </w:rPr>
            </w:pPr>
            <w:r w:rsidRPr="00EF6C6D">
              <w:rPr>
                <w:rFonts w:ascii="Arial" w:hAnsi="Arial" w:cs="Arial"/>
              </w:rPr>
              <w:t>The quality gap may narrow as rivals invest; health data breaches expose the firm to reputational and legal risk</w:t>
            </w:r>
          </w:p>
        </w:tc>
      </w:tr>
    </w:tbl>
    <w:p w14:paraId="74A039C3" w14:textId="77777777" w:rsidR="00617A93" w:rsidRPr="00EF6C6D" w:rsidRDefault="00000000" w:rsidP="00EF6C6D">
      <w:pPr>
        <w:spacing w:after="0" w:line="360" w:lineRule="auto"/>
        <w:jc w:val="both"/>
        <w:rPr>
          <w:rFonts w:ascii="Arial" w:hAnsi="Arial" w:cs="Arial"/>
        </w:rPr>
      </w:pPr>
      <w:r w:rsidRPr="00EF6C6D">
        <w:rPr>
          <w:rFonts w:ascii="Arial" w:hAnsi="Arial" w:cs="Arial"/>
          <w:i/>
        </w:rPr>
        <w:t>Table A4. SWOT Analysis. Source: Author's own analysis.</w:t>
      </w:r>
    </w:p>
    <w:p w14:paraId="41D4EF2B" w14:textId="77777777" w:rsidR="00617A93" w:rsidRPr="00EF6C6D" w:rsidRDefault="00617A93" w:rsidP="00EF6C6D">
      <w:pPr>
        <w:spacing w:after="0" w:line="360" w:lineRule="auto"/>
        <w:jc w:val="both"/>
        <w:rPr>
          <w:rFonts w:ascii="Arial" w:hAnsi="Arial" w:cs="Arial"/>
        </w:rPr>
      </w:pPr>
    </w:p>
    <w:p w14:paraId="20E80BE1" w14:textId="77777777" w:rsidR="00617A93" w:rsidRPr="00EF6C6D" w:rsidRDefault="00000000" w:rsidP="00EF6C6D">
      <w:pPr>
        <w:pStyle w:val="Heading2"/>
        <w:spacing w:before="0" w:line="360" w:lineRule="auto"/>
        <w:jc w:val="both"/>
        <w:rPr>
          <w:rFonts w:ascii="Arial" w:hAnsi="Arial" w:cs="Arial"/>
          <w:sz w:val="22"/>
          <w:szCs w:val="22"/>
        </w:rPr>
      </w:pPr>
      <w:bookmarkStart w:id="22" w:name="_Toc234790669"/>
      <w:r w:rsidRPr="00EF6C6D">
        <w:rPr>
          <w:rFonts w:ascii="Arial" w:hAnsi="Arial" w:cs="Arial"/>
          <w:sz w:val="22"/>
          <w:szCs w:val="22"/>
        </w:rPr>
        <w:t>Appendix A5 – TOWS Matrix Table</w:t>
      </w:r>
      <w:bookmarkEnd w:id="22"/>
    </w:p>
    <w:tbl>
      <w:tblPr>
        <w:tblStyle w:val="TableGrid"/>
        <w:tblW w:w="0" w:type="auto"/>
        <w:tblLook w:val="04A0" w:firstRow="1" w:lastRow="0" w:firstColumn="1" w:lastColumn="0" w:noHBand="0" w:noVBand="1"/>
      </w:tblPr>
      <w:tblGrid>
        <w:gridCol w:w="2882"/>
        <w:gridCol w:w="2882"/>
        <w:gridCol w:w="2882"/>
      </w:tblGrid>
      <w:tr w:rsidR="00617A93" w:rsidRPr="00EF6C6D" w14:paraId="10060EFD" w14:textId="77777777">
        <w:tc>
          <w:tcPr>
            <w:tcW w:w="2882" w:type="dxa"/>
          </w:tcPr>
          <w:p w14:paraId="011C869E" w14:textId="77777777" w:rsidR="00617A93" w:rsidRPr="00EF6C6D" w:rsidRDefault="00000000" w:rsidP="00EF6C6D">
            <w:pPr>
              <w:spacing w:line="360" w:lineRule="auto"/>
              <w:jc w:val="both"/>
              <w:rPr>
                <w:rFonts w:ascii="Arial" w:hAnsi="Arial" w:cs="Arial"/>
              </w:rPr>
            </w:pPr>
            <w:r w:rsidRPr="00EF6C6D">
              <w:rPr>
                <w:rFonts w:ascii="Arial" w:hAnsi="Arial" w:cs="Arial"/>
              </w:rPr>
              <w:t>Quadrant</w:t>
            </w:r>
          </w:p>
        </w:tc>
        <w:tc>
          <w:tcPr>
            <w:tcW w:w="2882" w:type="dxa"/>
          </w:tcPr>
          <w:p w14:paraId="3E6500A3" w14:textId="77777777" w:rsidR="00617A93" w:rsidRPr="00EF6C6D" w:rsidRDefault="00000000" w:rsidP="00EF6C6D">
            <w:pPr>
              <w:spacing w:line="360" w:lineRule="auto"/>
              <w:jc w:val="both"/>
              <w:rPr>
                <w:rFonts w:ascii="Arial" w:hAnsi="Arial" w:cs="Arial"/>
              </w:rPr>
            </w:pPr>
            <w:r w:rsidRPr="00EF6C6D">
              <w:rPr>
                <w:rFonts w:ascii="Arial" w:hAnsi="Arial" w:cs="Arial"/>
              </w:rPr>
              <w:t>Strategic Direction</w:t>
            </w:r>
          </w:p>
        </w:tc>
        <w:tc>
          <w:tcPr>
            <w:tcW w:w="2882" w:type="dxa"/>
          </w:tcPr>
          <w:p w14:paraId="43D6519F" w14:textId="77777777" w:rsidR="00617A93" w:rsidRPr="00EF6C6D" w:rsidRDefault="00000000" w:rsidP="00EF6C6D">
            <w:pPr>
              <w:spacing w:line="360" w:lineRule="auto"/>
              <w:jc w:val="both"/>
              <w:rPr>
                <w:rFonts w:ascii="Arial" w:hAnsi="Arial" w:cs="Arial"/>
              </w:rPr>
            </w:pPr>
            <w:r w:rsidRPr="00EF6C6D">
              <w:rPr>
                <w:rFonts w:ascii="Arial" w:hAnsi="Arial" w:cs="Arial"/>
              </w:rPr>
              <w:t>Key Actions</w:t>
            </w:r>
          </w:p>
        </w:tc>
      </w:tr>
      <w:tr w:rsidR="00617A93" w:rsidRPr="00EF6C6D" w14:paraId="36E1963C" w14:textId="77777777">
        <w:tc>
          <w:tcPr>
            <w:tcW w:w="2882" w:type="dxa"/>
          </w:tcPr>
          <w:p w14:paraId="5379CBA9" w14:textId="77777777" w:rsidR="00617A93" w:rsidRPr="00EF6C6D" w:rsidRDefault="00000000" w:rsidP="00EF6C6D">
            <w:pPr>
              <w:spacing w:line="360" w:lineRule="auto"/>
              <w:jc w:val="both"/>
              <w:rPr>
                <w:rFonts w:ascii="Arial" w:hAnsi="Arial" w:cs="Arial"/>
              </w:rPr>
            </w:pPr>
            <w:r w:rsidRPr="00EF6C6D">
              <w:rPr>
                <w:rFonts w:ascii="Arial" w:hAnsi="Arial" w:cs="Arial"/>
              </w:rPr>
              <w:t>SO</w:t>
            </w:r>
          </w:p>
        </w:tc>
        <w:tc>
          <w:tcPr>
            <w:tcW w:w="2882" w:type="dxa"/>
          </w:tcPr>
          <w:p w14:paraId="028704BD" w14:textId="77777777" w:rsidR="00617A93" w:rsidRPr="00EF6C6D" w:rsidRDefault="00000000" w:rsidP="00EF6C6D">
            <w:pPr>
              <w:spacing w:line="360" w:lineRule="auto"/>
              <w:jc w:val="both"/>
              <w:rPr>
                <w:rFonts w:ascii="Arial" w:hAnsi="Arial" w:cs="Arial"/>
              </w:rPr>
            </w:pPr>
            <w:r w:rsidRPr="00EF6C6D">
              <w:rPr>
                <w:rFonts w:ascii="Arial" w:hAnsi="Arial" w:cs="Arial"/>
              </w:rPr>
              <w:t>Deploy spectrum and partnerships to accelerate 5G, AI enterprise and ageing population health connectivity (</w:t>
            </w:r>
            <w:proofErr w:type="spellStart"/>
            <w:r w:rsidRPr="00EF6C6D">
              <w:rPr>
                <w:rFonts w:ascii="Arial" w:hAnsi="Arial" w:cs="Arial"/>
              </w:rPr>
              <w:t>Weihrich</w:t>
            </w:r>
            <w:proofErr w:type="spellEnd"/>
            <w:r w:rsidRPr="00EF6C6D">
              <w:rPr>
                <w:rFonts w:ascii="Arial" w:hAnsi="Arial" w:cs="Arial"/>
              </w:rPr>
              <w:t>, 1982)</w:t>
            </w:r>
          </w:p>
        </w:tc>
        <w:tc>
          <w:tcPr>
            <w:tcW w:w="2882" w:type="dxa"/>
          </w:tcPr>
          <w:p w14:paraId="10CD812F" w14:textId="77777777" w:rsidR="00617A93" w:rsidRPr="00EF6C6D" w:rsidRDefault="00000000" w:rsidP="00EF6C6D">
            <w:pPr>
              <w:spacing w:line="360" w:lineRule="auto"/>
              <w:jc w:val="both"/>
              <w:rPr>
                <w:rFonts w:ascii="Arial" w:hAnsi="Arial" w:cs="Arial"/>
              </w:rPr>
            </w:pPr>
            <w:proofErr w:type="gramStart"/>
            <w:r w:rsidRPr="00EF6C6D">
              <w:rPr>
                <w:rFonts w:ascii="Arial" w:hAnsi="Arial" w:cs="Arial"/>
              </w:rPr>
              <w:t>Launch</w:t>
            </w:r>
            <w:proofErr w:type="gramEnd"/>
            <w:r w:rsidRPr="00EF6C6D">
              <w:rPr>
                <w:rFonts w:ascii="Arial" w:hAnsi="Arial" w:cs="Arial"/>
              </w:rPr>
              <w:t xml:space="preserve"> AI health monitoring product; target NHS integrated care systems; expand private 5G</w:t>
            </w:r>
          </w:p>
        </w:tc>
      </w:tr>
      <w:tr w:rsidR="00617A93" w:rsidRPr="00EF6C6D" w14:paraId="42227ADD" w14:textId="77777777">
        <w:tc>
          <w:tcPr>
            <w:tcW w:w="2882" w:type="dxa"/>
          </w:tcPr>
          <w:p w14:paraId="074D4215" w14:textId="77777777" w:rsidR="00617A93" w:rsidRPr="00EF6C6D" w:rsidRDefault="00000000" w:rsidP="00EF6C6D">
            <w:pPr>
              <w:spacing w:line="360" w:lineRule="auto"/>
              <w:jc w:val="both"/>
              <w:rPr>
                <w:rFonts w:ascii="Arial" w:hAnsi="Arial" w:cs="Arial"/>
              </w:rPr>
            </w:pPr>
            <w:r w:rsidRPr="00EF6C6D">
              <w:rPr>
                <w:rFonts w:ascii="Arial" w:hAnsi="Arial" w:cs="Arial"/>
              </w:rPr>
              <w:t>WO</w:t>
            </w:r>
          </w:p>
        </w:tc>
        <w:tc>
          <w:tcPr>
            <w:tcW w:w="2882" w:type="dxa"/>
          </w:tcPr>
          <w:p w14:paraId="39ECE1A4"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Invest in upskilling and </w:t>
            </w:r>
            <w:r w:rsidRPr="00EF6C6D">
              <w:rPr>
                <w:rFonts w:ascii="Arial" w:hAnsi="Arial" w:cs="Arial"/>
              </w:rPr>
              <w:lastRenderedPageBreak/>
              <w:t xml:space="preserve">accessible design to close integration </w:t>
            </w:r>
            <w:proofErr w:type="gramStart"/>
            <w:r w:rsidRPr="00EF6C6D">
              <w:rPr>
                <w:rFonts w:ascii="Arial" w:hAnsi="Arial" w:cs="Arial"/>
              </w:rPr>
              <w:t>gap</w:t>
            </w:r>
            <w:proofErr w:type="gramEnd"/>
            <w:r w:rsidRPr="00EF6C6D">
              <w:rPr>
                <w:rFonts w:ascii="Arial" w:hAnsi="Arial" w:cs="Arial"/>
              </w:rPr>
              <w:t xml:space="preserve"> and capture AI/ageing opportunity</w:t>
            </w:r>
          </w:p>
        </w:tc>
        <w:tc>
          <w:tcPr>
            <w:tcW w:w="2882" w:type="dxa"/>
          </w:tcPr>
          <w:p w14:paraId="4F992B64" w14:textId="77777777" w:rsidR="00617A93" w:rsidRPr="00EF6C6D" w:rsidRDefault="00000000" w:rsidP="00EF6C6D">
            <w:pPr>
              <w:spacing w:line="360" w:lineRule="auto"/>
              <w:jc w:val="both"/>
              <w:rPr>
                <w:rFonts w:ascii="Arial" w:hAnsi="Arial" w:cs="Arial"/>
              </w:rPr>
            </w:pPr>
            <w:proofErr w:type="gramStart"/>
            <w:r w:rsidRPr="00EF6C6D">
              <w:rPr>
                <w:rFonts w:ascii="Arial" w:hAnsi="Arial" w:cs="Arial"/>
              </w:rPr>
              <w:lastRenderedPageBreak/>
              <w:t>Introduce</w:t>
            </w:r>
            <w:proofErr w:type="gramEnd"/>
            <w:r w:rsidRPr="00EF6C6D">
              <w:rPr>
                <w:rFonts w:ascii="Arial" w:hAnsi="Arial" w:cs="Arial"/>
              </w:rPr>
              <w:t xml:space="preserve"> digital inclusion </w:t>
            </w:r>
            <w:proofErr w:type="spellStart"/>
            <w:r w:rsidRPr="00EF6C6D">
              <w:rPr>
                <w:rFonts w:ascii="Arial" w:hAnsi="Arial" w:cs="Arial"/>
              </w:rPr>
              <w:lastRenderedPageBreak/>
              <w:t>programme</w:t>
            </w:r>
            <w:proofErr w:type="spellEnd"/>
            <w:r w:rsidRPr="00EF6C6D">
              <w:rPr>
                <w:rFonts w:ascii="Arial" w:hAnsi="Arial" w:cs="Arial"/>
              </w:rPr>
              <w:t>; simplify customer interfaces; build NHS/care commissioner partnerships</w:t>
            </w:r>
          </w:p>
        </w:tc>
      </w:tr>
      <w:tr w:rsidR="00617A93" w:rsidRPr="00EF6C6D" w14:paraId="363A33D9" w14:textId="77777777">
        <w:tc>
          <w:tcPr>
            <w:tcW w:w="2882" w:type="dxa"/>
          </w:tcPr>
          <w:p w14:paraId="3FD03A77" w14:textId="77777777" w:rsidR="00617A93" w:rsidRPr="00EF6C6D" w:rsidRDefault="00000000" w:rsidP="00EF6C6D">
            <w:pPr>
              <w:spacing w:line="360" w:lineRule="auto"/>
              <w:jc w:val="both"/>
              <w:rPr>
                <w:rFonts w:ascii="Arial" w:hAnsi="Arial" w:cs="Arial"/>
              </w:rPr>
            </w:pPr>
            <w:r w:rsidRPr="00EF6C6D">
              <w:rPr>
                <w:rFonts w:ascii="Arial" w:hAnsi="Arial" w:cs="Arial"/>
              </w:rPr>
              <w:t>ST</w:t>
            </w:r>
          </w:p>
        </w:tc>
        <w:tc>
          <w:tcPr>
            <w:tcW w:w="2882" w:type="dxa"/>
          </w:tcPr>
          <w:p w14:paraId="325FBA54" w14:textId="77777777" w:rsidR="00617A93" w:rsidRPr="00EF6C6D" w:rsidRDefault="00000000" w:rsidP="00EF6C6D">
            <w:pPr>
              <w:spacing w:line="360" w:lineRule="auto"/>
              <w:jc w:val="both"/>
              <w:rPr>
                <w:rFonts w:ascii="Arial" w:hAnsi="Arial" w:cs="Arial"/>
              </w:rPr>
            </w:pPr>
            <w:r w:rsidRPr="00EF6C6D">
              <w:rPr>
                <w:rFonts w:ascii="Arial" w:hAnsi="Arial" w:cs="Arial"/>
              </w:rPr>
              <w:t>Apply quality differentiation and cybersecurity investment; lead on health data privacy-by-design</w:t>
            </w:r>
          </w:p>
        </w:tc>
        <w:tc>
          <w:tcPr>
            <w:tcW w:w="2882" w:type="dxa"/>
          </w:tcPr>
          <w:p w14:paraId="1D7BECDA" w14:textId="77777777" w:rsidR="00617A93" w:rsidRPr="00EF6C6D" w:rsidRDefault="00000000" w:rsidP="00EF6C6D">
            <w:pPr>
              <w:spacing w:line="360" w:lineRule="auto"/>
              <w:jc w:val="both"/>
              <w:rPr>
                <w:rFonts w:ascii="Arial" w:hAnsi="Arial" w:cs="Arial"/>
              </w:rPr>
            </w:pPr>
            <w:r w:rsidRPr="00EF6C6D">
              <w:rPr>
                <w:rFonts w:ascii="Arial" w:hAnsi="Arial" w:cs="Arial"/>
              </w:rPr>
              <w:t>Engage Ofcom proactively; develop privacy-by-design framework; rebuild brand trust with legacy customers</w:t>
            </w:r>
          </w:p>
        </w:tc>
      </w:tr>
      <w:tr w:rsidR="00617A93" w:rsidRPr="00EF6C6D" w14:paraId="451CD4F9" w14:textId="77777777">
        <w:tc>
          <w:tcPr>
            <w:tcW w:w="2882" w:type="dxa"/>
          </w:tcPr>
          <w:p w14:paraId="71E3DEB3" w14:textId="77777777" w:rsidR="00617A93" w:rsidRPr="00EF6C6D" w:rsidRDefault="00000000" w:rsidP="00EF6C6D">
            <w:pPr>
              <w:spacing w:line="360" w:lineRule="auto"/>
              <w:jc w:val="both"/>
              <w:rPr>
                <w:rFonts w:ascii="Arial" w:hAnsi="Arial" w:cs="Arial"/>
              </w:rPr>
            </w:pPr>
            <w:r w:rsidRPr="00EF6C6D">
              <w:rPr>
                <w:rFonts w:ascii="Arial" w:hAnsi="Arial" w:cs="Arial"/>
              </w:rPr>
              <w:t>WT</w:t>
            </w:r>
          </w:p>
        </w:tc>
        <w:tc>
          <w:tcPr>
            <w:tcW w:w="2882" w:type="dxa"/>
          </w:tcPr>
          <w:p w14:paraId="4DE3752F" w14:textId="77777777" w:rsidR="00617A93" w:rsidRPr="00EF6C6D" w:rsidRDefault="00000000" w:rsidP="00EF6C6D">
            <w:pPr>
              <w:spacing w:line="360" w:lineRule="auto"/>
              <w:jc w:val="both"/>
              <w:rPr>
                <w:rFonts w:ascii="Arial" w:hAnsi="Arial" w:cs="Arial"/>
              </w:rPr>
            </w:pPr>
            <w:proofErr w:type="spellStart"/>
            <w:r w:rsidRPr="00EF6C6D">
              <w:rPr>
                <w:rFonts w:ascii="Arial" w:hAnsi="Arial" w:cs="Arial"/>
              </w:rPr>
              <w:t>Prioritise</w:t>
            </w:r>
            <w:proofErr w:type="spellEnd"/>
            <w:r w:rsidRPr="00EF6C6D">
              <w:rPr>
                <w:rFonts w:ascii="Arial" w:hAnsi="Arial" w:cs="Arial"/>
              </w:rPr>
              <w:t xml:space="preserve"> governance, transparent communication and CMA compliance during integration</w:t>
            </w:r>
          </w:p>
        </w:tc>
        <w:tc>
          <w:tcPr>
            <w:tcW w:w="2882" w:type="dxa"/>
          </w:tcPr>
          <w:p w14:paraId="2A13652A" w14:textId="77777777" w:rsidR="00617A93" w:rsidRPr="00EF6C6D" w:rsidRDefault="00000000" w:rsidP="00EF6C6D">
            <w:pPr>
              <w:spacing w:line="360" w:lineRule="auto"/>
              <w:jc w:val="both"/>
              <w:rPr>
                <w:rFonts w:ascii="Arial" w:hAnsi="Arial" w:cs="Arial"/>
              </w:rPr>
            </w:pPr>
            <w:r w:rsidRPr="00EF6C6D">
              <w:rPr>
                <w:rFonts w:ascii="Arial" w:hAnsi="Arial" w:cs="Arial"/>
              </w:rPr>
              <w:t>Establish annual compliance review cycle; publish stakeholder communication plan; introduce digital inclusion KPIs</w:t>
            </w:r>
          </w:p>
        </w:tc>
      </w:tr>
    </w:tbl>
    <w:p w14:paraId="7E2330B1" w14:textId="77777777" w:rsidR="00617A93" w:rsidRPr="00EF6C6D" w:rsidRDefault="00000000" w:rsidP="00EF6C6D">
      <w:pPr>
        <w:spacing w:after="0" w:line="360" w:lineRule="auto"/>
        <w:jc w:val="both"/>
        <w:rPr>
          <w:rFonts w:ascii="Arial" w:hAnsi="Arial" w:cs="Arial"/>
        </w:rPr>
      </w:pPr>
      <w:r w:rsidRPr="00EF6C6D">
        <w:rPr>
          <w:rFonts w:ascii="Arial" w:hAnsi="Arial" w:cs="Arial"/>
          <w:i/>
        </w:rPr>
        <w:t xml:space="preserve">Table A5. TOWS Matrix. Source: Author's own analysis based on </w:t>
      </w:r>
      <w:proofErr w:type="spellStart"/>
      <w:r w:rsidRPr="00EF6C6D">
        <w:rPr>
          <w:rFonts w:ascii="Arial" w:hAnsi="Arial" w:cs="Arial"/>
          <w:i/>
        </w:rPr>
        <w:t>Weihrich</w:t>
      </w:r>
      <w:proofErr w:type="spellEnd"/>
      <w:r w:rsidRPr="00EF6C6D">
        <w:rPr>
          <w:rFonts w:ascii="Arial" w:hAnsi="Arial" w:cs="Arial"/>
          <w:i/>
        </w:rPr>
        <w:t xml:space="preserve"> (1982).</w:t>
      </w:r>
    </w:p>
    <w:p w14:paraId="270FE725" w14:textId="77777777" w:rsidR="00617A93" w:rsidRPr="00EF6C6D" w:rsidRDefault="00617A93" w:rsidP="00EF6C6D">
      <w:pPr>
        <w:spacing w:after="0" w:line="360" w:lineRule="auto"/>
        <w:jc w:val="both"/>
        <w:rPr>
          <w:rFonts w:ascii="Arial" w:hAnsi="Arial" w:cs="Arial"/>
        </w:rPr>
      </w:pPr>
    </w:p>
    <w:p w14:paraId="28233F33" w14:textId="77777777" w:rsidR="00617A93" w:rsidRPr="00EF6C6D" w:rsidRDefault="00000000" w:rsidP="00EF6C6D">
      <w:pPr>
        <w:pStyle w:val="Heading2"/>
        <w:spacing w:before="0" w:line="360" w:lineRule="auto"/>
        <w:jc w:val="both"/>
        <w:rPr>
          <w:rFonts w:ascii="Arial" w:hAnsi="Arial" w:cs="Arial"/>
          <w:sz w:val="22"/>
          <w:szCs w:val="22"/>
        </w:rPr>
      </w:pPr>
      <w:bookmarkStart w:id="23" w:name="_Toc234790670"/>
      <w:r w:rsidRPr="00EF6C6D">
        <w:rPr>
          <w:rFonts w:ascii="Arial" w:hAnsi="Arial" w:cs="Arial"/>
          <w:sz w:val="22"/>
          <w:szCs w:val="22"/>
        </w:rPr>
        <w:t>Appendix A6 – Strategic Options Summary Table</w:t>
      </w:r>
      <w:bookmarkEnd w:id="23"/>
    </w:p>
    <w:tbl>
      <w:tblPr>
        <w:tblStyle w:val="TableGrid"/>
        <w:tblW w:w="0" w:type="auto"/>
        <w:tblLook w:val="04A0" w:firstRow="1" w:lastRow="0" w:firstColumn="1" w:lastColumn="0" w:noHBand="0" w:noVBand="1"/>
      </w:tblPr>
      <w:tblGrid>
        <w:gridCol w:w="2161"/>
        <w:gridCol w:w="2161"/>
        <w:gridCol w:w="2161"/>
        <w:gridCol w:w="2161"/>
      </w:tblGrid>
      <w:tr w:rsidR="00617A93" w:rsidRPr="00EF6C6D" w14:paraId="412511E3" w14:textId="77777777">
        <w:tc>
          <w:tcPr>
            <w:tcW w:w="2161" w:type="dxa"/>
          </w:tcPr>
          <w:p w14:paraId="6B3C4950" w14:textId="77777777" w:rsidR="00617A93" w:rsidRPr="00EF6C6D" w:rsidRDefault="00000000" w:rsidP="00EF6C6D">
            <w:pPr>
              <w:spacing w:line="360" w:lineRule="auto"/>
              <w:jc w:val="both"/>
              <w:rPr>
                <w:rFonts w:ascii="Arial" w:hAnsi="Arial" w:cs="Arial"/>
              </w:rPr>
            </w:pPr>
            <w:r w:rsidRPr="00EF6C6D">
              <w:rPr>
                <w:rFonts w:ascii="Arial" w:hAnsi="Arial" w:cs="Arial"/>
              </w:rPr>
              <w:t>Strategic Option</w:t>
            </w:r>
          </w:p>
        </w:tc>
        <w:tc>
          <w:tcPr>
            <w:tcW w:w="2161" w:type="dxa"/>
          </w:tcPr>
          <w:p w14:paraId="02D56E57" w14:textId="77777777" w:rsidR="00617A93" w:rsidRPr="00EF6C6D" w:rsidRDefault="00000000" w:rsidP="00EF6C6D">
            <w:pPr>
              <w:spacing w:line="360" w:lineRule="auto"/>
              <w:jc w:val="both"/>
              <w:rPr>
                <w:rFonts w:ascii="Arial" w:hAnsi="Arial" w:cs="Arial"/>
              </w:rPr>
            </w:pPr>
            <w:r w:rsidRPr="00EF6C6D">
              <w:rPr>
                <w:rFonts w:ascii="Arial" w:hAnsi="Arial" w:cs="Arial"/>
              </w:rPr>
              <w:t>Key Benefit</w:t>
            </w:r>
          </w:p>
        </w:tc>
        <w:tc>
          <w:tcPr>
            <w:tcW w:w="2161" w:type="dxa"/>
          </w:tcPr>
          <w:p w14:paraId="50F69EDA" w14:textId="77777777" w:rsidR="00617A93" w:rsidRPr="00EF6C6D" w:rsidRDefault="00000000" w:rsidP="00EF6C6D">
            <w:pPr>
              <w:spacing w:line="360" w:lineRule="auto"/>
              <w:jc w:val="both"/>
              <w:rPr>
                <w:rFonts w:ascii="Arial" w:hAnsi="Arial" w:cs="Arial"/>
              </w:rPr>
            </w:pPr>
            <w:r w:rsidRPr="00EF6C6D">
              <w:rPr>
                <w:rFonts w:ascii="Arial" w:hAnsi="Arial" w:cs="Arial"/>
              </w:rPr>
              <w:t>Main Challenge</w:t>
            </w:r>
          </w:p>
        </w:tc>
        <w:tc>
          <w:tcPr>
            <w:tcW w:w="2161" w:type="dxa"/>
          </w:tcPr>
          <w:p w14:paraId="2038E139" w14:textId="77777777" w:rsidR="00617A93" w:rsidRPr="00EF6C6D" w:rsidRDefault="00000000" w:rsidP="00EF6C6D">
            <w:pPr>
              <w:spacing w:line="360" w:lineRule="auto"/>
              <w:jc w:val="both"/>
              <w:rPr>
                <w:rFonts w:ascii="Arial" w:hAnsi="Arial" w:cs="Arial"/>
              </w:rPr>
            </w:pPr>
            <w:r w:rsidRPr="00EF6C6D">
              <w:rPr>
                <w:rFonts w:ascii="Arial" w:hAnsi="Arial" w:cs="Arial"/>
              </w:rPr>
              <w:t>AI / Ageing Relevance</w:t>
            </w:r>
          </w:p>
        </w:tc>
      </w:tr>
      <w:tr w:rsidR="00617A93" w:rsidRPr="00EF6C6D" w14:paraId="2F0A342B" w14:textId="77777777">
        <w:tc>
          <w:tcPr>
            <w:tcW w:w="2161" w:type="dxa"/>
          </w:tcPr>
          <w:p w14:paraId="462C048F" w14:textId="77777777" w:rsidR="00617A93" w:rsidRPr="00EF6C6D" w:rsidRDefault="00000000" w:rsidP="00EF6C6D">
            <w:pPr>
              <w:spacing w:line="360" w:lineRule="auto"/>
              <w:jc w:val="both"/>
              <w:rPr>
                <w:rFonts w:ascii="Arial" w:hAnsi="Arial" w:cs="Arial"/>
              </w:rPr>
            </w:pPr>
            <w:r w:rsidRPr="00EF6C6D">
              <w:rPr>
                <w:rFonts w:ascii="Arial" w:hAnsi="Arial" w:cs="Arial"/>
              </w:rPr>
              <w:t>Technology-led differentiation strategy</w:t>
            </w:r>
          </w:p>
        </w:tc>
        <w:tc>
          <w:tcPr>
            <w:tcW w:w="2161" w:type="dxa"/>
          </w:tcPr>
          <w:p w14:paraId="21B7CCA6" w14:textId="77777777" w:rsidR="00617A93" w:rsidRPr="00EF6C6D" w:rsidRDefault="00000000" w:rsidP="00EF6C6D">
            <w:pPr>
              <w:spacing w:line="360" w:lineRule="auto"/>
              <w:jc w:val="both"/>
              <w:rPr>
                <w:rFonts w:ascii="Arial" w:hAnsi="Arial" w:cs="Arial"/>
              </w:rPr>
            </w:pPr>
            <w:r w:rsidRPr="00EF6C6D">
              <w:rPr>
                <w:rFonts w:ascii="Arial" w:hAnsi="Arial" w:cs="Arial"/>
              </w:rPr>
              <w:t>Provides sustainable advantage; hardest to imitate (Porter, 1985)</w:t>
            </w:r>
          </w:p>
        </w:tc>
        <w:tc>
          <w:tcPr>
            <w:tcW w:w="2161" w:type="dxa"/>
          </w:tcPr>
          <w:p w14:paraId="2332C8F5"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Requires significant investment and successful </w:t>
            </w:r>
            <w:proofErr w:type="spellStart"/>
            <w:r w:rsidRPr="00EF6C6D">
              <w:rPr>
                <w:rFonts w:ascii="Arial" w:hAnsi="Arial" w:cs="Arial"/>
              </w:rPr>
              <w:t>organisational</w:t>
            </w:r>
            <w:proofErr w:type="spellEnd"/>
            <w:r w:rsidRPr="00EF6C6D">
              <w:rPr>
                <w:rFonts w:ascii="Arial" w:hAnsi="Arial" w:cs="Arial"/>
              </w:rPr>
              <w:t xml:space="preserve"> integration</w:t>
            </w:r>
          </w:p>
        </w:tc>
        <w:tc>
          <w:tcPr>
            <w:tcW w:w="2161" w:type="dxa"/>
          </w:tcPr>
          <w:p w14:paraId="6E5431DF" w14:textId="77777777" w:rsidR="00617A93" w:rsidRPr="00EF6C6D" w:rsidRDefault="00000000" w:rsidP="00EF6C6D">
            <w:pPr>
              <w:spacing w:line="360" w:lineRule="auto"/>
              <w:jc w:val="both"/>
              <w:rPr>
                <w:rFonts w:ascii="Arial" w:hAnsi="Arial" w:cs="Arial"/>
              </w:rPr>
            </w:pPr>
            <w:r w:rsidRPr="00EF6C6D">
              <w:rPr>
                <w:rFonts w:ascii="Arial" w:hAnsi="Arial" w:cs="Arial"/>
              </w:rPr>
              <w:t>HIGH — directly enables AI health connectivity and ageing-in-place services (Kingston et al., 2018)</w:t>
            </w:r>
          </w:p>
        </w:tc>
      </w:tr>
      <w:tr w:rsidR="00617A93" w:rsidRPr="00EF6C6D" w14:paraId="588B1E58" w14:textId="77777777">
        <w:tc>
          <w:tcPr>
            <w:tcW w:w="2161" w:type="dxa"/>
          </w:tcPr>
          <w:p w14:paraId="35802EB6" w14:textId="77777777" w:rsidR="00617A93" w:rsidRPr="00EF6C6D" w:rsidRDefault="00000000" w:rsidP="00EF6C6D">
            <w:pPr>
              <w:spacing w:line="360" w:lineRule="auto"/>
              <w:jc w:val="both"/>
              <w:rPr>
                <w:rFonts w:ascii="Arial" w:hAnsi="Arial" w:cs="Arial"/>
              </w:rPr>
            </w:pPr>
            <w:r w:rsidRPr="00EF6C6D">
              <w:rPr>
                <w:rFonts w:ascii="Arial" w:hAnsi="Arial" w:cs="Arial"/>
              </w:rPr>
              <w:t>Market development</w:t>
            </w:r>
          </w:p>
        </w:tc>
        <w:tc>
          <w:tcPr>
            <w:tcW w:w="2161" w:type="dxa"/>
          </w:tcPr>
          <w:p w14:paraId="118CD4D6" w14:textId="77777777" w:rsidR="00617A93" w:rsidRPr="00EF6C6D" w:rsidRDefault="00000000" w:rsidP="00EF6C6D">
            <w:pPr>
              <w:spacing w:line="360" w:lineRule="auto"/>
              <w:jc w:val="both"/>
              <w:rPr>
                <w:rFonts w:ascii="Arial" w:hAnsi="Arial" w:cs="Arial"/>
              </w:rPr>
            </w:pPr>
            <w:r w:rsidRPr="00EF6C6D">
              <w:rPr>
                <w:rFonts w:ascii="Arial" w:hAnsi="Arial" w:cs="Arial"/>
              </w:rPr>
              <w:t>Extends rural coverage; generates CSR goodwill; addresses isolated elderly (DCMS, 2020)</w:t>
            </w:r>
          </w:p>
        </w:tc>
        <w:tc>
          <w:tcPr>
            <w:tcW w:w="2161" w:type="dxa"/>
          </w:tcPr>
          <w:p w14:paraId="62CDCB9D" w14:textId="77777777" w:rsidR="00617A93" w:rsidRPr="00EF6C6D" w:rsidRDefault="00000000" w:rsidP="00EF6C6D">
            <w:pPr>
              <w:spacing w:line="360" w:lineRule="auto"/>
              <w:jc w:val="both"/>
              <w:rPr>
                <w:rFonts w:ascii="Arial" w:hAnsi="Arial" w:cs="Arial"/>
              </w:rPr>
            </w:pPr>
            <w:r w:rsidRPr="00EF6C6D">
              <w:rPr>
                <w:rFonts w:ascii="Arial" w:hAnsi="Arial" w:cs="Arial"/>
              </w:rPr>
              <w:t>Provides slower financial returns; faces equivalent rival coverage goals</w:t>
            </w:r>
          </w:p>
        </w:tc>
        <w:tc>
          <w:tcPr>
            <w:tcW w:w="2161" w:type="dxa"/>
          </w:tcPr>
          <w:p w14:paraId="0C0936E1"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MEDIUM — supports rural elderly access but </w:t>
            </w:r>
            <w:proofErr w:type="gramStart"/>
            <w:r w:rsidRPr="00EF6C6D">
              <w:rPr>
                <w:rFonts w:ascii="Arial" w:hAnsi="Arial" w:cs="Arial"/>
              </w:rPr>
              <w:t>insufficient</w:t>
            </w:r>
            <w:proofErr w:type="gramEnd"/>
            <w:r w:rsidRPr="00EF6C6D">
              <w:rPr>
                <w:rFonts w:ascii="Arial" w:hAnsi="Arial" w:cs="Arial"/>
              </w:rPr>
              <w:t xml:space="preserve"> as primary strategy</w:t>
            </w:r>
          </w:p>
        </w:tc>
      </w:tr>
      <w:tr w:rsidR="00617A93" w:rsidRPr="00EF6C6D" w14:paraId="5A28DE60" w14:textId="77777777">
        <w:tc>
          <w:tcPr>
            <w:tcW w:w="2161" w:type="dxa"/>
          </w:tcPr>
          <w:p w14:paraId="6C17F02E" w14:textId="77777777" w:rsidR="00617A93" w:rsidRPr="00EF6C6D" w:rsidRDefault="00000000" w:rsidP="00EF6C6D">
            <w:pPr>
              <w:spacing w:line="360" w:lineRule="auto"/>
              <w:jc w:val="both"/>
              <w:rPr>
                <w:rFonts w:ascii="Arial" w:hAnsi="Arial" w:cs="Arial"/>
              </w:rPr>
            </w:pPr>
            <w:r w:rsidRPr="00EF6C6D">
              <w:rPr>
                <w:rFonts w:ascii="Arial" w:hAnsi="Arial" w:cs="Arial"/>
              </w:rPr>
              <w:t>Cost leadership</w:t>
            </w:r>
          </w:p>
        </w:tc>
        <w:tc>
          <w:tcPr>
            <w:tcW w:w="2161" w:type="dxa"/>
          </w:tcPr>
          <w:p w14:paraId="6D660939" w14:textId="77777777" w:rsidR="00617A93" w:rsidRPr="00EF6C6D" w:rsidRDefault="00000000" w:rsidP="00EF6C6D">
            <w:pPr>
              <w:spacing w:line="360" w:lineRule="auto"/>
              <w:jc w:val="both"/>
              <w:rPr>
                <w:rFonts w:ascii="Arial" w:hAnsi="Arial" w:cs="Arial"/>
              </w:rPr>
            </w:pPr>
            <w:proofErr w:type="spellStart"/>
            <w:r w:rsidRPr="00EF6C6D">
              <w:rPr>
                <w:rFonts w:ascii="Arial" w:hAnsi="Arial" w:cs="Arial"/>
              </w:rPr>
              <w:t>Realises</w:t>
            </w:r>
            <w:proofErr w:type="spellEnd"/>
            <w:r w:rsidRPr="00EF6C6D">
              <w:rPr>
                <w:rFonts w:ascii="Arial" w:hAnsi="Arial" w:cs="Arial"/>
              </w:rPr>
              <w:t xml:space="preserve"> operational efficiency from synergy target (Vo</w:t>
            </w:r>
            <w:r w:rsidRPr="00EF6C6D">
              <w:rPr>
                <w:rFonts w:ascii="Arial" w:hAnsi="Arial" w:cs="Arial"/>
              </w:rPr>
              <w:lastRenderedPageBreak/>
              <w:t>dafone Group Plc, 2025a)</w:t>
            </w:r>
          </w:p>
        </w:tc>
        <w:tc>
          <w:tcPr>
            <w:tcW w:w="2161" w:type="dxa"/>
          </w:tcPr>
          <w:p w14:paraId="7E7CBAED" w14:textId="77777777" w:rsidR="00617A93" w:rsidRPr="00EF6C6D" w:rsidRDefault="00000000" w:rsidP="00EF6C6D">
            <w:pPr>
              <w:spacing w:line="360" w:lineRule="auto"/>
              <w:jc w:val="both"/>
              <w:rPr>
                <w:rFonts w:ascii="Arial" w:hAnsi="Arial" w:cs="Arial"/>
              </w:rPr>
            </w:pPr>
            <w:r w:rsidRPr="00EF6C6D">
              <w:rPr>
                <w:rFonts w:ascii="Arial" w:hAnsi="Arial" w:cs="Arial"/>
              </w:rPr>
              <w:lastRenderedPageBreak/>
              <w:t xml:space="preserve">Can be easily imitated by competitors; constrains AI </w:t>
            </w:r>
            <w:r w:rsidRPr="00EF6C6D">
              <w:rPr>
                <w:rFonts w:ascii="Arial" w:hAnsi="Arial" w:cs="Arial"/>
              </w:rPr>
              <w:lastRenderedPageBreak/>
              <w:t>investment</w:t>
            </w:r>
          </w:p>
        </w:tc>
        <w:tc>
          <w:tcPr>
            <w:tcW w:w="2161" w:type="dxa"/>
          </w:tcPr>
          <w:p w14:paraId="121C139B" w14:textId="77777777" w:rsidR="00617A93" w:rsidRPr="00EF6C6D" w:rsidRDefault="00000000" w:rsidP="00EF6C6D">
            <w:pPr>
              <w:spacing w:line="360" w:lineRule="auto"/>
              <w:jc w:val="both"/>
              <w:rPr>
                <w:rFonts w:ascii="Arial" w:hAnsi="Arial" w:cs="Arial"/>
              </w:rPr>
            </w:pPr>
            <w:r w:rsidRPr="00EF6C6D">
              <w:rPr>
                <w:rFonts w:ascii="Arial" w:hAnsi="Arial" w:cs="Arial"/>
              </w:rPr>
              <w:lastRenderedPageBreak/>
              <w:t xml:space="preserve">LOW — contradicts trust/quality expectations of ageing </w:t>
            </w:r>
            <w:r w:rsidRPr="00EF6C6D">
              <w:rPr>
                <w:rFonts w:ascii="Arial" w:hAnsi="Arial" w:cs="Arial"/>
              </w:rPr>
              <w:lastRenderedPageBreak/>
              <w:t>segment (Saka and Das, 2025)</w:t>
            </w:r>
          </w:p>
        </w:tc>
      </w:tr>
    </w:tbl>
    <w:p w14:paraId="6CE7E423" w14:textId="77777777" w:rsidR="00617A93" w:rsidRPr="00EF6C6D" w:rsidRDefault="00000000" w:rsidP="00EF6C6D">
      <w:pPr>
        <w:spacing w:after="0" w:line="360" w:lineRule="auto"/>
        <w:jc w:val="both"/>
        <w:rPr>
          <w:rFonts w:ascii="Arial" w:hAnsi="Arial" w:cs="Arial"/>
        </w:rPr>
      </w:pPr>
      <w:r w:rsidRPr="00EF6C6D">
        <w:rPr>
          <w:rFonts w:ascii="Arial" w:hAnsi="Arial" w:cs="Arial"/>
          <w:i/>
        </w:rPr>
        <w:t>Table A6. Strategic Options Summary. Source: Author's own analysis.</w:t>
      </w:r>
    </w:p>
    <w:p w14:paraId="1727F5B3" w14:textId="77777777" w:rsidR="00617A93" w:rsidRPr="00EF6C6D" w:rsidRDefault="00617A93" w:rsidP="00EF6C6D">
      <w:pPr>
        <w:spacing w:after="0" w:line="360" w:lineRule="auto"/>
        <w:jc w:val="both"/>
        <w:rPr>
          <w:rFonts w:ascii="Arial" w:hAnsi="Arial" w:cs="Arial"/>
        </w:rPr>
      </w:pPr>
    </w:p>
    <w:p w14:paraId="7309858D" w14:textId="77777777" w:rsidR="00617A93" w:rsidRPr="00EF6C6D" w:rsidRDefault="00000000" w:rsidP="00EF6C6D">
      <w:pPr>
        <w:pStyle w:val="Heading2"/>
        <w:spacing w:before="0" w:line="360" w:lineRule="auto"/>
        <w:jc w:val="both"/>
        <w:rPr>
          <w:rFonts w:ascii="Arial" w:hAnsi="Arial" w:cs="Arial"/>
          <w:sz w:val="22"/>
          <w:szCs w:val="22"/>
        </w:rPr>
      </w:pPr>
      <w:bookmarkStart w:id="24" w:name="_Toc234790671"/>
      <w:r w:rsidRPr="00EF6C6D">
        <w:rPr>
          <w:rFonts w:ascii="Arial" w:hAnsi="Arial" w:cs="Arial"/>
          <w:sz w:val="22"/>
          <w:szCs w:val="22"/>
        </w:rPr>
        <w:t>Appendix A7 – SFA Evaluation Table</w:t>
      </w:r>
      <w:bookmarkEnd w:id="24"/>
    </w:p>
    <w:tbl>
      <w:tblPr>
        <w:tblStyle w:val="TableGrid"/>
        <w:tblW w:w="0" w:type="auto"/>
        <w:tblLook w:val="04A0" w:firstRow="1" w:lastRow="0" w:firstColumn="1" w:lastColumn="0" w:noHBand="0" w:noVBand="1"/>
      </w:tblPr>
      <w:tblGrid>
        <w:gridCol w:w="2161"/>
        <w:gridCol w:w="2161"/>
        <w:gridCol w:w="2161"/>
        <w:gridCol w:w="2161"/>
      </w:tblGrid>
      <w:tr w:rsidR="00617A93" w:rsidRPr="00EF6C6D" w14:paraId="5CFC57F0" w14:textId="77777777">
        <w:tc>
          <w:tcPr>
            <w:tcW w:w="2161" w:type="dxa"/>
          </w:tcPr>
          <w:p w14:paraId="4F5574E6" w14:textId="77777777" w:rsidR="00617A93" w:rsidRPr="00EF6C6D" w:rsidRDefault="00000000" w:rsidP="00EF6C6D">
            <w:pPr>
              <w:spacing w:line="360" w:lineRule="auto"/>
              <w:jc w:val="both"/>
              <w:rPr>
                <w:rFonts w:ascii="Arial" w:hAnsi="Arial" w:cs="Arial"/>
              </w:rPr>
            </w:pPr>
            <w:r w:rsidRPr="00EF6C6D">
              <w:rPr>
                <w:rFonts w:ascii="Arial" w:hAnsi="Arial" w:cs="Arial"/>
              </w:rPr>
              <w:t>Criteria</w:t>
            </w:r>
          </w:p>
        </w:tc>
        <w:tc>
          <w:tcPr>
            <w:tcW w:w="2161" w:type="dxa"/>
          </w:tcPr>
          <w:p w14:paraId="1C726D01" w14:textId="77777777" w:rsidR="00617A93" w:rsidRPr="00EF6C6D" w:rsidRDefault="00000000" w:rsidP="00EF6C6D">
            <w:pPr>
              <w:spacing w:line="360" w:lineRule="auto"/>
              <w:jc w:val="both"/>
              <w:rPr>
                <w:rFonts w:ascii="Arial" w:hAnsi="Arial" w:cs="Arial"/>
              </w:rPr>
            </w:pPr>
            <w:r w:rsidRPr="00EF6C6D">
              <w:rPr>
                <w:rFonts w:ascii="Arial" w:hAnsi="Arial" w:cs="Arial"/>
              </w:rPr>
              <w:t>Technology-Led Differentiation Strategy</w:t>
            </w:r>
          </w:p>
        </w:tc>
        <w:tc>
          <w:tcPr>
            <w:tcW w:w="2161" w:type="dxa"/>
          </w:tcPr>
          <w:p w14:paraId="6CCC83D8" w14:textId="77777777" w:rsidR="00617A93" w:rsidRPr="00EF6C6D" w:rsidRDefault="00000000" w:rsidP="00EF6C6D">
            <w:pPr>
              <w:spacing w:line="360" w:lineRule="auto"/>
              <w:jc w:val="both"/>
              <w:rPr>
                <w:rFonts w:ascii="Arial" w:hAnsi="Arial" w:cs="Arial"/>
              </w:rPr>
            </w:pPr>
            <w:r w:rsidRPr="00EF6C6D">
              <w:rPr>
                <w:rFonts w:ascii="Arial" w:hAnsi="Arial" w:cs="Arial"/>
              </w:rPr>
              <w:t>Market Development</w:t>
            </w:r>
          </w:p>
        </w:tc>
        <w:tc>
          <w:tcPr>
            <w:tcW w:w="2161" w:type="dxa"/>
          </w:tcPr>
          <w:p w14:paraId="7CEAF66B" w14:textId="77777777" w:rsidR="00617A93" w:rsidRPr="00EF6C6D" w:rsidRDefault="00000000" w:rsidP="00EF6C6D">
            <w:pPr>
              <w:spacing w:line="360" w:lineRule="auto"/>
              <w:jc w:val="both"/>
              <w:rPr>
                <w:rFonts w:ascii="Arial" w:hAnsi="Arial" w:cs="Arial"/>
              </w:rPr>
            </w:pPr>
            <w:r w:rsidRPr="00EF6C6D">
              <w:rPr>
                <w:rFonts w:ascii="Arial" w:hAnsi="Arial" w:cs="Arial"/>
              </w:rPr>
              <w:t>Cost Leadership</w:t>
            </w:r>
          </w:p>
        </w:tc>
      </w:tr>
      <w:tr w:rsidR="00617A93" w:rsidRPr="00EF6C6D" w14:paraId="169641BC" w14:textId="77777777">
        <w:tc>
          <w:tcPr>
            <w:tcW w:w="2161" w:type="dxa"/>
          </w:tcPr>
          <w:p w14:paraId="57C66FC6" w14:textId="77777777" w:rsidR="00617A93" w:rsidRPr="00EF6C6D" w:rsidRDefault="00000000" w:rsidP="00EF6C6D">
            <w:pPr>
              <w:spacing w:line="360" w:lineRule="auto"/>
              <w:jc w:val="both"/>
              <w:rPr>
                <w:rFonts w:ascii="Arial" w:hAnsi="Arial" w:cs="Arial"/>
              </w:rPr>
            </w:pPr>
            <w:r w:rsidRPr="00EF6C6D">
              <w:rPr>
                <w:rFonts w:ascii="Arial" w:hAnsi="Arial" w:cs="Arial"/>
              </w:rPr>
              <w:t>Suitability</w:t>
            </w:r>
          </w:p>
        </w:tc>
        <w:tc>
          <w:tcPr>
            <w:tcW w:w="2161" w:type="dxa"/>
          </w:tcPr>
          <w:p w14:paraId="72BAD3BF" w14:textId="3E1CBFAD" w:rsidR="00617A93" w:rsidRPr="00EF6C6D" w:rsidRDefault="00000000" w:rsidP="00EF6C6D">
            <w:pPr>
              <w:spacing w:line="360" w:lineRule="auto"/>
              <w:jc w:val="both"/>
              <w:rPr>
                <w:rFonts w:ascii="Arial" w:hAnsi="Arial" w:cs="Arial"/>
              </w:rPr>
            </w:pPr>
            <w:r w:rsidRPr="00EF6C6D">
              <w:rPr>
                <w:rFonts w:ascii="Arial" w:hAnsi="Arial" w:cs="Arial"/>
              </w:rPr>
              <w:t xml:space="preserve">HIGH — aligns with 5G policy (DSIT, 2023), AI demand, </w:t>
            </w:r>
            <w:r w:rsidR="00187C85" w:rsidRPr="00EF6C6D">
              <w:rPr>
                <w:rFonts w:ascii="Arial" w:hAnsi="Arial" w:cs="Arial"/>
              </w:rPr>
              <w:t xml:space="preserve">quality-driven consumer preferences </w:t>
            </w:r>
            <w:r w:rsidRPr="00EF6C6D">
              <w:rPr>
                <w:rFonts w:ascii="Arial" w:hAnsi="Arial" w:cs="Arial"/>
              </w:rPr>
              <w:t>(</w:t>
            </w:r>
            <w:proofErr w:type="spellStart"/>
            <w:r w:rsidRPr="00EF6C6D">
              <w:rPr>
                <w:rFonts w:ascii="Arial" w:hAnsi="Arial" w:cs="Arial"/>
              </w:rPr>
              <w:t>Opensignal</w:t>
            </w:r>
            <w:proofErr w:type="spellEnd"/>
            <w:r w:rsidRPr="00EF6C6D">
              <w:rPr>
                <w:rFonts w:ascii="Arial" w:hAnsi="Arial" w:cs="Arial"/>
              </w:rPr>
              <w:t>, 2026) and ageing demographic trend (Kingston et al., 2018; Office for National Statistics, 2023)</w:t>
            </w:r>
          </w:p>
        </w:tc>
        <w:tc>
          <w:tcPr>
            <w:tcW w:w="2161" w:type="dxa"/>
          </w:tcPr>
          <w:p w14:paraId="045A37E8" w14:textId="77777777" w:rsidR="00617A93" w:rsidRPr="00EF6C6D" w:rsidRDefault="00000000" w:rsidP="00EF6C6D">
            <w:pPr>
              <w:spacing w:line="360" w:lineRule="auto"/>
              <w:jc w:val="both"/>
              <w:rPr>
                <w:rFonts w:ascii="Arial" w:hAnsi="Arial" w:cs="Arial"/>
              </w:rPr>
            </w:pPr>
            <w:r w:rsidRPr="00EF6C6D">
              <w:rPr>
                <w:rFonts w:ascii="Arial" w:hAnsi="Arial" w:cs="Arial"/>
              </w:rPr>
              <w:t>MEDIUM — aligns with CSR obligations but rivals pursue equivalent goals</w:t>
            </w:r>
          </w:p>
        </w:tc>
        <w:tc>
          <w:tcPr>
            <w:tcW w:w="2161" w:type="dxa"/>
          </w:tcPr>
          <w:p w14:paraId="141F79F4" w14:textId="77777777" w:rsidR="00617A93" w:rsidRPr="00EF6C6D" w:rsidRDefault="00000000" w:rsidP="00EF6C6D">
            <w:pPr>
              <w:spacing w:line="360" w:lineRule="auto"/>
              <w:jc w:val="both"/>
              <w:rPr>
                <w:rFonts w:ascii="Arial" w:hAnsi="Arial" w:cs="Arial"/>
              </w:rPr>
            </w:pPr>
            <w:r w:rsidRPr="00EF6C6D">
              <w:rPr>
                <w:rFonts w:ascii="Arial" w:hAnsi="Arial" w:cs="Arial"/>
              </w:rPr>
              <w:t>MEDIUM — synergies are real but misalign with quality-driven market (Saka and Das, 2025)</w:t>
            </w:r>
          </w:p>
        </w:tc>
      </w:tr>
      <w:tr w:rsidR="00617A93" w:rsidRPr="00EF6C6D" w14:paraId="0EB4EC06" w14:textId="77777777">
        <w:tc>
          <w:tcPr>
            <w:tcW w:w="2161" w:type="dxa"/>
          </w:tcPr>
          <w:p w14:paraId="1D6496B3" w14:textId="77777777" w:rsidR="00617A93" w:rsidRPr="00EF6C6D" w:rsidRDefault="00000000" w:rsidP="00EF6C6D">
            <w:pPr>
              <w:spacing w:line="360" w:lineRule="auto"/>
              <w:jc w:val="both"/>
              <w:rPr>
                <w:rFonts w:ascii="Arial" w:hAnsi="Arial" w:cs="Arial"/>
              </w:rPr>
            </w:pPr>
            <w:r w:rsidRPr="00EF6C6D">
              <w:rPr>
                <w:rFonts w:ascii="Arial" w:hAnsi="Arial" w:cs="Arial"/>
              </w:rPr>
              <w:t>Feasibility</w:t>
            </w:r>
          </w:p>
        </w:tc>
        <w:tc>
          <w:tcPr>
            <w:tcW w:w="2161" w:type="dxa"/>
          </w:tcPr>
          <w:p w14:paraId="36F61CDB" w14:textId="77777777" w:rsidR="00617A93" w:rsidRPr="00EF6C6D" w:rsidRDefault="00000000" w:rsidP="00EF6C6D">
            <w:pPr>
              <w:spacing w:line="360" w:lineRule="auto"/>
              <w:jc w:val="both"/>
              <w:rPr>
                <w:rFonts w:ascii="Arial" w:hAnsi="Arial" w:cs="Arial"/>
              </w:rPr>
            </w:pPr>
            <w:r w:rsidRPr="00EF6C6D">
              <w:rPr>
                <w:rFonts w:ascii="Arial" w:hAnsi="Arial" w:cs="Arial"/>
              </w:rPr>
              <w:t>HIGH — spectrum, capital and partnerships in place (</w:t>
            </w:r>
            <w:proofErr w:type="spellStart"/>
            <w:r w:rsidRPr="00EF6C6D">
              <w:rPr>
                <w:rFonts w:ascii="Arial" w:hAnsi="Arial" w:cs="Arial"/>
              </w:rPr>
              <w:t>VodafoneThree</w:t>
            </w:r>
            <w:proofErr w:type="spellEnd"/>
            <w:r w:rsidRPr="00EF6C6D">
              <w:rPr>
                <w:rFonts w:ascii="Arial" w:hAnsi="Arial" w:cs="Arial"/>
              </w:rPr>
              <w:t>, 2025); FY29 accretion timeline (Vodafone Group Plc, 2025a)</w:t>
            </w:r>
          </w:p>
        </w:tc>
        <w:tc>
          <w:tcPr>
            <w:tcW w:w="2161" w:type="dxa"/>
          </w:tcPr>
          <w:p w14:paraId="1ABDD082" w14:textId="77777777" w:rsidR="00617A93" w:rsidRPr="00EF6C6D" w:rsidRDefault="00000000" w:rsidP="00EF6C6D">
            <w:pPr>
              <w:spacing w:line="360" w:lineRule="auto"/>
              <w:jc w:val="both"/>
              <w:rPr>
                <w:rFonts w:ascii="Arial" w:hAnsi="Arial" w:cs="Arial"/>
              </w:rPr>
            </w:pPr>
            <w:r w:rsidRPr="00EF6C6D">
              <w:rPr>
                <w:rFonts w:ascii="Arial" w:hAnsi="Arial" w:cs="Arial"/>
              </w:rPr>
              <w:t>MEDIUM — funding available; rural ROI timeline slow</w:t>
            </w:r>
          </w:p>
        </w:tc>
        <w:tc>
          <w:tcPr>
            <w:tcW w:w="2161" w:type="dxa"/>
          </w:tcPr>
          <w:p w14:paraId="7EF4C19F" w14:textId="77777777" w:rsidR="00617A93" w:rsidRPr="00EF6C6D" w:rsidRDefault="00000000" w:rsidP="00EF6C6D">
            <w:pPr>
              <w:spacing w:line="360" w:lineRule="auto"/>
              <w:jc w:val="both"/>
              <w:rPr>
                <w:rFonts w:ascii="Arial" w:hAnsi="Arial" w:cs="Arial"/>
              </w:rPr>
            </w:pPr>
            <w:r w:rsidRPr="00EF6C6D">
              <w:rPr>
                <w:rFonts w:ascii="Arial" w:hAnsi="Arial" w:cs="Arial"/>
              </w:rPr>
              <w:t>HIGH — synergy mechanisms clear; margin compression limits AI and health investment</w:t>
            </w:r>
          </w:p>
        </w:tc>
      </w:tr>
      <w:tr w:rsidR="00617A93" w:rsidRPr="00EF6C6D" w14:paraId="36FA0538" w14:textId="77777777">
        <w:tc>
          <w:tcPr>
            <w:tcW w:w="2161" w:type="dxa"/>
          </w:tcPr>
          <w:p w14:paraId="4DCF4E03" w14:textId="77777777" w:rsidR="00617A93" w:rsidRPr="00EF6C6D" w:rsidRDefault="00000000" w:rsidP="00EF6C6D">
            <w:pPr>
              <w:spacing w:line="360" w:lineRule="auto"/>
              <w:jc w:val="both"/>
              <w:rPr>
                <w:rFonts w:ascii="Arial" w:hAnsi="Arial" w:cs="Arial"/>
              </w:rPr>
            </w:pPr>
            <w:r w:rsidRPr="00EF6C6D">
              <w:rPr>
                <w:rFonts w:ascii="Arial" w:hAnsi="Arial" w:cs="Arial"/>
              </w:rPr>
              <w:t>Acceptability</w:t>
            </w:r>
          </w:p>
        </w:tc>
        <w:tc>
          <w:tcPr>
            <w:tcW w:w="2161" w:type="dxa"/>
          </w:tcPr>
          <w:p w14:paraId="24F0ACE5"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HIGH — customers gain quality and health connectivity; shareholders gain long-term growth; </w:t>
            </w:r>
            <w:r w:rsidRPr="00EF6C6D">
              <w:rPr>
                <w:rFonts w:ascii="Arial" w:hAnsi="Arial" w:cs="Arial"/>
              </w:rPr>
              <w:lastRenderedPageBreak/>
              <w:t>regulators see Network Commitment met (Competition and Markets Authority and Ofcom, 2025)</w:t>
            </w:r>
          </w:p>
        </w:tc>
        <w:tc>
          <w:tcPr>
            <w:tcW w:w="2161" w:type="dxa"/>
          </w:tcPr>
          <w:p w14:paraId="4025A4EF" w14:textId="77777777" w:rsidR="00617A93" w:rsidRPr="00EF6C6D" w:rsidRDefault="00000000" w:rsidP="00EF6C6D">
            <w:pPr>
              <w:spacing w:line="360" w:lineRule="auto"/>
              <w:jc w:val="both"/>
              <w:rPr>
                <w:rFonts w:ascii="Arial" w:hAnsi="Arial" w:cs="Arial"/>
              </w:rPr>
            </w:pPr>
            <w:r w:rsidRPr="00EF6C6D">
              <w:rPr>
                <w:rFonts w:ascii="Arial" w:hAnsi="Arial" w:cs="Arial"/>
              </w:rPr>
              <w:lastRenderedPageBreak/>
              <w:t>MEDIUM — slow returns may concern shareholders</w:t>
            </w:r>
          </w:p>
        </w:tc>
        <w:tc>
          <w:tcPr>
            <w:tcW w:w="2161" w:type="dxa"/>
          </w:tcPr>
          <w:p w14:paraId="7F353332" w14:textId="77777777" w:rsidR="00617A93" w:rsidRPr="00EF6C6D" w:rsidRDefault="00000000" w:rsidP="00EF6C6D">
            <w:pPr>
              <w:spacing w:line="360" w:lineRule="auto"/>
              <w:jc w:val="both"/>
              <w:rPr>
                <w:rFonts w:ascii="Arial" w:hAnsi="Arial" w:cs="Arial"/>
              </w:rPr>
            </w:pPr>
            <w:r w:rsidRPr="00EF6C6D">
              <w:rPr>
                <w:rFonts w:ascii="Arial" w:hAnsi="Arial" w:cs="Arial"/>
              </w:rPr>
              <w:t>MEDIUM — social sentiment confirms older consumers resist price-first operators</w:t>
            </w:r>
          </w:p>
        </w:tc>
      </w:tr>
      <w:tr w:rsidR="00617A93" w:rsidRPr="00EF6C6D" w14:paraId="587C46BC" w14:textId="77777777">
        <w:tc>
          <w:tcPr>
            <w:tcW w:w="2161" w:type="dxa"/>
          </w:tcPr>
          <w:p w14:paraId="30A6F928" w14:textId="77777777" w:rsidR="00617A93" w:rsidRPr="00EF6C6D" w:rsidRDefault="00000000" w:rsidP="00EF6C6D">
            <w:pPr>
              <w:spacing w:line="360" w:lineRule="auto"/>
              <w:jc w:val="both"/>
              <w:rPr>
                <w:rFonts w:ascii="Arial" w:hAnsi="Arial" w:cs="Arial"/>
              </w:rPr>
            </w:pPr>
            <w:r w:rsidRPr="00EF6C6D">
              <w:rPr>
                <w:rFonts w:ascii="Arial" w:hAnsi="Arial" w:cs="Arial"/>
              </w:rPr>
              <w:t>Overall</w:t>
            </w:r>
          </w:p>
        </w:tc>
        <w:tc>
          <w:tcPr>
            <w:tcW w:w="2161" w:type="dxa"/>
          </w:tcPr>
          <w:p w14:paraId="10B135C5" w14:textId="77777777" w:rsidR="00617A93" w:rsidRPr="00EF6C6D" w:rsidRDefault="00000000" w:rsidP="00EF6C6D">
            <w:pPr>
              <w:spacing w:line="360" w:lineRule="auto"/>
              <w:jc w:val="both"/>
              <w:rPr>
                <w:rFonts w:ascii="Arial" w:hAnsi="Arial" w:cs="Arial"/>
              </w:rPr>
            </w:pPr>
            <w:r w:rsidRPr="00EF6C6D">
              <w:rPr>
                <w:rFonts w:ascii="Arial" w:hAnsi="Arial" w:cs="Arial"/>
              </w:rPr>
              <w:t>RECOMMENDED</w:t>
            </w:r>
          </w:p>
        </w:tc>
        <w:tc>
          <w:tcPr>
            <w:tcW w:w="2161" w:type="dxa"/>
          </w:tcPr>
          <w:p w14:paraId="79688FEB" w14:textId="77777777" w:rsidR="00617A93" w:rsidRPr="00EF6C6D" w:rsidRDefault="00000000" w:rsidP="00EF6C6D">
            <w:pPr>
              <w:spacing w:line="360" w:lineRule="auto"/>
              <w:jc w:val="both"/>
              <w:rPr>
                <w:rFonts w:ascii="Arial" w:hAnsi="Arial" w:cs="Arial"/>
              </w:rPr>
            </w:pPr>
            <w:r w:rsidRPr="00EF6C6D">
              <w:rPr>
                <w:rFonts w:ascii="Arial" w:hAnsi="Arial" w:cs="Arial"/>
              </w:rPr>
              <w:t>Suitable as complementary pillar</w:t>
            </w:r>
          </w:p>
        </w:tc>
        <w:tc>
          <w:tcPr>
            <w:tcW w:w="2161" w:type="dxa"/>
          </w:tcPr>
          <w:p w14:paraId="3B6623E8" w14:textId="77777777" w:rsidR="00617A93" w:rsidRPr="00EF6C6D" w:rsidRDefault="00000000" w:rsidP="00EF6C6D">
            <w:pPr>
              <w:spacing w:line="360" w:lineRule="auto"/>
              <w:jc w:val="both"/>
              <w:rPr>
                <w:rFonts w:ascii="Arial" w:hAnsi="Arial" w:cs="Arial"/>
              </w:rPr>
            </w:pPr>
            <w:r w:rsidRPr="00EF6C6D">
              <w:rPr>
                <w:rFonts w:ascii="Arial" w:hAnsi="Arial" w:cs="Arial"/>
              </w:rPr>
              <w:t>Not recommended as primary strategy</w:t>
            </w:r>
          </w:p>
        </w:tc>
      </w:tr>
    </w:tbl>
    <w:p w14:paraId="32B270C4" w14:textId="77777777" w:rsidR="00617A93" w:rsidRPr="00EF6C6D" w:rsidRDefault="00000000" w:rsidP="00EF6C6D">
      <w:pPr>
        <w:spacing w:after="0" w:line="360" w:lineRule="auto"/>
        <w:jc w:val="both"/>
        <w:rPr>
          <w:rFonts w:ascii="Arial" w:hAnsi="Arial" w:cs="Arial"/>
        </w:rPr>
      </w:pPr>
      <w:r w:rsidRPr="00EF6C6D">
        <w:rPr>
          <w:rFonts w:ascii="Arial" w:hAnsi="Arial" w:cs="Arial"/>
          <w:i/>
        </w:rPr>
        <w:t>Table A7. SFA Evaluation. Source: Author's own analysis based on Johnson, Scholes and Whittington (2023).</w:t>
      </w:r>
    </w:p>
    <w:p w14:paraId="029CDA36" w14:textId="77777777" w:rsidR="00617A93" w:rsidRPr="00EF6C6D" w:rsidRDefault="00000000" w:rsidP="00EF6C6D">
      <w:pPr>
        <w:pStyle w:val="Heading2"/>
        <w:spacing w:before="0" w:line="360" w:lineRule="auto"/>
        <w:jc w:val="both"/>
        <w:rPr>
          <w:rFonts w:ascii="Arial" w:hAnsi="Arial" w:cs="Arial"/>
          <w:sz w:val="22"/>
          <w:szCs w:val="22"/>
        </w:rPr>
      </w:pPr>
      <w:bookmarkStart w:id="25" w:name="_Toc234790672"/>
      <w:r w:rsidRPr="00EF6C6D">
        <w:rPr>
          <w:rFonts w:ascii="Arial" w:hAnsi="Arial" w:cs="Arial"/>
          <w:sz w:val="22"/>
          <w:szCs w:val="22"/>
        </w:rPr>
        <w:t>Appendix A8 – Implementation and Monitoring Plan</w:t>
      </w:r>
      <w:bookmarkEnd w:id="25"/>
    </w:p>
    <w:tbl>
      <w:tblPr>
        <w:tblStyle w:val="TableGrid"/>
        <w:tblW w:w="0" w:type="auto"/>
        <w:tblLook w:val="04A0" w:firstRow="1" w:lastRow="0" w:firstColumn="1" w:lastColumn="0" w:noHBand="0" w:noVBand="1"/>
      </w:tblPr>
      <w:tblGrid>
        <w:gridCol w:w="2882"/>
        <w:gridCol w:w="2882"/>
        <w:gridCol w:w="2882"/>
      </w:tblGrid>
      <w:tr w:rsidR="00617A93" w:rsidRPr="00EF6C6D" w14:paraId="761DE2E9" w14:textId="77777777">
        <w:tc>
          <w:tcPr>
            <w:tcW w:w="2882" w:type="dxa"/>
          </w:tcPr>
          <w:p w14:paraId="566BF646" w14:textId="77777777" w:rsidR="00617A93" w:rsidRPr="00EF6C6D" w:rsidRDefault="00000000" w:rsidP="00EF6C6D">
            <w:pPr>
              <w:spacing w:line="360" w:lineRule="auto"/>
              <w:jc w:val="both"/>
              <w:rPr>
                <w:rFonts w:ascii="Arial" w:hAnsi="Arial" w:cs="Arial"/>
              </w:rPr>
            </w:pPr>
            <w:r w:rsidRPr="00EF6C6D">
              <w:rPr>
                <w:rFonts w:ascii="Arial" w:hAnsi="Arial" w:cs="Arial"/>
              </w:rPr>
              <w:t>Action</w:t>
            </w:r>
          </w:p>
        </w:tc>
        <w:tc>
          <w:tcPr>
            <w:tcW w:w="2882" w:type="dxa"/>
          </w:tcPr>
          <w:p w14:paraId="06D3BF2A" w14:textId="77777777" w:rsidR="00617A93" w:rsidRPr="00EF6C6D" w:rsidRDefault="00000000" w:rsidP="00EF6C6D">
            <w:pPr>
              <w:spacing w:line="360" w:lineRule="auto"/>
              <w:jc w:val="both"/>
              <w:rPr>
                <w:rFonts w:ascii="Arial" w:hAnsi="Arial" w:cs="Arial"/>
              </w:rPr>
            </w:pPr>
            <w:r w:rsidRPr="00EF6C6D">
              <w:rPr>
                <w:rFonts w:ascii="Arial" w:hAnsi="Arial" w:cs="Arial"/>
              </w:rPr>
              <w:t>Timeline</w:t>
            </w:r>
          </w:p>
        </w:tc>
        <w:tc>
          <w:tcPr>
            <w:tcW w:w="2882" w:type="dxa"/>
          </w:tcPr>
          <w:p w14:paraId="04596FAD" w14:textId="77777777" w:rsidR="00617A93" w:rsidRPr="00EF6C6D" w:rsidRDefault="00000000" w:rsidP="00EF6C6D">
            <w:pPr>
              <w:spacing w:line="360" w:lineRule="auto"/>
              <w:jc w:val="both"/>
              <w:rPr>
                <w:rFonts w:ascii="Arial" w:hAnsi="Arial" w:cs="Arial"/>
              </w:rPr>
            </w:pPr>
            <w:r w:rsidRPr="00EF6C6D">
              <w:rPr>
                <w:rFonts w:ascii="Arial" w:hAnsi="Arial" w:cs="Arial"/>
              </w:rPr>
              <w:t>KPI / Success Measure</w:t>
            </w:r>
          </w:p>
        </w:tc>
      </w:tr>
      <w:tr w:rsidR="00617A93" w:rsidRPr="00EF6C6D" w14:paraId="3A3F6669" w14:textId="77777777">
        <w:tc>
          <w:tcPr>
            <w:tcW w:w="2882" w:type="dxa"/>
          </w:tcPr>
          <w:p w14:paraId="73970525"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Complete post-merger network and </w:t>
            </w:r>
            <w:proofErr w:type="spellStart"/>
            <w:r w:rsidRPr="00EF6C6D">
              <w:rPr>
                <w:rFonts w:ascii="Arial" w:hAnsi="Arial" w:cs="Arial"/>
              </w:rPr>
              <w:t>organisational</w:t>
            </w:r>
            <w:proofErr w:type="spellEnd"/>
            <w:r w:rsidRPr="00EF6C6D">
              <w:rPr>
                <w:rFonts w:ascii="Arial" w:hAnsi="Arial" w:cs="Arial"/>
              </w:rPr>
              <w:t xml:space="preserve"> integration</w:t>
            </w:r>
          </w:p>
        </w:tc>
        <w:tc>
          <w:tcPr>
            <w:tcW w:w="2882" w:type="dxa"/>
          </w:tcPr>
          <w:p w14:paraId="03AD4A11" w14:textId="77777777" w:rsidR="00617A93" w:rsidRPr="00EF6C6D" w:rsidRDefault="00000000" w:rsidP="00EF6C6D">
            <w:pPr>
              <w:spacing w:line="360" w:lineRule="auto"/>
              <w:jc w:val="both"/>
              <w:rPr>
                <w:rFonts w:ascii="Arial" w:hAnsi="Arial" w:cs="Arial"/>
              </w:rPr>
            </w:pPr>
            <w:r w:rsidRPr="00EF6C6D">
              <w:rPr>
                <w:rFonts w:ascii="Arial" w:hAnsi="Arial" w:cs="Arial"/>
              </w:rPr>
              <w:t>Year 1</w:t>
            </w:r>
          </w:p>
        </w:tc>
        <w:tc>
          <w:tcPr>
            <w:tcW w:w="2882" w:type="dxa"/>
          </w:tcPr>
          <w:p w14:paraId="29FF17C3" w14:textId="77777777" w:rsidR="00617A93" w:rsidRPr="00EF6C6D" w:rsidRDefault="00000000" w:rsidP="00EF6C6D">
            <w:pPr>
              <w:spacing w:line="360" w:lineRule="auto"/>
              <w:jc w:val="both"/>
              <w:rPr>
                <w:rFonts w:ascii="Arial" w:hAnsi="Arial" w:cs="Arial"/>
              </w:rPr>
            </w:pPr>
            <w:r w:rsidRPr="00EF6C6D">
              <w:rPr>
                <w:rFonts w:ascii="Arial" w:hAnsi="Arial" w:cs="Arial"/>
              </w:rPr>
              <w:t xml:space="preserve">Meet integration milestones; achieve 4G/5G speed parity; </w:t>
            </w:r>
            <w:proofErr w:type="spellStart"/>
            <w:r w:rsidRPr="00EF6C6D">
              <w:rPr>
                <w:rFonts w:ascii="Arial" w:hAnsi="Arial" w:cs="Arial"/>
              </w:rPr>
              <w:t>stabilise</w:t>
            </w:r>
            <w:proofErr w:type="spellEnd"/>
            <w:r w:rsidRPr="00EF6C6D">
              <w:rPr>
                <w:rFonts w:ascii="Arial" w:hAnsi="Arial" w:cs="Arial"/>
              </w:rPr>
              <w:t xml:space="preserve"> churn; establish employee engagement baseline</w:t>
            </w:r>
          </w:p>
        </w:tc>
      </w:tr>
      <w:tr w:rsidR="00617A93" w:rsidRPr="00EF6C6D" w14:paraId="0D0C40F7" w14:textId="77777777">
        <w:tc>
          <w:tcPr>
            <w:tcW w:w="2882" w:type="dxa"/>
          </w:tcPr>
          <w:p w14:paraId="2D48AA6E" w14:textId="77777777" w:rsidR="00617A93" w:rsidRPr="00EF6C6D" w:rsidRDefault="00000000" w:rsidP="00EF6C6D">
            <w:pPr>
              <w:spacing w:line="360" w:lineRule="auto"/>
              <w:jc w:val="both"/>
              <w:rPr>
                <w:rFonts w:ascii="Arial" w:hAnsi="Arial" w:cs="Arial"/>
              </w:rPr>
            </w:pPr>
            <w:r w:rsidRPr="00EF6C6D">
              <w:rPr>
                <w:rFonts w:ascii="Arial" w:hAnsi="Arial" w:cs="Arial"/>
              </w:rPr>
              <w:t>Expand standalone 5G and AI-enabled enterprise services</w:t>
            </w:r>
          </w:p>
        </w:tc>
        <w:tc>
          <w:tcPr>
            <w:tcW w:w="2882" w:type="dxa"/>
          </w:tcPr>
          <w:p w14:paraId="57BF0118" w14:textId="77777777" w:rsidR="00617A93" w:rsidRPr="00EF6C6D" w:rsidRDefault="00000000" w:rsidP="00EF6C6D">
            <w:pPr>
              <w:spacing w:line="360" w:lineRule="auto"/>
              <w:jc w:val="both"/>
              <w:rPr>
                <w:rFonts w:ascii="Arial" w:hAnsi="Arial" w:cs="Arial"/>
              </w:rPr>
            </w:pPr>
            <w:r w:rsidRPr="00EF6C6D">
              <w:rPr>
                <w:rFonts w:ascii="Arial" w:hAnsi="Arial" w:cs="Arial"/>
              </w:rPr>
              <w:t>Years 2–5</w:t>
            </w:r>
          </w:p>
        </w:tc>
        <w:tc>
          <w:tcPr>
            <w:tcW w:w="2882" w:type="dxa"/>
          </w:tcPr>
          <w:p w14:paraId="5599EC54" w14:textId="77777777" w:rsidR="00617A93" w:rsidRPr="00EF6C6D" w:rsidRDefault="00000000" w:rsidP="00EF6C6D">
            <w:pPr>
              <w:spacing w:line="360" w:lineRule="auto"/>
              <w:jc w:val="both"/>
              <w:rPr>
                <w:rFonts w:ascii="Arial" w:hAnsi="Arial" w:cs="Arial"/>
              </w:rPr>
            </w:pPr>
            <w:r w:rsidRPr="00EF6C6D">
              <w:rPr>
                <w:rFonts w:ascii="Arial" w:hAnsi="Arial" w:cs="Arial"/>
              </w:rPr>
              <w:t>Reach 5G population coverage target; grow digital/enterprise revenue; secure private 5G contracts</w:t>
            </w:r>
          </w:p>
        </w:tc>
      </w:tr>
      <w:tr w:rsidR="00617A93" w:rsidRPr="00EF6C6D" w14:paraId="0CC47C78" w14:textId="77777777">
        <w:tc>
          <w:tcPr>
            <w:tcW w:w="2882" w:type="dxa"/>
          </w:tcPr>
          <w:p w14:paraId="2A24ED2B" w14:textId="77777777" w:rsidR="00617A93" w:rsidRPr="00EF6C6D" w:rsidRDefault="00000000" w:rsidP="00EF6C6D">
            <w:pPr>
              <w:spacing w:line="360" w:lineRule="auto"/>
              <w:jc w:val="both"/>
              <w:rPr>
                <w:rFonts w:ascii="Arial" w:hAnsi="Arial" w:cs="Arial"/>
              </w:rPr>
            </w:pPr>
            <w:r w:rsidRPr="00EF6C6D">
              <w:rPr>
                <w:rFonts w:ascii="Arial" w:hAnsi="Arial" w:cs="Arial"/>
              </w:rPr>
              <w:t>Launch AI health connectivity for ageing population</w:t>
            </w:r>
          </w:p>
        </w:tc>
        <w:tc>
          <w:tcPr>
            <w:tcW w:w="2882" w:type="dxa"/>
          </w:tcPr>
          <w:p w14:paraId="65AB4F41" w14:textId="77777777" w:rsidR="00617A93" w:rsidRPr="00EF6C6D" w:rsidRDefault="00000000" w:rsidP="00EF6C6D">
            <w:pPr>
              <w:spacing w:line="360" w:lineRule="auto"/>
              <w:jc w:val="both"/>
              <w:rPr>
                <w:rFonts w:ascii="Arial" w:hAnsi="Arial" w:cs="Arial"/>
              </w:rPr>
            </w:pPr>
            <w:r w:rsidRPr="00EF6C6D">
              <w:rPr>
                <w:rFonts w:ascii="Arial" w:hAnsi="Arial" w:cs="Arial"/>
              </w:rPr>
              <w:t>Years 2–4</w:t>
            </w:r>
          </w:p>
        </w:tc>
        <w:tc>
          <w:tcPr>
            <w:tcW w:w="2882" w:type="dxa"/>
          </w:tcPr>
          <w:p w14:paraId="780C5923" w14:textId="77777777" w:rsidR="00617A93" w:rsidRPr="00EF6C6D" w:rsidRDefault="00000000" w:rsidP="00EF6C6D">
            <w:pPr>
              <w:spacing w:line="360" w:lineRule="auto"/>
              <w:jc w:val="both"/>
              <w:rPr>
                <w:rFonts w:ascii="Arial" w:hAnsi="Arial" w:cs="Arial"/>
              </w:rPr>
            </w:pPr>
            <w:r w:rsidRPr="00EF6C6D">
              <w:rPr>
                <w:rFonts w:ascii="Arial" w:hAnsi="Arial" w:cs="Arial"/>
              </w:rPr>
              <w:t>Sign NHS/care commissioner partnerships; improve older-adult digital inclusion metric; grow health monitoring user base</w:t>
            </w:r>
          </w:p>
        </w:tc>
      </w:tr>
      <w:tr w:rsidR="00617A93" w:rsidRPr="00EF6C6D" w14:paraId="0B25EC77" w14:textId="77777777">
        <w:tc>
          <w:tcPr>
            <w:tcW w:w="2882" w:type="dxa"/>
          </w:tcPr>
          <w:p w14:paraId="68E7B8AB" w14:textId="77777777" w:rsidR="00617A93" w:rsidRPr="00EF6C6D" w:rsidRDefault="00000000" w:rsidP="00EF6C6D">
            <w:pPr>
              <w:spacing w:line="360" w:lineRule="auto"/>
              <w:jc w:val="both"/>
              <w:rPr>
                <w:rFonts w:ascii="Arial" w:hAnsi="Arial" w:cs="Arial"/>
              </w:rPr>
            </w:pPr>
            <w:r w:rsidRPr="00EF6C6D">
              <w:rPr>
                <w:rFonts w:ascii="Arial" w:hAnsi="Arial" w:cs="Arial"/>
              </w:rPr>
              <w:t>Deliver operational synergies</w:t>
            </w:r>
          </w:p>
        </w:tc>
        <w:tc>
          <w:tcPr>
            <w:tcW w:w="2882" w:type="dxa"/>
          </w:tcPr>
          <w:p w14:paraId="1CA4775A" w14:textId="77777777" w:rsidR="00617A93" w:rsidRPr="00EF6C6D" w:rsidRDefault="00000000" w:rsidP="00EF6C6D">
            <w:pPr>
              <w:spacing w:line="360" w:lineRule="auto"/>
              <w:jc w:val="both"/>
              <w:rPr>
                <w:rFonts w:ascii="Arial" w:hAnsi="Arial" w:cs="Arial"/>
              </w:rPr>
            </w:pPr>
            <w:r w:rsidRPr="00EF6C6D">
              <w:rPr>
                <w:rFonts w:ascii="Arial" w:hAnsi="Arial" w:cs="Arial"/>
              </w:rPr>
              <w:t>Years 1–5</w:t>
            </w:r>
          </w:p>
        </w:tc>
        <w:tc>
          <w:tcPr>
            <w:tcW w:w="2882" w:type="dxa"/>
          </w:tcPr>
          <w:p w14:paraId="6C837B81" w14:textId="77777777" w:rsidR="00617A93" w:rsidRPr="00EF6C6D" w:rsidRDefault="00000000" w:rsidP="00EF6C6D">
            <w:pPr>
              <w:spacing w:line="360" w:lineRule="auto"/>
              <w:jc w:val="both"/>
              <w:rPr>
                <w:rFonts w:ascii="Arial" w:hAnsi="Arial" w:cs="Arial"/>
              </w:rPr>
            </w:pPr>
            <w:r w:rsidRPr="00EF6C6D">
              <w:rPr>
                <w:rFonts w:ascii="Arial" w:hAnsi="Arial" w:cs="Arial"/>
              </w:rPr>
              <w:t>Achieve £700m p.a. by year five (Vodafone Group Plc, 2025a); improve EBITDA margin</w:t>
            </w:r>
          </w:p>
        </w:tc>
      </w:tr>
      <w:tr w:rsidR="00617A93" w:rsidRPr="00EF6C6D" w14:paraId="00B77659" w14:textId="77777777">
        <w:tc>
          <w:tcPr>
            <w:tcW w:w="2882" w:type="dxa"/>
          </w:tcPr>
          <w:p w14:paraId="48ED5A96" w14:textId="77777777" w:rsidR="00617A93" w:rsidRPr="00EF6C6D" w:rsidRDefault="00000000" w:rsidP="00EF6C6D">
            <w:pPr>
              <w:spacing w:line="360" w:lineRule="auto"/>
              <w:jc w:val="both"/>
              <w:rPr>
                <w:rFonts w:ascii="Arial" w:hAnsi="Arial" w:cs="Arial"/>
              </w:rPr>
            </w:pPr>
            <w:r w:rsidRPr="00EF6C6D">
              <w:rPr>
                <w:rFonts w:ascii="Arial" w:hAnsi="Arial" w:cs="Arial"/>
              </w:rPr>
              <w:t>Monitor regulatory compli</w:t>
            </w:r>
            <w:r w:rsidRPr="00EF6C6D">
              <w:rPr>
                <w:rFonts w:ascii="Arial" w:hAnsi="Arial" w:cs="Arial"/>
              </w:rPr>
              <w:lastRenderedPageBreak/>
              <w:t>ance</w:t>
            </w:r>
          </w:p>
        </w:tc>
        <w:tc>
          <w:tcPr>
            <w:tcW w:w="2882" w:type="dxa"/>
          </w:tcPr>
          <w:p w14:paraId="54B8FFA9" w14:textId="77777777" w:rsidR="00617A93" w:rsidRPr="00EF6C6D" w:rsidRDefault="00000000" w:rsidP="00EF6C6D">
            <w:pPr>
              <w:spacing w:line="360" w:lineRule="auto"/>
              <w:jc w:val="both"/>
              <w:rPr>
                <w:rFonts w:ascii="Arial" w:hAnsi="Arial" w:cs="Arial"/>
              </w:rPr>
            </w:pPr>
            <w:r w:rsidRPr="00EF6C6D">
              <w:rPr>
                <w:rFonts w:ascii="Arial" w:hAnsi="Arial" w:cs="Arial"/>
              </w:rPr>
              <w:lastRenderedPageBreak/>
              <w:t xml:space="preserve">Ongoing (CMA: Years 3, 5, </w:t>
            </w:r>
            <w:r w:rsidRPr="00EF6C6D">
              <w:rPr>
                <w:rFonts w:ascii="Arial" w:hAnsi="Arial" w:cs="Arial"/>
              </w:rPr>
              <w:lastRenderedPageBreak/>
              <w:t>8)</w:t>
            </w:r>
          </w:p>
        </w:tc>
        <w:tc>
          <w:tcPr>
            <w:tcW w:w="2882" w:type="dxa"/>
          </w:tcPr>
          <w:p w14:paraId="5834E80F" w14:textId="77777777" w:rsidR="00617A93" w:rsidRPr="00EF6C6D" w:rsidRDefault="00000000" w:rsidP="00EF6C6D">
            <w:pPr>
              <w:spacing w:line="360" w:lineRule="auto"/>
              <w:jc w:val="both"/>
              <w:rPr>
                <w:rFonts w:ascii="Arial" w:hAnsi="Arial" w:cs="Arial"/>
              </w:rPr>
            </w:pPr>
            <w:r w:rsidRPr="00EF6C6D">
              <w:rPr>
                <w:rFonts w:ascii="Arial" w:hAnsi="Arial" w:cs="Arial"/>
              </w:rPr>
              <w:lastRenderedPageBreak/>
              <w:t>Meet CMA Network Com</w:t>
            </w:r>
            <w:r w:rsidRPr="00EF6C6D">
              <w:rPr>
                <w:rFonts w:ascii="Arial" w:hAnsi="Arial" w:cs="Arial"/>
              </w:rPr>
              <w:lastRenderedPageBreak/>
              <w:t>mitment milestones (Competition and Markets Authority and Ofcom, 2025); complete Ofcom trustee reporting; maintain MVNO access</w:t>
            </w:r>
          </w:p>
        </w:tc>
      </w:tr>
      <w:tr w:rsidR="00617A93" w:rsidRPr="00EF6C6D" w14:paraId="04B524FD" w14:textId="77777777">
        <w:tc>
          <w:tcPr>
            <w:tcW w:w="2882" w:type="dxa"/>
          </w:tcPr>
          <w:p w14:paraId="1943E137" w14:textId="77777777" w:rsidR="00617A93" w:rsidRPr="00EF6C6D" w:rsidRDefault="00000000" w:rsidP="00EF6C6D">
            <w:pPr>
              <w:spacing w:line="360" w:lineRule="auto"/>
              <w:jc w:val="both"/>
              <w:rPr>
                <w:rFonts w:ascii="Arial" w:hAnsi="Arial" w:cs="Arial"/>
              </w:rPr>
            </w:pPr>
            <w:r w:rsidRPr="00EF6C6D">
              <w:rPr>
                <w:rFonts w:ascii="Arial" w:hAnsi="Arial" w:cs="Arial"/>
              </w:rPr>
              <w:t>Conduct annual horizon-scanning and foresight review</w:t>
            </w:r>
          </w:p>
        </w:tc>
        <w:tc>
          <w:tcPr>
            <w:tcW w:w="2882" w:type="dxa"/>
          </w:tcPr>
          <w:p w14:paraId="5C23CD40" w14:textId="77777777" w:rsidR="00617A93" w:rsidRPr="00EF6C6D" w:rsidRDefault="00000000" w:rsidP="00EF6C6D">
            <w:pPr>
              <w:spacing w:line="360" w:lineRule="auto"/>
              <w:jc w:val="both"/>
              <w:rPr>
                <w:rFonts w:ascii="Arial" w:hAnsi="Arial" w:cs="Arial"/>
              </w:rPr>
            </w:pPr>
            <w:r w:rsidRPr="00EF6C6D">
              <w:rPr>
                <w:rFonts w:ascii="Arial" w:hAnsi="Arial" w:cs="Arial"/>
              </w:rPr>
              <w:t>Annual from Year 1</w:t>
            </w:r>
          </w:p>
        </w:tc>
        <w:tc>
          <w:tcPr>
            <w:tcW w:w="2882" w:type="dxa"/>
          </w:tcPr>
          <w:p w14:paraId="64860686" w14:textId="77777777" w:rsidR="00617A93" w:rsidRPr="00EF6C6D" w:rsidRDefault="00000000" w:rsidP="00EF6C6D">
            <w:pPr>
              <w:spacing w:line="360" w:lineRule="auto"/>
              <w:jc w:val="both"/>
              <w:rPr>
                <w:rFonts w:ascii="Arial" w:hAnsi="Arial" w:cs="Arial"/>
              </w:rPr>
            </w:pPr>
            <w:r w:rsidRPr="00EF6C6D">
              <w:rPr>
                <w:rFonts w:ascii="Arial" w:hAnsi="Arial" w:cs="Arial"/>
              </w:rPr>
              <w:t>Produce foresight report; update 6G readiness roadmap; review ageing population product pipeline</w:t>
            </w:r>
          </w:p>
        </w:tc>
      </w:tr>
    </w:tbl>
    <w:p w14:paraId="3458BD60" w14:textId="77777777" w:rsidR="00617A93" w:rsidRPr="00EF6C6D" w:rsidRDefault="00000000" w:rsidP="00EF6C6D">
      <w:pPr>
        <w:spacing w:after="0" w:line="360" w:lineRule="auto"/>
        <w:jc w:val="both"/>
        <w:rPr>
          <w:rFonts w:ascii="Arial" w:hAnsi="Arial" w:cs="Arial"/>
        </w:rPr>
      </w:pPr>
      <w:r w:rsidRPr="00EF6C6D">
        <w:rPr>
          <w:rFonts w:ascii="Arial" w:hAnsi="Arial" w:cs="Arial"/>
          <w:i/>
        </w:rPr>
        <w:t>Table A8. Implementation and Monitoring Plan. Source: Author's own analysis based on Kaplan and Norton (1996).</w:t>
      </w:r>
    </w:p>
    <w:p w14:paraId="4B65DFF2" w14:textId="77777777" w:rsidR="00617A93" w:rsidRPr="00EF6C6D" w:rsidRDefault="00617A93" w:rsidP="00EF6C6D">
      <w:pPr>
        <w:spacing w:after="0" w:line="360" w:lineRule="auto"/>
        <w:jc w:val="both"/>
        <w:rPr>
          <w:rFonts w:ascii="Arial" w:hAnsi="Arial" w:cs="Arial"/>
        </w:rPr>
      </w:pPr>
    </w:p>
    <w:p w14:paraId="1E4D191D" w14:textId="77777777" w:rsidR="004A368D" w:rsidRPr="00EF6C6D" w:rsidRDefault="004A368D" w:rsidP="00EF6C6D">
      <w:pPr>
        <w:pStyle w:val="Heading2"/>
        <w:spacing w:before="0" w:line="360" w:lineRule="auto"/>
        <w:jc w:val="both"/>
        <w:rPr>
          <w:rFonts w:ascii="Arial" w:hAnsi="Arial" w:cs="Arial"/>
          <w:sz w:val="22"/>
          <w:szCs w:val="22"/>
        </w:rPr>
      </w:pPr>
    </w:p>
    <w:p w14:paraId="0EC92AFB" w14:textId="77777777" w:rsidR="00617A93" w:rsidRPr="00EF6C6D" w:rsidRDefault="00000000" w:rsidP="00EF6C6D">
      <w:pPr>
        <w:pStyle w:val="Heading2"/>
        <w:spacing w:before="0" w:line="360" w:lineRule="auto"/>
        <w:jc w:val="both"/>
        <w:rPr>
          <w:rFonts w:ascii="Arial" w:hAnsi="Arial" w:cs="Arial"/>
          <w:sz w:val="22"/>
          <w:szCs w:val="22"/>
        </w:rPr>
      </w:pPr>
      <w:bookmarkStart w:id="26" w:name="_Toc234790673"/>
      <w:r w:rsidRPr="00EF6C6D">
        <w:rPr>
          <w:rFonts w:ascii="Arial" w:hAnsi="Arial" w:cs="Arial"/>
          <w:sz w:val="22"/>
          <w:szCs w:val="22"/>
        </w:rPr>
        <w:t>Appendix A9 – Mendelow's Stakeholder Matrix (Descriptive)</w:t>
      </w:r>
      <w:bookmarkEnd w:id="26"/>
    </w:p>
    <w:p w14:paraId="2529A81B" w14:textId="77777777" w:rsidR="00D7702F" w:rsidRPr="00EF6C6D" w:rsidRDefault="00D7702F" w:rsidP="00EF6C6D">
      <w:pPr>
        <w:spacing w:after="0" w:line="360" w:lineRule="auto"/>
        <w:jc w:val="both"/>
        <w:rPr>
          <w:rFonts w:ascii="Arial" w:hAnsi="Arial" w:cs="Arial"/>
          <w:iCs/>
        </w:rPr>
      </w:pPr>
      <w:r w:rsidRPr="00EF6C6D">
        <w:rPr>
          <w:rFonts w:ascii="Arial" w:hAnsi="Arial" w:cs="Arial"/>
          <w:iCs/>
        </w:rPr>
        <w:t xml:space="preserve">Mendelow's power-interest matrix (Mendelow, 1991) classifies stakeholders according to their level of power to influence </w:t>
      </w:r>
      <w:proofErr w:type="spellStart"/>
      <w:r w:rsidRPr="00EF6C6D">
        <w:rPr>
          <w:rFonts w:ascii="Arial" w:hAnsi="Arial" w:cs="Arial"/>
          <w:iCs/>
        </w:rPr>
        <w:t>VodafoneThree's</w:t>
      </w:r>
      <w:proofErr w:type="spellEnd"/>
      <w:r w:rsidRPr="00EF6C6D">
        <w:rPr>
          <w:rFonts w:ascii="Arial" w:hAnsi="Arial" w:cs="Arial"/>
          <w:iCs/>
        </w:rPr>
        <w:t xml:space="preserve"> strategy and their level of interest in the company's activities. The matrix helps </w:t>
      </w:r>
      <w:proofErr w:type="spellStart"/>
      <w:r w:rsidRPr="00EF6C6D">
        <w:rPr>
          <w:rFonts w:ascii="Arial" w:hAnsi="Arial" w:cs="Arial"/>
          <w:iCs/>
        </w:rPr>
        <w:t>prioritise</w:t>
      </w:r>
      <w:proofErr w:type="spellEnd"/>
      <w:r w:rsidRPr="00EF6C6D">
        <w:rPr>
          <w:rFonts w:ascii="Arial" w:hAnsi="Arial" w:cs="Arial"/>
          <w:iCs/>
        </w:rPr>
        <w:t xml:space="preserve"> stakeholder engagement by identifying the groups whose support is most critical to successful strategy implementation (Freeman, 1984).</w:t>
      </w:r>
    </w:p>
    <w:p w14:paraId="374EDEA3" w14:textId="77777777" w:rsidR="00D7702F" w:rsidRPr="00EF6C6D" w:rsidRDefault="00D7702F" w:rsidP="00EF6C6D">
      <w:pPr>
        <w:spacing w:after="0" w:line="360" w:lineRule="auto"/>
        <w:jc w:val="both"/>
        <w:rPr>
          <w:rFonts w:ascii="Arial" w:hAnsi="Arial" w:cs="Arial"/>
          <w:iCs/>
        </w:rPr>
      </w:pPr>
      <w:r w:rsidRPr="00EF6C6D">
        <w:rPr>
          <w:rFonts w:ascii="Arial" w:hAnsi="Arial" w:cs="Arial"/>
          <w:iCs/>
        </w:rPr>
        <w:t>High Power / High Interest ('Manage Closely'): Government, Ofcom, the Competition and Markets Authority (CMA), shareholders, and NHS/care commissioners involved in health connectivity (Competition and Markets Authority and Ofcom, 2025). These stakeholders require continuous engagement, transparent reporting and regular updates on the Network Commitment and strategic milestones.</w:t>
      </w:r>
    </w:p>
    <w:p w14:paraId="67BFD2D4" w14:textId="77777777" w:rsidR="00D7702F" w:rsidRPr="00EF6C6D" w:rsidRDefault="00D7702F" w:rsidP="00EF6C6D">
      <w:pPr>
        <w:spacing w:after="0" w:line="360" w:lineRule="auto"/>
        <w:jc w:val="both"/>
        <w:rPr>
          <w:rFonts w:ascii="Arial" w:hAnsi="Arial" w:cs="Arial"/>
          <w:iCs/>
        </w:rPr>
      </w:pPr>
    </w:p>
    <w:p w14:paraId="4507F106" w14:textId="77777777" w:rsidR="00D7702F" w:rsidRPr="00EF6C6D" w:rsidRDefault="00D7702F" w:rsidP="00EF6C6D">
      <w:pPr>
        <w:spacing w:after="0" w:line="360" w:lineRule="auto"/>
        <w:jc w:val="both"/>
        <w:rPr>
          <w:rFonts w:ascii="Arial" w:hAnsi="Arial" w:cs="Arial"/>
          <w:iCs/>
        </w:rPr>
      </w:pPr>
      <w:r w:rsidRPr="00EF6C6D">
        <w:rPr>
          <w:rFonts w:ascii="Arial" w:hAnsi="Arial" w:cs="Arial"/>
          <w:iCs/>
        </w:rPr>
        <w:t>High Power / Low Interest ('Keep Satisfied'): Ericsson and Nokia. These strategic technology partners require regular milestone updates and opportunities to collaborate in the development of AI-enabled health connectivity solutions.</w:t>
      </w:r>
    </w:p>
    <w:p w14:paraId="565425E7" w14:textId="77777777" w:rsidR="00D7702F" w:rsidRPr="00EF6C6D" w:rsidRDefault="00D7702F" w:rsidP="00EF6C6D">
      <w:pPr>
        <w:spacing w:after="0" w:line="360" w:lineRule="auto"/>
        <w:jc w:val="both"/>
        <w:rPr>
          <w:rFonts w:ascii="Arial" w:hAnsi="Arial" w:cs="Arial"/>
          <w:iCs/>
        </w:rPr>
      </w:pPr>
      <w:r w:rsidRPr="00EF6C6D">
        <w:rPr>
          <w:rFonts w:ascii="Arial" w:hAnsi="Arial" w:cs="Arial"/>
          <w:iCs/>
        </w:rPr>
        <w:t>Low Power / High Interest ('Keep Informed'): Customers, employees, local communities, MVNOs, older adult groups and digital inclusion charities. These stakeholders require regular communication on network coverage, pricing, AI-enabled health services and digital inclusion initiatives.</w:t>
      </w:r>
    </w:p>
    <w:p w14:paraId="0DD539B7" w14:textId="77777777" w:rsidR="00D7702F" w:rsidRPr="00EF6C6D" w:rsidRDefault="00D7702F" w:rsidP="00EF6C6D">
      <w:pPr>
        <w:spacing w:after="0" w:line="360" w:lineRule="auto"/>
        <w:jc w:val="both"/>
        <w:rPr>
          <w:rFonts w:ascii="Arial" w:hAnsi="Arial" w:cs="Arial"/>
          <w:iCs/>
        </w:rPr>
      </w:pPr>
      <w:r w:rsidRPr="00EF6C6D">
        <w:rPr>
          <w:rFonts w:ascii="Arial" w:hAnsi="Arial" w:cs="Arial"/>
          <w:iCs/>
        </w:rPr>
        <w:lastRenderedPageBreak/>
        <w:t xml:space="preserve">Low Power / Low Interest ('Monitor'): The </w:t>
      </w:r>
      <w:proofErr w:type="gramStart"/>
      <w:r w:rsidRPr="00EF6C6D">
        <w:rPr>
          <w:rFonts w:ascii="Arial" w:hAnsi="Arial" w:cs="Arial"/>
          <w:iCs/>
        </w:rPr>
        <w:t>general public</w:t>
      </w:r>
      <w:proofErr w:type="gramEnd"/>
      <w:r w:rsidRPr="00EF6C6D">
        <w:rPr>
          <w:rFonts w:ascii="Arial" w:hAnsi="Arial" w:cs="Arial"/>
          <w:iCs/>
        </w:rPr>
        <w:t xml:space="preserve"> and the media. These stakeholders should be monitored through corporate social responsibility (CSR) reporting and public communications on digital inclusion and sustainability initiatives (Freeman, 1984).</w:t>
      </w:r>
    </w:p>
    <w:p w14:paraId="04A08629" w14:textId="3C678678" w:rsidR="00617A93" w:rsidRPr="00EF6C6D" w:rsidRDefault="00D7702F" w:rsidP="00EF6C6D">
      <w:pPr>
        <w:spacing w:after="0" w:line="360" w:lineRule="auto"/>
        <w:jc w:val="both"/>
        <w:rPr>
          <w:rFonts w:ascii="Arial" w:hAnsi="Arial" w:cs="Arial"/>
          <w:iCs/>
        </w:rPr>
      </w:pPr>
      <w:r w:rsidRPr="00EF6C6D">
        <w:rPr>
          <w:rFonts w:ascii="Arial" w:hAnsi="Arial" w:cs="Arial"/>
          <w:iCs/>
        </w:rPr>
        <w:t xml:space="preserve">Appendix A9. Mendelow's Stakeholder Matrix (Descriptive) for </w:t>
      </w:r>
      <w:proofErr w:type="spellStart"/>
      <w:r w:rsidRPr="00EF6C6D">
        <w:rPr>
          <w:rFonts w:ascii="Arial" w:hAnsi="Arial" w:cs="Arial"/>
          <w:iCs/>
        </w:rPr>
        <w:t>VodafoneThree</w:t>
      </w:r>
      <w:proofErr w:type="spellEnd"/>
      <w:r w:rsidRPr="00EF6C6D">
        <w:rPr>
          <w:rFonts w:ascii="Arial" w:hAnsi="Arial" w:cs="Arial"/>
          <w:iCs/>
        </w:rPr>
        <w:t>. Source: Author's own analysis based on Mendelow (1991) and Freeman (1984).</w:t>
      </w:r>
    </w:p>
    <w:sectPr w:rsidR="00617A93" w:rsidRPr="00EF6C6D" w:rsidSect="00034616">
      <w:footerReference w:type="default" r:id="rId9"/>
      <w:pgSz w:w="12240" w:h="15840"/>
      <w:pgMar w:top="1440" w:right="1797" w:bottom="1440" w:left="179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6E4FC" w14:textId="77777777" w:rsidR="00F02F58" w:rsidRDefault="00F02F58" w:rsidP="00827E97">
      <w:pPr>
        <w:spacing w:after="0" w:line="240" w:lineRule="auto"/>
      </w:pPr>
      <w:r>
        <w:separator/>
      </w:r>
    </w:p>
  </w:endnote>
  <w:endnote w:type="continuationSeparator" w:id="0">
    <w:p w14:paraId="643ED6E4" w14:textId="77777777" w:rsidR="00F02F58" w:rsidRDefault="00F02F58" w:rsidP="00827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EE"/>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1010608"/>
      <w:docPartObj>
        <w:docPartGallery w:val="Page Numbers (Bottom of Page)"/>
        <w:docPartUnique/>
      </w:docPartObj>
    </w:sdtPr>
    <w:sdtEndPr>
      <w:rPr>
        <w:noProof/>
      </w:rPr>
    </w:sdtEndPr>
    <w:sdtContent>
      <w:p w14:paraId="0F8E3B54" w14:textId="77777777" w:rsidR="00827E97" w:rsidRDefault="00827E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6C19B" w14:textId="77777777" w:rsidR="00827E97" w:rsidRDefault="00827E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E9AB0" w14:textId="77777777" w:rsidR="00F02F58" w:rsidRDefault="00F02F58" w:rsidP="00827E97">
      <w:pPr>
        <w:spacing w:after="0" w:line="240" w:lineRule="auto"/>
      </w:pPr>
      <w:r>
        <w:separator/>
      </w:r>
    </w:p>
  </w:footnote>
  <w:footnote w:type="continuationSeparator" w:id="0">
    <w:p w14:paraId="5751A696" w14:textId="77777777" w:rsidR="00F02F58" w:rsidRDefault="00F02F58" w:rsidP="00827E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FB2CD24"/>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DE96092"/>
    <w:multiLevelType w:val="hybridMultilevel"/>
    <w:tmpl w:val="1220BF5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443496825">
    <w:abstractNumId w:val="8"/>
  </w:num>
  <w:num w:numId="2" w16cid:durableId="352729435">
    <w:abstractNumId w:val="6"/>
  </w:num>
  <w:num w:numId="3" w16cid:durableId="1304576592">
    <w:abstractNumId w:val="5"/>
  </w:num>
  <w:num w:numId="4" w16cid:durableId="124932749">
    <w:abstractNumId w:val="4"/>
  </w:num>
  <w:num w:numId="5" w16cid:durableId="547759471">
    <w:abstractNumId w:val="7"/>
  </w:num>
  <w:num w:numId="6" w16cid:durableId="1359237325">
    <w:abstractNumId w:val="3"/>
  </w:num>
  <w:num w:numId="7" w16cid:durableId="1263997693">
    <w:abstractNumId w:val="2"/>
  </w:num>
  <w:num w:numId="8" w16cid:durableId="1480224292">
    <w:abstractNumId w:val="1"/>
  </w:num>
  <w:num w:numId="9" w16cid:durableId="1317151939">
    <w:abstractNumId w:val="0"/>
  </w:num>
  <w:num w:numId="10" w16cid:durableId="13930403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68B5"/>
    <w:rsid w:val="0007384B"/>
    <w:rsid w:val="00075630"/>
    <w:rsid w:val="000B76CA"/>
    <w:rsid w:val="000C7980"/>
    <w:rsid w:val="000E2AF7"/>
    <w:rsid w:val="001137D6"/>
    <w:rsid w:val="00114DCF"/>
    <w:rsid w:val="00115E7B"/>
    <w:rsid w:val="0015074B"/>
    <w:rsid w:val="00187C85"/>
    <w:rsid w:val="001957C0"/>
    <w:rsid w:val="001D01AC"/>
    <w:rsid w:val="001E53C1"/>
    <w:rsid w:val="0021210D"/>
    <w:rsid w:val="0029639D"/>
    <w:rsid w:val="002B69F8"/>
    <w:rsid w:val="002E50B3"/>
    <w:rsid w:val="002F6EEE"/>
    <w:rsid w:val="00326F90"/>
    <w:rsid w:val="00376204"/>
    <w:rsid w:val="003776F7"/>
    <w:rsid w:val="003929E2"/>
    <w:rsid w:val="0039429C"/>
    <w:rsid w:val="003948B3"/>
    <w:rsid w:val="003C1C64"/>
    <w:rsid w:val="003E6C75"/>
    <w:rsid w:val="004378EA"/>
    <w:rsid w:val="00472D9B"/>
    <w:rsid w:val="004A23D4"/>
    <w:rsid w:val="004A368D"/>
    <w:rsid w:val="004B557A"/>
    <w:rsid w:val="00547691"/>
    <w:rsid w:val="005B4491"/>
    <w:rsid w:val="005D08A5"/>
    <w:rsid w:val="005E383F"/>
    <w:rsid w:val="00617A93"/>
    <w:rsid w:val="00624C09"/>
    <w:rsid w:val="00682DFC"/>
    <w:rsid w:val="00685B03"/>
    <w:rsid w:val="006A1EDA"/>
    <w:rsid w:val="007177A1"/>
    <w:rsid w:val="00762F04"/>
    <w:rsid w:val="00766183"/>
    <w:rsid w:val="007739BB"/>
    <w:rsid w:val="00790B5F"/>
    <w:rsid w:val="007C4424"/>
    <w:rsid w:val="007C5AE1"/>
    <w:rsid w:val="007F4CB2"/>
    <w:rsid w:val="00827E97"/>
    <w:rsid w:val="00851A09"/>
    <w:rsid w:val="00852FE5"/>
    <w:rsid w:val="008A1C88"/>
    <w:rsid w:val="009409B8"/>
    <w:rsid w:val="009543BC"/>
    <w:rsid w:val="00A17181"/>
    <w:rsid w:val="00A65642"/>
    <w:rsid w:val="00A67AE3"/>
    <w:rsid w:val="00AA030C"/>
    <w:rsid w:val="00AA1D8D"/>
    <w:rsid w:val="00AE4A5E"/>
    <w:rsid w:val="00B45E8F"/>
    <w:rsid w:val="00B47730"/>
    <w:rsid w:val="00B56580"/>
    <w:rsid w:val="00B63ED0"/>
    <w:rsid w:val="00BE6576"/>
    <w:rsid w:val="00C6050E"/>
    <w:rsid w:val="00C614EF"/>
    <w:rsid w:val="00C63487"/>
    <w:rsid w:val="00CB0664"/>
    <w:rsid w:val="00D2067F"/>
    <w:rsid w:val="00D328A2"/>
    <w:rsid w:val="00D42ACB"/>
    <w:rsid w:val="00D458DC"/>
    <w:rsid w:val="00D7702F"/>
    <w:rsid w:val="00DA248E"/>
    <w:rsid w:val="00DB74A2"/>
    <w:rsid w:val="00DE05CE"/>
    <w:rsid w:val="00E8347C"/>
    <w:rsid w:val="00EF6C6D"/>
    <w:rsid w:val="00F02F58"/>
    <w:rsid w:val="00F13F7D"/>
    <w:rsid w:val="00F218C0"/>
    <w:rsid w:val="00F317BD"/>
    <w:rsid w:val="00F6180A"/>
    <w:rsid w:val="00FB3702"/>
    <w:rsid w:val="00FB6D60"/>
    <w:rsid w:val="00FC693F"/>
    <w:rsid w:val="00FE560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9C0477F"/>
  <w14:defaultImageDpi w14:val="300"/>
  <w15:docId w15:val="{3C406554-606C-4724-9328-1A81EE79D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F6C6D"/>
    <w:pPr>
      <w:tabs>
        <w:tab w:val="right" w:leader="dot" w:pos="8636"/>
      </w:tabs>
      <w:spacing w:after="100" w:line="360" w:lineRule="auto"/>
    </w:pPr>
  </w:style>
  <w:style w:type="paragraph" w:styleId="TOC2">
    <w:name w:val="toc 2"/>
    <w:basedOn w:val="Normal"/>
    <w:next w:val="Normal"/>
    <w:autoRedefine/>
    <w:uiPriority w:val="39"/>
    <w:unhideWhenUsed/>
    <w:rsid w:val="00EF6C6D"/>
    <w:pPr>
      <w:tabs>
        <w:tab w:val="right" w:leader="dot" w:pos="8636"/>
      </w:tabs>
      <w:spacing w:after="100"/>
      <w:ind w:left="220"/>
    </w:pPr>
  </w:style>
  <w:style w:type="character" w:styleId="Hyperlink">
    <w:name w:val="Hyperlink"/>
    <w:basedOn w:val="DefaultParagraphFont"/>
    <w:uiPriority w:val="99"/>
    <w:unhideWhenUsed/>
    <w:rsid w:val="00762F04"/>
    <w:rPr>
      <w:color w:val="0000FF" w:themeColor="hyperlink"/>
      <w:u w:val="single"/>
    </w:rPr>
  </w:style>
  <w:style w:type="character" w:styleId="UnresolvedMention">
    <w:name w:val="Unresolved Mention"/>
    <w:basedOn w:val="DefaultParagraphFont"/>
    <w:uiPriority w:val="99"/>
    <w:semiHidden/>
    <w:unhideWhenUsed/>
    <w:rsid w:val="00472D9B"/>
    <w:rPr>
      <w:color w:val="605E5C"/>
      <w:shd w:val="clear" w:color="auto" w:fill="E1DFDD"/>
    </w:rPr>
  </w:style>
  <w:style w:type="paragraph" w:customStyle="1" w:styleId="my-2">
    <w:name w:val="my-2"/>
    <w:basedOn w:val="Normal"/>
    <w:rsid w:val="00FB3702"/>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customStyle="1" w:styleId="text-box-trim-both">
    <w:name w:val="text-box-trim-both"/>
    <w:basedOn w:val="DefaultParagraphFont"/>
    <w:rsid w:val="00FB37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sma.com/mobileeconom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Pages>
  <Words>6847</Words>
  <Characters>39718</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46473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Lorena-Valentina Sbirnea (2329604)</cp:lastModifiedBy>
  <cp:revision>52</cp:revision>
  <dcterms:created xsi:type="dcterms:W3CDTF">2013-12-23T23:15:00Z</dcterms:created>
  <dcterms:modified xsi:type="dcterms:W3CDTF">2026-07-12T22:17:00Z</dcterms:modified>
  <cp:category/>
</cp:coreProperties>
</file>