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85765" w14:textId="77777777" w:rsidR="00F8320B" w:rsidRPr="00F8320B" w:rsidRDefault="00F8320B" w:rsidP="00F8320B">
      <w:pPr>
        <w:rPr>
          <w:b/>
          <w:bCs/>
        </w:rPr>
      </w:pPr>
      <w:r w:rsidRPr="00F8320B">
        <w:rPr>
          <w:b/>
          <w:bCs/>
        </w:rPr>
        <w:t>Analysis of Significant Year-on-Year Changes</w:t>
      </w:r>
    </w:p>
    <w:p w14:paraId="543DB593" w14:textId="77777777" w:rsidR="00F8320B" w:rsidRPr="00F8320B" w:rsidRDefault="00F8320B" w:rsidP="00F8320B">
      <w:r w:rsidRPr="00F8320B">
        <w:t>The Cash Conversion Cycle for Whitbread has been consistently negative over the five-year period, meaning the company is able to finance its inventory and receivables for a significant period using supplier credit. This is a common characteristic of hospitality businesses.</w:t>
      </w:r>
    </w:p>
    <w:p w14:paraId="5E6BBA38" w14:textId="77777777" w:rsidR="00F8320B" w:rsidRPr="00F8320B" w:rsidRDefault="00F8320B" w:rsidP="00F8320B">
      <w:pPr>
        <w:numPr>
          <w:ilvl w:val="0"/>
          <w:numId w:val="1"/>
        </w:numPr>
      </w:pPr>
      <w:r w:rsidRPr="00F8320B">
        <w:rPr>
          <w:b/>
          <w:bCs/>
        </w:rPr>
        <w:t>2020/21 vs. 2019/20 (Change: +12.3 days):</w:t>
      </w:r>
    </w:p>
    <w:p w14:paraId="65D3CCCF" w14:textId="77777777" w:rsidR="00F8320B" w:rsidRPr="00F8320B" w:rsidRDefault="00F8320B" w:rsidP="00F8320B">
      <w:pPr>
        <w:numPr>
          <w:ilvl w:val="1"/>
          <w:numId w:val="1"/>
        </w:numPr>
      </w:pPr>
      <w:r w:rsidRPr="00F8320B">
        <w:t>The CCC was less negative (worsened) in the first pandemic year. This was driven by a dramatic increase in </w:t>
      </w:r>
      <w:r w:rsidRPr="00F8320B">
        <w:rPr>
          <w:b/>
          <w:bCs/>
        </w:rPr>
        <w:t>Inventory Days</w:t>
      </w:r>
      <w:r w:rsidRPr="00F8320B">
        <w:t>, which more than doubled from 24 to 61 days. This was likely due to the sudden and severe drop in revenue from 2,071.5m to 589.4m, meaning that a relatively stable level of inventory took much longer to sell. This effect was partially offset by the business increasing its </w:t>
      </w:r>
      <w:r w:rsidRPr="00F8320B">
        <w:rPr>
          <w:b/>
          <w:bCs/>
        </w:rPr>
        <w:t>Payable Days</w:t>
      </w:r>
      <w:r w:rsidRPr="00F8320B">
        <w:t> from 97 to 122 days, as it held onto cash during the crisis.</w:t>
      </w:r>
    </w:p>
    <w:p w14:paraId="09651292" w14:textId="77777777" w:rsidR="00F8320B" w:rsidRPr="00F8320B" w:rsidRDefault="00F8320B" w:rsidP="00F8320B">
      <w:pPr>
        <w:numPr>
          <w:ilvl w:val="0"/>
          <w:numId w:val="1"/>
        </w:numPr>
      </w:pPr>
      <w:r w:rsidRPr="00F8320B">
        <w:rPr>
          <w:b/>
          <w:bCs/>
        </w:rPr>
        <w:t>2021/22 vs. 2020/21 (Change: -74.6 days):</w:t>
      </w:r>
    </w:p>
    <w:p w14:paraId="058617B3" w14:textId="77777777" w:rsidR="00F8320B" w:rsidRPr="00F8320B" w:rsidRDefault="00F8320B" w:rsidP="00F8320B">
      <w:pPr>
        <w:numPr>
          <w:ilvl w:val="1"/>
          <w:numId w:val="1"/>
        </w:numPr>
      </w:pPr>
      <w:r w:rsidRPr="00F8320B">
        <w:t>The CCC became significantly more negative (improved), reaching its lowest point in the five-year period. The main driver was a surge in </w:t>
      </w:r>
      <w:r w:rsidRPr="00F8320B">
        <w:rPr>
          <w:b/>
          <w:bCs/>
        </w:rPr>
        <w:t>Payable Days</w:t>
      </w:r>
      <w:r w:rsidRPr="00F8320B">
        <w:t> to a massive 183.6 days. As business activity recovered and revenue rebounded, trade payables increased materially, but cost of sales did not increase at the same rate. This indicates the company was successfully negotiating extended payment terms with its suppliers while its own recovery was driving up revenue and inventory turnover.</w:t>
      </w:r>
    </w:p>
    <w:p w14:paraId="0447EB66" w14:textId="77777777" w:rsidR="00F8320B" w:rsidRPr="00F8320B" w:rsidRDefault="00F8320B" w:rsidP="00F8320B">
      <w:pPr>
        <w:numPr>
          <w:ilvl w:val="0"/>
          <w:numId w:val="1"/>
        </w:numPr>
      </w:pPr>
      <w:r w:rsidRPr="00F8320B">
        <w:rPr>
          <w:b/>
          <w:bCs/>
        </w:rPr>
        <w:t>2022/23 vs. 2021/22 (Change: +14.9 days):</w:t>
      </w:r>
    </w:p>
    <w:p w14:paraId="561E5277" w14:textId="77777777" w:rsidR="00F8320B" w:rsidRPr="00F8320B" w:rsidRDefault="00F8320B" w:rsidP="00F8320B">
      <w:pPr>
        <w:numPr>
          <w:ilvl w:val="1"/>
          <w:numId w:val="1"/>
        </w:numPr>
      </w:pPr>
      <w:r w:rsidRPr="00F8320B">
        <w:t>The CCC became less negative (worsened) but remained strong. The key change was a significant reduction in </w:t>
      </w:r>
      <w:r w:rsidRPr="00F8320B">
        <w:rPr>
          <w:b/>
          <w:bCs/>
        </w:rPr>
        <w:t>Payable Days</w:t>
      </w:r>
      <w:r w:rsidRPr="00F8320B">
        <w:t> from 183.6 to 151.8 days. This was likely a conscious decision by the company to begin paying suppliers more promptly as a return to normal trading conditions, moving away from the crisis-driven cash preservation stance of the previous year. This was accompanied by more typical levels of Inventory Days, which continued to fall from 48 to 35 days.</w:t>
      </w:r>
    </w:p>
    <w:p w14:paraId="644E71BA" w14:textId="77777777" w:rsidR="00F8320B" w:rsidRPr="00F8320B" w:rsidRDefault="00F8320B" w:rsidP="00F8320B">
      <w:pPr>
        <w:numPr>
          <w:ilvl w:val="0"/>
          <w:numId w:val="1"/>
        </w:numPr>
      </w:pPr>
      <w:r w:rsidRPr="00F8320B">
        <w:rPr>
          <w:b/>
          <w:bCs/>
        </w:rPr>
        <w:t>2023/24 vs. 2022/23 (Change: +16.1 days):</w:t>
      </w:r>
    </w:p>
    <w:p w14:paraId="306DC5E3" w14:textId="77777777" w:rsidR="00F8320B" w:rsidRPr="00F8320B" w:rsidRDefault="00F8320B" w:rsidP="00F8320B">
      <w:pPr>
        <w:numPr>
          <w:ilvl w:val="1"/>
          <w:numId w:val="1"/>
        </w:numPr>
      </w:pPr>
      <w:r w:rsidRPr="00F8320B">
        <w:t>The CCC continued to become less negative (worsened) but remains very strong. The notable change is a further normalization of </w:t>
      </w:r>
      <w:r w:rsidRPr="00F8320B">
        <w:rPr>
          <w:b/>
          <w:bCs/>
        </w:rPr>
        <w:t>Payable Days</w:t>
      </w:r>
      <w:r w:rsidRPr="00F8320B">
        <w:t>, which decreased by another 20 days from 151.8 to 131.5 days. This suggests a continued move towards standard industry payment terms. </w:t>
      </w:r>
      <w:r w:rsidRPr="00F8320B">
        <w:rPr>
          <w:b/>
          <w:bCs/>
        </w:rPr>
        <w:t>Inventory Days</w:t>
      </w:r>
      <w:r w:rsidRPr="00F8320B">
        <w:t xml:space="preserve"> also decreased, contributing slightly to the more negative effect but </w:t>
      </w:r>
      <w:proofErr w:type="spellStart"/>
      <w:r w:rsidRPr="00F8320B">
        <w:t>signaling</w:t>
      </w:r>
      <w:proofErr w:type="spellEnd"/>
      <w:r w:rsidRPr="00F8320B">
        <w:t xml:space="preserve"> improved inventory management in line with higher sales.</w:t>
      </w:r>
    </w:p>
    <w:p w14:paraId="401807E0" w14:textId="77777777" w:rsidR="00B268F0" w:rsidRDefault="00B268F0"/>
    <w:sectPr w:rsidR="00B268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2C3406"/>
    <w:multiLevelType w:val="multilevel"/>
    <w:tmpl w:val="0A42E5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3405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4FC"/>
    <w:rsid w:val="003F41C1"/>
    <w:rsid w:val="00A404FC"/>
    <w:rsid w:val="00B268F0"/>
    <w:rsid w:val="00F8320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26E02"/>
  <w15:chartTrackingRefBased/>
  <w15:docId w15:val="{BB3175D0-0404-4C1E-8E0E-6F44B57F0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0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0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0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0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0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0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0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0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0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0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0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0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0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0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0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0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04FC"/>
    <w:rPr>
      <w:rFonts w:eastAsiaTheme="majorEastAsia" w:cstheme="majorBidi"/>
      <w:color w:val="272727" w:themeColor="text1" w:themeTint="D8"/>
    </w:rPr>
  </w:style>
  <w:style w:type="paragraph" w:styleId="Title">
    <w:name w:val="Title"/>
    <w:basedOn w:val="Normal"/>
    <w:next w:val="Normal"/>
    <w:link w:val="TitleChar"/>
    <w:uiPriority w:val="10"/>
    <w:qFormat/>
    <w:rsid w:val="00A40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0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0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0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04FC"/>
    <w:pPr>
      <w:spacing w:before="160"/>
      <w:jc w:val="center"/>
    </w:pPr>
    <w:rPr>
      <w:i/>
      <w:iCs/>
      <w:color w:val="404040" w:themeColor="text1" w:themeTint="BF"/>
    </w:rPr>
  </w:style>
  <w:style w:type="character" w:customStyle="1" w:styleId="QuoteChar">
    <w:name w:val="Quote Char"/>
    <w:basedOn w:val="DefaultParagraphFont"/>
    <w:link w:val="Quote"/>
    <w:uiPriority w:val="29"/>
    <w:rsid w:val="00A404FC"/>
    <w:rPr>
      <w:i/>
      <w:iCs/>
      <w:color w:val="404040" w:themeColor="text1" w:themeTint="BF"/>
    </w:rPr>
  </w:style>
  <w:style w:type="paragraph" w:styleId="ListParagraph">
    <w:name w:val="List Paragraph"/>
    <w:basedOn w:val="Normal"/>
    <w:uiPriority w:val="34"/>
    <w:qFormat/>
    <w:rsid w:val="00A404FC"/>
    <w:pPr>
      <w:ind w:left="720"/>
      <w:contextualSpacing/>
    </w:pPr>
  </w:style>
  <w:style w:type="character" w:styleId="IntenseEmphasis">
    <w:name w:val="Intense Emphasis"/>
    <w:basedOn w:val="DefaultParagraphFont"/>
    <w:uiPriority w:val="21"/>
    <w:qFormat/>
    <w:rsid w:val="00A404FC"/>
    <w:rPr>
      <w:i/>
      <w:iCs/>
      <w:color w:val="0F4761" w:themeColor="accent1" w:themeShade="BF"/>
    </w:rPr>
  </w:style>
  <w:style w:type="paragraph" w:styleId="IntenseQuote">
    <w:name w:val="Intense Quote"/>
    <w:basedOn w:val="Normal"/>
    <w:next w:val="Normal"/>
    <w:link w:val="IntenseQuoteChar"/>
    <w:uiPriority w:val="30"/>
    <w:qFormat/>
    <w:rsid w:val="00A40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04FC"/>
    <w:rPr>
      <w:i/>
      <w:iCs/>
      <w:color w:val="0F4761" w:themeColor="accent1" w:themeShade="BF"/>
    </w:rPr>
  </w:style>
  <w:style w:type="character" w:styleId="IntenseReference">
    <w:name w:val="Intense Reference"/>
    <w:basedOn w:val="DefaultParagraphFont"/>
    <w:uiPriority w:val="32"/>
    <w:qFormat/>
    <w:rsid w:val="00A40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349</Words>
  <Characters>1990</Characters>
  <Application>Microsoft Office Word</Application>
  <DocSecurity>0</DocSecurity>
  <Lines>16</Lines>
  <Paragraphs>4</Paragraphs>
  <ScaleCrop>false</ScaleCrop>
  <Company/>
  <LinksUpToDate>false</LinksUpToDate>
  <CharactersWithSpaces>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Harshil Ghanshyambhai Beladiya (2543506)</dc:creator>
  <cp:keywords/>
  <dc:description/>
  <cp:lastModifiedBy>Harshil Ghanshyambhai Beladiya (2543506)</cp:lastModifiedBy>
  <cp:revision>2</cp:revision>
  <dcterms:created xsi:type="dcterms:W3CDTF">2026-08-25T12:11:00Z</dcterms:created>
  <dcterms:modified xsi:type="dcterms:W3CDTF">2026-08-25T12:13:00Z</dcterms:modified>
</cp:coreProperties>
</file>