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宋体" w:hAnsi="宋体" w:eastAsia="宋体" w:cs="宋体"/>
          <w:sz w:val="24"/>
          <w:szCs w:val="24"/>
        </w:rPr>
      </w:pPr>
      <w:r>
        <w:rPr>
          <w:rFonts w:hint="eastAsia" w:ascii="Arial" w:hAnsi="Arial" w:eastAsia="宋体" w:cs="Arial"/>
          <w:sz w:val="40"/>
          <w:szCs w:val="40"/>
          <w:lang w:val="en-US" w:eastAsia="zh-CN"/>
        </w:rPr>
        <w:t>Strategic</w:t>
      </w:r>
      <w:r>
        <w:rPr>
          <w:rFonts w:hint="default" w:ascii="Arial" w:hAnsi="Arial" w:eastAsia="宋体" w:cs="Arial"/>
          <w:sz w:val="40"/>
          <w:szCs w:val="40"/>
          <w:lang w:val="en-US" w:eastAsia="zh-CN"/>
        </w:rPr>
        <w:t xml:space="preserve"> </w:t>
      </w:r>
      <w:r>
        <w:rPr>
          <w:rFonts w:hint="eastAsia" w:ascii="Arial" w:hAnsi="Arial" w:eastAsia="宋体" w:cs="Arial"/>
          <w:sz w:val="40"/>
          <w:szCs w:val="40"/>
          <w:lang w:val="en-US" w:eastAsia="zh-CN"/>
        </w:rPr>
        <w:t>Management</w:t>
      </w:r>
      <w:r>
        <w:rPr>
          <w:rFonts w:hint="default" w:ascii="Arial" w:hAnsi="Arial" w:eastAsia="宋体" w:cs="Arial"/>
          <w:sz w:val="40"/>
          <w:szCs w:val="40"/>
          <w:lang w:val="en-US" w:eastAsia="zh-CN"/>
        </w:rPr>
        <w:t xml:space="preserve"> </w:t>
      </w:r>
      <w:r>
        <w:rPr>
          <w:rFonts w:hint="eastAsia" w:ascii="Arial" w:hAnsi="Arial" w:eastAsia="宋体" w:cs="Arial"/>
          <w:sz w:val="40"/>
          <w:szCs w:val="40"/>
          <w:lang w:val="en-US" w:eastAsia="zh-CN"/>
        </w:rPr>
        <w:t>(</w:t>
      </w:r>
      <w:r>
        <w:rPr>
          <w:rFonts w:hint="default" w:ascii="Arial" w:hAnsi="Arial" w:eastAsia="宋体" w:cs="Arial"/>
          <w:sz w:val="40"/>
          <w:szCs w:val="40"/>
          <w:lang w:val="en-US" w:eastAsia="zh-CN"/>
        </w:rPr>
        <w:t>BMM70</w:t>
      </w:r>
      <w:r>
        <w:rPr>
          <w:rFonts w:hint="eastAsia" w:ascii="Arial" w:hAnsi="Arial" w:eastAsia="宋体" w:cs="Arial"/>
          <w:sz w:val="40"/>
          <w:szCs w:val="40"/>
          <w:lang w:val="en-US" w:eastAsia="zh-CN"/>
        </w:rPr>
        <w:t>13</w:t>
      </w:r>
      <w:r>
        <w:rPr>
          <w:rFonts w:hint="default" w:ascii="Arial" w:hAnsi="Arial" w:eastAsia="宋体" w:cs="Arial"/>
          <w:sz w:val="40"/>
          <w:szCs w:val="40"/>
          <w:lang w:val="en-US" w:eastAsia="zh-CN"/>
        </w:rPr>
        <w:t>)</w:t>
      </w:r>
    </w:p>
    <w:p>
      <w:pPr>
        <w:jc w:val="center"/>
        <w:rPr>
          <w:rFonts w:hint="default" w:ascii="Arial" w:hAnsi="Arial" w:eastAsia="黑体" w:cs="Arial"/>
          <w:b/>
          <w:bCs/>
          <w:sz w:val="40"/>
          <w:szCs w:val="40"/>
        </w:rPr>
      </w:pPr>
      <w:r>
        <w:rPr>
          <w:rFonts w:ascii="宋体" w:hAnsi="宋体" w:eastAsia="宋体" w:cs="宋体"/>
          <w:sz w:val="24"/>
          <w:szCs w:val="24"/>
        </w:rPr>
        <w:drawing>
          <wp:inline distT="0" distB="0" distL="114300" distR="114300">
            <wp:extent cx="2867660" cy="3185795"/>
            <wp:effectExtent l="0" t="0" r="12700" b="1460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2867660" cy="3185795"/>
                    </a:xfrm>
                    <a:prstGeom prst="rect">
                      <a:avLst/>
                    </a:prstGeom>
                    <a:noFill/>
                    <a:ln w="9525">
                      <a:noFill/>
                    </a:ln>
                  </pic:spPr>
                </pic:pic>
              </a:graphicData>
            </a:graphic>
          </wp:inline>
        </w:drawing>
      </w:r>
    </w:p>
    <w:p>
      <w:pPr>
        <w:jc w:val="both"/>
        <w:rPr>
          <w:rFonts w:hint="default" w:ascii="Arial" w:hAnsi="Arial" w:eastAsia="黑体" w:cs="Arial"/>
          <w:b/>
          <w:bCs/>
          <w:sz w:val="36"/>
          <w:szCs w:val="36"/>
          <w:lang w:eastAsia="zh-CN"/>
        </w:rPr>
      </w:pPr>
      <w:r>
        <w:rPr>
          <w:rFonts w:hint="eastAsia" w:ascii="Arial" w:hAnsi="Arial" w:eastAsia="黑体" w:cs="Arial"/>
          <w:b/>
          <w:bCs/>
          <w:sz w:val="36"/>
          <w:szCs w:val="36"/>
          <w:lang w:val="en-US" w:eastAsia="zh-CN"/>
        </w:rPr>
        <w:t>R</w:t>
      </w:r>
      <w:r>
        <w:rPr>
          <w:rFonts w:hint="default" w:ascii="Arial" w:hAnsi="Arial" w:eastAsia="黑体" w:cs="Arial"/>
          <w:b/>
          <w:bCs/>
          <w:sz w:val="36"/>
          <w:szCs w:val="36"/>
          <w:lang w:eastAsia="en-US"/>
        </w:rPr>
        <w:t>eport title</w:t>
      </w:r>
      <w:r>
        <w:rPr>
          <w:rFonts w:hint="default" w:ascii="Arial" w:hAnsi="Arial" w:eastAsia="黑体" w:cs="Arial"/>
          <w:b/>
          <w:bCs/>
          <w:sz w:val="36"/>
          <w:szCs w:val="36"/>
          <w:lang w:eastAsia="zh-CN"/>
        </w:rPr>
        <w:t>：</w:t>
      </w:r>
    </w:p>
    <w:p>
      <w:pPr>
        <w:jc w:val="both"/>
        <w:rPr>
          <w:rFonts w:hint="default" w:ascii="Arial" w:hAnsi="Arial" w:cs="Arial"/>
          <w:b/>
          <w:bCs/>
          <w:sz w:val="36"/>
          <w:szCs w:val="36"/>
        </w:rPr>
      </w:pPr>
      <w:r>
        <w:rPr>
          <w:rFonts w:hint="default" w:ascii="Arial" w:hAnsi="Arial" w:cs="Arial"/>
          <w:b/>
          <w:bCs/>
          <w:sz w:val="36"/>
          <w:szCs w:val="36"/>
        </w:rPr>
        <w:t>The strategic direction of Postal Savings Bank of China is discussed from SWOT</w:t>
      </w:r>
    </w:p>
    <w:p>
      <w:pPr>
        <w:jc w:val="both"/>
        <w:rPr>
          <w:rFonts w:hint="default" w:ascii="Arial" w:hAnsi="Arial" w:cs="Arial"/>
          <w:b/>
          <w:bCs/>
          <w:sz w:val="36"/>
          <w:szCs w:val="36"/>
        </w:rPr>
      </w:pPr>
    </w:p>
    <w:p>
      <w:pPr>
        <w:jc w:val="both"/>
        <w:rPr>
          <w:rFonts w:hint="default" w:ascii="Arial" w:hAnsi="Arial" w:eastAsia="黑体" w:cs="Arial"/>
          <w:b/>
          <w:bCs/>
          <w:sz w:val="36"/>
          <w:szCs w:val="36"/>
          <w:lang w:eastAsia="en-US"/>
        </w:rPr>
      </w:pPr>
      <w:r>
        <w:rPr>
          <w:rFonts w:hint="eastAsia" w:ascii="Arial" w:hAnsi="Arial" w:eastAsia="黑体" w:cs="Arial"/>
          <w:b/>
          <w:bCs/>
          <w:sz w:val="36"/>
          <w:szCs w:val="36"/>
          <w:lang w:val="en-US" w:eastAsia="zh-CN"/>
        </w:rPr>
        <w:t>T</w:t>
      </w:r>
      <w:r>
        <w:rPr>
          <w:rFonts w:hint="default" w:ascii="Arial" w:hAnsi="Arial" w:eastAsia="黑体" w:cs="Arial"/>
          <w:b/>
          <w:bCs/>
          <w:sz w:val="36"/>
          <w:szCs w:val="36"/>
          <w:lang w:eastAsia="en-US"/>
        </w:rPr>
        <w:t>utor’s name</w:t>
      </w:r>
      <w:r>
        <w:rPr>
          <w:rFonts w:hint="default" w:ascii="Arial" w:hAnsi="Arial" w:eastAsia="黑体" w:cs="Arial"/>
          <w:b/>
          <w:bCs/>
          <w:sz w:val="36"/>
          <w:szCs w:val="36"/>
          <w:lang w:eastAsia="zh-CN"/>
        </w:rPr>
        <w:t>：</w:t>
      </w:r>
      <w:r>
        <w:rPr>
          <w:rFonts w:hint="default" w:ascii="Arial" w:hAnsi="Arial" w:eastAsia="黑体" w:cs="Arial"/>
          <w:b/>
          <w:bCs/>
          <w:sz w:val="36"/>
          <w:szCs w:val="36"/>
          <w:lang w:eastAsia="en-US"/>
        </w:rPr>
        <w:t>Daniela Hellyer</w:t>
      </w:r>
    </w:p>
    <w:p>
      <w:pPr>
        <w:jc w:val="both"/>
        <w:rPr>
          <w:rFonts w:hint="default" w:ascii="Arial" w:hAnsi="Arial" w:cs="Arial"/>
          <w:sz w:val="22"/>
          <w:szCs w:val="22"/>
        </w:rPr>
      </w:pPr>
    </w:p>
    <w:p>
      <w:pPr>
        <w:jc w:val="both"/>
        <w:rPr>
          <w:rFonts w:hint="eastAsia" w:ascii="Arial" w:hAnsi="Arial" w:eastAsia="黑体" w:cs="Arial"/>
          <w:b/>
          <w:bCs/>
          <w:sz w:val="36"/>
          <w:szCs w:val="36"/>
          <w:lang w:val="en-US" w:eastAsia="zh-CN"/>
        </w:rPr>
      </w:pPr>
      <w:r>
        <w:rPr>
          <w:rFonts w:hint="eastAsia" w:ascii="Arial" w:hAnsi="Arial" w:eastAsia="黑体" w:cs="Arial"/>
          <w:b/>
          <w:bCs/>
          <w:sz w:val="36"/>
          <w:szCs w:val="36"/>
          <w:lang w:val="en-US" w:eastAsia="zh-CN"/>
        </w:rPr>
        <w:t>Name of student</w:t>
      </w:r>
      <w:r>
        <w:rPr>
          <w:rFonts w:hint="default" w:ascii="Arial" w:hAnsi="Arial" w:eastAsia="黑体" w:cs="Arial"/>
          <w:b/>
          <w:bCs/>
          <w:sz w:val="40"/>
          <w:szCs w:val="40"/>
          <w:lang w:eastAsia="zh-CN"/>
        </w:rPr>
        <w:t>：</w:t>
      </w:r>
      <w:r>
        <w:rPr>
          <w:rFonts w:hint="eastAsia" w:ascii="Arial" w:hAnsi="Arial" w:eastAsia="黑体" w:cs="Arial"/>
          <w:b/>
          <w:bCs/>
          <w:sz w:val="36"/>
          <w:szCs w:val="36"/>
          <w:lang w:val="en-US" w:eastAsia="zh-CN"/>
        </w:rPr>
        <w:t>Shu Wang</w:t>
      </w:r>
    </w:p>
    <w:p>
      <w:pPr>
        <w:jc w:val="both"/>
        <w:rPr>
          <w:rFonts w:hint="default" w:ascii="Arial" w:hAnsi="Arial" w:eastAsia="黑体" w:cs="Arial"/>
          <w:b/>
          <w:bCs/>
          <w:sz w:val="36"/>
          <w:szCs w:val="36"/>
          <w:lang w:val="en-US" w:eastAsia="zh-CN"/>
        </w:rPr>
      </w:pPr>
    </w:p>
    <w:p>
      <w:pPr>
        <w:jc w:val="both"/>
        <w:rPr>
          <w:rFonts w:hint="eastAsia" w:ascii="Arial" w:hAnsi="Arial" w:eastAsia="黑体" w:cs="Arial"/>
          <w:b/>
          <w:bCs/>
          <w:sz w:val="40"/>
          <w:szCs w:val="40"/>
          <w:lang w:val="en-US" w:eastAsia="zh-CN"/>
        </w:rPr>
      </w:pPr>
      <w:r>
        <w:rPr>
          <w:rFonts w:hint="eastAsia" w:ascii="Arial" w:hAnsi="Arial" w:eastAsia="黑体" w:cs="Arial"/>
          <w:b/>
          <w:bCs/>
          <w:sz w:val="36"/>
          <w:szCs w:val="36"/>
          <w:lang w:val="en-US" w:eastAsia="zh-CN"/>
        </w:rPr>
        <w:t>Student</w:t>
      </w:r>
      <w:r>
        <w:rPr>
          <w:rFonts w:hint="default" w:ascii="Arial" w:hAnsi="Arial" w:eastAsia="黑体" w:cs="Arial"/>
          <w:b/>
          <w:bCs/>
          <w:sz w:val="36"/>
          <w:szCs w:val="36"/>
        </w:rPr>
        <w:t xml:space="preserve"> number</w:t>
      </w:r>
      <w:r>
        <w:rPr>
          <w:rFonts w:hint="default" w:ascii="Arial" w:hAnsi="Arial" w:eastAsia="黑体" w:cs="Arial"/>
          <w:b/>
          <w:bCs/>
          <w:sz w:val="40"/>
          <w:szCs w:val="40"/>
          <w:lang w:eastAsia="zh-CN"/>
        </w:rPr>
        <w:t>：</w:t>
      </w:r>
      <w:r>
        <w:rPr>
          <w:rFonts w:hint="eastAsia" w:ascii="Arial" w:hAnsi="Arial" w:eastAsia="黑体" w:cs="Arial"/>
          <w:b/>
          <w:bCs/>
          <w:sz w:val="40"/>
          <w:szCs w:val="40"/>
          <w:lang w:val="en-US" w:eastAsia="zh-CN"/>
        </w:rPr>
        <w:t>2207081</w:t>
      </w:r>
    </w:p>
    <w:p>
      <w:pPr>
        <w:jc w:val="both"/>
        <w:rPr>
          <w:rFonts w:hint="eastAsia" w:ascii="Arial" w:hAnsi="Arial" w:eastAsia="黑体" w:cs="Arial"/>
          <w:b/>
          <w:bCs/>
          <w:sz w:val="40"/>
          <w:szCs w:val="40"/>
          <w:lang w:val="en-US" w:eastAsia="zh-CN"/>
        </w:rPr>
      </w:pPr>
    </w:p>
    <w:p>
      <w:pPr>
        <w:jc w:val="both"/>
        <w:rPr>
          <w:rFonts w:hint="default" w:ascii="Arial" w:hAnsi="Arial" w:eastAsia="黑体" w:cs="Arial"/>
          <w:b/>
          <w:bCs/>
          <w:sz w:val="36"/>
          <w:szCs w:val="36"/>
          <w:lang w:eastAsia="zh-CN"/>
        </w:rPr>
      </w:pPr>
      <w:r>
        <w:rPr>
          <w:rFonts w:hint="eastAsia" w:ascii="Arial" w:hAnsi="Arial" w:eastAsia="黑体" w:cs="Arial"/>
          <w:b/>
          <w:bCs/>
          <w:sz w:val="36"/>
          <w:szCs w:val="36"/>
          <w:lang w:val="en-US" w:eastAsia="zh-CN"/>
        </w:rPr>
        <w:t>P</w:t>
      </w:r>
      <w:r>
        <w:rPr>
          <w:rFonts w:hint="default" w:ascii="Arial" w:hAnsi="Arial" w:eastAsia="黑体" w:cs="Arial"/>
          <w:b/>
          <w:bCs/>
          <w:sz w:val="36"/>
          <w:szCs w:val="36"/>
        </w:rPr>
        <w:t>urpose</w:t>
      </w:r>
      <w:r>
        <w:rPr>
          <w:rFonts w:hint="default" w:ascii="Arial" w:hAnsi="Arial" w:eastAsia="黑体" w:cs="Arial"/>
          <w:b/>
          <w:bCs/>
          <w:sz w:val="36"/>
          <w:szCs w:val="36"/>
          <w:lang w:eastAsia="zh-CN"/>
        </w:rPr>
        <w:t>：</w:t>
      </w:r>
    </w:p>
    <w:p>
      <w:pPr>
        <w:jc w:val="both"/>
        <w:rPr>
          <w:rFonts w:hint="default" w:ascii="Arial" w:hAnsi="Arial" w:cs="Arial"/>
          <w:sz w:val="24"/>
          <w:szCs w:val="24"/>
        </w:rPr>
      </w:pPr>
      <w:r>
        <w:rPr>
          <w:rFonts w:hint="default" w:ascii="Arial" w:hAnsi="Arial" w:cs="Arial"/>
          <w:sz w:val="24"/>
          <w:szCs w:val="24"/>
        </w:rPr>
        <w:t>This paper discusses the strategic direction of Postal Savings Bank of China based on the study of one-to-one marketing theory, relationship marketing theory, SWOT analysis and customer relationship management. At the same time, the paper analyzes the current situation of customer relationship management in Postal Savings Bank of China from three perspectives: customer service mode, customer stratified service system and professional service system of Kechuang Finance. It also analyzes the strengths, weaknesses and threats existing in the current development of Postal Savings Bank of China from the perspective of SWOT. At the same time, it also analyzes the existing potential opportunities of Postal Savings Bank of China from the perspective of opportunity. It aims to consider the problems comprehensively with the help of SWOT analysis method, which can closely combine the "diagnosis" and "prescription" of the problems. Easy to test the advantages of a clearer, more comprehensive, more forward-looking discussion of the strategic direction of China Postal Savings Bank.</w:t>
      </w: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40"/>
          <w:szCs w:val="40"/>
          <w:lang w:val="en-US" w:eastAsia="zh-CN"/>
        </w:rPr>
      </w:pPr>
    </w:p>
    <w:p>
      <w:pPr>
        <w:jc w:val="both"/>
        <w:rPr>
          <w:rFonts w:hint="default" w:ascii="Arial" w:hAnsi="Arial" w:eastAsia="黑体" w:cs="Arial"/>
          <w:b/>
          <w:bCs/>
          <w:sz w:val="22"/>
          <w:szCs w:val="22"/>
        </w:rPr>
      </w:pPr>
    </w:p>
    <w:p>
      <w:pPr>
        <w:pStyle w:val="8"/>
        <w:tabs>
          <w:tab w:val="right" w:leader="dot" w:pos="8787"/>
        </w:tabs>
        <w:jc w:val="both"/>
        <w:rPr>
          <w:rFonts w:hint="default" w:ascii="Arial" w:hAnsi="Arial" w:eastAsia="宋体" w:cs="Arial"/>
          <w:b/>
          <w:bCs/>
          <w:sz w:val="22"/>
          <w:szCs w:val="22"/>
        </w:rPr>
      </w:pPr>
    </w:p>
    <w:p>
      <w:pPr>
        <w:pStyle w:val="8"/>
        <w:tabs>
          <w:tab w:val="right" w:leader="dot" w:pos="8787"/>
        </w:tabs>
        <w:jc w:val="center"/>
        <w:rPr>
          <w:rFonts w:hint="default" w:ascii="Arial" w:hAnsi="Arial" w:eastAsia="宋体" w:cs="Arial"/>
          <w:b/>
          <w:bCs/>
          <w:sz w:val="22"/>
          <w:szCs w:val="22"/>
        </w:rPr>
      </w:pPr>
    </w:p>
    <w:p>
      <w:pPr>
        <w:pStyle w:val="8"/>
        <w:tabs>
          <w:tab w:val="right" w:leader="dot" w:pos="8787"/>
        </w:tabs>
        <w:jc w:val="center"/>
        <w:outlineLvl w:val="0"/>
        <w:rPr>
          <w:rFonts w:hint="default" w:ascii="Arial" w:hAnsi="Arial" w:eastAsia="宋体" w:cs="Arial"/>
          <w:b/>
          <w:bCs/>
          <w:sz w:val="24"/>
          <w:szCs w:val="24"/>
        </w:rPr>
      </w:pPr>
      <w:bookmarkStart w:id="0" w:name="_Toc22671"/>
      <w:bookmarkStart w:id="1" w:name="_Toc6628"/>
      <w:bookmarkStart w:id="2" w:name="_Toc8786"/>
      <w:bookmarkStart w:id="3" w:name="_Toc5610"/>
      <w:bookmarkStart w:id="4" w:name="_Toc8399"/>
      <w:r>
        <w:rPr>
          <w:rFonts w:hint="default" w:ascii="Arial" w:hAnsi="Arial" w:eastAsia="宋体" w:cs="Arial"/>
          <w:b/>
          <w:bCs/>
          <w:sz w:val="24"/>
          <w:szCs w:val="24"/>
        </w:rPr>
        <w:t>CONTENTS</w:t>
      </w:r>
      <w:bookmarkEnd w:id="0"/>
      <w:bookmarkEnd w:id="1"/>
      <w:bookmarkEnd w:id="2"/>
      <w:bookmarkEnd w:id="3"/>
      <w:bookmarkEnd w:id="4"/>
    </w:p>
    <w:sdt>
      <w:sdtPr>
        <w:rPr>
          <w:rFonts w:hint="default" w:ascii="Arial" w:hAnsi="Arial" w:eastAsia="宋体" w:cs="Arial"/>
          <w:kern w:val="2"/>
          <w:sz w:val="24"/>
          <w:szCs w:val="24"/>
          <w:lang w:val="en-US" w:eastAsia="zh-CN" w:bidi="ar-SA"/>
        </w:rPr>
        <w:id w:val="147464689"/>
        <w15:color w:val="DBDBDB"/>
        <w:docPartObj>
          <w:docPartGallery w:val="Table of Contents"/>
          <w:docPartUnique/>
        </w:docPartObj>
      </w:sdtPr>
      <w:sdtEndPr>
        <w:rPr>
          <w:rFonts w:hint="default" w:ascii="Arial" w:hAnsi="Arial" w:eastAsia="宋体" w:cs="Arial"/>
          <w:bCs/>
          <w:kern w:val="2"/>
          <w:sz w:val="20"/>
          <w:szCs w:val="24"/>
          <w:lang w:val="en-US" w:eastAsia="zh-CN" w:bidi="ar-SA"/>
        </w:rPr>
      </w:sdtEndPr>
      <w:sdtContent>
        <w:p>
          <w:pPr>
            <w:pStyle w:val="8"/>
            <w:tabs>
              <w:tab w:val="right" w:leader="dot" w:pos="8787"/>
            </w:tabs>
            <w:jc w:val="center"/>
            <w:outlineLvl w:val="9"/>
            <w:rPr>
              <w:rFonts w:hint="default" w:ascii="Arial" w:hAnsi="Arial" w:eastAsia="宋体" w:cs="Arial"/>
              <w:bCs/>
              <w:sz w:val="24"/>
              <w:szCs w:val="24"/>
            </w:rPr>
          </w:pPr>
          <w:r>
            <w:rPr>
              <w:rFonts w:hint="default" w:ascii="Arial" w:hAnsi="Arial" w:eastAsia="宋体" w:cs="Arial"/>
              <w:b/>
              <w:bCs/>
              <w:sz w:val="24"/>
              <w:szCs w:val="24"/>
            </w:rPr>
            <w:fldChar w:fldCharType="begin"/>
          </w:r>
          <w:r>
            <w:rPr>
              <w:rFonts w:hint="default" w:ascii="Arial" w:hAnsi="Arial" w:eastAsia="宋体" w:cs="Arial"/>
              <w:b/>
              <w:bCs/>
              <w:sz w:val="24"/>
              <w:szCs w:val="24"/>
            </w:rPr>
            <w:instrText xml:space="preserve">TOC \o "1-3" \h \u </w:instrText>
          </w:r>
          <w:r>
            <w:rPr>
              <w:rFonts w:hint="default" w:ascii="Arial" w:hAnsi="Arial" w:eastAsia="宋体" w:cs="Arial"/>
              <w:b/>
              <w:bCs/>
              <w:sz w:val="24"/>
              <w:szCs w:val="24"/>
            </w:rPr>
            <w:fldChar w:fldCharType="separate"/>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_Toc2373 </w:instrText>
          </w:r>
          <w:r>
            <w:rPr>
              <w:rFonts w:hint="default" w:ascii="Arial" w:hAnsi="Arial" w:eastAsia="宋体" w:cs="Arial"/>
              <w:bCs/>
              <w:sz w:val="24"/>
              <w:szCs w:val="24"/>
            </w:rPr>
            <w:fldChar w:fldCharType="separate"/>
          </w:r>
          <w:r>
            <w:rPr>
              <w:rFonts w:hint="default" w:ascii="Arial" w:hAnsi="Arial" w:eastAsia="黑体" w:cs="Arial"/>
              <w:bCs/>
              <w:sz w:val="24"/>
              <w:szCs w:val="24"/>
            </w:rPr>
            <w:t>Literature review</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_Toc2373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_Toc20081 </w:instrText>
          </w:r>
          <w:r>
            <w:rPr>
              <w:rFonts w:hint="default" w:ascii="Arial" w:hAnsi="Arial" w:eastAsia="宋体" w:cs="Arial"/>
              <w:bCs/>
              <w:sz w:val="24"/>
              <w:szCs w:val="24"/>
            </w:rPr>
            <w:fldChar w:fldCharType="separate"/>
          </w:r>
          <w:r>
            <w:rPr>
              <w:rFonts w:hint="default" w:ascii="Arial" w:hAnsi="Arial" w:eastAsia="黑体" w:cs="Arial"/>
              <w:bCs/>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_Toc20081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_Toc23142 </w:instrText>
          </w:r>
          <w:r>
            <w:rPr>
              <w:rFonts w:hint="default" w:ascii="Arial" w:hAnsi="Arial" w:eastAsia="宋体" w:cs="Arial"/>
              <w:bCs/>
              <w:sz w:val="24"/>
              <w:szCs w:val="24"/>
            </w:rPr>
            <w:fldChar w:fldCharType="separate"/>
          </w:r>
          <w:r>
            <w:rPr>
              <w:rFonts w:hint="default" w:ascii="Arial" w:hAnsi="Arial" w:eastAsia="黑体" w:cs="Arial"/>
              <w:bCs/>
              <w:sz w:val="24"/>
              <w:szCs w:val="24"/>
            </w:rPr>
            <w:t>Basic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_Toc23142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_Toc14472 </w:instrText>
          </w:r>
          <w:r>
            <w:rPr>
              <w:rFonts w:hint="default" w:ascii="Arial" w:hAnsi="Arial" w:eastAsia="宋体" w:cs="Arial"/>
              <w:bCs/>
              <w:sz w:val="24"/>
              <w:szCs w:val="24"/>
            </w:rPr>
            <w:fldChar w:fldCharType="separate"/>
          </w:r>
          <w:r>
            <w:rPr>
              <w:rFonts w:hint="default" w:ascii="Arial" w:hAnsi="Arial" w:eastAsia="黑体" w:cs="Arial"/>
              <w:bCs/>
              <w:sz w:val="24"/>
              <w:szCs w:val="24"/>
            </w:rPr>
            <w:t>1. One-to-one marketing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_Toc14472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_Toc6862 </w:instrText>
          </w:r>
          <w:r>
            <w:rPr>
              <w:rFonts w:hint="default" w:ascii="Arial" w:hAnsi="Arial" w:eastAsia="宋体" w:cs="Arial"/>
              <w:bCs/>
              <w:sz w:val="24"/>
              <w:szCs w:val="24"/>
            </w:rPr>
            <w:fldChar w:fldCharType="separate"/>
          </w:r>
          <w:r>
            <w:rPr>
              <w:rFonts w:hint="default" w:ascii="Arial" w:hAnsi="Arial" w:eastAsia="黑体" w:cs="Arial"/>
              <w:bCs/>
              <w:sz w:val="24"/>
              <w:szCs w:val="24"/>
            </w:rPr>
            <w:t>2. Relationship marketing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_Toc6862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_Toc13797 </w:instrText>
          </w:r>
          <w:r>
            <w:rPr>
              <w:rFonts w:hint="default" w:ascii="Arial" w:hAnsi="Arial" w:eastAsia="宋体" w:cs="Arial"/>
              <w:bCs/>
              <w:sz w:val="24"/>
              <w:szCs w:val="24"/>
            </w:rPr>
            <w:fldChar w:fldCharType="separate"/>
          </w:r>
          <w:r>
            <w:rPr>
              <w:rFonts w:hint="default" w:ascii="Arial" w:hAnsi="Arial" w:eastAsia="黑体" w:cs="Arial"/>
              <w:bCs/>
              <w:sz w:val="24"/>
              <w:szCs w:val="24"/>
            </w:rPr>
            <w:t>3.SWOT analysis and customer relationship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_Toc13797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_Toc14104 </w:instrText>
          </w:r>
          <w:r>
            <w:rPr>
              <w:rFonts w:hint="default" w:ascii="Arial" w:hAnsi="Arial" w:eastAsia="宋体" w:cs="Arial"/>
              <w:bCs/>
              <w:sz w:val="24"/>
              <w:szCs w:val="24"/>
            </w:rPr>
            <w:fldChar w:fldCharType="separate"/>
          </w:r>
          <w:r>
            <w:rPr>
              <w:rFonts w:hint="default" w:ascii="Arial" w:hAnsi="Arial" w:eastAsia="黑体" w:cs="Arial"/>
              <w:bCs/>
              <w:sz w:val="24"/>
              <w:szCs w:val="24"/>
            </w:rPr>
            <w:t>Current situation of customer relationship management in Postal Savings Bank of China</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_Toc14104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_Toc13193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1.</w:t>
          </w:r>
          <w:r>
            <w:rPr>
              <w:rFonts w:hint="default" w:ascii="Arial" w:hAnsi="Arial" w:eastAsia="黑体" w:cs="Arial"/>
              <w:bCs/>
              <w:sz w:val="24"/>
              <w:szCs w:val="24"/>
            </w:rPr>
            <w:t>Comprehensive innovation and transformation of customer service methods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_Toc13193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_Toc6087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2.</w:t>
          </w:r>
          <w:r>
            <w:rPr>
              <w:rFonts w:hint="default" w:ascii="Arial" w:hAnsi="Arial" w:eastAsia="黑体" w:cs="Arial"/>
              <w:bCs/>
              <w:sz w:val="24"/>
              <w:szCs w:val="24"/>
            </w:rPr>
            <w:t>Comprehensively upgrade the layered service system for customers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_Toc6087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_Toc4430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3.</w:t>
          </w:r>
          <w:r>
            <w:rPr>
              <w:rFonts w:hint="default" w:ascii="Arial" w:hAnsi="Arial" w:eastAsia="黑体" w:cs="Arial"/>
              <w:bCs/>
              <w:sz w:val="24"/>
              <w:szCs w:val="24"/>
            </w:rPr>
            <w:t>Improve the professional service system of Kechuang finance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_Toc4430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_Toc22824 </w:instrText>
          </w:r>
          <w:r>
            <w:rPr>
              <w:rFonts w:hint="default" w:ascii="Arial" w:hAnsi="Arial" w:eastAsia="宋体" w:cs="Arial"/>
              <w:bCs/>
              <w:sz w:val="24"/>
              <w:szCs w:val="24"/>
            </w:rPr>
            <w:fldChar w:fldCharType="separate"/>
          </w:r>
          <w:r>
            <w:rPr>
              <w:rFonts w:hint="default" w:ascii="Arial" w:hAnsi="Arial" w:eastAsia="黑体" w:cs="Arial"/>
              <w:bCs/>
              <w:sz w:val="24"/>
              <w:szCs w:val="24"/>
            </w:rPr>
            <w:t>SWOT Analysis of Postal Savings Bank of China (Main findings of strategic Analysis and Critical evaluation of strategic Choices)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_Toc22824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5"/>
            <w:tabs>
              <w:tab w:val="right" w:leader="dot" w:pos="8304"/>
            </w:tabs>
            <w:ind w:left="0" w:leftChars="0" w:firstLine="0" w:firstLineChars="0"/>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_Toc11962 </w:instrText>
          </w:r>
          <w:r>
            <w:rPr>
              <w:rFonts w:hint="default" w:ascii="Arial" w:hAnsi="Arial" w:eastAsia="宋体" w:cs="Arial"/>
              <w:bCs/>
              <w:sz w:val="24"/>
              <w:szCs w:val="24"/>
            </w:rPr>
            <w:fldChar w:fldCharType="separate"/>
          </w:r>
          <w:r>
            <w:rPr>
              <w:rFonts w:hint="default" w:ascii="Arial" w:hAnsi="Arial" w:eastAsia="黑体" w:cs="Arial"/>
              <w:bCs/>
              <w:sz w:val="24"/>
              <w:szCs w:val="24"/>
            </w:rPr>
            <w:t>Advantage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_Toc11962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_Toc1874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1. Network resource advantage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_Toc1874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_Toc3982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2. Customer resource advantage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_Toc3982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_Toc9985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3. National policy advantage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_Toc9985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5"/>
            <w:tabs>
              <w:tab w:val="right" w:leader="dot" w:pos="8304"/>
            </w:tabs>
            <w:ind w:left="0" w:leftChars="0" w:firstLine="0" w:firstLineChars="0"/>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_Toc23977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Disadvantage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_Toc23977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_Toc23129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1. Too dependent on traditional business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_Toc23129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_Toc31551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2. There is a shortage of high-level innovative talents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_Toc31551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_Toc10466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3. Lack of dominant brand business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_Toc10466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5"/>
            <w:tabs>
              <w:tab w:val="right" w:leader="dot" w:pos="8304"/>
            </w:tabs>
            <w:ind w:left="0" w:leftChars="0" w:firstLine="0" w:firstLineChars="0"/>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_Toc12136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Threat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_Toc12136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_Toc27703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1.The market is becoming more competitive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_Toc27703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_Toc2201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2.High credit risk and operational risk</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_Toc2201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_Toc12084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Chance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_Toc12084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_Toc11149 </w:instrText>
          </w:r>
          <w:r>
            <w:rPr>
              <w:rFonts w:hint="default" w:ascii="Arial" w:hAnsi="Arial" w:eastAsia="宋体" w:cs="Arial"/>
              <w:bCs/>
              <w:sz w:val="24"/>
              <w:szCs w:val="24"/>
            </w:rPr>
            <w:fldChar w:fldCharType="separate"/>
          </w:r>
          <w:r>
            <w:rPr>
              <w:rFonts w:hint="default" w:ascii="Arial" w:hAnsi="Arial" w:eastAsia="黑体" w:cs="Arial"/>
              <w:bCs/>
              <w:sz w:val="24"/>
              <w:szCs w:val="24"/>
            </w:rPr>
            <w:t>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_Toc11149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_Toc31668 </w:instrText>
          </w:r>
          <w:r>
            <w:rPr>
              <w:rFonts w:hint="default" w:ascii="Arial" w:hAnsi="Arial" w:eastAsia="宋体" w:cs="Arial"/>
              <w:bCs/>
              <w:sz w:val="24"/>
              <w:szCs w:val="24"/>
            </w:rPr>
            <w:fldChar w:fldCharType="separate"/>
          </w:r>
          <w:r>
            <w:rPr>
              <w:rFonts w:hint="default" w:ascii="Arial" w:hAnsi="Arial" w:eastAsia="黑体" w:cs="Arial"/>
              <w:bCs/>
              <w:sz w:val="24"/>
              <w:szCs w:val="24"/>
            </w:rPr>
            <w:t>Suggestion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_Toc31668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rPr>
              <w:rFonts w:hint="default" w:ascii="Arial" w:hAnsi="Arial" w:cs="Arial"/>
              <w:sz w:val="24"/>
              <w:szCs w:val="24"/>
            </w:rPr>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_Toc14998 </w:instrText>
          </w:r>
          <w:r>
            <w:rPr>
              <w:rFonts w:hint="default" w:ascii="Arial" w:hAnsi="Arial" w:eastAsia="宋体" w:cs="Arial"/>
              <w:bCs/>
              <w:sz w:val="24"/>
              <w:szCs w:val="24"/>
            </w:rPr>
            <w:fldChar w:fldCharType="separate"/>
          </w:r>
          <w:r>
            <w:rPr>
              <w:rFonts w:hint="default" w:ascii="Arial" w:hAnsi="Arial" w:eastAsia="黑体" w:cs="Arial"/>
              <w:bCs/>
              <w:sz w:val="24"/>
              <w:szCs w:val="24"/>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_Toc14998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eastAsia="宋体" w:cs="Arial"/>
              <w:bCs/>
              <w:sz w:val="24"/>
              <w:szCs w:val="24"/>
            </w:rPr>
            <w:fldChar w:fldCharType="end"/>
          </w:r>
        </w:p>
        <w:p>
          <w:pPr>
            <w:pStyle w:val="4"/>
            <w:tabs>
              <w:tab w:val="right" w:leader="dot" w:pos="8304"/>
            </w:tabs>
          </w:pPr>
          <w:r>
            <w:rPr>
              <w:rFonts w:hint="default" w:ascii="Arial" w:hAnsi="Arial" w:eastAsia="宋体" w:cs="Arial"/>
              <w:bCs/>
              <w:sz w:val="24"/>
              <w:szCs w:val="24"/>
            </w:rPr>
            <w:fldChar w:fldCharType="begin"/>
          </w:r>
          <w:r>
            <w:rPr>
              <w:rFonts w:hint="default" w:ascii="Arial" w:hAnsi="Arial" w:eastAsia="宋体" w:cs="Arial"/>
              <w:bCs/>
              <w:sz w:val="24"/>
              <w:szCs w:val="24"/>
            </w:rPr>
            <w:instrText xml:space="preserve"> HYPERLINK \l _Toc13083 </w:instrText>
          </w:r>
          <w:r>
            <w:rPr>
              <w:rFonts w:hint="default" w:ascii="Arial" w:hAnsi="Arial" w:eastAsia="宋体" w:cs="Arial"/>
              <w:bCs/>
              <w:sz w:val="24"/>
              <w:szCs w:val="24"/>
            </w:rPr>
            <w:fldChar w:fldCharType="separate"/>
          </w:r>
          <w:r>
            <w:rPr>
              <w:rFonts w:hint="default" w:ascii="Arial" w:hAnsi="Arial" w:eastAsia="黑体" w:cs="Arial"/>
              <w:bCs/>
              <w:sz w:val="24"/>
              <w:szCs w:val="24"/>
              <w:lang w:val="en-US" w:eastAsia="zh-CN"/>
            </w:rPr>
            <w:t>A</w:t>
          </w:r>
          <w:r>
            <w:rPr>
              <w:rFonts w:hint="default" w:ascii="Arial" w:hAnsi="Arial" w:eastAsia="黑体" w:cs="Arial"/>
              <w:bCs/>
              <w:sz w:val="24"/>
              <w:szCs w:val="24"/>
            </w:rPr>
            <w:t>ppendix</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_Toc13083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eastAsia="宋体" w:cs="Arial"/>
              <w:bCs/>
              <w:sz w:val="24"/>
              <w:szCs w:val="24"/>
            </w:rPr>
            <w:fldChar w:fldCharType="end"/>
          </w:r>
        </w:p>
        <w:p>
          <w:pPr>
            <w:tabs>
              <w:tab w:val="right" w:leader="dot" w:pos="8787"/>
            </w:tabs>
            <w:spacing w:before="0" w:beforeLines="0" w:after="0" w:afterLines="0" w:line="240" w:lineRule="auto"/>
            <w:ind w:left="0" w:leftChars="0" w:right="0" w:rightChars="0" w:firstLine="0" w:firstLineChars="0"/>
            <w:jc w:val="center"/>
            <w:outlineLvl w:val="9"/>
            <w:rPr>
              <w:rFonts w:hint="default" w:ascii="Arial" w:hAnsi="Arial" w:eastAsia="宋体" w:cs="Arial"/>
              <w:b/>
              <w:bCs/>
              <w:sz w:val="24"/>
              <w:szCs w:val="24"/>
            </w:rPr>
          </w:pPr>
          <w:r>
            <w:rPr>
              <w:rFonts w:hint="default" w:ascii="Arial" w:hAnsi="Arial" w:eastAsia="宋体" w:cs="Arial"/>
              <w:bCs/>
              <w:sz w:val="24"/>
              <w:szCs w:val="24"/>
            </w:rPr>
            <w:fldChar w:fldCharType="end"/>
          </w:r>
        </w:p>
      </w:sdtContent>
    </w:sdt>
    <w:p>
      <w:pPr>
        <w:pStyle w:val="8"/>
        <w:tabs>
          <w:tab w:val="right" w:leader="dot" w:pos="8787"/>
        </w:tabs>
        <w:jc w:val="center"/>
        <w:outlineLvl w:val="9"/>
        <w:rPr>
          <w:rFonts w:hint="default" w:ascii="Arial" w:hAnsi="Arial" w:eastAsia="宋体" w:cs="Arial"/>
          <w:b/>
          <w:bCs/>
          <w:sz w:val="24"/>
          <w:szCs w:val="24"/>
        </w:rPr>
        <w:sectPr>
          <w:type w:val="continuous"/>
          <w:pgSz w:w="11910" w:h="16840"/>
          <w:pgMar w:top="1440" w:right="1803" w:bottom="1440" w:left="1803" w:header="0" w:footer="986" w:gutter="0"/>
          <w:cols w:space="0" w:num="1"/>
          <w:rtlGutter w:val="0"/>
          <w:docGrid w:linePitch="312" w:charSpace="0"/>
        </w:sectPr>
      </w:pPr>
    </w:p>
    <w:p>
      <w:pPr>
        <w:numPr>
          <w:ilvl w:val="0"/>
          <w:numId w:val="0"/>
        </w:numPr>
        <w:ind w:leftChars="0"/>
        <w:jc w:val="both"/>
        <w:outlineLvl w:val="0"/>
        <w:rPr>
          <w:rFonts w:hint="default" w:ascii="Arial" w:hAnsi="Arial" w:eastAsia="黑体" w:cs="Arial"/>
          <w:b/>
          <w:bCs/>
          <w:sz w:val="22"/>
          <w:szCs w:val="22"/>
        </w:rPr>
      </w:pPr>
      <w:bookmarkStart w:id="5" w:name="_Toc11855"/>
      <w:bookmarkStart w:id="6" w:name="_Toc2373"/>
      <w:bookmarkStart w:id="7" w:name="_Toc5217"/>
      <w:r>
        <w:rPr>
          <w:rFonts w:hint="default" w:ascii="Arial" w:hAnsi="Arial" w:eastAsia="黑体" w:cs="Arial"/>
          <w:b/>
          <w:bCs/>
          <w:sz w:val="24"/>
          <w:szCs w:val="24"/>
        </w:rPr>
        <w:t>Literature review</w:t>
      </w:r>
      <w:bookmarkEnd w:id="5"/>
      <w:bookmarkEnd w:id="6"/>
      <w:bookmarkEnd w:id="7"/>
    </w:p>
    <w:p>
      <w:pPr>
        <w:numPr>
          <w:ilvl w:val="0"/>
          <w:numId w:val="0"/>
        </w:numPr>
        <w:ind w:leftChars="0"/>
        <w:jc w:val="both"/>
        <w:rPr>
          <w:rFonts w:hint="default" w:ascii="Arial" w:hAnsi="Arial" w:eastAsia="黑体" w:cs="Arial"/>
          <w:b w:val="0"/>
          <w:bCs w:val="0"/>
          <w:sz w:val="24"/>
          <w:szCs w:val="24"/>
        </w:rPr>
      </w:pPr>
      <w:r>
        <w:rPr>
          <w:rFonts w:hint="default" w:ascii="Arial" w:hAnsi="Arial" w:eastAsia="黑体" w:cs="Arial"/>
          <w:b w:val="0"/>
          <w:bCs w:val="0"/>
          <w:sz w:val="24"/>
          <w:szCs w:val="24"/>
        </w:rPr>
        <w:t>Customer Relationship Management (CRM) theory was developed in 1978 by Contact, a well-known management organization in the United States</w:t>
      </w:r>
      <w:r>
        <w:rPr>
          <w:rFonts w:hint="eastAsia" w:ascii="Arial" w:hAnsi="Arial" w:eastAsia="黑体" w:cs="Arial"/>
          <w:b w:val="0"/>
          <w:bCs w:val="0"/>
          <w:sz w:val="24"/>
          <w:szCs w:val="24"/>
          <w:lang w:val="en-US" w:eastAsia="zh-CN"/>
        </w:rPr>
        <w:t xml:space="preserve"> </w:t>
      </w:r>
      <w:r>
        <w:rPr>
          <w:rFonts w:hint="default" w:ascii="Arial" w:hAnsi="Arial" w:eastAsia="黑体" w:cs="Arial"/>
          <w:b w:val="0"/>
          <w:bCs w:val="0"/>
          <w:sz w:val="24"/>
          <w:szCs w:val="24"/>
        </w:rPr>
        <w:t>Management, it mainly explains the concept of customer relationship management, and from the data is the enterprise and</w:t>
      </w:r>
      <w:r>
        <w:rPr>
          <w:rFonts w:hint="eastAsia" w:ascii="Arial" w:hAnsi="Arial" w:eastAsia="黑体" w:cs="Arial"/>
          <w:b w:val="0"/>
          <w:bCs w:val="0"/>
          <w:sz w:val="24"/>
          <w:szCs w:val="24"/>
          <w:lang w:val="en-US" w:eastAsia="zh-CN"/>
        </w:rPr>
        <w:t xml:space="preserve"> </w:t>
      </w:r>
      <w:r>
        <w:rPr>
          <w:rFonts w:hint="default" w:ascii="Arial" w:hAnsi="Arial" w:eastAsia="黑体" w:cs="Arial"/>
          <w:b w:val="0"/>
          <w:bCs w:val="0"/>
          <w:sz w:val="24"/>
          <w:szCs w:val="24"/>
        </w:rPr>
        <w:t>The impact of data on communication and customer relationship is analyzed from the perspective of the importance of customer deep connection.</w:t>
      </w:r>
    </w:p>
    <w:p>
      <w:pPr>
        <w:numPr>
          <w:ilvl w:val="0"/>
          <w:numId w:val="0"/>
        </w:numPr>
        <w:ind w:leftChars="0"/>
        <w:jc w:val="both"/>
        <w:rPr>
          <w:rFonts w:hint="default" w:ascii="Arial" w:hAnsi="Arial" w:eastAsia="黑体" w:cs="Arial"/>
          <w:b w:val="0"/>
          <w:bCs w:val="0"/>
          <w:sz w:val="22"/>
          <w:szCs w:val="22"/>
        </w:rPr>
      </w:pPr>
    </w:p>
    <w:p>
      <w:pPr>
        <w:numPr>
          <w:ilvl w:val="0"/>
          <w:numId w:val="0"/>
        </w:numPr>
        <w:ind w:leftChars="0"/>
        <w:jc w:val="both"/>
        <w:rPr>
          <w:rFonts w:hint="default" w:ascii="Arial" w:hAnsi="Arial" w:eastAsia="黑体" w:cs="Arial"/>
          <w:b w:val="0"/>
          <w:bCs w:val="0"/>
          <w:sz w:val="24"/>
          <w:szCs w:val="24"/>
        </w:rPr>
      </w:pPr>
      <w:r>
        <w:rPr>
          <w:rFonts w:hint="default" w:ascii="Arial" w:hAnsi="Arial" w:eastAsia="黑体" w:cs="Arial"/>
          <w:b w:val="0"/>
          <w:bCs w:val="0"/>
          <w:sz w:val="24"/>
          <w:szCs w:val="24"/>
        </w:rPr>
        <w:t>In the form of cases, Asieh empiricately analyzed the influence of factors of customer relationship management on customer behavior and their modes of action. Among them, service, product, communication, process and account manager are the influencing factors of customer bank</w:t>
      </w:r>
      <w:r>
        <w:rPr>
          <w:rFonts w:hint="eastAsia" w:ascii="Arial" w:hAnsi="Arial" w:eastAsia="黑体" w:cs="Arial"/>
          <w:b w:val="0"/>
          <w:bCs w:val="0"/>
          <w:sz w:val="24"/>
          <w:szCs w:val="24"/>
          <w:lang w:val="en-US" w:eastAsia="zh-CN"/>
        </w:rPr>
        <w:t xml:space="preserve"> o</w:t>
      </w:r>
      <w:r>
        <w:rPr>
          <w:rFonts w:hint="default" w:ascii="Arial" w:hAnsi="Arial" w:eastAsia="黑体" w:cs="Arial"/>
          <w:b w:val="0"/>
          <w:bCs w:val="0"/>
          <w:sz w:val="24"/>
          <w:szCs w:val="24"/>
        </w:rPr>
        <w:t>f which service plays a leading role. Rana et al. used structural equation method to conduct a quantitative analysis of the relationship between customer relationship management and customer satisfaction in banks, in which personalized service, product differentiation and convenience are the main factors affecting customer satisfaction. Schulz believes that bank customer relationship management is a business management model that integrates refined marketing, personalized service and information. Emma pointed out that bank customer relationship management is based on information technology, which will optimize every link of bank management according to the needs of customers, and realize a way and method to improve the core competitiveness of banks.</w:t>
      </w:r>
    </w:p>
    <w:p>
      <w:pPr>
        <w:numPr>
          <w:ilvl w:val="0"/>
          <w:numId w:val="0"/>
        </w:numPr>
        <w:ind w:leftChars="0"/>
        <w:jc w:val="both"/>
        <w:rPr>
          <w:rFonts w:hint="default" w:ascii="Arial" w:hAnsi="Arial" w:eastAsia="黑体" w:cs="Arial"/>
          <w:b w:val="0"/>
          <w:bCs w:val="0"/>
          <w:sz w:val="22"/>
          <w:szCs w:val="22"/>
        </w:rPr>
      </w:pPr>
    </w:p>
    <w:p>
      <w:pPr>
        <w:numPr>
          <w:ilvl w:val="0"/>
          <w:numId w:val="0"/>
        </w:numPr>
        <w:ind w:leftChars="0"/>
        <w:jc w:val="both"/>
        <w:rPr>
          <w:rFonts w:hint="default" w:ascii="Arial" w:hAnsi="Arial" w:eastAsia="宋体" w:cs="Arial"/>
          <w:b w:val="0"/>
          <w:bCs w:val="0"/>
          <w:sz w:val="24"/>
          <w:szCs w:val="24"/>
          <w:lang w:val="en-US" w:eastAsia="zh-CN"/>
        </w:rPr>
      </w:pPr>
      <w:r>
        <w:rPr>
          <w:rFonts w:hint="default" w:ascii="Arial" w:hAnsi="Arial" w:eastAsia="黑体" w:cs="Arial"/>
          <w:b w:val="0"/>
          <w:bCs w:val="0"/>
          <w:sz w:val="24"/>
          <w:szCs w:val="24"/>
        </w:rPr>
        <w:t>Jiang Yufang pointed out that China's domestic commercial banks have problems in customer relationship management such as backward concept, backward mechanism and insufficient customer classification, and put forward optimization strategies to solve these problems. Zhang Tingting et al. pointed out that in the face of increasing customer demand in the new era, commercial banks should make full use of information technology to realize personalized services and develop differentiated products. Zhou said personalized services can meet consumers' increasingly sophisticated financial needs and effectively enhance the competitiveness of commercial banks. Qi Jiayin pointed out that bank customer relationship management is a form of management that uses big data to mine customers' potential and actual needs, and meets customers' personalized needs for products and services through customers' behaviors and habits, so as to improve the bank's benefits.</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8" w:name="_Toc19636"/>
      <w:bookmarkStart w:id="9" w:name="_Toc6712"/>
      <w:bookmarkStart w:id="10" w:name="_Toc20081"/>
      <w:r>
        <w:rPr>
          <w:rFonts w:hint="default" w:ascii="Arial" w:hAnsi="Arial" w:eastAsia="黑体" w:cs="Arial"/>
          <w:b/>
          <w:bCs/>
          <w:sz w:val="24"/>
          <w:szCs w:val="24"/>
        </w:rPr>
        <w:t>Introduction</w:t>
      </w:r>
      <w:bookmarkEnd w:id="8"/>
      <w:bookmarkEnd w:id="9"/>
      <w:bookmarkEnd w:id="10"/>
    </w:p>
    <w:p>
      <w:pPr>
        <w:jc w:val="both"/>
        <w:rPr>
          <w:rFonts w:hint="default" w:ascii="Arial" w:hAnsi="Arial" w:eastAsia="黑体" w:cs="Arial"/>
          <w:b/>
          <w:bCs/>
          <w:sz w:val="24"/>
          <w:szCs w:val="24"/>
        </w:rPr>
      </w:pPr>
    </w:p>
    <w:p>
      <w:pPr>
        <w:jc w:val="both"/>
        <w:rPr>
          <w:rFonts w:hint="default" w:ascii="Arial" w:hAnsi="Arial" w:eastAsia="黑体" w:cs="Arial"/>
          <w:b/>
          <w:bCs/>
          <w:sz w:val="24"/>
          <w:szCs w:val="24"/>
        </w:rPr>
      </w:pPr>
      <w:r>
        <w:rPr>
          <w:rFonts w:hint="default" w:ascii="Arial" w:hAnsi="Arial" w:eastAsia="黑体" w:cs="Arial"/>
          <w:b/>
          <w:bCs/>
          <w:sz w:val="24"/>
          <w:szCs w:val="24"/>
        </w:rPr>
        <w:t>Introduction to the Postal Savings Bank of China</w:t>
      </w:r>
    </w:p>
    <w:p>
      <w:pPr>
        <w:jc w:val="both"/>
        <w:rPr>
          <w:rFonts w:hint="default" w:ascii="Arial" w:hAnsi="Arial" w:eastAsia="黑体" w:cs="Arial"/>
          <w:b w:val="0"/>
          <w:bCs w:val="0"/>
          <w:sz w:val="24"/>
          <w:szCs w:val="24"/>
        </w:rPr>
      </w:pPr>
      <w:r>
        <w:rPr>
          <w:rFonts w:hint="default" w:ascii="Arial" w:hAnsi="Arial" w:eastAsia="黑体" w:cs="Arial"/>
          <w:b w:val="0"/>
          <w:bCs w:val="0"/>
          <w:sz w:val="24"/>
          <w:szCs w:val="24"/>
        </w:rPr>
        <w:t>Postal Savings Bank of China (PSBC) was established in March 2007 as a joint-stock commercial bank based on the reform of the original postal savings management system. The bank was listed on the Hong Kong Stock Exchange in September 2016, and on the Shanghai Stock Exchange in December 2019. The Postal Savings Bank of China (PSBC) is a leading large retail bank in China, with nearly 40,000 branches serving more than 650 million individual customers, excellent asset quality and significant growth potential. The bank's development strategy is positioned to serve "agriculture, rural areas and farmers", urban and rural residents and small and medium-sized enterprises. Relying on the unique mode of "self-management + agent" and resource endowment, the bank is committed to providing services for the most dynamic customer groups in China's economic transformation, and accelerating the transformation into a new retail bank driven by data, coordinated channel, wholesale and retail linkage and efficient operation.</w:t>
      </w:r>
    </w:p>
    <w:p>
      <w:pPr>
        <w:jc w:val="both"/>
        <w:rPr>
          <w:rFonts w:hint="default" w:ascii="Arial" w:hAnsi="Arial" w:eastAsia="黑体" w:cs="Arial"/>
          <w:b w:val="0"/>
          <w:bCs w:val="0"/>
          <w:sz w:val="22"/>
          <w:szCs w:val="22"/>
        </w:rPr>
      </w:pPr>
    </w:p>
    <w:p>
      <w:pPr>
        <w:jc w:val="both"/>
        <w:rPr>
          <w:rFonts w:hint="default" w:ascii="Arial" w:hAnsi="Arial" w:eastAsia="黑体" w:cs="Arial"/>
          <w:b/>
          <w:bCs/>
          <w:sz w:val="24"/>
          <w:szCs w:val="24"/>
        </w:rPr>
      </w:pPr>
      <w:r>
        <w:rPr>
          <w:rFonts w:hint="default" w:ascii="Arial" w:hAnsi="Arial" w:eastAsia="黑体" w:cs="Arial"/>
          <w:b/>
          <w:bCs/>
          <w:sz w:val="24"/>
          <w:szCs w:val="24"/>
        </w:rPr>
        <w:t>Operational data of Postal Savings Bank of China</w:t>
      </w:r>
    </w:p>
    <w:p>
      <w:pPr>
        <w:jc w:val="both"/>
        <w:rPr>
          <w:rFonts w:hint="default" w:ascii="Arial" w:hAnsi="Arial" w:eastAsia="黑体" w:cs="Arial"/>
          <w:b w:val="0"/>
          <w:bCs w:val="0"/>
          <w:sz w:val="24"/>
          <w:szCs w:val="24"/>
        </w:rPr>
      </w:pPr>
      <w:r>
        <w:rPr>
          <w:rFonts w:hint="default" w:ascii="Arial" w:hAnsi="Arial" w:eastAsia="黑体" w:cs="Arial"/>
          <w:b w:val="0"/>
          <w:bCs w:val="0"/>
          <w:sz w:val="24"/>
          <w:szCs w:val="24"/>
        </w:rPr>
        <w:t>By the end of 2022, Postal Savings Bank of China had achieved a revenue of 334.956 billion yuan, up 5.08% year on year. Net profit 85.355 billion yuan, up 11.53% year on year; The total assets exceeded 14 trillion yuan, the weighted average return on equity was 11.89%, and the non-performing loan ratio was 0.84%, which continued to maintain the excellent level of the industry. The Banker's ranking of "Top 1000 Global Banks" rose to 13th place.</w:t>
      </w:r>
    </w:p>
    <w:p>
      <w:pPr>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11" w:name="_Toc12072"/>
      <w:bookmarkStart w:id="12" w:name="_Toc7414"/>
      <w:bookmarkStart w:id="13" w:name="_Toc23142"/>
      <w:bookmarkStart w:id="14" w:name="OLE_LINK1"/>
      <w:r>
        <w:rPr>
          <w:rFonts w:hint="default" w:ascii="Arial" w:hAnsi="Arial" w:eastAsia="黑体" w:cs="Arial"/>
          <w:b/>
          <w:bCs/>
          <w:sz w:val="24"/>
          <w:szCs w:val="24"/>
        </w:rPr>
        <w:t>Basic Theory</w:t>
      </w:r>
      <w:bookmarkEnd w:id="11"/>
      <w:bookmarkEnd w:id="12"/>
      <w:bookmarkEnd w:id="13"/>
    </w:p>
    <w:p>
      <w:pPr>
        <w:jc w:val="both"/>
        <w:rPr>
          <w:rFonts w:hint="default" w:ascii="Arial" w:hAnsi="Arial" w:eastAsia="黑体" w:cs="Arial"/>
          <w:b/>
          <w:bCs/>
          <w:sz w:val="24"/>
          <w:szCs w:val="24"/>
        </w:rPr>
      </w:pPr>
    </w:p>
    <w:bookmarkEnd w:id="14"/>
    <w:p>
      <w:pPr>
        <w:jc w:val="both"/>
        <w:outlineLvl w:val="0"/>
        <w:rPr>
          <w:rFonts w:hint="default" w:ascii="Arial" w:hAnsi="Arial" w:eastAsia="黑体" w:cs="Arial"/>
          <w:b/>
          <w:bCs/>
          <w:sz w:val="24"/>
          <w:szCs w:val="24"/>
        </w:rPr>
      </w:pPr>
      <w:bookmarkStart w:id="15" w:name="_Toc14472"/>
      <w:bookmarkStart w:id="16" w:name="_Toc15232"/>
      <w:bookmarkStart w:id="17" w:name="_Toc181"/>
      <w:r>
        <w:rPr>
          <w:rFonts w:hint="default" w:ascii="Arial" w:hAnsi="Arial" w:eastAsia="黑体" w:cs="Arial"/>
          <w:b/>
          <w:bCs/>
          <w:sz w:val="24"/>
          <w:szCs w:val="24"/>
        </w:rPr>
        <w:t>1. One-to-one marketing theory</w:t>
      </w:r>
      <w:bookmarkEnd w:id="15"/>
      <w:bookmarkEnd w:id="16"/>
      <w:bookmarkEnd w:id="17"/>
    </w:p>
    <w:p>
      <w:pPr>
        <w:numPr>
          <w:ilvl w:val="0"/>
          <w:numId w:val="0"/>
        </w:numPr>
        <w:ind w:leftChars="0"/>
        <w:jc w:val="both"/>
        <w:rPr>
          <w:rFonts w:hint="default" w:ascii="Arial" w:hAnsi="Arial" w:eastAsia="黑体" w:cs="Arial"/>
          <w:b w:val="0"/>
          <w:bCs w:val="0"/>
          <w:sz w:val="24"/>
          <w:szCs w:val="24"/>
        </w:rPr>
      </w:pPr>
      <w:r>
        <w:rPr>
          <w:rFonts w:hint="default" w:ascii="Arial" w:hAnsi="Arial" w:eastAsia="黑体" w:cs="Arial"/>
          <w:b w:val="0"/>
          <w:bCs w:val="0"/>
          <w:sz w:val="24"/>
          <w:szCs w:val="24"/>
        </w:rPr>
        <w:t>"One-to-one marketing", also known as "121 marketing" or "1-2-1 marketing", is a customer relationship management strategy that provides personalized customized services for both enterprises and individuals. This marketing approach mainly aims to enhance customer engagement by im</w:t>
      </w:r>
      <w:r>
        <w:rPr>
          <w:rFonts w:hint="eastAsia" w:ascii="Arial" w:hAnsi="Arial" w:eastAsia="黑体" w:cs="Arial"/>
          <w:b w:val="0"/>
          <w:bCs w:val="0"/>
          <w:sz w:val="24"/>
          <w:szCs w:val="24"/>
          <w:lang w:val="en-US" w:eastAsia="zh-CN"/>
        </w:rPr>
        <w:t xml:space="preserve"> </w:t>
      </w:r>
      <w:r>
        <w:rPr>
          <w:rFonts w:hint="default" w:ascii="Arial" w:hAnsi="Arial" w:eastAsia="黑体" w:cs="Arial"/>
          <w:b w:val="0"/>
          <w:bCs w:val="0"/>
          <w:sz w:val="24"/>
          <w:szCs w:val="24"/>
        </w:rPr>
        <w:t>proving the return on investment of short-term commercial promotion and lifelong customer relationship. In the era of fintech, new technologies such as big data and artificial intelligence can effectively identify customers' unique needs and provide personalized financial products or services tailored to them.</w:t>
      </w:r>
    </w:p>
    <w:p>
      <w:pPr>
        <w:numPr>
          <w:ilvl w:val="0"/>
          <w:numId w:val="0"/>
        </w:numPr>
        <w:ind w:leftChars="0"/>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18" w:name="_Toc15616"/>
      <w:bookmarkStart w:id="19" w:name="_Toc4036"/>
      <w:bookmarkStart w:id="20" w:name="_Toc6862"/>
      <w:r>
        <w:rPr>
          <w:rFonts w:hint="default" w:ascii="Arial" w:hAnsi="Arial" w:eastAsia="黑体" w:cs="Arial"/>
          <w:b/>
          <w:bCs/>
          <w:sz w:val="24"/>
          <w:szCs w:val="24"/>
        </w:rPr>
        <w:t>2. Relationship marketing theory</w:t>
      </w:r>
      <w:bookmarkEnd w:id="18"/>
      <w:bookmarkEnd w:id="19"/>
      <w:bookmarkEnd w:id="20"/>
    </w:p>
    <w:p>
      <w:pPr>
        <w:numPr>
          <w:ilvl w:val="0"/>
          <w:numId w:val="0"/>
        </w:numPr>
        <w:ind w:leftChars="0"/>
        <w:jc w:val="both"/>
        <w:rPr>
          <w:rFonts w:hint="default" w:ascii="Arial" w:hAnsi="Arial" w:eastAsia="黑体" w:cs="Arial"/>
          <w:b w:val="0"/>
          <w:bCs w:val="0"/>
          <w:sz w:val="22"/>
          <w:szCs w:val="22"/>
        </w:rPr>
      </w:pPr>
      <w:r>
        <w:rPr>
          <w:rFonts w:hint="default" w:ascii="Arial" w:hAnsi="Arial" w:eastAsia="黑体" w:cs="Arial"/>
          <w:b w:val="0"/>
          <w:bCs w:val="0"/>
          <w:sz w:val="24"/>
          <w:szCs w:val="24"/>
        </w:rPr>
        <w:t>The so-called relationship marketing is to take marketing activities as an interactive process between enterprises and customers, whose core is to require both sides to establish and develop a good relationship. Commercial banks should pay attention to the use of relationship marketing theory to establish a good cooperative relationship with customers, explore and develop good customer resources, to ensure that product marketing and consumer emotion and demand integration, so as to win more customer loyalty.</w:t>
      </w:r>
    </w:p>
    <w:p>
      <w:pPr>
        <w:numPr>
          <w:ilvl w:val="0"/>
          <w:numId w:val="0"/>
        </w:numPr>
        <w:ind w:leftChars="0"/>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21" w:name="_Toc13797"/>
      <w:r>
        <w:rPr>
          <w:rFonts w:hint="default" w:ascii="Arial" w:hAnsi="Arial" w:eastAsia="黑体" w:cs="Arial"/>
          <w:b/>
          <w:bCs/>
          <w:sz w:val="24"/>
          <w:szCs w:val="24"/>
        </w:rPr>
        <w:t>3.SWOT analysis and customer relationship management</w:t>
      </w:r>
      <w:bookmarkEnd w:id="21"/>
    </w:p>
    <w:p>
      <w:pPr>
        <w:numPr>
          <w:ilvl w:val="0"/>
          <w:numId w:val="0"/>
        </w:numPr>
        <w:ind w:leftChars="0"/>
        <w:jc w:val="both"/>
        <w:rPr>
          <w:rFonts w:hint="default" w:ascii="Arial" w:hAnsi="Arial" w:eastAsia="黑体" w:cs="Arial"/>
          <w:b w:val="0"/>
          <w:bCs w:val="0"/>
          <w:sz w:val="24"/>
          <w:szCs w:val="24"/>
        </w:rPr>
      </w:pPr>
      <w:r>
        <w:rPr>
          <w:rFonts w:hint="default" w:ascii="Arial" w:hAnsi="Arial" w:eastAsia="黑体" w:cs="Arial"/>
          <w:b w:val="0"/>
          <w:bCs w:val="0"/>
          <w:sz w:val="24"/>
          <w:szCs w:val="24"/>
        </w:rPr>
        <w:t>SWOT refers to the comprehensive analysis of the external opportunities, threats and internal strengths and weaknesses of an enterprise, and then the formulation of marketing strategy combination strategies (SO, WO, ST, WT), which provides strategic and systematic support for the analysis of customer relationship management problems and the formulation of strategies. If customer relationship management is only analyzed from the internal level of the enterprise and lacks the perspective of external environment, internal environment and the combination of internal and external environment, the results obtained will be lack of strategic and systematic. At the same time, SWOT analysis also provides strategic guidance for the formulation of CRM strategies and ensures that the strategies and safeguard measures formulated are forward-looking and systematic..</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22" w:name="_Toc14104"/>
      <w:r>
        <w:rPr>
          <w:rFonts w:hint="default" w:ascii="Arial" w:hAnsi="Arial" w:eastAsia="黑体" w:cs="Arial"/>
          <w:b/>
          <w:bCs/>
          <w:sz w:val="24"/>
          <w:szCs w:val="24"/>
        </w:rPr>
        <w:t>Current situation of customer relationship management in Postal Savings Bank of China</w:t>
      </w:r>
      <w:bookmarkEnd w:id="22"/>
    </w:p>
    <w:p>
      <w:pPr>
        <w:jc w:val="both"/>
        <w:rPr>
          <w:rFonts w:hint="default" w:ascii="Arial" w:hAnsi="Arial" w:eastAsia="黑体" w:cs="Arial"/>
          <w:b/>
          <w:bCs/>
          <w:sz w:val="24"/>
          <w:szCs w:val="24"/>
        </w:rPr>
      </w:pPr>
    </w:p>
    <w:p>
      <w:pPr>
        <w:jc w:val="both"/>
        <w:outlineLvl w:val="0"/>
        <w:rPr>
          <w:rFonts w:hint="default" w:ascii="Arial" w:hAnsi="Arial" w:eastAsia="黑体" w:cs="Arial"/>
          <w:b/>
          <w:bCs/>
          <w:sz w:val="24"/>
          <w:szCs w:val="24"/>
        </w:rPr>
      </w:pPr>
      <w:bookmarkStart w:id="23" w:name="_Toc13193"/>
      <w:r>
        <w:rPr>
          <w:rFonts w:hint="eastAsia" w:ascii="Arial" w:hAnsi="Arial" w:eastAsia="黑体" w:cs="Arial"/>
          <w:b/>
          <w:bCs/>
          <w:sz w:val="24"/>
          <w:szCs w:val="24"/>
          <w:lang w:val="en-US" w:eastAsia="zh-CN"/>
        </w:rPr>
        <w:t>1.</w:t>
      </w:r>
      <w:r>
        <w:rPr>
          <w:rFonts w:hint="default" w:ascii="Arial" w:hAnsi="Arial" w:eastAsia="黑体" w:cs="Arial"/>
          <w:b/>
          <w:bCs/>
          <w:sz w:val="24"/>
          <w:szCs w:val="24"/>
        </w:rPr>
        <w:t>Comprehensive innovation and transformation of customer service methods</w:t>
      </w:r>
      <w:bookmarkEnd w:id="23"/>
    </w:p>
    <w:p>
      <w:pPr>
        <w:jc w:val="both"/>
        <w:rPr>
          <w:rFonts w:hint="default" w:ascii="Arial" w:hAnsi="Arial" w:eastAsia="黑体" w:cs="Arial"/>
          <w:b w:val="0"/>
          <w:bCs w:val="0"/>
          <w:sz w:val="24"/>
          <w:szCs w:val="24"/>
        </w:rPr>
      </w:pPr>
      <w:r>
        <w:rPr>
          <w:rFonts w:hint="default" w:ascii="Arial" w:hAnsi="Arial" w:eastAsia="黑体" w:cs="Arial"/>
          <w:b w:val="0"/>
          <w:bCs w:val="0"/>
          <w:sz w:val="24"/>
          <w:szCs w:val="24"/>
        </w:rPr>
        <w:t>Since its listing, Postal Savings Bank of China has focused on the full life cycle and all-round needs of customers, strengthened product and service innovation, improved customer service ability, and committed to cultivating more loyal customer relationship. It takes creating value for customers as the ultimate direction of survival and development.</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4"/>
          <w:szCs w:val="24"/>
        </w:rPr>
        <w:t>Postal Savings Bank takes building a first-class large retail bank as its development strategy, adheres to the customer-centered approach and creates value for customers. Guided by the six capabilities of professional core, system support, collaborative integration, technology boost, mechanism drive and innovation leadership, Postal Savings Bank builds differentiated competitive advantages and accelerates its transformation into a "wealth management bank". We focus on creating value for customers through refined customer stratification and group services, and help customers share economic growth dividends with professional asset allocation services. Strengthen credit product innovation, strengthen credit card process optimization, flexibly meet the diversified financing needs of customers; Explore the construction of an integrated cross-channel financial service system of "all-product, all-channel and all-customer base", build offline outlets into a platform for customers to create value, reach customers in an all-round way, provide better, convenient and warm financial services, and realize the value improvement of both customers and banks. By the end of 2022, personal banking revenue increased by 6.10% year-on-year, accounting for 70.28% of the operating revenue, up 0.68 percentage points year-on-year. It served 652 million individual customers and managed assets of individual customers (AUM) of 13.89 trillion yuan, an increase of 1.36 trillion yuan over the end of the previous year. Personal deposits reached 11.28 trillion yuan, an increase of 1.24 trillion yuan from the end of the previous year; Personal loans amounted to $4,046.105 billion, an increase of $289.952 billion from the end of the previous year.</w:t>
      </w:r>
    </w:p>
    <w:p>
      <w:pPr>
        <w:numPr>
          <w:ilvl w:val="0"/>
          <w:numId w:val="0"/>
        </w:numPr>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24" w:name="_Toc6087"/>
      <w:r>
        <w:rPr>
          <w:rFonts w:hint="eastAsia" w:ascii="Arial" w:hAnsi="Arial" w:eastAsia="黑体" w:cs="Arial"/>
          <w:b/>
          <w:bCs/>
          <w:sz w:val="24"/>
          <w:szCs w:val="24"/>
          <w:lang w:val="en-US" w:eastAsia="zh-CN"/>
        </w:rPr>
        <w:t>2.</w:t>
      </w:r>
      <w:r>
        <w:rPr>
          <w:rFonts w:hint="default" w:ascii="Arial" w:hAnsi="Arial" w:eastAsia="黑体" w:cs="Arial"/>
          <w:b/>
          <w:bCs/>
          <w:sz w:val="24"/>
          <w:szCs w:val="24"/>
        </w:rPr>
        <w:t>Comprehensively upgrade the layered service system for customers</w:t>
      </w:r>
      <w:bookmarkEnd w:id="24"/>
    </w:p>
    <w:p>
      <w:pPr>
        <w:jc w:val="both"/>
        <w:rPr>
          <w:rFonts w:hint="default" w:ascii="Arial" w:hAnsi="Arial" w:eastAsia="黑体" w:cs="Arial"/>
          <w:b w:val="0"/>
          <w:bCs w:val="0"/>
          <w:sz w:val="22"/>
          <w:szCs w:val="22"/>
        </w:rPr>
      </w:pPr>
      <w:r>
        <w:rPr>
          <w:rFonts w:hint="default" w:ascii="Arial" w:hAnsi="Arial" w:eastAsia="黑体" w:cs="Arial"/>
          <w:b w:val="0"/>
          <w:bCs w:val="0"/>
          <w:sz w:val="24"/>
          <w:szCs w:val="24"/>
        </w:rPr>
        <w:t>Postal Savings Bank of China adheres to the business philosophy of customer-centered and creating value for customers, and continues to make efforts in wealth management business. It is committed to building a stratified service system for customers in the whole wealth management chain, improving its professional asset allocation ability, escorting customers' benefits with high-quality products, laying a solid foundation for customer service with "close management", and building a team with system support. Broaden the breadth of wealth management with digital operation and cultivate the future of wealth management with investor education.</w:t>
      </w:r>
    </w:p>
    <w:p>
      <w:pPr>
        <w:jc w:val="both"/>
        <w:rPr>
          <w:rFonts w:hint="default" w:ascii="Arial" w:hAnsi="Arial" w:eastAsia="黑体" w:cs="Arial"/>
          <w:b w:val="0"/>
          <w:bCs w:val="0"/>
          <w:sz w:val="22"/>
          <w:szCs w:val="22"/>
        </w:rPr>
      </w:pPr>
    </w:p>
    <w:p>
      <w:pPr>
        <w:jc w:val="both"/>
        <w:rPr>
          <w:rFonts w:hint="default" w:ascii="Arial" w:hAnsi="Arial" w:eastAsia="黑体" w:cs="Arial"/>
          <w:b w:val="0"/>
          <w:bCs w:val="0"/>
          <w:sz w:val="22"/>
          <w:szCs w:val="22"/>
        </w:rPr>
      </w:pPr>
      <w:r>
        <w:rPr>
          <w:rFonts w:hint="default" w:ascii="Arial" w:hAnsi="Arial" w:eastAsia="黑体" w:cs="Arial"/>
          <w:b w:val="0"/>
          <w:bCs w:val="0"/>
          <w:sz w:val="24"/>
          <w:szCs w:val="24"/>
        </w:rPr>
        <w:t>Postal Savings Bank provides intelligent wealth experience services for public customers with assets less than 100,000 yuan, standardized products and combination services for "Jingui" customers with assets between 100,000 yuan and 500,000 yuan, and professional asset allocation services for "Fujia" customers with assets between 500,000 yuan and 6 million yuan. To provide personalized comprehensive financial services for "Ding Fu" customers with assets of more than 6 million yuan. At present, Postal Savings Bank has built and operated 33 wealth centers, released the brand "Postbank Wealth", and comprehensively upgraded stratified customer services. We have trained more than 50,000 financial managers, VIP financial managers and wealth consultants to provide clients with professional wealth management services. Relying on strong research and development capabilities, we have built a full-category and full-strategy wealth management product system to help customers maintain and increase the value of their assets. To accelerate the leading and enabling development of digital transformation, the customer Relationship management system (CRM) and wealth management system continue to iterate and upgrade, and use digital technology to gain in-depth insight into the wealth management needs of customers, so that wealth management services to thousands of households. By the end of 2022, there were 47.35 million VIP customers, an increase of 11.07% compared with the end of the previous year, and 4.2504 million Fujia and above customers, an increase of 19.32% compared with the end of the previous year. The number of customers allocating financial management, funds, asset management trust products increased significantly. In 2022, the income of intermediate business of wealth management will achieve a rapid growth of more than 40%.</w:t>
      </w:r>
    </w:p>
    <w:p>
      <w:pPr>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25" w:name="_Toc4430"/>
      <w:r>
        <w:rPr>
          <w:rFonts w:hint="eastAsia" w:ascii="Arial" w:hAnsi="Arial" w:eastAsia="黑体" w:cs="Arial"/>
          <w:b/>
          <w:bCs/>
          <w:sz w:val="24"/>
          <w:szCs w:val="24"/>
          <w:lang w:val="en-US" w:eastAsia="zh-CN"/>
        </w:rPr>
        <w:t>3.</w:t>
      </w:r>
      <w:r>
        <w:rPr>
          <w:rFonts w:hint="default" w:ascii="Arial" w:hAnsi="Arial" w:eastAsia="黑体" w:cs="Arial"/>
          <w:b/>
          <w:bCs/>
          <w:sz w:val="24"/>
          <w:szCs w:val="24"/>
        </w:rPr>
        <w:t>Improve the professional service system of Kechuang finance</w:t>
      </w:r>
      <w:bookmarkEnd w:id="25"/>
    </w:p>
    <w:p>
      <w:pPr>
        <w:jc w:val="both"/>
        <w:rPr>
          <w:rFonts w:hint="default" w:ascii="Arial" w:hAnsi="Arial" w:eastAsia="黑体" w:cs="Arial"/>
          <w:b w:val="0"/>
          <w:bCs w:val="0"/>
          <w:sz w:val="24"/>
          <w:szCs w:val="24"/>
        </w:rPr>
      </w:pPr>
      <w:r>
        <w:rPr>
          <w:rFonts w:hint="default" w:ascii="Arial" w:hAnsi="Arial" w:eastAsia="黑体" w:cs="Arial"/>
          <w:b w:val="0"/>
          <w:bCs w:val="0"/>
          <w:sz w:val="24"/>
          <w:szCs w:val="24"/>
        </w:rPr>
        <w:t>In the face of the impact of Internet finance on traditional commercial banks, Postal Savings of China accurately focused on customer needs, improved the intelligent marketing system, combined with marketing needs, launched a series of online marketing management tools, customer marketing management system cluster and digital system and mechanism construction has achieved certain results. Postal Savings Bank has carefully built an online CRM platform, innovated and empowered customer group refined management, built a scientific evaluation system, and realized the tracking of the whole process of online marketing. PSBC attaches great importance to the value of data assets and improves its data service capability. From data quality, data security, metadata management and other aspects, broaden the application channels, effectively improve the level of digital intelligence of customer service.</w:t>
      </w:r>
    </w:p>
    <w:p>
      <w:pPr>
        <w:jc w:val="both"/>
        <w:rPr>
          <w:rFonts w:hint="default" w:ascii="Arial" w:hAnsi="Arial" w:eastAsia="黑体" w:cs="Arial"/>
          <w:b w:val="0"/>
          <w:bCs w:val="0"/>
          <w:sz w:val="24"/>
          <w:szCs w:val="24"/>
        </w:rPr>
      </w:pPr>
    </w:p>
    <w:p>
      <w:pPr>
        <w:jc w:val="both"/>
        <w:rPr>
          <w:rFonts w:hint="default" w:ascii="Arial" w:hAnsi="Arial" w:eastAsia="黑体" w:cs="Arial"/>
          <w:b w:val="0"/>
          <w:bCs w:val="0"/>
          <w:sz w:val="22"/>
          <w:szCs w:val="22"/>
        </w:rPr>
      </w:pPr>
      <w:r>
        <w:rPr>
          <w:rFonts w:hint="default" w:ascii="Arial" w:hAnsi="Arial" w:eastAsia="黑体" w:cs="Arial"/>
          <w:b w:val="0"/>
          <w:bCs w:val="0"/>
          <w:sz w:val="24"/>
          <w:szCs w:val="24"/>
        </w:rPr>
        <w:t>At the same time, PSBC continues to increase its financial support for technological innovation of enterprises. Through specialized institutions and teams, refined marketing and risk control, distinctive products and services, and innovative business operation mode, PSBC continues to optimize the financial service system of scientific and technological innovation, and constantly improve the quality and effectiveness of financial services for specialized, specialized and innovative enterprises. By combining new and kechuang enterprise specialization, different stages of development and differentiation characteristics of mode of operation, adhere to lead manager customer service idea, precise focusing on specialization, new and kechuang enterprise financing letter, wealth management, payment and settlement and account management, capital markets, consultation between the five aspects of demand, elaborate the five product service line, Strive to provide customers with the whole chain, the whole life cycle service.</w:t>
      </w:r>
    </w:p>
    <w:p>
      <w:pPr>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26" w:name="_Toc22824"/>
      <w:r>
        <w:rPr>
          <w:rFonts w:hint="default" w:ascii="Arial" w:hAnsi="Arial" w:eastAsia="黑体" w:cs="Arial"/>
          <w:b/>
          <w:bCs/>
          <w:sz w:val="24"/>
          <w:szCs w:val="24"/>
        </w:rPr>
        <w:t>SWOT Analysis of Postal Savings Bank of China (Main findings of strategic Analysis and Critical evaluation of strategic Choices)</w:t>
      </w:r>
      <w:bookmarkEnd w:id="26"/>
    </w:p>
    <w:p>
      <w:pPr>
        <w:jc w:val="both"/>
        <w:rPr>
          <w:rFonts w:hint="default" w:ascii="Arial" w:hAnsi="Arial" w:eastAsia="黑体" w:cs="Arial"/>
          <w:b w:val="0"/>
          <w:bCs w:val="0"/>
          <w:sz w:val="24"/>
          <w:szCs w:val="24"/>
        </w:rPr>
      </w:pPr>
      <w:r>
        <w:rPr>
          <w:rFonts w:hint="default" w:ascii="Arial" w:hAnsi="Arial" w:eastAsia="黑体" w:cs="Arial"/>
          <w:b w:val="0"/>
          <w:bCs w:val="0"/>
          <w:sz w:val="24"/>
          <w:szCs w:val="24"/>
        </w:rPr>
        <w:t>It is very important to find the problem and seek the opportunity from the present situation to make the concrete improvement measures. The analysis model can help Postal Savings Bank of China make analysis and evaluation from the interrelation of internal and external environment, and accurately understand its position in the market. Through the current advantages and disadvantages, threats and opportunities of future development status analysis, forecast its future development direction and potential, and then greatly improve the scientific and effective countermeasures and suggestions.</w:t>
      </w:r>
    </w:p>
    <w:p>
      <w:pPr>
        <w:jc w:val="both"/>
        <w:rPr>
          <w:rFonts w:hint="default" w:ascii="Arial" w:hAnsi="Arial" w:eastAsia="黑体" w:cs="Arial"/>
          <w:b w:val="0"/>
          <w:bCs w:val="0"/>
          <w:sz w:val="22"/>
          <w:szCs w:val="22"/>
        </w:rPr>
      </w:pPr>
    </w:p>
    <w:p>
      <w:pPr>
        <w:jc w:val="both"/>
        <w:outlineLvl w:val="1"/>
        <w:rPr>
          <w:rFonts w:hint="default" w:ascii="Arial" w:hAnsi="Arial" w:eastAsia="黑体" w:cs="Arial"/>
          <w:b/>
          <w:bCs/>
          <w:sz w:val="24"/>
          <w:szCs w:val="24"/>
        </w:rPr>
      </w:pPr>
      <w:bookmarkStart w:id="27" w:name="_Toc11962"/>
      <w:bookmarkStart w:id="28" w:name="_Toc19494"/>
      <w:bookmarkStart w:id="29" w:name="_Toc27860"/>
      <w:r>
        <w:rPr>
          <w:rFonts w:hint="default" w:ascii="Arial" w:hAnsi="Arial" w:eastAsia="黑体" w:cs="Arial"/>
          <w:b/>
          <w:bCs/>
          <w:sz w:val="24"/>
          <w:szCs w:val="24"/>
        </w:rPr>
        <w:t>Advantage analysis</w:t>
      </w:r>
      <w:bookmarkEnd w:id="27"/>
      <w:bookmarkEnd w:id="28"/>
      <w:bookmarkEnd w:id="29"/>
    </w:p>
    <w:p>
      <w:pPr>
        <w:jc w:val="both"/>
        <w:rPr>
          <w:rFonts w:hint="default" w:ascii="Arial" w:hAnsi="Arial" w:eastAsia="黑体" w:cs="Arial"/>
          <w:b/>
          <w:bCs/>
          <w:sz w:val="24"/>
          <w:szCs w:val="24"/>
        </w:rPr>
      </w:pPr>
    </w:p>
    <w:p>
      <w:pPr>
        <w:numPr>
          <w:ilvl w:val="0"/>
          <w:numId w:val="1"/>
        </w:numPr>
        <w:jc w:val="both"/>
        <w:outlineLvl w:val="0"/>
        <w:rPr>
          <w:rFonts w:hint="eastAsia" w:ascii="Arial" w:hAnsi="Arial" w:eastAsia="黑体" w:cs="Arial"/>
          <w:b/>
          <w:bCs/>
          <w:sz w:val="24"/>
          <w:szCs w:val="24"/>
          <w:lang w:val="en-US" w:eastAsia="zh-CN"/>
        </w:rPr>
      </w:pPr>
      <w:bookmarkStart w:id="30" w:name="_Toc7505"/>
      <w:bookmarkStart w:id="31" w:name="_Toc1874"/>
      <w:bookmarkStart w:id="32" w:name="_Toc15425"/>
      <w:r>
        <w:rPr>
          <w:rFonts w:hint="eastAsia" w:ascii="Arial" w:hAnsi="Arial" w:eastAsia="黑体" w:cs="Arial"/>
          <w:b/>
          <w:bCs/>
          <w:sz w:val="24"/>
          <w:szCs w:val="24"/>
          <w:lang w:val="en-US" w:eastAsia="zh-CN"/>
        </w:rPr>
        <w:t>Network resource advantage</w:t>
      </w:r>
      <w:bookmarkEnd w:id="30"/>
      <w:bookmarkEnd w:id="31"/>
      <w:bookmarkEnd w:id="32"/>
    </w:p>
    <w:p>
      <w:pPr>
        <w:jc w:val="both"/>
        <w:rPr>
          <w:rFonts w:hint="default" w:ascii="Arial" w:hAnsi="Arial" w:eastAsia="黑体" w:cs="Arial"/>
          <w:b w:val="0"/>
          <w:bCs w:val="0"/>
          <w:sz w:val="24"/>
          <w:szCs w:val="24"/>
          <w:lang w:val="en-US" w:eastAsia="zh-CN"/>
        </w:rPr>
      </w:pPr>
      <w:r>
        <w:rPr>
          <w:rFonts w:hint="default" w:ascii="Arial" w:hAnsi="Arial" w:eastAsia="黑体" w:cs="Arial"/>
          <w:b w:val="0"/>
          <w:bCs w:val="0"/>
          <w:sz w:val="24"/>
          <w:szCs w:val="24"/>
          <w:lang w:val="en-US" w:eastAsia="zh-CN"/>
        </w:rPr>
        <w:t>Postal Savings Bank of China was established as a commercial bank on the basis of the reform of the savings management system of the former Postal Group. It has maintained a good cooperative relationship with the Postal Group for a long time, and has formed a nationwide marketing system relying on the business outlets of the Postal Group. By the end of 2022, PSBC had a total of 39,533 branches, far surpassing the five major banks of China, Agriculture, Industry, Communications and Construction. Among them, there are only 7777 self-operated outlets, and 31,756 agent outlets of the postal group, accounting for 80.33% of the total business outlets.</w:t>
      </w:r>
    </w:p>
    <w:p>
      <w:pPr>
        <w:jc w:val="both"/>
        <w:rPr>
          <w:rFonts w:hint="default" w:ascii="Arial" w:hAnsi="Arial" w:eastAsia="黑体" w:cs="Arial"/>
          <w:b w:val="0"/>
          <w:bCs w:val="0"/>
          <w:sz w:val="22"/>
          <w:szCs w:val="22"/>
          <w:lang w:val="en-US" w:eastAsia="zh-CN"/>
        </w:rPr>
      </w:pPr>
    </w:p>
    <w:p>
      <w:pPr>
        <w:jc w:val="both"/>
        <w:rPr>
          <w:rFonts w:hint="default" w:ascii="Arial" w:hAnsi="Arial" w:eastAsia="黑体" w:cs="Arial"/>
          <w:b w:val="0"/>
          <w:bCs w:val="0"/>
          <w:sz w:val="22"/>
          <w:szCs w:val="22"/>
          <w:lang w:val="en-US" w:eastAsia="zh-CN"/>
        </w:rPr>
      </w:pPr>
      <w:r>
        <w:rPr>
          <w:rFonts w:hint="default" w:ascii="Arial" w:hAnsi="Arial" w:eastAsia="黑体" w:cs="Arial"/>
          <w:b w:val="0"/>
          <w:bCs w:val="0"/>
          <w:sz w:val="24"/>
          <w:szCs w:val="24"/>
          <w:lang w:val="en-US" w:eastAsia="zh-CN"/>
        </w:rPr>
        <w:t>In accordance with the Framework Agreement on Entrusted Banking Business between Postal Savings Bank and China Post Group Co., LTD. (the "Framework Agreement"), the agency outlets shall provide savings deposit absorption services, settlement financial services, agency financial services and other services in the name of Postal Savings Bank (the "Agency Banking Business"); Postal Savings Bank shall pay the agency fee to China Post Group Limited for the above services. The agreement will help PSBC and Postal Group share a large customer base and business channels, creating a unique business model that cannot be replicated by other banks.</w:t>
      </w:r>
    </w:p>
    <w:p>
      <w:pPr>
        <w:jc w:val="both"/>
        <w:rPr>
          <w:rFonts w:hint="default" w:ascii="Arial" w:hAnsi="Arial" w:eastAsia="黑体" w:cs="Arial"/>
          <w:b w:val="0"/>
          <w:bCs w:val="0"/>
          <w:sz w:val="22"/>
          <w:szCs w:val="22"/>
          <w:lang w:val="en-US" w:eastAsia="zh-CN"/>
        </w:rPr>
      </w:pPr>
    </w:p>
    <w:p>
      <w:pPr>
        <w:numPr>
          <w:ilvl w:val="0"/>
          <w:numId w:val="1"/>
        </w:numPr>
        <w:ind w:left="0" w:leftChars="0" w:firstLine="0" w:firstLineChars="0"/>
        <w:jc w:val="both"/>
        <w:outlineLvl w:val="0"/>
        <w:rPr>
          <w:rFonts w:hint="eastAsia" w:ascii="Arial" w:hAnsi="Arial" w:eastAsia="黑体" w:cs="Arial"/>
          <w:b/>
          <w:bCs/>
          <w:sz w:val="24"/>
          <w:szCs w:val="24"/>
          <w:lang w:val="en-US" w:eastAsia="zh-CN"/>
        </w:rPr>
      </w:pPr>
      <w:bookmarkStart w:id="33" w:name="_Toc29983"/>
      <w:bookmarkStart w:id="34" w:name="_Toc3982"/>
      <w:bookmarkStart w:id="35" w:name="_Toc5725"/>
      <w:r>
        <w:rPr>
          <w:rFonts w:hint="eastAsia" w:ascii="Arial" w:hAnsi="Arial" w:eastAsia="黑体" w:cs="Arial"/>
          <w:b/>
          <w:bCs/>
          <w:sz w:val="24"/>
          <w:szCs w:val="24"/>
          <w:lang w:val="en-US" w:eastAsia="zh-CN"/>
        </w:rPr>
        <w:t>Customer resource advantage</w:t>
      </w:r>
      <w:bookmarkEnd w:id="33"/>
      <w:bookmarkEnd w:id="34"/>
      <w:bookmarkEnd w:id="35"/>
    </w:p>
    <w:p>
      <w:pPr>
        <w:jc w:val="both"/>
        <w:rPr>
          <w:rFonts w:hint="default" w:ascii="Arial" w:hAnsi="Arial" w:eastAsia="黑体" w:cs="Arial"/>
          <w:b w:val="0"/>
          <w:bCs w:val="0"/>
          <w:sz w:val="24"/>
          <w:szCs w:val="24"/>
          <w:lang w:val="en-US" w:eastAsia="zh-CN"/>
        </w:rPr>
      </w:pPr>
      <w:r>
        <w:rPr>
          <w:rFonts w:hint="default" w:ascii="Arial" w:hAnsi="Arial" w:eastAsia="黑体" w:cs="Arial"/>
          <w:b w:val="0"/>
          <w:bCs w:val="0"/>
          <w:sz w:val="24"/>
          <w:szCs w:val="24"/>
          <w:lang w:val="en-US" w:eastAsia="zh-CN"/>
        </w:rPr>
        <w:t>In the period of single postal savings service, Postal Savings Bank had already accumulated very rich customer resources. In addition, the diversified financial services after the establishment of Postal Savings Bank provided a large number of new customers. Especially in rural areas where there is almost no competition in retail business, Postal savings banks have become the only choice for customers, whose customer loyalty is much higher than that of urban commercial banks. Compared with other rural financial institutions such as rural credit cooperatives and rural commercial banks, rural migrant workers tend to choose Postal savings banks with national network. The closed loop of e-commerce, logistics and financial services formed by the development of rural e-commerce platforms has, to some extent, formed a customer base different from the other five banks.</w:t>
      </w:r>
    </w:p>
    <w:p>
      <w:pPr>
        <w:jc w:val="both"/>
        <w:rPr>
          <w:rFonts w:hint="default" w:ascii="Arial" w:hAnsi="Arial" w:eastAsia="黑体" w:cs="Arial"/>
          <w:b w:val="0"/>
          <w:bCs w:val="0"/>
          <w:sz w:val="22"/>
          <w:szCs w:val="22"/>
          <w:lang w:val="en-US" w:eastAsia="zh-CN"/>
        </w:rPr>
      </w:pPr>
    </w:p>
    <w:p>
      <w:pPr>
        <w:jc w:val="both"/>
        <w:rPr>
          <w:rFonts w:hint="default" w:ascii="Arial" w:hAnsi="Arial" w:eastAsia="黑体" w:cs="Arial"/>
          <w:b w:val="0"/>
          <w:bCs w:val="0"/>
          <w:sz w:val="22"/>
          <w:szCs w:val="22"/>
          <w:lang w:val="en-US" w:eastAsia="zh-CN"/>
        </w:rPr>
      </w:pPr>
      <w:r>
        <w:rPr>
          <w:rFonts w:hint="default" w:ascii="Arial" w:hAnsi="Arial" w:eastAsia="黑体" w:cs="Arial"/>
          <w:b w:val="0"/>
          <w:bCs w:val="0"/>
          <w:sz w:val="24"/>
          <w:szCs w:val="24"/>
          <w:lang w:val="en-US" w:eastAsia="zh-CN"/>
        </w:rPr>
        <w:t>When PSBC was founded in 2007, it had only 140 million customers. By the end of 2022, it had 650 million customers, accounting for 46% of China's population. Almost one in two people holds a PSBC account. China's new rural financial market still has a large number of untapped customer groups and profit blind spots. With the continuous growth of rural residents' disposable income, the number of customers of Postal Savings Bank has a large room to increase.</w:t>
      </w:r>
    </w:p>
    <w:p>
      <w:pPr>
        <w:jc w:val="both"/>
        <w:rPr>
          <w:rFonts w:hint="default" w:ascii="Arial" w:hAnsi="Arial" w:eastAsia="黑体" w:cs="Arial"/>
          <w:b w:val="0"/>
          <w:bCs w:val="0"/>
          <w:sz w:val="22"/>
          <w:szCs w:val="22"/>
          <w:lang w:val="en-US" w:eastAsia="zh-CN"/>
        </w:rPr>
      </w:pPr>
    </w:p>
    <w:p>
      <w:pPr>
        <w:numPr>
          <w:ilvl w:val="0"/>
          <w:numId w:val="1"/>
        </w:numPr>
        <w:ind w:left="0" w:leftChars="0" w:firstLine="0" w:firstLineChars="0"/>
        <w:jc w:val="both"/>
        <w:outlineLvl w:val="0"/>
        <w:rPr>
          <w:rFonts w:hint="eastAsia" w:ascii="Arial" w:hAnsi="Arial" w:eastAsia="黑体" w:cs="Arial"/>
          <w:b/>
          <w:bCs/>
          <w:sz w:val="24"/>
          <w:szCs w:val="24"/>
          <w:lang w:val="en-US" w:eastAsia="zh-CN"/>
        </w:rPr>
      </w:pPr>
      <w:bookmarkStart w:id="36" w:name="_Toc31280"/>
      <w:bookmarkStart w:id="37" w:name="_Toc30291"/>
      <w:bookmarkStart w:id="38" w:name="_Toc9985"/>
      <w:r>
        <w:rPr>
          <w:rFonts w:hint="eastAsia" w:ascii="Arial" w:hAnsi="Arial" w:eastAsia="黑体" w:cs="Arial"/>
          <w:b/>
          <w:bCs/>
          <w:sz w:val="24"/>
          <w:szCs w:val="24"/>
          <w:lang w:val="en-US" w:eastAsia="zh-CN"/>
        </w:rPr>
        <w:t>National policy advantage</w:t>
      </w:r>
      <w:bookmarkEnd w:id="36"/>
      <w:bookmarkEnd w:id="37"/>
      <w:bookmarkEnd w:id="38"/>
    </w:p>
    <w:p>
      <w:pPr>
        <w:jc w:val="both"/>
        <w:rPr>
          <w:rFonts w:hint="default" w:ascii="Arial" w:hAnsi="Arial" w:eastAsia="黑体" w:cs="Arial"/>
          <w:b w:val="0"/>
          <w:bCs w:val="0"/>
          <w:sz w:val="24"/>
          <w:szCs w:val="24"/>
          <w:lang w:val="en-US" w:eastAsia="zh-CN"/>
        </w:rPr>
      </w:pPr>
      <w:r>
        <w:rPr>
          <w:rFonts w:hint="default" w:ascii="Arial" w:hAnsi="Arial" w:eastAsia="黑体" w:cs="Arial"/>
          <w:b w:val="0"/>
          <w:bCs w:val="0"/>
          <w:sz w:val="24"/>
          <w:szCs w:val="24"/>
          <w:lang w:val="en-US" w:eastAsia="zh-CN"/>
        </w:rPr>
        <w:t>Serving agriculture, rural areas and farmers, serving small and medium-sized enterprises, and persisting in serving the community are the three strategic positioning of Postal Savings Bank of China when it was founded. This positioning is highly consistent with the development strategies of agriculture, rural areas and farmers, rural revitalization, inclusive finance and new urbanization implemented by the Chinese government in recent years. The network layout of Postal Savings Bank can effectively support the industrial development of rural areas and central and western regions, and give full play to the role of financial services in the development of rural real economy.</w:t>
      </w:r>
    </w:p>
    <w:p>
      <w:pPr>
        <w:jc w:val="both"/>
        <w:rPr>
          <w:rFonts w:hint="default" w:ascii="Arial" w:hAnsi="Arial" w:eastAsia="黑体" w:cs="Arial"/>
          <w:b w:val="0"/>
          <w:bCs w:val="0"/>
          <w:sz w:val="22"/>
          <w:szCs w:val="22"/>
          <w:lang w:val="en-US" w:eastAsia="zh-CN"/>
        </w:rPr>
      </w:pPr>
    </w:p>
    <w:p>
      <w:pPr>
        <w:jc w:val="both"/>
        <w:rPr>
          <w:rFonts w:hint="default" w:ascii="Arial" w:hAnsi="Arial" w:eastAsia="黑体" w:cs="Arial"/>
          <w:b w:val="0"/>
          <w:bCs w:val="0"/>
          <w:sz w:val="22"/>
          <w:szCs w:val="22"/>
          <w:lang w:val="en-US" w:eastAsia="zh-CN"/>
        </w:rPr>
      </w:pPr>
      <w:r>
        <w:rPr>
          <w:rFonts w:hint="default" w:ascii="Arial" w:hAnsi="Arial" w:eastAsia="黑体" w:cs="Arial"/>
          <w:b w:val="0"/>
          <w:bCs w:val="0"/>
          <w:sz w:val="24"/>
          <w:szCs w:val="24"/>
          <w:lang w:val="en-US" w:eastAsia="zh-CN"/>
        </w:rPr>
        <w:t>For example, in 2018, Postal Savings Bank of China was supported by the preferential tax policy of The State Council for agriculture-related loans. The tax rate reduction on the interest income of agriculture-related loans of Postal Savings Bank of China, which has a large amount of agriculture-related loans, is conducive to promoting institutional innovation of Postal Savings Bank, improving the sustainability of its financial services for agriculture, rural areas and farmers, and building a more vertical and efficient rural financial service system of Postal Savings Bank.</w:t>
      </w:r>
    </w:p>
    <w:p>
      <w:pPr>
        <w:jc w:val="both"/>
        <w:rPr>
          <w:rFonts w:hint="default" w:ascii="Arial" w:hAnsi="Arial" w:eastAsia="黑体" w:cs="Arial"/>
          <w:b w:val="0"/>
          <w:bCs w:val="0"/>
          <w:sz w:val="22"/>
          <w:szCs w:val="22"/>
          <w:lang w:val="en-US" w:eastAsia="zh-CN"/>
        </w:rPr>
      </w:pPr>
    </w:p>
    <w:p>
      <w:pPr>
        <w:jc w:val="both"/>
        <w:outlineLvl w:val="1"/>
        <w:rPr>
          <w:rFonts w:hint="default" w:ascii="Arial" w:hAnsi="Arial" w:eastAsia="黑体" w:cs="Arial"/>
          <w:b/>
          <w:bCs/>
          <w:sz w:val="24"/>
          <w:szCs w:val="24"/>
          <w:lang w:val="en-US" w:eastAsia="zh-CN"/>
        </w:rPr>
      </w:pPr>
      <w:bookmarkStart w:id="39" w:name="_Toc23977"/>
      <w:r>
        <w:rPr>
          <w:rFonts w:hint="default" w:ascii="Arial" w:hAnsi="Arial" w:eastAsia="黑体" w:cs="Arial"/>
          <w:b/>
          <w:bCs/>
          <w:sz w:val="24"/>
          <w:szCs w:val="24"/>
          <w:lang w:val="en-US" w:eastAsia="zh-CN"/>
        </w:rPr>
        <w:t>Disadvantage analysis</w:t>
      </w:r>
      <w:bookmarkEnd w:id="39"/>
    </w:p>
    <w:p>
      <w:pPr>
        <w:numPr>
          <w:ilvl w:val="0"/>
          <w:numId w:val="0"/>
        </w:numPr>
        <w:ind w:leftChars="0"/>
        <w:jc w:val="both"/>
        <w:rPr>
          <w:rFonts w:hint="default" w:ascii="Arial" w:hAnsi="Arial" w:eastAsia="黑体" w:cs="Arial"/>
          <w:b/>
          <w:bCs/>
          <w:sz w:val="24"/>
          <w:szCs w:val="24"/>
          <w:lang w:val="en-US" w:eastAsia="zh-CN"/>
        </w:rPr>
      </w:pPr>
    </w:p>
    <w:p>
      <w:pPr>
        <w:numPr>
          <w:ilvl w:val="0"/>
          <w:numId w:val="2"/>
        </w:numPr>
        <w:ind w:leftChars="0"/>
        <w:jc w:val="both"/>
        <w:outlineLvl w:val="0"/>
        <w:rPr>
          <w:rFonts w:hint="default" w:ascii="Arial" w:hAnsi="Arial" w:eastAsia="黑体" w:cs="Arial"/>
          <w:b/>
          <w:bCs/>
          <w:sz w:val="24"/>
          <w:szCs w:val="24"/>
          <w:lang w:val="en-US" w:eastAsia="zh-CN"/>
        </w:rPr>
      </w:pPr>
      <w:bookmarkStart w:id="40" w:name="_Toc19345"/>
      <w:bookmarkStart w:id="41" w:name="_Toc25586"/>
      <w:bookmarkStart w:id="42" w:name="_Toc23129"/>
      <w:r>
        <w:rPr>
          <w:rFonts w:hint="eastAsia" w:ascii="Arial" w:hAnsi="Arial" w:eastAsia="黑体" w:cs="Arial"/>
          <w:b/>
          <w:bCs/>
          <w:sz w:val="24"/>
          <w:szCs w:val="24"/>
          <w:lang w:val="en-US" w:eastAsia="zh-CN"/>
        </w:rPr>
        <w:t>Too dependent on traditional business</w:t>
      </w:r>
      <w:bookmarkEnd w:id="40"/>
      <w:bookmarkEnd w:id="41"/>
      <w:bookmarkEnd w:id="42"/>
    </w:p>
    <w:p>
      <w:pPr>
        <w:jc w:val="both"/>
        <w:rPr>
          <w:rFonts w:hint="default" w:ascii="Arial" w:hAnsi="Arial" w:eastAsia="黑体" w:cs="Arial"/>
          <w:b w:val="0"/>
          <w:bCs w:val="0"/>
          <w:sz w:val="22"/>
          <w:szCs w:val="22"/>
          <w:lang w:val="en-US" w:eastAsia="zh-CN"/>
        </w:rPr>
      </w:pPr>
      <w:r>
        <w:rPr>
          <w:rFonts w:hint="default" w:ascii="Arial" w:hAnsi="Arial" w:eastAsia="黑体" w:cs="Arial"/>
          <w:b w:val="0"/>
          <w:bCs w:val="0"/>
          <w:sz w:val="24"/>
          <w:szCs w:val="24"/>
          <w:lang w:val="en-US" w:eastAsia="zh-CN"/>
        </w:rPr>
        <w:t>For a long time, the main income of commercial banks is basically from the net interest income of deposit and loan business. However, with the transformation and upgrading of the mixed operation of commercial banks, more and more commercial banks have begun to increase the investment in intermediate business, and the proportion of income from emerging business is constantly expanding. However, Postal Savings Banks have been relying on policies for survival for a long time, and their single business mode is insufficient. Sources of income other than net interest income are scarce. By the end of 2022, the commission ratio of PSBC to its operating income was 8.49%, which is much lower than the average 13% ratio of the five major banks.</w:t>
      </w:r>
    </w:p>
    <w:p>
      <w:pPr>
        <w:jc w:val="both"/>
        <w:rPr>
          <w:rFonts w:hint="default" w:ascii="Arial" w:hAnsi="Arial" w:eastAsia="黑体" w:cs="Arial"/>
          <w:b w:val="0"/>
          <w:bCs w:val="0"/>
          <w:sz w:val="22"/>
          <w:szCs w:val="22"/>
          <w:lang w:val="en-US" w:eastAsia="zh-CN"/>
        </w:rPr>
      </w:pPr>
    </w:p>
    <w:p>
      <w:pPr>
        <w:numPr>
          <w:ilvl w:val="0"/>
          <w:numId w:val="2"/>
        </w:numPr>
        <w:ind w:leftChars="0"/>
        <w:jc w:val="both"/>
        <w:outlineLvl w:val="0"/>
        <w:rPr>
          <w:rFonts w:hint="eastAsia" w:ascii="Arial" w:hAnsi="Arial" w:eastAsia="黑体" w:cs="Arial"/>
          <w:b/>
          <w:bCs/>
          <w:sz w:val="24"/>
          <w:szCs w:val="24"/>
          <w:lang w:val="en-US" w:eastAsia="zh-CN"/>
        </w:rPr>
      </w:pPr>
      <w:bookmarkStart w:id="43" w:name="_Toc31551"/>
      <w:r>
        <w:rPr>
          <w:rFonts w:hint="eastAsia" w:ascii="Arial" w:hAnsi="Arial" w:eastAsia="黑体" w:cs="Arial"/>
          <w:b/>
          <w:bCs/>
          <w:sz w:val="24"/>
          <w:szCs w:val="24"/>
          <w:lang w:val="en-US" w:eastAsia="zh-CN"/>
        </w:rPr>
        <w:t>There is a shortage of high-level innovative talents</w:t>
      </w:r>
      <w:bookmarkEnd w:id="43"/>
    </w:p>
    <w:p>
      <w:pPr>
        <w:jc w:val="both"/>
        <w:rPr>
          <w:rFonts w:hint="default" w:ascii="Arial" w:hAnsi="Arial" w:eastAsia="黑体" w:cs="Arial"/>
          <w:b w:val="0"/>
          <w:bCs w:val="0"/>
          <w:sz w:val="24"/>
          <w:szCs w:val="24"/>
          <w:lang w:val="en-US" w:eastAsia="zh-CN"/>
        </w:rPr>
      </w:pPr>
      <w:r>
        <w:rPr>
          <w:rFonts w:hint="default" w:ascii="Arial" w:hAnsi="Arial" w:eastAsia="黑体" w:cs="Arial"/>
          <w:b w:val="0"/>
          <w:bCs w:val="0"/>
          <w:sz w:val="24"/>
          <w:szCs w:val="24"/>
          <w:lang w:val="en-US" w:eastAsia="zh-CN"/>
        </w:rPr>
        <w:t>Postal Savings Bank of China inherited a large number of employees of the original postal savings offices when it was spun off from the Postal Group. Since most postal savings offices are distributed in some remote areas of the country, especially the vast rural areas, the quality of the employees is relatively low. In recent years, Postal Savings Bank has continuously improved the educational level of its employees. The proportion of employees with bachelor's degree or above ranks the second among the six state-owned banks, while those with master's degree or above rank the second last among the six banks, and high-level innovative talents are relatively insufficient.</w:t>
      </w:r>
    </w:p>
    <w:p>
      <w:pPr>
        <w:jc w:val="both"/>
        <w:rPr>
          <w:rFonts w:hint="default" w:ascii="Arial" w:hAnsi="Arial" w:eastAsia="黑体" w:cs="Arial"/>
          <w:b w:val="0"/>
          <w:bCs w:val="0"/>
          <w:sz w:val="24"/>
          <w:szCs w:val="24"/>
          <w:lang w:val="en-US" w:eastAsia="zh-CN"/>
        </w:rPr>
      </w:pPr>
    </w:p>
    <w:p>
      <w:pPr>
        <w:jc w:val="both"/>
        <w:rPr>
          <w:rFonts w:hint="default" w:ascii="Arial" w:hAnsi="Arial" w:eastAsia="黑体" w:cs="Arial"/>
          <w:b w:val="0"/>
          <w:bCs w:val="0"/>
          <w:sz w:val="22"/>
          <w:szCs w:val="22"/>
          <w:lang w:val="en-US" w:eastAsia="zh-CN"/>
        </w:rPr>
      </w:pPr>
      <w:r>
        <w:rPr>
          <w:rFonts w:hint="default" w:ascii="Arial" w:hAnsi="Arial" w:eastAsia="黑体" w:cs="Arial"/>
          <w:b w:val="0"/>
          <w:bCs w:val="0"/>
          <w:sz w:val="24"/>
          <w:szCs w:val="24"/>
          <w:lang w:val="en-US" w:eastAsia="zh-CN"/>
        </w:rPr>
        <w:t>With the increasing diversified and personalized demand of customers for financial services, the bottleneck of talent shortage leads to the lack of product R&amp;D and innovation ability. The branches spread all over the country and are too scattered, which also causes some difficulties in personnel training and management. The orientation training of new employees generally adopts the centralized training mode, but the professional training of employees after entry is obviously insufficient, which makes it difficult to keep up with the reform and development of the financial market. The customer service concept is not strong, which causes great obstacles to the further development of PSBC.</w:t>
      </w:r>
    </w:p>
    <w:p>
      <w:pPr>
        <w:jc w:val="both"/>
        <w:rPr>
          <w:rFonts w:hint="default" w:ascii="Arial" w:hAnsi="Arial" w:eastAsia="黑体" w:cs="Arial"/>
          <w:b w:val="0"/>
          <w:bCs w:val="0"/>
          <w:sz w:val="22"/>
          <w:szCs w:val="22"/>
          <w:lang w:val="en-US" w:eastAsia="zh-CN"/>
        </w:rPr>
      </w:pPr>
    </w:p>
    <w:p>
      <w:pPr>
        <w:numPr>
          <w:ilvl w:val="0"/>
          <w:numId w:val="2"/>
        </w:numPr>
        <w:ind w:left="0" w:leftChars="0" w:firstLine="0" w:firstLineChars="0"/>
        <w:jc w:val="both"/>
        <w:outlineLvl w:val="0"/>
        <w:rPr>
          <w:rFonts w:hint="eastAsia" w:ascii="Arial" w:hAnsi="Arial" w:eastAsia="黑体" w:cs="Arial"/>
          <w:b/>
          <w:bCs/>
          <w:sz w:val="24"/>
          <w:szCs w:val="24"/>
          <w:lang w:val="en-US" w:eastAsia="zh-CN"/>
        </w:rPr>
      </w:pPr>
      <w:bookmarkStart w:id="44" w:name="_Toc25580"/>
      <w:bookmarkStart w:id="45" w:name="_Toc10554"/>
      <w:bookmarkStart w:id="46" w:name="_Toc10466"/>
      <w:r>
        <w:rPr>
          <w:rFonts w:hint="eastAsia" w:ascii="Arial" w:hAnsi="Arial" w:eastAsia="黑体" w:cs="Arial"/>
          <w:b/>
          <w:bCs/>
          <w:sz w:val="24"/>
          <w:szCs w:val="24"/>
          <w:lang w:val="en-US" w:eastAsia="zh-CN"/>
        </w:rPr>
        <w:t>Lack of dominant brand business</w:t>
      </w:r>
      <w:bookmarkEnd w:id="44"/>
      <w:bookmarkEnd w:id="45"/>
      <w:bookmarkEnd w:id="46"/>
    </w:p>
    <w:p>
      <w:pPr>
        <w:jc w:val="both"/>
        <w:rPr>
          <w:rFonts w:hint="eastAsia" w:ascii="Arial" w:hAnsi="Arial" w:eastAsia="黑体" w:cs="Arial"/>
          <w:b w:val="0"/>
          <w:bCs w:val="0"/>
          <w:sz w:val="24"/>
          <w:szCs w:val="24"/>
          <w:lang w:val="en-US" w:eastAsia="zh-CN"/>
        </w:rPr>
      </w:pPr>
      <w:r>
        <w:rPr>
          <w:rFonts w:hint="eastAsia" w:ascii="Arial" w:hAnsi="Arial" w:eastAsia="黑体" w:cs="Arial"/>
          <w:b w:val="0"/>
          <w:bCs w:val="0"/>
          <w:sz w:val="24"/>
          <w:szCs w:val="24"/>
          <w:lang w:val="en-US" w:eastAsia="zh-CN"/>
        </w:rPr>
        <w:t>After the establishment of PSBC in 2007, PSBC began to study and implement its own brand strategy. Due to the lack of talents and experience in financial product design and capital market operation, it is difficult to meet the requirements of diversified development trend in business fields. Although after more than ten years of unremitting efforts, the brand strategy of serving the rural market has begun to bear fruit, there is still a big gap in serving small and medium-sized enterprises and communities compared with other five state-owned banks and joint-stock commercial banks. There are disadvantages such as brand construction staying at the product level, lack of brand services, and brand connotation construction to be improved.</w:t>
      </w:r>
    </w:p>
    <w:p>
      <w:pPr>
        <w:jc w:val="both"/>
        <w:rPr>
          <w:rFonts w:hint="eastAsia" w:ascii="Arial" w:hAnsi="Arial" w:eastAsia="黑体" w:cs="Arial"/>
          <w:b w:val="0"/>
          <w:bCs w:val="0"/>
          <w:sz w:val="22"/>
          <w:szCs w:val="22"/>
          <w:lang w:val="en-US" w:eastAsia="zh-CN"/>
        </w:rPr>
      </w:pPr>
    </w:p>
    <w:p>
      <w:pPr>
        <w:jc w:val="both"/>
        <w:rPr>
          <w:rFonts w:hint="eastAsia" w:ascii="Arial" w:hAnsi="Arial" w:eastAsia="黑体" w:cs="Arial"/>
          <w:b w:val="0"/>
          <w:bCs w:val="0"/>
          <w:sz w:val="24"/>
          <w:szCs w:val="24"/>
          <w:lang w:val="en-US" w:eastAsia="zh-CN"/>
        </w:rPr>
      </w:pPr>
      <w:r>
        <w:rPr>
          <w:rFonts w:hint="eastAsia" w:ascii="Arial" w:hAnsi="Arial" w:eastAsia="黑体" w:cs="Arial"/>
          <w:b w:val="0"/>
          <w:bCs w:val="0"/>
          <w:sz w:val="24"/>
          <w:szCs w:val="24"/>
          <w:lang w:val="en-US" w:eastAsia="zh-CN"/>
        </w:rPr>
        <w:t>For example, in terms of financial services, the product structure and types are relatively simple, which is more homogenous than those of other commercial banks. Few financial products reflect the operating characteristics and advantages of Postal Savings Bank. Due to the lack of financial market demand in rural areas and the lack of competitiveness in urban financial markets, it is difficult to provide customers with personalized financial products, which affects the overall operating efficiency of PSBC to a certain extent.</w:t>
      </w:r>
    </w:p>
    <w:p>
      <w:pPr>
        <w:jc w:val="both"/>
        <w:rPr>
          <w:rFonts w:hint="eastAsia" w:ascii="Arial" w:hAnsi="Arial" w:eastAsia="黑体" w:cs="Arial"/>
          <w:b w:val="0"/>
          <w:bCs w:val="0"/>
          <w:sz w:val="22"/>
          <w:szCs w:val="22"/>
          <w:lang w:val="en-US" w:eastAsia="zh-CN"/>
        </w:rPr>
      </w:pPr>
    </w:p>
    <w:p>
      <w:pPr>
        <w:jc w:val="both"/>
        <w:outlineLvl w:val="1"/>
        <w:rPr>
          <w:rFonts w:hint="default" w:ascii="Arial" w:hAnsi="Arial" w:eastAsia="黑体" w:cs="Arial"/>
          <w:b/>
          <w:bCs/>
          <w:sz w:val="24"/>
          <w:szCs w:val="24"/>
          <w:lang w:val="en-US" w:eastAsia="zh-CN"/>
        </w:rPr>
      </w:pPr>
      <w:bookmarkStart w:id="47" w:name="_Toc12136"/>
      <w:r>
        <w:rPr>
          <w:rFonts w:hint="default" w:ascii="Arial" w:hAnsi="Arial" w:eastAsia="黑体" w:cs="Arial"/>
          <w:b/>
          <w:bCs/>
          <w:sz w:val="24"/>
          <w:szCs w:val="24"/>
          <w:lang w:val="en-US" w:eastAsia="zh-CN"/>
        </w:rPr>
        <w:t>Threat analysis</w:t>
      </w:r>
      <w:bookmarkEnd w:id="47"/>
    </w:p>
    <w:p>
      <w:pPr>
        <w:numPr>
          <w:ilvl w:val="0"/>
          <w:numId w:val="0"/>
        </w:numPr>
        <w:ind w:leftChars="0"/>
        <w:jc w:val="both"/>
        <w:rPr>
          <w:rFonts w:hint="default" w:ascii="Arial" w:hAnsi="Arial" w:eastAsia="黑体" w:cs="Arial"/>
          <w:b/>
          <w:bCs/>
          <w:sz w:val="24"/>
          <w:szCs w:val="24"/>
          <w:lang w:val="en-US" w:eastAsia="zh-CN"/>
        </w:rPr>
      </w:pPr>
    </w:p>
    <w:p>
      <w:pPr>
        <w:numPr>
          <w:ilvl w:val="0"/>
          <w:numId w:val="0"/>
        </w:numPr>
        <w:jc w:val="both"/>
        <w:outlineLvl w:val="0"/>
        <w:rPr>
          <w:rFonts w:hint="default" w:ascii="Arial" w:hAnsi="Arial" w:eastAsia="黑体" w:cs="Arial"/>
          <w:b/>
          <w:bCs/>
          <w:sz w:val="24"/>
          <w:szCs w:val="24"/>
          <w:lang w:val="en-US" w:eastAsia="zh-CN"/>
        </w:rPr>
      </w:pPr>
      <w:bookmarkStart w:id="48" w:name="_Toc27703"/>
      <w:r>
        <w:rPr>
          <w:rFonts w:hint="eastAsia" w:ascii="Arial" w:hAnsi="Arial" w:eastAsia="黑体" w:cs="Arial"/>
          <w:b/>
          <w:bCs/>
          <w:sz w:val="24"/>
          <w:szCs w:val="24"/>
          <w:lang w:val="en-US" w:eastAsia="zh-CN"/>
        </w:rPr>
        <w:t>1.</w:t>
      </w:r>
      <w:r>
        <w:rPr>
          <w:rFonts w:hint="default" w:ascii="Arial" w:hAnsi="Arial" w:eastAsia="黑体" w:cs="Arial"/>
          <w:b/>
          <w:bCs/>
          <w:sz w:val="24"/>
          <w:szCs w:val="24"/>
          <w:lang w:val="en-US" w:eastAsia="zh-CN"/>
        </w:rPr>
        <w:t>The market is becoming more competitive</w:t>
      </w:r>
      <w:bookmarkEnd w:id="48"/>
    </w:p>
    <w:p>
      <w:pPr>
        <w:jc w:val="both"/>
        <w:rPr>
          <w:rFonts w:hint="default" w:ascii="Arial" w:hAnsi="Arial" w:eastAsia="黑体" w:cs="Arial"/>
          <w:b w:val="0"/>
          <w:bCs w:val="0"/>
          <w:sz w:val="24"/>
          <w:szCs w:val="24"/>
          <w:lang w:val="en-US" w:eastAsia="zh-CN"/>
        </w:rPr>
      </w:pPr>
      <w:r>
        <w:rPr>
          <w:rFonts w:hint="default" w:ascii="Arial" w:hAnsi="Arial" w:eastAsia="黑体" w:cs="Arial"/>
          <w:b w:val="0"/>
          <w:bCs w:val="0"/>
          <w:sz w:val="24"/>
          <w:szCs w:val="24"/>
          <w:lang w:val="en-US" w:eastAsia="zh-CN"/>
        </w:rPr>
        <w:t>With the continuous construction and development of Chinese financial market and financial system, the competition from all sides of the market is increasingly fierce. In particular, the reform and development of rural financial markets make urban commercial banks start to pay attention to the development of rural financial services. Major commercial banks actively explore the financial market of agriculture, rural areas and farmers by participating in the establishment of rural banks and setting up mobile financial networks in the harvest season of agricultural products, which poses a certain threat to the stable and high-quality customer resources of Postal Savings Bank. At the same time, with the sinking of Internet finance business to the rural market, it has a certain impact on the traditional credit business and payment and settlement intermediary business of Postal Savings Bank.</w:t>
      </w:r>
    </w:p>
    <w:p>
      <w:pPr>
        <w:jc w:val="both"/>
        <w:rPr>
          <w:rFonts w:hint="default" w:ascii="Arial" w:hAnsi="Arial" w:eastAsia="黑体" w:cs="Arial"/>
          <w:b w:val="0"/>
          <w:bCs w:val="0"/>
          <w:sz w:val="22"/>
          <w:szCs w:val="22"/>
          <w:lang w:val="en-US" w:eastAsia="zh-CN"/>
        </w:rPr>
      </w:pPr>
    </w:p>
    <w:p>
      <w:pPr>
        <w:numPr>
          <w:ilvl w:val="0"/>
          <w:numId w:val="0"/>
        </w:numPr>
        <w:ind w:leftChars="0"/>
        <w:jc w:val="both"/>
        <w:outlineLvl w:val="0"/>
        <w:rPr>
          <w:rFonts w:hint="eastAsia" w:ascii="Arial" w:hAnsi="Arial" w:eastAsia="黑体" w:cs="Arial"/>
          <w:b/>
          <w:bCs/>
          <w:sz w:val="24"/>
          <w:szCs w:val="24"/>
          <w:lang w:val="en-US" w:eastAsia="zh-CN"/>
        </w:rPr>
      </w:pPr>
      <w:bookmarkStart w:id="49" w:name="_Toc67"/>
      <w:bookmarkStart w:id="50" w:name="_Toc2201"/>
      <w:bookmarkStart w:id="51" w:name="_Toc30062"/>
      <w:r>
        <w:rPr>
          <w:rFonts w:hint="eastAsia" w:ascii="Arial" w:hAnsi="Arial" w:eastAsia="黑体" w:cs="Arial"/>
          <w:b/>
          <w:bCs/>
          <w:sz w:val="24"/>
          <w:szCs w:val="24"/>
          <w:lang w:val="en-US" w:eastAsia="zh-CN"/>
        </w:rPr>
        <w:t>2.High credit risk and operational risk</w:t>
      </w:r>
      <w:bookmarkEnd w:id="49"/>
      <w:bookmarkEnd w:id="50"/>
      <w:bookmarkEnd w:id="51"/>
    </w:p>
    <w:p>
      <w:pPr>
        <w:jc w:val="both"/>
        <w:rPr>
          <w:rFonts w:hint="default" w:ascii="Arial" w:hAnsi="Arial" w:eastAsia="黑体" w:cs="Arial"/>
          <w:b w:val="0"/>
          <w:bCs w:val="0"/>
          <w:sz w:val="24"/>
          <w:szCs w:val="24"/>
          <w:lang w:val="en-US" w:eastAsia="zh-CN"/>
        </w:rPr>
      </w:pPr>
      <w:r>
        <w:rPr>
          <w:rFonts w:hint="default" w:ascii="Arial" w:hAnsi="Arial" w:eastAsia="黑体" w:cs="Arial"/>
          <w:b w:val="0"/>
          <w:bCs w:val="0"/>
          <w:sz w:val="24"/>
          <w:szCs w:val="24"/>
          <w:lang w:val="en-US" w:eastAsia="zh-CN"/>
        </w:rPr>
        <w:t>In the economically underdeveloped rural areas, the social credit awareness of farmers and farmers is not strong, the credit investigation market is developing slowly, and the credit evaluation system of Postal Savings Bank of China has not been fully established, coupled with the lack of effective guarantee of farmers and farmers, leading to serious credit risks in the business loans of "agriculture, rural areas and farmers". The talent disadvantage of Postal Savings Bank makes its ability to identify and control credit business risks deficient. At the same time, the development of some new business varieties lacks the guarantee of effective internal control system, and the operation risk is frequent. According to the statistics of consumer complaints about financial services in China's banking sector released by China Banking and Insurance Regulatory Commission, Postal Savings Bank has topped the list of complaints for two consecutive years in 2021-2022, which reflects obvious weaknesses in service quality and consumer rights protection in relevant business departments of Postal Savings Bank.</w:t>
      </w:r>
    </w:p>
    <w:p>
      <w:pPr>
        <w:jc w:val="both"/>
        <w:rPr>
          <w:rFonts w:hint="default" w:ascii="Arial" w:hAnsi="Arial" w:eastAsia="黑体" w:cs="Arial"/>
          <w:b w:val="0"/>
          <w:bCs w:val="0"/>
          <w:sz w:val="22"/>
          <w:szCs w:val="22"/>
          <w:lang w:val="en-US" w:eastAsia="zh-CN"/>
        </w:rPr>
      </w:pPr>
    </w:p>
    <w:p>
      <w:pPr>
        <w:numPr>
          <w:ilvl w:val="0"/>
          <w:numId w:val="0"/>
        </w:numPr>
        <w:ind w:leftChars="0"/>
        <w:jc w:val="both"/>
        <w:outlineLvl w:val="0"/>
        <w:rPr>
          <w:rFonts w:hint="default" w:ascii="Arial" w:hAnsi="Arial" w:eastAsia="黑体" w:cs="Arial"/>
          <w:b/>
          <w:bCs/>
          <w:sz w:val="24"/>
          <w:szCs w:val="24"/>
          <w:lang w:val="en-US" w:eastAsia="zh-CN"/>
        </w:rPr>
      </w:pPr>
      <w:bookmarkStart w:id="52" w:name="_Toc12084"/>
      <w:r>
        <w:rPr>
          <w:rFonts w:hint="default" w:ascii="Arial" w:hAnsi="Arial" w:eastAsia="黑体" w:cs="Arial"/>
          <w:b/>
          <w:bCs/>
          <w:sz w:val="24"/>
          <w:szCs w:val="24"/>
          <w:lang w:val="en-US" w:eastAsia="zh-CN"/>
        </w:rPr>
        <w:t>Chance analysis</w:t>
      </w:r>
      <w:bookmarkEnd w:id="52"/>
    </w:p>
    <w:p>
      <w:pPr>
        <w:numPr>
          <w:ilvl w:val="0"/>
          <w:numId w:val="0"/>
        </w:numPr>
        <w:ind w:leftChars="0"/>
        <w:jc w:val="both"/>
        <w:rPr>
          <w:rFonts w:hint="default" w:ascii="Arial" w:hAnsi="Arial" w:eastAsia="黑体" w:cs="Arial"/>
          <w:b/>
          <w:bCs/>
          <w:sz w:val="24"/>
          <w:szCs w:val="24"/>
          <w:lang w:val="en-US" w:eastAsia="zh-CN"/>
        </w:rPr>
      </w:pPr>
    </w:p>
    <w:p>
      <w:pPr>
        <w:numPr>
          <w:ilvl w:val="0"/>
          <w:numId w:val="0"/>
        </w:numPr>
        <w:jc w:val="both"/>
        <w:rPr>
          <w:rFonts w:hint="eastAsia" w:ascii="Arial" w:hAnsi="Arial" w:eastAsia="黑体" w:cs="Arial"/>
          <w:b w:val="0"/>
          <w:bCs w:val="0"/>
          <w:sz w:val="24"/>
          <w:szCs w:val="24"/>
          <w:lang w:val="en-US" w:eastAsia="zh-CN"/>
        </w:rPr>
      </w:pPr>
      <w:r>
        <w:rPr>
          <w:rFonts w:hint="eastAsia" w:ascii="Arial" w:hAnsi="Arial" w:eastAsia="黑体" w:cs="Arial"/>
          <w:b/>
          <w:bCs/>
          <w:sz w:val="24"/>
          <w:szCs w:val="24"/>
          <w:lang w:val="en-US" w:eastAsia="zh-CN"/>
        </w:rPr>
        <w:t>1.National policies support development</w:t>
      </w:r>
      <w:bookmarkStart w:id="61" w:name="_GoBack"/>
      <w:bookmarkEnd w:id="61"/>
      <w:r>
        <w:rPr>
          <w:rFonts w:hint="eastAsia" w:ascii="Arial" w:hAnsi="Arial" w:eastAsia="黑体" w:cs="Arial"/>
          <w:b/>
          <w:bCs/>
          <w:sz w:val="24"/>
          <w:szCs w:val="24"/>
          <w:lang w:val="en-US" w:eastAsia="zh-CN"/>
        </w:rPr>
        <w:br w:type="textWrapping"/>
      </w:r>
      <w:r>
        <w:rPr>
          <w:rFonts w:hint="eastAsia" w:ascii="Arial" w:hAnsi="Arial" w:eastAsia="黑体" w:cs="Arial"/>
          <w:b w:val="0"/>
          <w:bCs w:val="0"/>
          <w:sz w:val="24"/>
          <w:szCs w:val="24"/>
          <w:lang w:val="en-US" w:eastAsia="zh-CN"/>
        </w:rPr>
        <w:t>From the overall situation of China's current national policies, rural issues have always been the focus of the object of solution, and many of the policies have a certain connection with the issues of agriculture, rural areas and farmers. In the financial policies issued by the People's Bank of China and other financial regulatory departments, the importance and necessity of financial services for the development of agriculture, rural areas and farmers have been repeatedly mentioned in order to promote the effect of the national policy of supporting agriculture. As a Postal Savings Bank, if it can make full use of the above policy dividends brought about by the development of agriculture, rural areas, give full play to its own operating advantages and characteristics, continue to deeply cultivate the financial market in rural areas, and constantly tap the demand of high-quality customers and potential financial services, it will provide greater opportunities and impetus for its development.</w:t>
      </w:r>
    </w:p>
    <w:p>
      <w:pPr>
        <w:numPr>
          <w:ilvl w:val="0"/>
          <w:numId w:val="0"/>
        </w:numPr>
        <w:jc w:val="both"/>
        <w:rPr>
          <w:rFonts w:hint="eastAsia" w:ascii="Arial" w:hAnsi="Arial" w:eastAsia="黑体" w:cs="Arial"/>
          <w:b w:val="0"/>
          <w:bCs w:val="0"/>
          <w:sz w:val="22"/>
          <w:szCs w:val="22"/>
          <w:lang w:val="en-US" w:eastAsia="zh-CN"/>
        </w:rPr>
      </w:pPr>
    </w:p>
    <w:p>
      <w:pPr>
        <w:numPr>
          <w:ilvl w:val="0"/>
          <w:numId w:val="0"/>
        </w:numPr>
        <w:jc w:val="both"/>
        <w:rPr>
          <w:rFonts w:hint="eastAsia" w:ascii="Arial" w:hAnsi="Arial" w:eastAsia="黑体" w:cs="Arial"/>
          <w:b/>
          <w:bCs/>
          <w:sz w:val="24"/>
          <w:szCs w:val="24"/>
          <w:lang w:val="en-US" w:eastAsia="zh-CN"/>
        </w:rPr>
      </w:pPr>
      <w:r>
        <w:rPr>
          <w:rFonts w:hint="eastAsia" w:ascii="Arial" w:hAnsi="Arial" w:eastAsia="黑体" w:cs="Arial"/>
          <w:b/>
          <w:bCs/>
          <w:sz w:val="24"/>
          <w:szCs w:val="24"/>
          <w:lang w:val="en-US" w:eastAsia="zh-CN"/>
        </w:rPr>
        <w:t>2.Fintech improves operational efficiency</w:t>
      </w:r>
    </w:p>
    <w:p>
      <w:pPr>
        <w:numPr>
          <w:ilvl w:val="0"/>
          <w:numId w:val="0"/>
        </w:numPr>
        <w:jc w:val="both"/>
        <w:rPr>
          <w:rFonts w:hint="eastAsia" w:ascii="Arial" w:hAnsi="Arial" w:eastAsia="黑体" w:cs="Arial"/>
          <w:b w:val="0"/>
          <w:bCs w:val="0"/>
          <w:sz w:val="22"/>
          <w:szCs w:val="22"/>
          <w:lang w:val="en-US" w:eastAsia="zh-CN"/>
        </w:rPr>
      </w:pPr>
      <w:r>
        <w:rPr>
          <w:rFonts w:hint="eastAsia" w:ascii="Arial" w:hAnsi="Arial" w:eastAsia="黑体" w:cs="Arial"/>
          <w:b w:val="0"/>
          <w:bCs w:val="0"/>
          <w:sz w:val="24"/>
          <w:szCs w:val="24"/>
          <w:lang w:val="en-US" w:eastAsia="zh-CN"/>
        </w:rPr>
        <w:t>For commercial banks, the development of digital finance is conducive to the reshaping and upgrading of financial services and their own transformation and development. Postal Savings Bank has huge customer resources. If it can continue to strengthen data capacity building and make sleeping data assets "live, move and use" to support customer analysis, product innovation, marketing expansion, risk monitoring and other business scenarios, it will greatly improve the efficiency of customer identification, intensive operation, risk prevention and control and other fields. Continuous financial technology innovation can fully improve the operating efficiency and business processing speed of PSBC, effectively reduce operating costs and business costs, and improve the comprehensive competitiveness of PSBC.</w:t>
      </w:r>
    </w:p>
    <w:p>
      <w:pPr>
        <w:jc w:val="both"/>
        <w:rPr>
          <w:rFonts w:hint="default" w:ascii="Arial" w:hAnsi="Arial" w:eastAsia="黑体" w:cs="Arial"/>
          <w:b w:val="0"/>
          <w:bCs w:val="0"/>
          <w:sz w:val="22"/>
          <w:szCs w:val="22"/>
        </w:rPr>
      </w:pPr>
    </w:p>
    <w:p>
      <w:pPr>
        <w:jc w:val="both"/>
        <w:outlineLvl w:val="0"/>
        <w:rPr>
          <w:rFonts w:hint="default" w:ascii="Arial" w:hAnsi="Arial" w:eastAsia="黑体" w:cs="Arial"/>
          <w:b/>
          <w:bCs/>
          <w:sz w:val="24"/>
          <w:szCs w:val="24"/>
        </w:rPr>
      </w:pPr>
      <w:bookmarkStart w:id="53" w:name="_Toc28940"/>
      <w:bookmarkStart w:id="54" w:name="_Toc11149"/>
      <w:bookmarkStart w:id="55" w:name="_Toc21133"/>
      <w:r>
        <w:rPr>
          <w:rFonts w:hint="default" w:ascii="Arial" w:hAnsi="Arial" w:eastAsia="黑体" w:cs="Arial"/>
          <w:b/>
          <w:bCs/>
          <w:sz w:val="24"/>
          <w:szCs w:val="24"/>
        </w:rPr>
        <w:t>Conclusion</w:t>
      </w:r>
      <w:bookmarkEnd w:id="53"/>
      <w:bookmarkEnd w:id="54"/>
      <w:bookmarkEnd w:id="55"/>
    </w:p>
    <w:p>
      <w:pPr>
        <w:numPr>
          <w:ilvl w:val="0"/>
          <w:numId w:val="0"/>
        </w:numPr>
        <w:jc w:val="both"/>
        <w:rPr>
          <w:rFonts w:hint="default" w:ascii="Arial" w:hAnsi="Arial" w:eastAsia="黑体" w:cs="Arial"/>
          <w:b w:val="0"/>
          <w:bCs w:val="0"/>
          <w:sz w:val="24"/>
          <w:szCs w:val="24"/>
          <w:lang w:val="en-US" w:eastAsia="zh-CN"/>
        </w:rPr>
      </w:pPr>
      <w:r>
        <w:rPr>
          <w:rFonts w:hint="default" w:ascii="Arial" w:hAnsi="Arial" w:eastAsia="黑体" w:cs="Arial"/>
          <w:b w:val="0"/>
          <w:bCs w:val="0"/>
          <w:sz w:val="24"/>
          <w:szCs w:val="24"/>
          <w:lang w:val="en-US" w:eastAsia="zh-CN"/>
        </w:rPr>
        <w:t>According to the above SWOT analysis of Postal Savings Bank of China, compared with other large commercial banks, the development of Postal Savings Bank of China has its unique advantages, but also faces certain disadvantages. On the one hand, PSBC has branches all over the country in urban and rural areas, with stable and sufficient customer resources. Meanwhile, its strategic positioning and market positioning are in line with national policies on agriculture, rural development, and it has the advantage of policy support. On the other hand, PSBC has to face disadvantages such as relying too much on credit spread income, low income from intermediate business, insufficient reserve of high-end talents, and unestablished business system of dominant brand.</w:t>
      </w:r>
    </w:p>
    <w:p>
      <w:pPr>
        <w:numPr>
          <w:ilvl w:val="0"/>
          <w:numId w:val="0"/>
        </w:numPr>
        <w:jc w:val="both"/>
        <w:rPr>
          <w:rFonts w:hint="default" w:ascii="Arial" w:hAnsi="Arial" w:eastAsia="黑体" w:cs="Arial"/>
          <w:b w:val="0"/>
          <w:bCs w:val="0"/>
          <w:sz w:val="24"/>
          <w:szCs w:val="24"/>
          <w:lang w:val="en-US" w:eastAsia="zh-CN"/>
        </w:rPr>
      </w:pPr>
    </w:p>
    <w:p>
      <w:pPr>
        <w:numPr>
          <w:ilvl w:val="0"/>
          <w:numId w:val="0"/>
        </w:numPr>
        <w:jc w:val="both"/>
        <w:rPr>
          <w:rFonts w:hint="default" w:ascii="Arial" w:hAnsi="Arial" w:eastAsia="黑体" w:cs="Arial"/>
          <w:b w:val="0"/>
          <w:bCs w:val="0"/>
          <w:sz w:val="24"/>
          <w:szCs w:val="24"/>
          <w:lang w:val="en-US" w:eastAsia="zh-CN"/>
        </w:rPr>
      </w:pPr>
      <w:r>
        <w:rPr>
          <w:rFonts w:hint="default" w:ascii="Arial" w:hAnsi="Arial" w:eastAsia="黑体" w:cs="Arial"/>
          <w:b w:val="0"/>
          <w:bCs w:val="0"/>
          <w:sz w:val="24"/>
          <w:szCs w:val="24"/>
          <w:lang w:val="en-US" w:eastAsia="zh-CN"/>
        </w:rPr>
        <w:t>Although PSBC is also facing the threat of increasingly fierce market competition and weak risk management ability, with the further improvement of fintech innovation and financial market environment, if PSBC can take full advantage of national policy support and effectively use fintech technology to strengthen customer relationship management, product research and development and risk control, it will help enhance its core competitiveness. And then seek more stable and more effective development.</w:t>
      </w:r>
    </w:p>
    <w:p>
      <w:pPr>
        <w:jc w:val="both"/>
        <w:rPr>
          <w:rFonts w:hint="default" w:ascii="Arial" w:hAnsi="Arial" w:eastAsia="黑体" w:cs="Arial"/>
          <w:b w:val="0"/>
          <w:bCs w:val="0"/>
          <w:sz w:val="22"/>
          <w:szCs w:val="22"/>
        </w:rPr>
      </w:pPr>
    </w:p>
    <w:p>
      <w:pPr>
        <w:numPr>
          <w:ilvl w:val="0"/>
          <w:numId w:val="0"/>
        </w:numPr>
        <w:ind w:leftChars="0"/>
        <w:jc w:val="both"/>
        <w:outlineLvl w:val="0"/>
        <w:rPr>
          <w:rFonts w:hint="default" w:ascii="Arial" w:hAnsi="Arial" w:eastAsia="黑体" w:cs="Arial"/>
          <w:b/>
          <w:bCs/>
          <w:sz w:val="24"/>
          <w:szCs w:val="24"/>
        </w:rPr>
      </w:pPr>
      <w:bookmarkStart w:id="56" w:name="_Toc31668"/>
      <w:bookmarkStart w:id="57" w:name="_Toc113"/>
      <w:bookmarkStart w:id="58" w:name="_Toc7978"/>
      <w:r>
        <w:rPr>
          <w:rFonts w:hint="default" w:ascii="Arial" w:hAnsi="Arial" w:eastAsia="黑体" w:cs="Arial"/>
          <w:b/>
          <w:bCs/>
          <w:sz w:val="24"/>
          <w:szCs w:val="24"/>
        </w:rPr>
        <w:t>Suggestion</w:t>
      </w:r>
      <w:bookmarkEnd w:id="56"/>
      <w:bookmarkEnd w:id="57"/>
      <w:bookmarkEnd w:id="58"/>
    </w:p>
    <w:p>
      <w:pPr>
        <w:numPr>
          <w:ilvl w:val="0"/>
          <w:numId w:val="0"/>
        </w:numPr>
        <w:ind w:leftChars="0"/>
        <w:jc w:val="both"/>
        <w:rPr>
          <w:rFonts w:hint="default" w:ascii="Arial" w:hAnsi="Arial" w:eastAsia="黑体" w:cs="Arial"/>
          <w:b/>
          <w:bCs/>
          <w:sz w:val="24"/>
          <w:szCs w:val="24"/>
        </w:rPr>
      </w:pPr>
    </w:p>
    <w:p>
      <w:pPr>
        <w:jc w:val="both"/>
        <w:rPr>
          <w:rFonts w:hint="default" w:ascii="Arial" w:hAnsi="Arial" w:eastAsia="黑体" w:cs="Arial"/>
          <w:b w:val="0"/>
          <w:bCs w:val="0"/>
          <w:sz w:val="24"/>
          <w:szCs w:val="24"/>
        </w:rPr>
      </w:pPr>
      <w:r>
        <w:rPr>
          <w:rFonts w:hint="default" w:ascii="Arial" w:hAnsi="Arial" w:eastAsia="黑体" w:cs="Arial"/>
          <w:b w:val="0"/>
          <w:bCs w:val="0"/>
          <w:sz w:val="24"/>
          <w:szCs w:val="24"/>
        </w:rPr>
        <w:t>1. Intermediary business is characterized by low capital occupation, low risk, high customer stickiness and strong income stability, which is an effective way for banks to optimize their income structure and enhance their operating capacity. In view of the problems of over-reliance on the spread income of traditional credit business and insufficient income from intermediary business, PSBC should give full play to the advantages of agency cooperation with Postal Group, accelerate the upgrading of wealth management strategy, promote the growth of AUM scale and structure, and promote the steady growth of net income from agency fees. Improve customer life cycle management and promotion and operation of credit card business to drive the growth of customer and consumption transaction scale.</w:t>
      </w:r>
    </w:p>
    <w:p>
      <w:pPr>
        <w:jc w:val="both"/>
        <w:rPr>
          <w:rFonts w:hint="default" w:ascii="Arial" w:hAnsi="Arial" w:eastAsia="黑体" w:cs="Arial"/>
          <w:b w:val="0"/>
          <w:bCs w:val="0"/>
          <w:sz w:val="24"/>
          <w:szCs w:val="24"/>
        </w:rPr>
      </w:pPr>
    </w:p>
    <w:p>
      <w:pPr>
        <w:jc w:val="both"/>
        <w:rPr>
          <w:rFonts w:hint="default" w:ascii="Arial" w:hAnsi="Arial" w:eastAsia="黑体" w:cs="Arial"/>
          <w:b w:val="0"/>
          <w:bCs w:val="0"/>
          <w:sz w:val="24"/>
          <w:szCs w:val="24"/>
        </w:rPr>
      </w:pPr>
      <w:r>
        <w:rPr>
          <w:rFonts w:hint="default" w:ascii="Arial" w:hAnsi="Arial" w:eastAsia="黑体" w:cs="Arial"/>
          <w:b w:val="0"/>
          <w:bCs w:val="0"/>
          <w:sz w:val="24"/>
          <w:szCs w:val="24"/>
        </w:rPr>
        <w:t>2. Talent is invisible on the balance sheet, but the most important intangible asset, is the most valuable wealth in the process of enterprise growth. PSC should constantly innovate the talent cultivation mechanism, focus on the strategic goal of building a "first-class large retail bank", focus on the innovation and development of urgently needed high-end talent training, and promote the construction of various talent teams as a whole, thus providing intellectual support for the comprehensive implementation of the talent forcing strategy. At the same time, it can strengthen the professional training of old employees after their entry by means of network remote training, eliminate the disadvantages of centralized training for employees with too wide network distribution, form a strategic talent echelon, comprehensively improve customer service management ability, and effectively prevent operational risks.</w:t>
      </w:r>
    </w:p>
    <w:p>
      <w:pPr>
        <w:jc w:val="both"/>
        <w:rPr>
          <w:rFonts w:hint="default" w:ascii="Arial" w:hAnsi="Arial" w:eastAsia="黑体" w:cs="Arial"/>
          <w:b w:val="0"/>
          <w:bCs w:val="0"/>
          <w:sz w:val="24"/>
          <w:szCs w:val="24"/>
        </w:rPr>
      </w:pPr>
    </w:p>
    <w:p>
      <w:pPr>
        <w:jc w:val="both"/>
        <w:rPr>
          <w:rFonts w:hint="default" w:ascii="Arial" w:hAnsi="Arial" w:eastAsia="黑体" w:cs="Arial"/>
          <w:b w:val="0"/>
          <w:bCs w:val="0"/>
          <w:sz w:val="24"/>
          <w:szCs w:val="24"/>
        </w:rPr>
      </w:pPr>
      <w:r>
        <w:rPr>
          <w:rFonts w:hint="default" w:ascii="Arial" w:hAnsi="Arial" w:eastAsia="黑体" w:cs="Arial"/>
          <w:b w:val="0"/>
          <w:bCs w:val="0"/>
          <w:sz w:val="24"/>
          <w:szCs w:val="24"/>
        </w:rPr>
        <w:t>3. Dominant brand business is the key factor for PSBC's differentiated and distinctive operation. With its nationwide network of outlets in both urban and rural areas, PSBC naturally has the resource advantage to open up the "last mile of financial services", and has the best gene to develop inclusive finance and serve "agriculture, rural areas and farmers". PSBC should, based on its own characteristics, establish a multi-dimensional and multi-level coordination mechanism in terms of customers, channels and products, deepen the cooperation between bank and mail, bank and securities, bank and insurance, develop and promote suitable green and inclusive financial products such as "agriculture, rural areas", "small and micro" and consumption, and provide comprehensive financial service solutions for customers in rural areas to enhance market competitiveness.</w:t>
      </w:r>
    </w:p>
    <w:p>
      <w:pPr>
        <w:jc w:val="both"/>
        <w:rPr>
          <w:rFonts w:hint="default" w:ascii="Arial" w:hAnsi="Arial" w:eastAsia="黑体" w:cs="Arial"/>
          <w:b w:val="0"/>
          <w:bCs w:val="0"/>
          <w:sz w:val="22"/>
          <w:szCs w:val="22"/>
        </w:rPr>
      </w:pPr>
    </w:p>
    <w:p>
      <w:pPr>
        <w:numPr>
          <w:ilvl w:val="0"/>
          <w:numId w:val="0"/>
        </w:numPr>
        <w:ind w:leftChars="0"/>
        <w:jc w:val="both"/>
        <w:rPr>
          <w:rFonts w:hint="default" w:ascii="Arial" w:hAnsi="Arial" w:eastAsia="黑体" w:cs="Arial"/>
          <w:b w:val="0"/>
          <w:bCs w:val="0"/>
          <w:sz w:val="24"/>
          <w:szCs w:val="24"/>
        </w:rPr>
      </w:pPr>
      <w:r>
        <w:rPr>
          <w:rFonts w:hint="eastAsia" w:ascii="Arial" w:hAnsi="Arial" w:eastAsia="黑体" w:cs="Arial"/>
          <w:b w:val="0"/>
          <w:bCs w:val="0"/>
          <w:sz w:val="24"/>
          <w:szCs w:val="24"/>
          <w:lang w:val="en-US" w:eastAsia="zh-CN"/>
        </w:rPr>
        <w:t>4.</w:t>
      </w:r>
      <w:r>
        <w:rPr>
          <w:rFonts w:hint="default" w:ascii="Arial" w:hAnsi="Arial" w:eastAsia="黑体" w:cs="Arial"/>
          <w:b w:val="0"/>
          <w:bCs w:val="0"/>
          <w:sz w:val="24"/>
          <w:szCs w:val="24"/>
        </w:rPr>
        <w:t>Fintech is the core driving force for the future development of commercial banking. PSBC should speed up the construction of big data platform, cloud computing platform, blockchain platform and artificial intelligence platform, effectively integrate them with traditional business in the front, middle and back, realize the new technology capabilities of customer marketing, operation management and risk management, and support the promotion of the strategy of first-class large retail banks. In particular, in terms of credit risk prevention, a dynamic risk early warning system based on the application of fintech should be built to manage customers' pre-loan and post-loan management from the aspects of credit operation process control, credit customer rating management, and the applicability of internal rating risk control model, so as to improve the risk anti-stress ability.</w:t>
      </w:r>
    </w:p>
    <w:p>
      <w:pPr>
        <w:numPr>
          <w:ilvl w:val="0"/>
          <w:numId w:val="0"/>
        </w:numPr>
        <w:ind w:leftChars="0"/>
        <w:jc w:val="both"/>
        <w:rPr>
          <w:rFonts w:hint="default" w:ascii="Arial" w:hAnsi="Arial" w:eastAsia="黑体" w:cs="Arial"/>
          <w:b w:val="0"/>
          <w:bCs w:val="0"/>
          <w:sz w:val="22"/>
          <w:szCs w:val="22"/>
        </w:rPr>
      </w:pPr>
    </w:p>
    <w:p>
      <w:pPr>
        <w:jc w:val="both"/>
        <w:outlineLvl w:val="0"/>
        <w:rPr>
          <w:rFonts w:hint="eastAsia" w:ascii="Arial" w:hAnsi="Arial" w:eastAsia="黑体" w:cs="Arial"/>
          <w:b/>
          <w:bCs/>
          <w:sz w:val="24"/>
          <w:szCs w:val="24"/>
          <w:lang w:eastAsia="zh-CN"/>
        </w:rPr>
      </w:pPr>
      <w:bookmarkStart w:id="59" w:name="_Toc14998"/>
      <w:r>
        <w:rPr>
          <w:rFonts w:hint="default" w:ascii="Arial" w:hAnsi="Arial" w:eastAsia="黑体" w:cs="Arial"/>
          <w:b/>
          <w:bCs/>
          <w:sz w:val="24"/>
          <w:szCs w:val="24"/>
        </w:rPr>
        <w:t>Reference</w:t>
      </w:r>
      <w:bookmarkEnd w:id="59"/>
    </w:p>
    <w:p>
      <w:pPr>
        <w:numPr>
          <w:ilvl w:val="0"/>
          <w:numId w:val="3"/>
        </w:numPr>
        <w:ind w:left="425" w:leftChars="0" w:hanging="425" w:firstLineChars="0"/>
        <w:rPr>
          <w:rFonts w:hint="default" w:ascii="Arial" w:hAnsi="Arial" w:eastAsia="宋体" w:cs="Arial"/>
          <w:sz w:val="22"/>
          <w:szCs w:val="22"/>
        </w:rPr>
      </w:pPr>
      <w:r>
        <w:rPr>
          <w:rFonts w:hint="default" w:ascii="Arial" w:hAnsi="Arial" w:eastAsia="sans-serif" w:cs="Arial"/>
          <w:i w:val="0"/>
          <w:iCs w:val="0"/>
          <w:caps w:val="0"/>
          <w:color w:val="282828"/>
          <w:spacing w:val="0"/>
          <w:sz w:val="24"/>
          <w:szCs w:val="24"/>
          <w:shd w:val="clear" w:fill="FFFFFF"/>
        </w:rPr>
        <w:t>Gutha Java Krishna, Vadlamani Ravi, 2016. Evolutionary computing applied to customer relationship management: A survey. (56), p. 30-59.</w:t>
      </w:r>
    </w:p>
    <w:p>
      <w:pPr>
        <w:numPr>
          <w:ilvl w:val="0"/>
          <w:numId w:val="0"/>
        </w:numPr>
        <w:ind w:leftChars="0"/>
        <w:rPr>
          <w:rFonts w:hint="default" w:ascii="Arial" w:hAnsi="Arial" w:eastAsia="宋体" w:cs="Arial"/>
          <w:sz w:val="22"/>
          <w:szCs w:val="22"/>
        </w:rPr>
      </w:pPr>
    </w:p>
    <w:p>
      <w:pPr>
        <w:numPr>
          <w:ilvl w:val="0"/>
          <w:numId w:val="3"/>
        </w:numPr>
        <w:ind w:left="425" w:leftChars="0" w:hanging="425" w:firstLineChars="0"/>
        <w:rPr>
          <w:rFonts w:hint="default" w:ascii="Arial" w:hAnsi="Arial" w:eastAsia="宋体" w:cs="Arial"/>
          <w:sz w:val="24"/>
          <w:szCs w:val="24"/>
        </w:rPr>
      </w:pPr>
      <w:r>
        <w:rPr>
          <w:rFonts w:hint="default" w:ascii="Arial" w:hAnsi="Arial" w:eastAsia="宋体" w:cs="Arial"/>
          <w:sz w:val="24"/>
          <w:szCs w:val="24"/>
        </w:rPr>
        <w:t>Asieh Ghazian, Mirza Hasan Hossaini, Hasan Farsijani, 2016. The Effect of Customer Relationship Management and its Significant Relationship by Customers´Reactions in LG Company. (36), p. 42-50.</w:t>
      </w:r>
    </w:p>
    <w:p>
      <w:pPr>
        <w:ind w:firstLineChars="0"/>
        <w:rPr>
          <w:rFonts w:hint="default" w:ascii="Arial" w:hAnsi="Arial" w:eastAsia="宋体" w:cs="Arial"/>
          <w:sz w:val="22"/>
          <w:szCs w:val="22"/>
        </w:rPr>
      </w:pPr>
    </w:p>
    <w:p>
      <w:pPr>
        <w:numPr>
          <w:ilvl w:val="0"/>
          <w:numId w:val="3"/>
        </w:numPr>
        <w:ind w:left="425" w:leftChars="0" w:hanging="425" w:firstLineChars="0"/>
        <w:rPr>
          <w:rFonts w:hint="default" w:ascii="Arial" w:hAnsi="Arial" w:eastAsia="宋体" w:cs="Arial"/>
          <w:sz w:val="24"/>
          <w:szCs w:val="24"/>
        </w:rPr>
      </w:pPr>
      <w:r>
        <w:rPr>
          <w:rFonts w:hint="default" w:ascii="Arial" w:hAnsi="Arial" w:eastAsia="宋体" w:cs="Arial"/>
          <w:sz w:val="24"/>
          <w:szCs w:val="24"/>
        </w:rPr>
        <w:t>Rana Saifullah Hassan, Aneeb Nawaz, Maryam Nawaz Lashari, Fareeha Zafar, 2015. Effect of Customer Relationship Management on Customer Satisfaction. (23), p. 563-567.</w:t>
      </w:r>
    </w:p>
    <w:p>
      <w:pPr>
        <w:ind w:firstLineChars="0"/>
        <w:rPr>
          <w:rFonts w:hint="default" w:ascii="Arial" w:hAnsi="Arial" w:eastAsia="宋体" w:cs="Arial"/>
          <w:sz w:val="22"/>
          <w:szCs w:val="22"/>
        </w:rPr>
      </w:pPr>
    </w:p>
    <w:p>
      <w:pPr>
        <w:numPr>
          <w:ilvl w:val="0"/>
          <w:numId w:val="3"/>
        </w:numPr>
        <w:ind w:left="425" w:leftChars="0" w:hanging="425" w:firstLineChars="0"/>
        <w:rPr>
          <w:rFonts w:hint="default" w:ascii="Arial" w:hAnsi="Arial" w:eastAsia="宋体" w:cs="Arial"/>
          <w:sz w:val="24"/>
          <w:szCs w:val="24"/>
        </w:rPr>
      </w:pPr>
      <w:r>
        <w:rPr>
          <w:rFonts w:hint="default" w:ascii="Arial" w:hAnsi="Arial" w:eastAsia="宋体" w:cs="Arial"/>
          <w:sz w:val="24"/>
          <w:szCs w:val="24"/>
        </w:rPr>
        <w:t>Schulz, 2010. A Clustering Method Based on Fuzzy Equivalence Relation for Customer Relationship Management. (37), p. 6421-6428.</w:t>
      </w:r>
    </w:p>
    <w:p>
      <w:pPr>
        <w:ind w:firstLineChars="0"/>
        <w:rPr>
          <w:rFonts w:hint="default" w:ascii="Arial" w:hAnsi="Arial" w:eastAsia="宋体" w:cs="Arial"/>
          <w:sz w:val="22"/>
          <w:szCs w:val="22"/>
        </w:rPr>
      </w:pPr>
    </w:p>
    <w:p>
      <w:pPr>
        <w:numPr>
          <w:ilvl w:val="0"/>
          <w:numId w:val="3"/>
        </w:numPr>
        <w:ind w:left="425" w:leftChars="0" w:hanging="425" w:firstLineChars="0"/>
        <w:rPr>
          <w:rFonts w:hint="default" w:ascii="Arial" w:hAnsi="Arial" w:eastAsia="宋体" w:cs="Arial"/>
          <w:sz w:val="24"/>
          <w:szCs w:val="24"/>
        </w:rPr>
      </w:pPr>
      <w:r>
        <w:rPr>
          <w:rFonts w:hint="default" w:ascii="Arial" w:hAnsi="Arial" w:eastAsia="宋体" w:cs="Arial"/>
          <w:sz w:val="24"/>
          <w:szCs w:val="24"/>
        </w:rPr>
        <w:t>Emma B. P. S, 2013. Murthi, Erin Steffes. Developing a Measure of Risk Adjusted Recenue(RAR) in Credit Cards Market: Implications for Customer Relationship Management. (224), p. 425-434.</w:t>
      </w:r>
    </w:p>
    <w:p>
      <w:pPr>
        <w:ind w:firstLineChars="0"/>
        <w:rPr>
          <w:rFonts w:hint="default" w:ascii="Arial" w:hAnsi="Arial" w:eastAsia="宋体" w:cs="Arial"/>
          <w:sz w:val="22"/>
          <w:szCs w:val="22"/>
        </w:rPr>
      </w:pPr>
    </w:p>
    <w:p>
      <w:pPr>
        <w:numPr>
          <w:ilvl w:val="0"/>
          <w:numId w:val="3"/>
        </w:numPr>
        <w:ind w:left="425" w:leftChars="0" w:hanging="425" w:firstLineChars="0"/>
        <w:rPr>
          <w:rFonts w:hint="default" w:ascii="Arial" w:hAnsi="Arial" w:eastAsia="宋体" w:cs="Arial"/>
          <w:sz w:val="24"/>
          <w:szCs w:val="24"/>
        </w:rPr>
      </w:pPr>
      <w:r>
        <w:rPr>
          <w:rFonts w:hint="default" w:ascii="Arial" w:hAnsi="Arial" w:eastAsia="宋体" w:cs="Arial"/>
          <w:sz w:val="24"/>
          <w:szCs w:val="24"/>
        </w:rPr>
        <w:t>Jiang Yufang, 2019. Problems and countermeasures of customer relationship management in banks. (1), p. 11-13.</w:t>
      </w:r>
    </w:p>
    <w:p>
      <w:pPr>
        <w:numPr>
          <w:ilvl w:val="0"/>
          <w:numId w:val="0"/>
        </w:numPr>
        <w:ind w:leftChars="0"/>
        <w:rPr>
          <w:rFonts w:hint="default" w:ascii="Arial" w:hAnsi="Arial" w:eastAsia="宋体" w:cs="Arial"/>
          <w:sz w:val="24"/>
          <w:szCs w:val="24"/>
        </w:rPr>
      </w:pPr>
    </w:p>
    <w:p>
      <w:pPr>
        <w:numPr>
          <w:ilvl w:val="0"/>
          <w:numId w:val="3"/>
        </w:numPr>
        <w:ind w:left="425" w:leftChars="0" w:hanging="425" w:firstLineChars="0"/>
        <w:rPr>
          <w:rFonts w:hint="default" w:ascii="Arial" w:hAnsi="Arial" w:eastAsia="宋体" w:cs="Arial"/>
          <w:sz w:val="24"/>
          <w:szCs w:val="24"/>
        </w:rPr>
      </w:pPr>
      <w:r>
        <w:rPr>
          <w:rFonts w:hint="default" w:ascii="Arial" w:hAnsi="Arial" w:eastAsia="宋体" w:cs="Arial"/>
          <w:sz w:val="24"/>
          <w:szCs w:val="24"/>
        </w:rPr>
        <w:t>Zhang Tingting, Zhang Bo, 2018. Research on Customer Relationship Management of Commercial banks in the New Era. (6), p. 36-39.</w:t>
      </w:r>
    </w:p>
    <w:p>
      <w:pPr>
        <w:numPr>
          <w:ilvl w:val="0"/>
          <w:numId w:val="0"/>
        </w:numPr>
        <w:ind w:leftChars="0"/>
        <w:rPr>
          <w:rFonts w:hint="default" w:ascii="Arial" w:hAnsi="Arial" w:eastAsia="宋体" w:cs="Arial"/>
          <w:sz w:val="24"/>
          <w:szCs w:val="24"/>
        </w:rPr>
      </w:pPr>
    </w:p>
    <w:p>
      <w:pPr>
        <w:numPr>
          <w:ilvl w:val="0"/>
          <w:numId w:val="3"/>
        </w:numPr>
        <w:ind w:left="425" w:leftChars="0" w:hanging="425" w:firstLineChars="0"/>
        <w:rPr>
          <w:rFonts w:hint="default" w:ascii="Arial" w:hAnsi="Arial" w:eastAsia="宋体" w:cs="Arial"/>
          <w:sz w:val="24"/>
          <w:szCs w:val="24"/>
        </w:rPr>
      </w:pPr>
      <w:r>
        <w:rPr>
          <w:rFonts w:hint="default" w:ascii="Arial" w:hAnsi="Arial" w:eastAsia="宋体" w:cs="Arial"/>
          <w:sz w:val="24"/>
          <w:szCs w:val="24"/>
        </w:rPr>
        <w:t>Zhou Shiying, 2014. Study on Small and micro credit of small and micro Institutions in Guangxi. (08), p. 52-53.</w:t>
      </w:r>
    </w:p>
    <w:p>
      <w:pPr>
        <w:numPr>
          <w:ilvl w:val="0"/>
          <w:numId w:val="0"/>
        </w:numPr>
        <w:ind w:leftChars="0"/>
        <w:rPr>
          <w:rFonts w:hint="default" w:ascii="Arial" w:hAnsi="Arial" w:eastAsia="宋体" w:cs="Arial"/>
          <w:sz w:val="24"/>
          <w:szCs w:val="24"/>
        </w:rPr>
      </w:pPr>
    </w:p>
    <w:p>
      <w:pPr>
        <w:numPr>
          <w:ilvl w:val="0"/>
          <w:numId w:val="3"/>
        </w:numPr>
        <w:ind w:left="425" w:leftChars="0" w:hanging="425" w:firstLineChars="0"/>
        <w:rPr>
          <w:rFonts w:hint="default" w:ascii="Arial" w:hAnsi="Arial" w:eastAsia="宋体" w:cs="Arial"/>
          <w:sz w:val="22"/>
          <w:szCs w:val="22"/>
        </w:rPr>
      </w:pPr>
      <w:r>
        <w:rPr>
          <w:rFonts w:hint="default" w:ascii="Arial" w:hAnsi="Arial" w:eastAsia="宋体" w:cs="Arial"/>
          <w:sz w:val="24"/>
          <w:szCs w:val="24"/>
        </w:rPr>
        <w:t>Qi Jiayin, Wan Yan, Yin Tao, 2009. Customer relationship management. , p. 221-245.</w:t>
      </w:r>
    </w:p>
    <w:p>
      <w:pPr>
        <w:jc w:val="both"/>
        <w:outlineLvl w:val="0"/>
        <w:rPr>
          <w:rFonts w:hint="default" w:ascii="Arial" w:hAnsi="Arial" w:eastAsia="黑体" w:cs="Arial"/>
          <w:b/>
          <w:bCs/>
          <w:sz w:val="24"/>
          <w:szCs w:val="24"/>
        </w:rPr>
      </w:pPr>
      <w:bookmarkStart w:id="60" w:name="_Toc13083"/>
      <w:r>
        <w:rPr>
          <w:rFonts w:hint="eastAsia" w:ascii="Arial" w:hAnsi="Arial" w:eastAsia="黑体" w:cs="Arial"/>
          <w:b/>
          <w:bCs/>
          <w:sz w:val="24"/>
          <w:szCs w:val="24"/>
          <w:lang w:val="en-US" w:eastAsia="zh-CN"/>
        </w:rPr>
        <w:t>A</w:t>
      </w:r>
      <w:r>
        <w:rPr>
          <w:rFonts w:hint="default" w:ascii="Arial" w:hAnsi="Arial" w:eastAsia="黑体" w:cs="Arial"/>
          <w:b/>
          <w:bCs/>
          <w:sz w:val="24"/>
          <w:szCs w:val="24"/>
        </w:rPr>
        <w:t>ppendix</w:t>
      </w:r>
      <w:bookmarkEnd w:id="60"/>
    </w:p>
    <w:p>
      <w:pPr>
        <w:rPr>
          <w:rFonts w:hint="default" w:ascii="Arial" w:hAnsi="Arial" w:eastAsia="黑体" w:cs="Arial"/>
          <w:b w:val="0"/>
          <w:bCs w:val="0"/>
          <w:sz w:val="24"/>
          <w:szCs w:val="24"/>
        </w:rPr>
      </w:pPr>
      <w:r>
        <w:rPr>
          <w:rFonts w:hint="default" w:ascii="Arial" w:hAnsi="Arial" w:eastAsia="黑体" w:cs="Arial"/>
          <w:b w:val="0"/>
          <w:bCs w:val="0"/>
          <w:sz w:val="24"/>
          <w:szCs w:val="24"/>
        </w:rPr>
        <w:t>China Postal savings can be traced back to the postal savings service, which was established in 1919. In March 2007, Postal Savings Bank of China was established on the basis of reforming the original postal savings management system. In January 2012, Postal Savings Bank of China was restructured into a limited company. Postal Savings Bank of China was listed on the Hong Kong Stock Exchange in September 2016, and on the Shanghai Stock Exchange in December 2019.</w:t>
      </w:r>
    </w:p>
    <w:p>
      <w:pPr>
        <w:rPr>
          <w:rFonts w:hint="default" w:ascii="Arial" w:hAnsi="Arial" w:eastAsia="黑体" w:cs="Arial"/>
          <w:b w:val="0"/>
          <w:bCs w:val="0"/>
          <w:sz w:val="24"/>
          <w:szCs w:val="24"/>
        </w:rPr>
      </w:pPr>
    </w:p>
    <w:p>
      <w:pPr>
        <w:rPr>
          <w:rFonts w:hint="default" w:ascii="Arial" w:hAnsi="Arial" w:eastAsia="黑体" w:cs="Arial"/>
          <w:b w:val="0"/>
          <w:bCs w:val="0"/>
          <w:sz w:val="24"/>
          <w:szCs w:val="24"/>
        </w:rPr>
      </w:pPr>
      <w:r>
        <w:rPr>
          <w:rFonts w:hint="default" w:ascii="Arial" w:hAnsi="Arial" w:eastAsia="黑体" w:cs="Arial"/>
          <w:b w:val="0"/>
          <w:bCs w:val="0"/>
          <w:sz w:val="24"/>
          <w:szCs w:val="24"/>
        </w:rPr>
        <w:t>Postal Savings Bank of China has nearly 40,000 business outlets, serving more than 650 million individual customers. It is positioned to serve agriculture, rural areas and farmers, urban and rural residents, and small and medium-sized enterprises. Relying on the unique mode of "self-management + agent" and resource endowment, it is committed to providing services to the most dynamic customer groups in China's economic transformation. Accelerate the transformation to a new retail bank that is data-driven, channel collaborative, wholesale and retail linkage and efficient operation. With excellent asset quality and significant growth potential, Postal Savings Bank of China is the leading large retail bank in China.</w:t>
      </w:r>
    </w:p>
    <w:p>
      <w:pPr>
        <w:rPr>
          <w:rFonts w:hint="default" w:ascii="Arial" w:hAnsi="Arial" w:eastAsia="黑体" w:cs="Arial"/>
          <w:b w:val="0"/>
          <w:bCs w:val="0"/>
          <w:sz w:val="24"/>
          <w:szCs w:val="24"/>
        </w:rPr>
      </w:pPr>
    </w:p>
    <w:p>
      <w:pPr>
        <w:rPr>
          <w:rFonts w:hint="default" w:ascii="Arial" w:hAnsi="Arial" w:eastAsia="黑体" w:cs="Arial"/>
          <w:b w:val="0"/>
          <w:bCs w:val="0"/>
          <w:sz w:val="24"/>
          <w:szCs w:val="24"/>
        </w:rPr>
      </w:pPr>
      <w:r>
        <w:rPr>
          <w:rFonts w:hint="default" w:ascii="Arial" w:hAnsi="Arial" w:eastAsia="黑体" w:cs="Arial"/>
          <w:b w:val="0"/>
          <w:bCs w:val="0"/>
          <w:sz w:val="24"/>
          <w:szCs w:val="24"/>
        </w:rPr>
        <w:t>Postal Savings Bank of China is committed to serving the real economy, actively implementing national strategies and fulfilling its social responsibilities. Adhere to the customer-centered, build online and offline connectivity and integration of the financial service system, to provide customers with high-quality, convenient and efficient comprehensive financial services. Adhere to the risk-based, adhering to prudent and prudent risk preference, comprehensively improve the risk leading ability, and continue to improve the construction of a "comprehensive, whole-process, whole-staff" comprehensive risk management system. Adhere to the business philosophy of "knowing the market well and taking the lead", have the courage to innovate and change, deepen capacity building, and achieve high-quality development.</w:t>
      </w:r>
    </w:p>
    <w:sectPr>
      <w:footerReference r:id="rId3" w:type="default"/>
      <w:pgSz w:w="11910" w:h="16840"/>
      <w:pgMar w:top="1440" w:right="1803" w:bottom="1440" w:left="1803" w:header="0" w:footer="986" w:gutter="0"/>
      <w:pgNumType w:start="1"/>
      <w:cols w:space="0" w:num="1"/>
      <w:rtlGutter w:val="0"/>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8DA8630"/>
    <w:multiLevelType w:val="singleLevel"/>
    <w:tmpl w:val="B8DA8630"/>
    <w:lvl w:ilvl="0" w:tentative="0">
      <w:start w:val="1"/>
      <w:numFmt w:val="decimal"/>
      <w:lvlText w:val="%1."/>
      <w:lvlJc w:val="left"/>
      <w:pPr>
        <w:tabs>
          <w:tab w:val="left" w:pos="312"/>
        </w:tabs>
      </w:pPr>
    </w:lvl>
  </w:abstractNum>
  <w:abstractNum w:abstractNumId="1">
    <w:nsid w:val="D63C0B43"/>
    <w:multiLevelType w:val="singleLevel"/>
    <w:tmpl w:val="D63C0B43"/>
    <w:lvl w:ilvl="0" w:tentative="0">
      <w:start w:val="1"/>
      <w:numFmt w:val="decimal"/>
      <w:lvlText w:val="[%1]"/>
      <w:lvlJc w:val="left"/>
      <w:pPr>
        <w:tabs>
          <w:tab w:val="left" w:pos="420"/>
        </w:tabs>
        <w:ind w:left="425" w:leftChars="0" w:hanging="425" w:firstLineChars="0"/>
      </w:pPr>
      <w:rPr>
        <w:rFonts w:hint="default"/>
      </w:rPr>
    </w:lvl>
  </w:abstractNum>
  <w:abstractNum w:abstractNumId="2">
    <w:nsid w:val="3EA944E1"/>
    <w:multiLevelType w:val="singleLevel"/>
    <w:tmpl w:val="3EA944E1"/>
    <w:lvl w:ilvl="0" w:tentative="0">
      <w:start w:val="1"/>
      <w:numFmt w:val="decimal"/>
      <w:lvlText w:val="%1."/>
      <w:lvlJc w:val="left"/>
      <w:pPr>
        <w:tabs>
          <w:tab w:val="left" w:pos="312"/>
        </w:tabs>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dlMzY1YjYyM2M0MzM5Y2YxY2E5YzlmMjE4MGM2OTQifQ=="/>
  </w:docVars>
  <w:rsids>
    <w:rsidRoot w:val="6F825DC0"/>
    <w:rsid w:val="005C0E16"/>
    <w:rsid w:val="09F332B3"/>
    <w:rsid w:val="19BC6CC5"/>
    <w:rsid w:val="200D34F7"/>
    <w:rsid w:val="2D025009"/>
    <w:rsid w:val="2F3977F0"/>
    <w:rsid w:val="314A1AEA"/>
    <w:rsid w:val="45E32125"/>
    <w:rsid w:val="475B11FC"/>
    <w:rsid w:val="493F52A7"/>
    <w:rsid w:val="4DD877D9"/>
    <w:rsid w:val="4EC310A1"/>
    <w:rsid w:val="56024028"/>
    <w:rsid w:val="56841DFE"/>
    <w:rsid w:val="57FB1BE5"/>
    <w:rsid w:val="59EF166D"/>
    <w:rsid w:val="5F700DD2"/>
    <w:rsid w:val="62B72874"/>
    <w:rsid w:val="6F825DC0"/>
    <w:rsid w:val="73DD49A4"/>
    <w:rsid w:val="77A774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uiPriority w:val="0"/>
  </w:style>
  <w:style w:type="paragraph" w:styleId="5">
    <w:name w:val="toc 2"/>
    <w:basedOn w:val="1"/>
    <w:next w:val="1"/>
    <w:qFormat/>
    <w:uiPriority w:val="0"/>
    <w:pPr>
      <w:ind w:left="420" w:leftChars="200"/>
    </w:pPr>
  </w:style>
  <w:style w:type="paragraph" w:customStyle="1" w:styleId="8">
    <w:name w:val="WPSOffice手动目录 1"/>
    <w:qFormat/>
    <w:uiPriority w:val="0"/>
    <w:pPr>
      <w:ind w:leftChars="0"/>
    </w:pPr>
    <w:rPr>
      <w:rFonts w:ascii="Times New Roman" w:hAnsi="Times New Roman" w:eastAsia="宋体" w:cs="Times New Roman"/>
      <w:sz w:val="20"/>
      <w:szCs w:val="20"/>
    </w:rPr>
  </w:style>
  <w:style w:type="paragraph" w:customStyle="1" w:styleId="9">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5198</Words>
  <Characters>30380</Characters>
  <Lines>0</Lines>
  <Paragraphs>0</Paragraphs>
  <TotalTime>6</TotalTime>
  <ScaleCrop>false</ScaleCrop>
  <LinksUpToDate>false</LinksUpToDate>
  <CharactersWithSpaces>35509</CharactersWithSpaces>
  <Application>WPS Office_11.1.0.13012_F1E327BC-269C-435d-A152-05C5408002CA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2022-12-12T19:46:00Z</dcterms:created>
  <dc:creator>江南烟胧雨</dc:creator>
  <cp:lastModifiedBy>Anson</cp:lastModifiedBy>
  <dcterms:modified xsi:type="dcterms:W3CDTF">2023-04-24T14:44:48Z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2052-11.1.0.13012</vt:lpwstr>
  </property>
  <property fmtid="{D5CDD505-2E9C-101B-9397-08002B2CF9AE}" pid="3" name="ICV">
    <vt:lpwstr>D3C2BBFAEE864F4DA943C338B08CF410</vt:lpwstr>
  </property>
</Properties>
</file>