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64473961"/>
        <w:docPartObj>
          <w:docPartGallery w:val="Cover Pages"/>
          <w:docPartUnique/>
        </w:docPartObj>
      </w:sdtPr>
      <w:sdtEndPr>
        <w:rPr>
          <w:rFonts w:ascii="Arial" w:hAnsi="Arial" w:cs="Arial"/>
        </w:rPr>
      </w:sdtEndPr>
      <w:sdtContent>
        <w:p w14:paraId="0FFCC9FE" w14:textId="40B3881D" w:rsidR="004E1766" w:rsidRDefault="004E1766">
          <w:r>
            <w:rPr>
              <w:noProof/>
            </w:rPr>
            <mc:AlternateContent>
              <mc:Choice Requires="wpg">
                <w:drawing>
                  <wp:anchor distT="0" distB="0" distL="114300" distR="114300" simplePos="0" relativeHeight="251659264" behindDoc="1" locked="0" layoutInCell="1" allowOverlap="1" wp14:anchorId="6FDDD4BC" wp14:editId="6FD77709">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5297A8A" w14:textId="70F2D7E8" w:rsidR="004E1766" w:rsidRPr="00117C9B" w:rsidRDefault="003C030F" w:rsidP="004E74C5">
                                  <w:pPr>
                                    <w:pStyle w:val="NoSpacing"/>
                                    <w:spacing w:before="120"/>
                                    <w:rPr>
                                      <w:color w:val="FFFFFF" w:themeColor="background1"/>
                                      <w:sz w:val="36"/>
                                      <w:szCs w:val="36"/>
                                    </w:rPr>
                                  </w:pPr>
                                  <w:r w:rsidRPr="00117C9B">
                                    <w:rPr>
                                      <w:color w:val="FFFFFF" w:themeColor="background1"/>
                                      <w:sz w:val="36"/>
                                      <w:szCs w:val="36"/>
                                    </w:rPr>
                                    <w:t>Module name: Principles</w:t>
                                  </w:r>
                                  <w:r w:rsidR="000300DC" w:rsidRPr="00117C9B">
                                    <w:rPr>
                                      <w:color w:val="FFFFFF" w:themeColor="background1"/>
                                      <w:sz w:val="36"/>
                                      <w:szCs w:val="36"/>
                                    </w:rPr>
                                    <w:t xml:space="preserve"> of Health and Social Care</w:t>
                                  </w:r>
                                  <w:r w:rsidR="00DF69CB" w:rsidRPr="00117C9B">
                                    <w:rPr>
                                      <w:color w:val="FFFFFF" w:themeColor="background1"/>
                                      <w:sz w:val="36"/>
                                      <w:szCs w:val="36"/>
                                    </w:rPr>
                                    <w:t xml:space="preserve"> Practice</w:t>
                                  </w:r>
                                </w:p>
                                <w:p w14:paraId="0B497948" w14:textId="17006461" w:rsidR="00DF69CB" w:rsidRPr="00117C9B" w:rsidRDefault="00DF69CB" w:rsidP="004E74C5">
                                  <w:pPr>
                                    <w:pStyle w:val="NoSpacing"/>
                                    <w:spacing w:before="120"/>
                                    <w:rPr>
                                      <w:color w:val="FFFFFF" w:themeColor="background1"/>
                                      <w:sz w:val="36"/>
                                      <w:szCs w:val="36"/>
                                    </w:rPr>
                                  </w:pPr>
                                  <w:r w:rsidRPr="00117C9B">
                                    <w:rPr>
                                      <w:color w:val="FFFFFF" w:themeColor="background1"/>
                                      <w:sz w:val="36"/>
                                      <w:szCs w:val="36"/>
                                    </w:rPr>
                                    <w:t>Module code</w:t>
                                  </w:r>
                                  <w:r w:rsidR="00D26212" w:rsidRPr="00117C9B">
                                    <w:rPr>
                                      <w:color w:val="FFFFFF" w:themeColor="background1"/>
                                      <w:sz w:val="36"/>
                                      <w:szCs w:val="36"/>
                                    </w:rPr>
                                    <w:t>:(BMHP5002_LON)</w:t>
                                  </w:r>
                                </w:p>
                                <w:p w14:paraId="026E9211" w14:textId="6682DE48" w:rsidR="00A63957" w:rsidRPr="00117C9B" w:rsidRDefault="003C030F" w:rsidP="004E74C5">
                                  <w:pPr>
                                    <w:pStyle w:val="NoSpacing"/>
                                    <w:spacing w:before="120"/>
                                    <w:rPr>
                                      <w:color w:val="FFFFFF" w:themeColor="background1"/>
                                      <w:sz w:val="36"/>
                                      <w:szCs w:val="36"/>
                                    </w:rPr>
                                  </w:pPr>
                                  <w:r w:rsidRPr="00117C9B">
                                    <w:rPr>
                                      <w:color w:val="FFFFFF" w:themeColor="background1"/>
                                      <w:sz w:val="36"/>
                                      <w:szCs w:val="36"/>
                                    </w:rPr>
                                    <w:t>Lecturer: Doc. Mentesnot Mengesha</w:t>
                                  </w:r>
                                </w:p>
                                <w:p w14:paraId="234EBF60" w14:textId="04BA931D" w:rsidR="004E1766" w:rsidRPr="00117C9B" w:rsidRDefault="00084054" w:rsidP="00705B89">
                                  <w:pPr>
                                    <w:pStyle w:val="NoSpacing"/>
                                    <w:spacing w:before="120"/>
                                    <w:rPr>
                                      <w:caps/>
                                      <w:color w:val="FFFFFF" w:themeColor="background1"/>
                                      <w:sz w:val="36"/>
                                      <w:szCs w:val="36"/>
                                    </w:rPr>
                                  </w:pPr>
                                  <w:sdt>
                                    <w:sdtPr>
                                      <w:rPr>
                                        <w:caps/>
                                        <w:color w:val="FFFFFF" w:themeColor="background1"/>
                                        <w:sz w:val="36"/>
                                        <w:szCs w:val="36"/>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C5599" w:rsidRPr="00117C9B">
                                        <w:rPr>
                                          <w:caps/>
                                          <w:color w:val="FFFFFF" w:themeColor="background1"/>
                                          <w:sz w:val="36"/>
                                          <w:szCs w:val="36"/>
                                        </w:rPr>
                                        <w:t>student id:2009133</w:t>
                                      </w:r>
                                    </w:sdtContent>
                                  </w:sdt>
                                </w:p>
                                <w:p w14:paraId="29B92724" w14:textId="7C2D75D3" w:rsidR="003C030F" w:rsidRPr="00117C9B" w:rsidRDefault="003C030F" w:rsidP="00705B89">
                                  <w:pPr>
                                    <w:pStyle w:val="NoSpacing"/>
                                    <w:spacing w:before="120"/>
                                    <w:rPr>
                                      <w:color w:val="FFFFFF" w:themeColor="background1"/>
                                      <w:sz w:val="36"/>
                                      <w:szCs w:val="36"/>
                                    </w:rPr>
                                  </w:pPr>
                                  <w:r w:rsidRPr="00117C9B">
                                    <w:rPr>
                                      <w:caps/>
                                      <w:color w:val="FFFFFF" w:themeColor="background1"/>
                                      <w:sz w:val="36"/>
                                      <w:szCs w:val="36"/>
                                    </w:rPr>
                                    <w:t>Teodora nikolova</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7CCAF31" w14:textId="7DB99984" w:rsidR="004E1766" w:rsidRDefault="00C937C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noProof/>
                                      <w:color w:val="4472C4" w:themeColor="accent1"/>
                                      <w:sz w:val="72"/>
                                      <w:szCs w:val="72"/>
                                    </w:rPr>
                                    <w:drawing>
                                      <wp:inline distT="0" distB="0" distL="0" distR="0" wp14:anchorId="54435729" wp14:editId="1A386192">
                                        <wp:extent cx="5422900" cy="2711450"/>
                                        <wp:effectExtent l="0" t="0" r="635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422900" cy="2711450"/>
                                                </a:xfrm>
                                                <a:prstGeom prst="rect">
                                                  <a:avLst/>
                                                </a:prstGeom>
                                              </pic:spPr>
                                            </pic:pic>
                                          </a:graphicData>
                                        </a:graphic>
                                      </wp:inline>
                                    </w:drawing>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FDDD4BC"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05297A8A" w14:textId="70F2D7E8" w:rsidR="004E1766" w:rsidRPr="00117C9B" w:rsidRDefault="003C030F" w:rsidP="004E74C5">
                            <w:pPr>
                              <w:pStyle w:val="NoSpacing"/>
                              <w:spacing w:before="120"/>
                              <w:rPr>
                                <w:color w:val="FFFFFF" w:themeColor="background1"/>
                                <w:sz w:val="36"/>
                                <w:szCs w:val="36"/>
                              </w:rPr>
                            </w:pPr>
                            <w:r w:rsidRPr="00117C9B">
                              <w:rPr>
                                <w:color w:val="FFFFFF" w:themeColor="background1"/>
                                <w:sz w:val="36"/>
                                <w:szCs w:val="36"/>
                              </w:rPr>
                              <w:t>Module name: Principles</w:t>
                            </w:r>
                            <w:r w:rsidR="000300DC" w:rsidRPr="00117C9B">
                              <w:rPr>
                                <w:color w:val="FFFFFF" w:themeColor="background1"/>
                                <w:sz w:val="36"/>
                                <w:szCs w:val="36"/>
                              </w:rPr>
                              <w:t xml:space="preserve"> of Health and Social Care</w:t>
                            </w:r>
                            <w:r w:rsidR="00DF69CB" w:rsidRPr="00117C9B">
                              <w:rPr>
                                <w:color w:val="FFFFFF" w:themeColor="background1"/>
                                <w:sz w:val="36"/>
                                <w:szCs w:val="36"/>
                              </w:rPr>
                              <w:t xml:space="preserve"> Practice</w:t>
                            </w:r>
                          </w:p>
                          <w:p w14:paraId="0B497948" w14:textId="17006461" w:rsidR="00DF69CB" w:rsidRPr="00117C9B" w:rsidRDefault="00DF69CB" w:rsidP="004E74C5">
                            <w:pPr>
                              <w:pStyle w:val="NoSpacing"/>
                              <w:spacing w:before="120"/>
                              <w:rPr>
                                <w:color w:val="FFFFFF" w:themeColor="background1"/>
                                <w:sz w:val="36"/>
                                <w:szCs w:val="36"/>
                              </w:rPr>
                            </w:pPr>
                            <w:r w:rsidRPr="00117C9B">
                              <w:rPr>
                                <w:color w:val="FFFFFF" w:themeColor="background1"/>
                                <w:sz w:val="36"/>
                                <w:szCs w:val="36"/>
                              </w:rPr>
                              <w:t>Module code</w:t>
                            </w:r>
                            <w:r w:rsidR="00D26212" w:rsidRPr="00117C9B">
                              <w:rPr>
                                <w:color w:val="FFFFFF" w:themeColor="background1"/>
                                <w:sz w:val="36"/>
                                <w:szCs w:val="36"/>
                              </w:rPr>
                              <w:t>:(BMHP5002_LON)</w:t>
                            </w:r>
                          </w:p>
                          <w:p w14:paraId="026E9211" w14:textId="6682DE48" w:rsidR="00A63957" w:rsidRPr="00117C9B" w:rsidRDefault="003C030F" w:rsidP="004E74C5">
                            <w:pPr>
                              <w:pStyle w:val="NoSpacing"/>
                              <w:spacing w:before="120"/>
                              <w:rPr>
                                <w:color w:val="FFFFFF" w:themeColor="background1"/>
                                <w:sz w:val="36"/>
                                <w:szCs w:val="36"/>
                              </w:rPr>
                            </w:pPr>
                            <w:r w:rsidRPr="00117C9B">
                              <w:rPr>
                                <w:color w:val="FFFFFF" w:themeColor="background1"/>
                                <w:sz w:val="36"/>
                                <w:szCs w:val="36"/>
                              </w:rPr>
                              <w:t>Lecturer: Doc. Mentesnot Mengesha</w:t>
                            </w:r>
                          </w:p>
                          <w:p w14:paraId="234EBF60" w14:textId="04BA931D" w:rsidR="004E1766" w:rsidRPr="00117C9B" w:rsidRDefault="00084054" w:rsidP="00705B89">
                            <w:pPr>
                              <w:pStyle w:val="NoSpacing"/>
                              <w:spacing w:before="120"/>
                              <w:rPr>
                                <w:caps/>
                                <w:color w:val="FFFFFF" w:themeColor="background1"/>
                                <w:sz w:val="36"/>
                                <w:szCs w:val="36"/>
                              </w:rPr>
                            </w:pPr>
                            <w:sdt>
                              <w:sdtPr>
                                <w:rPr>
                                  <w:caps/>
                                  <w:color w:val="FFFFFF" w:themeColor="background1"/>
                                  <w:sz w:val="36"/>
                                  <w:szCs w:val="36"/>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C5599" w:rsidRPr="00117C9B">
                                  <w:rPr>
                                    <w:caps/>
                                    <w:color w:val="FFFFFF" w:themeColor="background1"/>
                                    <w:sz w:val="36"/>
                                    <w:szCs w:val="36"/>
                                  </w:rPr>
                                  <w:t>student id:2009133</w:t>
                                </w:r>
                              </w:sdtContent>
                            </w:sdt>
                          </w:p>
                          <w:p w14:paraId="29B92724" w14:textId="7C2D75D3" w:rsidR="003C030F" w:rsidRPr="00117C9B" w:rsidRDefault="003C030F" w:rsidP="00705B89">
                            <w:pPr>
                              <w:pStyle w:val="NoSpacing"/>
                              <w:spacing w:before="120"/>
                              <w:rPr>
                                <w:color w:val="FFFFFF" w:themeColor="background1"/>
                                <w:sz w:val="36"/>
                                <w:szCs w:val="36"/>
                              </w:rPr>
                            </w:pPr>
                            <w:r w:rsidRPr="00117C9B">
                              <w:rPr>
                                <w:caps/>
                                <w:color w:val="FFFFFF" w:themeColor="background1"/>
                                <w:sz w:val="36"/>
                                <w:szCs w:val="36"/>
                              </w:rPr>
                              <w:t>Teodora nikolova</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7CCAF31" w14:textId="7DB99984" w:rsidR="004E1766" w:rsidRDefault="00C937C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noProof/>
                                <w:color w:val="4472C4" w:themeColor="accent1"/>
                                <w:sz w:val="72"/>
                                <w:szCs w:val="72"/>
                              </w:rPr>
                              <w:drawing>
                                <wp:inline distT="0" distB="0" distL="0" distR="0" wp14:anchorId="54435729" wp14:editId="1A386192">
                                  <wp:extent cx="5422900" cy="2711450"/>
                                  <wp:effectExtent l="0" t="0" r="635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422900" cy="2711450"/>
                                          </a:xfrm>
                                          <a:prstGeom prst="rect">
                                            <a:avLst/>
                                          </a:prstGeom>
                                        </pic:spPr>
                                      </pic:pic>
                                    </a:graphicData>
                                  </a:graphic>
                                </wp:inline>
                              </w:drawing>
                            </w:r>
                          </w:p>
                        </w:txbxContent>
                      </v:textbox>
                    </v:shape>
                    <w10:wrap anchorx="page" anchory="page"/>
                  </v:group>
                </w:pict>
              </mc:Fallback>
            </mc:AlternateContent>
          </w:r>
        </w:p>
        <w:p w14:paraId="65BA88FA" w14:textId="5B6F1A47" w:rsidR="004E1766" w:rsidRDefault="004E1766">
          <w:pPr>
            <w:rPr>
              <w:rFonts w:ascii="Arial" w:hAnsi="Arial" w:cs="Arial"/>
            </w:rPr>
          </w:pPr>
          <w:r>
            <w:rPr>
              <w:rFonts w:ascii="Arial" w:hAnsi="Arial" w:cs="Arial"/>
            </w:rPr>
            <w:br w:type="page"/>
          </w:r>
        </w:p>
      </w:sdtContent>
    </w:sdt>
    <w:p w14:paraId="055DB966" w14:textId="54C6B27F" w:rsidR="003F11AB" w:rsidRPr="00B737C5" w:rsidRDefault="003F11AB" w:rsidP="003F11AB">
      <w:pPr>
        <w:rPr>
          <w:rFonts w:cstheme="minorHAnsi"/>
        </w:rPr>
      </w:pPr>
      <w:r w:rsidRPr="00B737C5">
        <w:rPr>
          <w:rFonts w:cstheme="minorHAnsi"/>
        </w:rPr>
        <w:lastRenderedPageBreak/>
        <w:t>Table of Contents</w:t>
      </w:r>
    </w:p>
    <w:p w14:paraId="779E289C" w14:textId="205BDD29" w:rsidR="003F11AB" w:rsidRPr="00B737C5" w:rsidRDefault="003F11AB" w:rsidP="003F11AB">
      <w:pPr>
        <w:rPr>
          <w:rFonts w:cstheme="minorHAnsi"/>
        </w:rPr>
      </w:pPr>
      <w:r w:rsidRPr="00B737C5">
        <w:rPr>
          <w:rFonts w:cstheme="minorHAnsi"/>
        </w:rPr>
        <w:t>The Concept of Person-Centred Care</w:t>
      </w:r>
      <w:r w:rsidRPr="00B737C5">
        <w:rPr>
          <w:rFonts w:cstheme="minorHAnsi"/>
        </w:rPr>
        <w:tab/>
      </w:r>
    </w:p>
    <w:p w14:paraId="0988EF79" w14:textId="7F402D81" w:rsidR="003F11AB" w:rsidRPr="00B737C5" w:rsidRDefault="003F11AB" w:rsidP="003F11AB">
      <w:pPr>
        <w:rPr>
          <w:rFonts w:cstheme="minorHAnsi"/>
        </w:rPr>
      </w:pPr>
      <w:r w:rsidRPr="00B737C5">
        <w:rPr>
          <w:rFonts w:cstheme="minorHAnsi"/>
        </w:rPr>
        <w:t>Theoretical Underpinning of Person-Centred Care</w:t>
      </w:r>
      <w:r w:rsidRPr="00B737C5">
        <w:rPr>
          <w:rFonts w:cstheme="minorHAnsi"/>
        </w:rPr>
        <w:tab/>
      </w:r>
    </w:p>
    <w:p w14:paraId="65579FBD" w14:textId="5C1EB63B" w:rsidR="003F11AB" w:rsidRPr="00B737C5" w:rsidRDefault="003F11AB" w:rsidP="003F11AB">
      <w:pPr>
        <w:rPr>
          <w:rFonts w:cstheme="minorHAnsi"/>
        </w:rPr>
      </w:pPr>
      <w:r w:rsidRPr="00B737C5">
        <w:rPr>
          <w:rFonts w:cstheme="minorHAnsi"/>
        </w:rPr>
        <w:t>Ethical Underpinning of Person-Centred Care</w:t>
      </w:r>
      <w:r w:rsidRPr="00B737C5">
        <w:rPr>
          <w:rFonts w:cstheme="minorHAnsi"/>
        </w:rPr>
        <w:tab/>
      </w:r>
    </w:p>
    <w:p w14:paraId="6D980AFF" w14:textId="2141E5C1" w:rsidR="003F11AB" w:rsidRPr="00B737C5" w:rsidRDefault="003F11AB" w:rsidP="003F11AB">
      <w:pPr>
        <w:rPr>
          <w:rFonts w:cstheme="minorHAnsi"/>
        </w:rPr>
      </w:pPr>
      <w:r w:rsidRPr="00B737C5">
        <w:rPr>
          <w:rFonts w:cstheme="minorHAnsi"/>
        </w:rPr>
        <w:t>Benefits and Limitations of Person-Centred Care</w:t>
      </w:r>
      <w:r w:rsidRPr="00B737C5">
        <w:rPr>
          <w:rFonts w:cstheme="minorHAnsi"/>
        </w:rPr>
        <w:tab/>
      </w:r>
    </w:p>
    <w:p w14:paraId="7CEAC3B5" w14:textId="46451009" w:rsidR="003F11AB" w:rsidRPr="00B737C5" w:rsidRDefault="003F11AB" w:rsidP="003F11AB">
      <w:pPr>
        <w:rPr>
          <w:rFonts w:cstheme="minorHAnsi"/>
        </w:rPr>
      </w:pPr>
      <w:r w:rsidRPr="00B737C5">
        <w:rPr>
          <w:rFonts w:cstheme="minorHAnsi"/>
        </w:rPr>
        <w:t>Application of Person-Centred Care in Cancer Treatment</w:t>
      </w:r>
      <w:r w:rsidRPr="00B737C5">
        <w:rPr>
          <w:rFonts w:cstheme="minorHAnsi"/>
        </w:rPr>
        <w:tab/>
      </w:r>
    </w:p>
    <w:p w14:paraId="5562E652" w14:textId="21B2F36B" w:rsidR="003F11AB" w:rsidRPr="00B737C5" w:rsidRDefault="003F11AB" w:rsidP="003F11AB">
      <w:pPr>
        <w:rPr>
          <w:rFonts w:cstheme="minorHAnsi"/>
        </w:rPr>
      </w:pPr>
      <w:r w:rsidRPr="00B737C5">
        <w:rPr>
          <w:rFonts w:cstheme="minorHAnsi"/>
        </w:rPr>
        <w:t>Recommendation for Improving Person-Centred Care</w:t>
      </w:r>
      <w:r w:rsidRPr="00B737C5">
        <w:rPr>
          <w:rFonts w:cstheme="minorHAnsi"/>
        </w:rPr>
        <w:tab/>
      </w:r>
    </w:p>
    <w:p w14:paraId="4E2AC376" w14:textId="1AA4A4A0" w:rsidR="003F11AB" w:rsidRPr="00B737C5" w:rsidRDefault="003F11AB" w:rsidP="003F11AB">
      <w:pPr>
        <w:rPr>
          <w:rFonts w:cstheme="minorHAnsi"/>
        </w:rPr>
      </w:pPr>
      <w:r w:rsidRPr="00B737C5">
        <w:rPr>
          <w:rFonts w:cstheme="minorHAnsi"/>
        </w:rPr>
        <w:t>References</w:t>
      </w:r>
      <w:r w:rsidRPr="00B737C5">
        <w:rPr>
          <w:rFonts w:cstheme="minorHAnsi"/>
        </w:rPr>
        <w:tab/>
      </w:r>
    </w:p>
    <w:p w14:paraId="4AD391F0" w14:textId="77777777" w:rsidR="009164C6" w:rsidRPr="00B737C5" w:rsidRDefault="009164C6" w:rsidP="003F11AB">
      <w:pPr>
        <w:rPr>
          <w:rFonts w:cstheme="minorHAnsi"/>
        </w:rPr>
      </w:pPr>
    </w:p>
    <w:p w14:paraId="5BFC8416" w14:textId="77777777" w:rsidR="009164C6" w:rsidRPr="00B737C5" w:rsidRDefault="009164C6" w:rsidP="003F11AB">
      <w:pPr>
        <w:rPr>
          <w:rFonts w:cstheme="minorHAnsi"/>
        </w:rPr>
      </w:pPr>
    </w:p>
    <w:p w14:paraId="779079F0" w14:textId="77777777" w:rsidR="009164C6" w:rsidRPr="00B737C5" w:rsidRDefault="009164C6" w:rsidP="003F11AB">
      <w:pPr>
        <w:rPr>
          <w:rFonts w:cstheme="minorHAnsi"/>
        </w:rPr>
      </w:pPr>
    </w:p>
    <w:p w14:paraId="0EB013EF" w14:textId="77777777" w:rsidR="009164C6" w:rsidRPr="00B737C5" w:rsidRDefault="009164C6" w:rsidP="003F11AB">
      <w:pPr>
        <w:rPr>
          <w:rFonts w:cstheme="minorHAnsi"/>
        </w:rPr>
      </w:pPr>
    </w:p>
    <w:p w14:paraId="63C6ECEF" w14:textId="77777777" w:rsidR="009164C6" w:rsidRPr="00B737C5" w:rsidRDefault="009164C6" w:rsidP="003F11AB">
      <w:pPr>
        <w:rPr>
          <w:rFonts w:cstheme="minorHAnsi"/>
        </w:rPr>
      </w:pPr>
    </w:p>
    <w:p w14:paraId="7FF0B198" w14:textId="77777777" w:rsidR="009164C6" w:rsidRPr="00B737C5" w:rsidRDefault="009164C6" w:rsidP="003F11AB">
      <w:pPr>
        <w:rPr>
          <w:rFonts w:cstheme="minorHAnsi"/>
        </w:rPr>
      </w:pPr>
    </w:p>
    <w:p w14:paraId="7BBE8B72" w14:textId="77777777" w:rsidR="009164C6" w:rsidRPr="00B737C5" w:rsidRDefault="009164C6" w:rsidP="003F11AB">
      <w:pPr>
        <w:rPr>
          <w:rFonts w:cstheme="minorHAnsi"/>
        </w:rPr>
      </w:pPr>
    </w:p>
    <w:p w14:paraId="73C6C176" w14:textId="77777777" w:rsidR="009164C6" w:rsidRPr="00B737C5" w:rsidRDefault="009164C6" w:rsidP="003F11AB">
      <w:pPr>
        <w:rPr>
          <w:rFonts w:cstheme="minorHAnsi"/>
        </w:rPr>
      </w:pPr>
    </w:p>
    <w:p w14:paraId="214FF330" w14:textId="77777777" w:rsidR="009164C6" w:rsidRPr="00B737C5" w:rsidRDefault="009164C6" w:rsidP="003F11AB">
      <w:pPr>
        <w:rPr>
          <w:rFonts w:cstheme="minorHAnsi"/>
        </w:rPr>
      </w:pPr>
    </w:p>
    <w:p w14:paraId="63B2FC0B" w14:textId="77777777" w:rsidR="009164C6" w:rsidRPr="00B737C5" w:rsidRDefault="009164C6" w:rsidP="003F11AB">
      <w:pPr>
        <w:rPr>
          <w:rFonts w:cstheme="minorHAnsi"/>
        </w:rPr>
      </w:pPr>
    </w:p>
    <w:p w14:paraId="0A0F122E" w14:textId="77777777" w:rsidR="009164C6" w:rsidRPr="00B737C5" w:rsidRDefault="009164C6" w:rsidP="003F11AB">
      <w:pPr>
        <w:rPr>
          <w:rFonts w:cstheme="minorHAnsi"/>
        </w:rPr>
      </w:pPr>
    </w:p>
    <w:p w14:paraId="4D6B8269" w14:textId="77777777" w:rsidR="009164C6" w:rsidRPr="00B737C5" w:rsidRDefault="009164C6" w:rsidP="003F11AB">
      <w:pPr>
        <w:rPr>
          <w:rFonts w:cstheme="minorHAnsi"/>
        </w:rPr>
      </w:pPr>
    </w:p>
    <w:p w14:paraId="5B5A6E18" w14:textId="77777777" w:rsidR="009164C6" w:rsidRPr="00B737C5" w:rsidRDefault="009164C6" w:rsidP="003F11AB">
      <w:pPr>
        <w:rPr>
          <w:rFonts w:cstheme="minorHAnsi"/>
        </w:rPr>
      </w:pPr>
    </w:p>
    <w:p w14:paraId="71E7747A" w14:textId="77777777" w:rsidR="009164C6" w:rsidRPr="00B737C5" w:rsidRDefault="009164C6" w:rsidP="003F11AB">
      <w:pPr>
        <w:rPr>
          <w:rFonts w:cstheme="minorHAnsi"/>
        </w:rPr>
      </w:pPr>
    </w:p>
    <w:p w14:paraId="76105C79" w14:textId="77777777" w:rsidR="009164C6" w:rsidRPr="00B737C5" w:rsidRDefault="009164C6" w:rsidP="003F11AB">
      <w:pPr>
        <w:rPr>
          <w:rFonts w:cstheme="minorHAnsi"/>
        </w:rPr>
      </w:pPr>
    </w:p>
    <w:p w14:paraId="0082DD70" w14:textId="77777777" w:rsidR="009164C6" w:rsidRPr="00B737C5" w:rsidRDefault="009164C6" w:rsidP="003F11AB">
      <w:pPr>
        <w:rPr>
          <w:rFonts w:cstheme="minorHAnsi"/>
        </w:rPr>
      </w:pPr>
    </w:p>
    <w:p w14:paraId="3E8691FF" w14:textId="77777777" w:rsidR="009164C6" w:rsidRPr="00B737C5" w:rsidRDefault="009164C6" w:rsidP="003F11AB">
      <w:pPr>
        <w:rPr>
          <w:rFonts w:cstheme="minorHAnsi"/>
        </w:rPr>
      </w:pPr>
    </w:p>
    <w:p w14:paraId="313C5D6F" w14:textId="77777777" w:rsidR="009164C6" w:rsidRPr="00B737C5" w:rsidRDefault="009164C6" w:rsidP="003F11AB">
      <w:pPr>
        <w:rPr>
          <w:rFonts w:cstheme="minorHAnsi"/>
        </w:rPr>
      </w:pPr>
    </w:p>
    <w:p w14:paraId="6D9EB7B3" w14:textId="77777777" w:rsidR="009164C6" w:rsidRPr="00B737C5" w:rsidRDefault="009164C6" w:rsidP="003F11AB">
      <w:pPr>
        <w:rPr>
          <w:rFonts w:cstheme="minorHAnsi"/>
        </w:rPr>
      </w:pPr>
    </w:p>
    <w:p w14:paraId="27CC13E0" w14:textId="77777777" w:rsidR="009164C6" w:rsidRPr="00B737C5" w:rsidRDefault="009164C6" w:rsidP="003F11AB">
      <w:pPr>
        <w:rPr>
          <w:rFonts w:cstheme="minorHAnsi"/>
        </w:rPr>
      </w:pPr>
    </w:p>
    <w:p w14:paraId="71670412" w14:textId="77777777" w:rsidR="009164C6" w:rsidRPr="00B737C5" w:rsidRDefault="009164C6" w:rsidP="003F11AB">
      <w:pPr>
        <w:rPr>
          <w:rFonts w:cstheme="minorHAnsi"/>
        </w:rPr>
      </w:pPr>
    </w:p>
    <w:p w14:paraId="53A70C3E" w14:textId="77777777" w:rsidR="009164C6" w:rsidRPr="00B737C5" w:rsidRDefault="009164C6" w:rsidP="003F11AB">
      <w:pPr>
        <w:rPr>
          <w:rFonts w:cstheme="minorHAnsi"/>
        </w:rPr>
      </w:pPr>
    </w:p>
    <w:p w14:paraId="31122680" w14:textId="77777777" w:rsidR="009164C6" w:rsidRPr="00B737C5" w:rsidRDefault="009164C6" w:rsidP="003F11AB">
      <w:pPr>
        <w:rPr>
          <w:rFonts w:cstheme="minorHAnsi"/>
        </w:rPr>
      </w:pPr>
    </w:p>
    <w:p w14:paraId="06D5F31E" w14:textId="310C659C" w:rsidR="003F11AB" w:rsidRPr="00B737C5" w:rsidRDefault="003F11AB" w:rsidP="003F11AB">
      <w:pPr>
        <w:rPr>
          <w:rFonts w:cstheme="minorHAnsi"/>
        </w:rPr>
      </w:pPr>
    </w:p>
    <w:p w14:paraId="780D3A95" w14:textId="4BA1C5B3" w:rsidR="00FB0331" w:rsidRPr="00B737C5" w:rsidRDefault="00FB0331" w:rsidP="003F11AB">
      <w:pPr>
        <w:rPr>
          <w:rFonts w:cstheme="minorHAnsi"/>
        </w:rPr>
      </w:pPr>
      <w:r w:rsidRPr="00B737C5">
        <w:rPr>
          <w:rFonts w:cstheme="minorHAnsi"/>
        </w:rPr>
        <w:t xml:space="preserve">The </w:t>
      </w:r>
      <w:r w:rsidR="00F05135" w:rsidRPr="00B737C5">
        <w:rPr>
          <w:rFonts w:cstheme="minorHAnsi"/>
        </w:rPr>
        <w:t>Concept of Person-</w:t>
      </w:r>
      <w:r w:rsidR="005520E0" w:rsidRPr="00B737C5">
        <w:rPr>
          <w:rFonts w:cstheme="minorHAnsi"/>
        </w:rPr>
        <w:t>Centred Care</w:t>
      </w:r>
    </w:p>
    <w:p w14:paraId="58DC7D7E" w14:textId="3D940AB4" w:rsidR="003F11AB" w:rsidRPr="00B737C5" w:rsidRDefault="003F11AB" w:rsidP="003F11AB">
      <w:pPr>
        <w:rPr>
          <w:rFonts w:cstheme="minorHAnsi"/>
        </w:rPr>
      </w:pPr>
      <w:r w:rsidRPr="00B737C5">
        <w:rPr>
          <w:rFonts w:cstheme="minorHAnsi"/>
        </w:rPr>
        <w:t>Person-</w:t>
      </w:r>
      <w:r w:rsidR="00B56C73" w:rsidRPr="00B737C5">
        <w:rPr>
          <w:rFonts w:cstheme="minorHAnsi"/>
        </w:rPr>
        <w:t>cantered</w:t>
      </w:r>
      <w:r w:rsidRPr="00B737C5">
        <w:rPr>
          <w:rFonts w:cstheme="minorHAnsi"/>
        </w:rPr>
        <w:t xml:space="preserve"> care (PCC) involves understanding the patient and including them and, if fitting, their loved ones in managing and arranging their medical needs. The United States Institute of Medicine shed light on this model </w:t>
      </w:r>
      <w:r w:rsidR="00265413" w:rsidRPr="00B737C5">
        <w:rPr>
          <w:rFonts w:cstheme="minorHAnsi"/>
        </w:rPr>
        <w:t>by</w:t>
      </w:r>
      <w:r w:rsidRPr="00B737C5">
        <w:rPr>
          <w:rFonts w:cstheme="minorHAnsi"/>
        </w:rPr>
        <w:t xml:space="preserve"> articulating that the provision of PCC requires healthcare providers to “identify, respect, and care about patient differences, values, preferences, and expressed needs; relieve pain and suffering; coordinate continuous care; listen to and continuously advocate disease prevention, wellness, and promotion of healthy lifestyles, including a focus on population health” (p. 45). Dependable person-</w:t>
      </w:r>
      <w:r w:rsidR="00B56C73" w:rsidRPr="00B737C5">
        <w:rPr>
          <w:rFonts w:cstheme="minorHAnsi"/>
        </w:rPr>
        <w:t>cantered</w:t>
      </w:r>
      <w:r w:rsidRPr="00B737C5">
        <w:rPr>
          <w:rFonts w:cstheme="minorHAnsi"/>
        </w:rPr>
        <w:t xml:space="preserve"> care requires the therapist to be genuine with their customers, understand them, and value them without criticism (Lusk and Fater, 2013). Patients secure a feeling of harmoniousness when involved in their care over the long run. They get certainty and confidence because of this cycle, which permits them to be available to new encounters, </w:t>
      </w:r>
      <w:r w:rsidR="00B56C73" w:rsidRPr="00B737C5">
        <w:rPr>
          <w:rFonts w:cstheme="minorHAnsi"/>
        </w:rPr>
        <w:t>centre</w:t>
      </w:r>
      <w:r w:rsidRPr="00B737C5">
        <w:rPr>
          <w:rFonts w:cstheme="minorHAnsi"/>
        </w:rPr>
        <w:t xml:space="preserve"> around life as an excursion rather than an objective, and create a solid relationship with others (Clarke, 2014).</w:t>
      </w:r>
    </w:p>
    <w:p w14:paraId="1DC74270" w14:textId="4839DC1A" w:rsidR="003F11AB" w:rsidRPr="00B737C5" w:rsidRDefault="003F11AB" w:rsidP="003F11AB">
      <w:pPr>
        <w:rPr>
          <w:rFonts w:cstheme="minorHAnsi"/>
        </w:rPr>
      </w:pPr>
      <w:r w:rsidRPr="00B737C5">
        <w:rPr>
          <w:rFonts w:cstheme="minorHAnsi"/>
        </w:rPr>
        <w:t>Caring is vital to person-</w:t>
      </w:r>
      <w:r w:rsidR="00B56C73" w:rsidRPr="00B737C5">
        <w:rPr>
          <w:rFonts w:cstheme="minorHAnsi"/>
        </w:rPr>
        <w:t>cantered</w:t>
      </w:r>
      <w:r w:rsidRPr="00B737C5">
        <w:rPr>
          <w:rFonts w:cstheme="minorHAnsi"/>
        </w:rPr>
        <w:t xml:space="preserve"> care, and </w:t>
      </w:r>
      <w:r w:rsidR="00DF74F0" w:rsidRPr="00B737C5">
        <w:rPr>
          <w:rFonts w:cstheme="minorHAnsi"/>
        </w:rPr>
        <w:t>nurses’</w:t>
      </w:r>
      <w:r w:rsidRPr="00B737C5">
        <w:rPr>
          <w:rFonts w:cstheme="minorHAnsi"/>
        </w:rPr>
        <w:t xml:space="preserve"> associations with administration clients are basic to the patient encounters. The assistance situation is an accomplice rather than an uninvolved beneficiary of care. Confidence and self-viability are added in an individual</w:t>
      </w:r>
      <w:r w:rsidR="008F44C9" w:rsidRPr="00B737C5">
        <w:rPr>
          <w:rFonts w:cstheme="minorHAnsi"/>
        </w:rPr>
        <w:t>-</w:t>
      </w:r>
      <w:r w:rsidRPr="00B737C5">
        <w:rPr>
          <w:rFonts w:cstheme="minorHAnsi"/>
        </w:rPr>
        <w:t>focused relationship. Person-</w:t>
      </w:r>
      <w:r w:rsidR="00B56C73" w:rsidRPr="00B737C5">
        <w:rPr>
          <w:rFonts w:cstheme="minorHAnsi"/>
        </w:rPr>
        <w:t>cantered</w:t>
      </w:r>
      <w:r w:rsidRPr="00B737C5">
        <w:rPr>
          <w:rFonts w:cstheme="minorHAnsi"/>
        </w:rPr>
        <w:t xml:space="preserve"> care underscores decision and instruction, connected to higher patient </w:t>
      </w:r>
      <w:r w:rsidR="00B56C73" w:rsidRPr="00B737C5">
        <w:rPr>
          <w:rFonts w:cstheme="minorHAnsi"/>
        </w:rPr>
        <w:t>fulfilment</w:t>
      </w:r>
      <w:r w:rsidRPr="00B737C5">
        <w:rPr>
          <w:rFonts w:cstheme="minorHAnsi"/>
        </w:rPr>
        <w:t xml:space="preserve"> (Lusk and Fater, 2013). This change from a reliant to an enabled member in care requires a believing relationship wherein medical attendants do not react cruelly to missing visits or saw rebelliousness. Nurses urge patients to impart their nerves and worries to create a dependable association that supports taking care of oneself.</w:t>
      </w:r>
    </w:p>
    <w:p w14:paraId="0D58CC3E" w14:textId="3EA26C79" w:rsidR="00B56105" w:rsidRPr="00B737C5" w:rsidRDefault="003F11AB" w:rsidP="003F11AB">
      <w:pPr>
        <w:rPr>
          <w:rFonts w:cstheme="minorHAnsi"/>
        </w:rPr>
      </w:pPr>
      <w:r w:rsidRPr="00B737C5">
        <w:rPr>
          <w:rFonts w:cstheme="minorHAnsi"/>
        </w:rPr>
        <w:t>Person-</w:t>
      </w:r>
      <w:r w:rsidR="00B56C73" w:rsidRPr="00B737C5">
        <w:rPr>
          <w:rFonts w:cstheme="minorHAnsi"/>
        </w:rPr>
        <w:t>cantered</w:t>
      </w:r>
      <w:r w:rsidRPr="00B737C5">
        <w:rPr>
          <w:rFonts w:cstheme="minorHAnsi"/>
        </w:rPr>
        <w:t xml:space="preserve"> care depends on the humanistic beliefs of regard for people, individual right to self-assurance, shared respect, and comprehension (McCance et al., 2017). Person-</w:t>
      </w:r>
      <w:r w:rsidR="00B56C73" w:rsidRPr="00B737C5">
        <w:rPr>
          <w:rFonts w:cstheme="minorHAnsi"/>
        </w:rPr>
        <w:t>cantered</w:t>
      </w:r>
      <w:r w:rsidRPr="00B737C5">
        <w:rPr>
          <w:rFonts w:cstheme="minorHAnsi"/>
        </w:rPr>
        <w:t xml:space="preserve"> care involves something other than giving individuals what they need or illuminating them. It involves </w:t>
      </w:r>
      <w:r w:rsidRPr="00B737C5">
        <w:rPr>
          <w:rFonts w:cstheme="minorHAnsi"/>
        </w:rPr>
        <w:lastRenderedPageBreak/>
        <w:t xml:space="preserve">considering individuals' desires, values, family, culture, and ways of life, seeing every individual as an individual, and coordinating to track down adequate replies. Empathy, looking with regards to things according to the point of view of the other individual, and regard is </w:t>
      </w:r>
      <w:r w:rsidR="00DF74F0" w:rsidRPr="00B737C5">
        <w:rPr>
          <w:rFonts w:cstheme="minorHAnsi"/>
        </w:rPr>
        <w:t>overall</w:t>
      </w:r>
      <w:r w:rsidRPr="00B737C5">
        <w:rPr>
          <w:rFonts w:cstheme="minorHAnsi"/>
        </w:rPr>
        <w:t xml:space="preserve"> fundamental. Nurses might exhibit this aspect by remembering patients for direction and helping them deal with their wellbeing, yet person-</w:t>
      </w:r>
      <w:r w:rsidR="00250C8E" w:rsidRPr="00B737C5">
        <w:rPr>
          <w:rFonts w:cstheme="minorHAnsi"/>
        </w:rPr>
        <w:t>cantered</w:t>
      </w:r>
      <w:r w:rsidRPr="00B737C5">
        <w:rPr>
          <w:rFonts w:cstheme="minorHAnsi"/>
        </w:rPr>
        <w:t xml:space="preserve"> care incorporates more than basic exercises. It's as much about how specialists and patients contemplate care and their connections for what it's worth regarding the actual administrations.</w:t>
      </w:r>
    </w:p>
    <w:p w14:paraId="4EFC55D0" w14:textId="77777777" w:rsidR="003F11AB" w:rsidRPr="00B737C5" w:rsidRDefault="003F11AB" w:rsidP="003F11AB">
      <w:pPr>
        <w:rPr>
          <w:rFonts w:cstheme="minorHAnsi"/>
        </w:rPr>
      </w:pPr>
      <w:r w:rsidRPr="00B737C5">
        <w:rPr>
          <w:rFonts w:cstheme="minorHAnsi"/>
        </w:rPr>
        <w:t>Theoretical Underpinning of Person-Centred Care</w:t>
      </w:r>
    </w:p>
    <w:p w14:paraId="4174F610" w14:textId="79088B62" w:rsidR="003F11AB" w:rsidRPr="00B737C5" w:rsidRDefault="003F11AB" w:rsidP="003F11AB">
      <w:pPr>
        <w:rPr>
          <w:rFonts w:cstheme="minorHAnsi"/>
        </w:rPr>
      </w:pPr>
      <w:r w:rsidRPr="00B737C5">
        <w:rPr>
          <w:rFonts w:cstheme="minorHAnsi"/>
        </w:rPr>
        <w:t>Person-</w:t>
      </w:r>
      <w:r w:rsidR="003C030F" w:rsidRPr="00B737C5">
        <w:rPr>
          <w:rFonts w:cstheme="minorHAnsi"/>
        </w:rPr>
        <w:t>cantered</w:t>
      </w:r>
      <w:r w:rsidRPr="00B737C5">
        <w:rPr>
          <w:rFonts w:cstheme="minorHAnsi"/>
        </w:rPr>
        <w:t xml:space="preserve"> care has its underlying foundations in humanistic psychotherapy. Carl Rogers recommended that we structure a self-appreciation as youngsters dependent on our associations with critical people (Murphy, Duggan, and Joseph, 2013). We feel meriting adoration, worth, and regard, assuming that we are cherished, esteemed, and regarded. This aspect is termed unlimited positive respect. Individuals figure out how to stifle specific musings and practices, assuming they are just valued for acting in a particular way. There is an absence of consistency because of this contingent positive regard. When the individual people envision themselves as, and their ideal self is equivalent, this is called coinciding. Individuals are terrified to be themselves, assuming they accept they have fizzled, restraining individual advancement (Clarke, 2014). Rogers felt that paying little heed to an individual's age, they need to learn for the duration of their lives and are equipped for individual improvement through unequivocal good regard inside trusting, genuine, and open communications. Individuals become uncertain in case feelings of disquiet smother their advancement.</w:t>
      </w:r>
    </w:p>
    <w:p w14:paraId="3F109410" w14:textId="08AA690F" w:rsidR="003F11AB" w:rsidRPr="00B737C5" w:rsidRDefault="003F11AB" w:rsidP="003F11AB">
      <w:pPr>
        <w:rPr>
          <w:rFonts w:cstheme="minorHAnsi"/>
        </w:rPr>
      </w:pPr>
      <w:r w:rsidRPr="00B737C5">
        <w:rPr>
          <w:rFonts w:cstheme="minorHAnsi"/>
        </w:rPr>
        <w:t>Carl Rogers described person-cent</w:t>
      </w:r>
      <w:r w:rsidR="001A4A1B" w:rsidRPr="00B737C5">
        <w:rPr>
          <w:rFonts w:cstheme="minorHAnsi"/>
        </w:rPr>
        <w:t>e</w:t>
      </w:r>
      <w:r w:rsidRPr="00B737C5">
        <w:rPr>
          <w:rFonts w:cstheme="minorHAnsi"/>
        </w:rPr>
        <w:t>red care during the 1940s. This method withdrew from the conventional thought of the therapist as master, leaning toward a nondirective, compassionate methodology that engages and animates the customer in the vital cycle. The treatment is established on Rogers' idea that every individual tries to and is fit for understanding their maximum capacity (Elliott, 2016). Person-cent</w:t>
      </w:r>
      <w:r w:rsidR="001A4A1B" w:rsidRPr="00B737C5">
        <w:rPr>
          <w:rFonts w:cstheme="minorHAnsi"/>
        </w:rPr>
        <w:t>e</w:t>
      </w:r>
      <w:r w:rsidRPr="00B737C5">
        <w:rPr>
          <w:rFonts w:cstheme="minorHAnsi"/>
        </w:rPr>
        <w:t>red care, frequently known as Rogerian treatment, has affected psychotherapy and various fields. Person-cent</w:t>
      </w:r>
      <w:r w:rsidR="001A4A1B" w:rsidRPr="00B737C5">
        <w:rPr>
          <w:rFonts w:cstheme="minorHAnsi"/>
        </w:rPr>
        <w:t>e</w:t>
      </w:r>
      <w:r w:rsidRPr="00B737C5">
        <w:rPr>
          <w:rFonts w:cstheme="minorHAnsi"/>
        </w:rPr>
        <w:t>red care perceives that every individual has the capacity and craving for self-awareness and change, rather than considering individuals as basically deficient with deceptive practices and convictions that require treatment. This inborn human desire was named self-completion by Rogers (Clarke, 2014). He contrasted it with other living elements looking for more prominent equilibrium, request, and intricacy. People have enormous assets inside themselves for self-comprehension and changing their self-ideas, essential perspectives. Self-</w:t>
      </w:r>
      <w:r w:rsidRPr="00B737C5">
        <w:rPr>
          <w:rFonts w:cstheme="minorHAnsi"/>
        </w:rPr>
        <w:lastRenderedPageBreak/>
        <w:t>coordinated care can be used assuming the health care can give a characterized climate of facilitative mental mentalities.</w:t>
      </w:r>
    </w:p>
    <w:p w14:paraId="29B74B5F" w14:textId="2923AE6B" w:rsidR="003F11AB" w:rsidRPr="00B737C5" w:rsidRDefault="003F11AB" w:rsidP="003F11AB">
      <w:pPr>
        <w:rPr>
          <w:rFonts w:cstheme="minorHAnsi"/>
        </w:rPr>
      </w:pPr>
      <w:r w:rsidRPr="00B737C5">
        <w:rPr>
          <w:rFonts w:cstheme="minorHAnsi"/>
        </w:rPr>
        <w:t>To help customers improve, the individual</w:t>
      </w:r>
      <w:r w:rsidR="001A4A1B" w:rsidRPr="00B737C5">
        <w:rPr>
          <w:rFonts w:cstheme="minorHAnsi"/>
        </w:rPr>
        <w:t>-</w:t>
      </w:r>
      <w:r w:rsidRPr="00B737C5">
        <w:rPr>
          <w:rFonts w:cstheme="minorHAnsi"/>
        </w:rPr>
        <w:t>focused specialist understands how to comprehend and trust human potential while conveying sympathy and unrestricted positive regard. When possible, the specialist abstains from controlling the treatment plan by taking cues from the patient. The specialist offers help, counsel, and discipline with the goal that the customer might track down their extraordinary replies. Person-cent</w:t>
      </w:r>
      <w:r w:rsidR="001A4A1B" w:rsidRPr="00B737C5">
        <w:rPr>
          <w:rFonts w:cstheme="minorHAnsi"/>
        </w:rPr>
        <w:t>e</w:t>
      </w:r>
      <w:r w:rsidRPr="00B737C5">
        <w:rPr>
          <w:rFonts w:cstheme="minorHAnsi"/>
        </w:rPr>
        <w:t>red care was at the vanguard of humanistic brain research development, and it has impacted a wide scope of restorative practices just as the emotional wellbeing area overall. Rogerian approaches have impacted many fields, including medication and instruction.</w:t>
      </w:r>
    </w:p>
    <w:p w14:paraId="7E89EBC9" w14:textId="77777777" w:rsidR="003F11AB" w:rsidRPr="00B737C5" w:rsidRDefault="003F11AB" w:rsidP="003F11AB">
      <w:pPr>
        <w:rPr>
          <w:rFonts w:cstheme="minorHAnsi"/>
        </w:rPr>
      </w:pPr>
      <w:r w:rsidRPr="00B737C5">
        <w:rPr>
          <w:rFonts w:cstheme="minorHAnsi"/>
        </w:rPr>
        <w:t>Ethical Underpinning of Person-Centred Care</w:t>
      </w:r>
    </w:p>
    <w:p w14:paraId="0C2768B9" w14:textId="77777777" w:rsidR="003F11AB" w:rsidRPr="00B737C5" w:rsidRDefault="003F11AB" w:rsidP="003F11AB">
      <w:pPr>
        <w:rPr>
          <w:rFonts w:cstheme="minorHAnsi"/>
        </w:rPr>
      </w:pPr>
      <w:r w:rsidRPr="00B737C5">
        <w:rPr>
          <w:rFonts w:cstheme="minorHAnsi"/>
        </w:rPr>
        <w:t>Patient-fixated care depends on the moral idea of independence and considers patients' social practices, individual inclinations, convictions, family circumstances, and ways of life. Three patient-care limitations are vital to the viability done by the danger chief and the clinical ethicist and have a critical connection to patient-focused consideration show dynamic restraint limit, substitute choice with or without a patient's development care arranging, and the option to decay treatment.</w:t>
      </w:r>
    </w:p>
    <w:p w14:paraId="5EE9277E" w14:textId="58E71723" w:rsidR="003F11AB" w:rsidRPr="00B737C5" w:rsidRDefault="003F11AB" w:rsidP="003F11AB">
      <w:pPr>
        <w:rPr>
          <w:rFonts w:cstheme="minorHAnsi"/>
        </w:rPr>
      </w:pPr>
      <w:r w:rsidRPr="00B737C5">
        <w:rPr>
          <w:rFonts w:cstheme="minorHAnsi"/>
        </w:rPr>
        <w:t>Person-cent</w:t>
      </w:r>
      <w:r w:rsidR="001A4A1B" w:rsidRPr="00B737C5">
        <w:rPr>
          <w:rFonts w:cstheme="minorHAnsi"/>
        </w:rPr>
        <w:t>e</w:t>
      </w:r>
      <w:r w:rsidRPr="00B737C5">
        <w:rPr>
          <w:rFonts w:cstheme="minorHAnsi"/>
        </w:rPr>
        <w:t>red care (PCC) is a responsive and respectful way to deal with the care that thinks about the requests, inclinations, and individuals' standards. It adds to patient strengthening by joining them in treatment plan navigation. Along these lines, PCC is a movement of the first thought of patient-focused consideration, which is described as knowing the patient as an unmistakable person in writing (Hayes, 2015). The most considerable thought in writing shows focused restraint consideration; in any case, this methodology sees the patient as a more detached consideration beneficiary, with the attention just on clinical finding and treatment. PCC goes past persistently focused consideration since it is established on morals and views the individual as a functioning member in clinical treatment, considering their necessities, family, history, qualities, and constraints.</w:t>
      </w:r>
    </w:p>
    <w:p w14:paraId="319D0602" w14:textId="346F7282" w:rsidR="003F11AB" w:rsidRPr="00B737C5" w:rsidRDefault="003F11AB" w:rsidP="003F11AB">
      <w:pPr>
        <w:rPr>
          <w:rFonts w:cstheme="minorHAnsi"/>
        </w:rPr>
      </w:pPr>
      <w:r w:rsidRPr="00B737C5">
        <w:rPr>
          <w:rFonts w:cstheme="minorHAnsi"/>
        </w:rPr>
        <w:t>PCC should be seen from a moral stance to appreciate it and apply it inside medical services associations more readily. This moral point of view depends on the medical care benefit of perceiving self-delicacy and intelligibility throughout everyday life. A few journalists contend that PCC incorporates morals since its underlying foundations are cent</w:t>
      </w:r>
      <w:r w:rsidR="001A4A1B" w:rsidRPr="00B737C5">
        <w:rPr>
          <w:rFonts w:cstheme="minorHAnsi"/>
        </w:rPr>
        <w:t>e</w:t>
      </w:r>
      <w:r w:rsidRPr="00B737C5">
        <w:rPr>
          <w:rFonts w:cstheme="minorHAnsi"/>
        </w:rPr>
        <w:t>red around the human collaboration among patients and suppliers, which is fixated on the focal thought of patients as people.</w:t>
      </w:r>
    </w:p>
    <w:p w14:paraId="6FFC5084" w14:textId="77777777" w:rsidR="003F11AB" w:rsidRPr="00B737C5" w:rsidRDefault="003F11AB" w:rsidP="003F11AB">
      <w:pPr>
        <w:rPr>
          <w:rFonts w:cstheme="minorHAnsi"/>
        </w:rPr>
      </w:pPr>
      <w:r w:rsidRPr="00B737C5">
        <w:rPr>
          <w:rFonts w:cstheme="minorHAnsi"/>
        </w:rPr>
        <w:lastRenderedPageBreak/>
        <w:t>Subsequently, the individual is viewed as exemplified, interconnected, and attached to the social setting rather than as a person. This strategy sets up the change in outlook from the organic model of care, which is characterized by the doctor's strength, to the biopsychosocial model, which puts the person at the focal point of clinical treatment navigation (Bevers etal., 2016). In this sense, biochemical changes are not the sole drivers of disorder; they should be inspected related to psychosocial factors, and the patient-proficient association is critical in influencing clinical results. As indicated by this hypothesis, a fruitful finding is largely dependent on the clinical obligations of the medical services expert, which should be enhanced by good talk and commitment with patients to create a more powerful analysis.</w:t>
      </w:r>
    </w:p>
    <w:p w14:paraId="3DA9D755" w14:textId="7096FB10" w:rsidR="003F11AB" w:rsidRPr="00B737C5" w:rsidRDefault="003F11AB" w:rsidP="003F11AB">
      <w:pPr>
        <w:rPr>
          <w:rFonts w:cstheme="minorHAnsi"/>
        </w:rPr>
      </w:pPr>
      <w:r w:rsidRPr="00B737C5">
        <w:rPr>
          <w:rFonts w:cstheme="minorHAnsi"/>
        </w:rPr>
        <w:t xml:space="preserve">Accordingly, one of the main parts of PCC is the moral part. As indicated by the </w:t>
      </w:r>
      <w:r w:rsidR="003C030F" w:rsidRPr="00B737C5">
        <w:rPr>
          <w:rFonts w:cstheme="minorHAnsi"/>
        </w:rPr>
        <w:t>centre’s</w:t>
      </w:r>
      <w:r w:rsidRPr="00B737C5">
        <w:rPr>
          <w:rFonts w:cstheme="minorHAnsi"/>
        </w:rPr>
        <w:t xml:space="preserve"> ideas and fundamental standards of fair human conduct, morals allude to the guideline of making the best decision, fostering the right kind of associations, or potentially destroying what's up. In the system of PCC, the social morals hypothesis assumes a huge part inside the more extensive thought of morals. Social morals allude to those associations that are considered better than other people and </w:t>
      </w:r>
      <w:r w:rsidR="00250C8E" w:rsidRPr="00B737C5">
        <w:rPr>
          <w:rFonts w:cstheme="minorHAnsi"/>
        </w:rPr>
        <w:t>endeavour</w:t>
      </w:r>
      <w:r w:rsidRPr="00B737C5">
        <w:rPr>
          <w:rFonts w:cstheme="minorHAnsi"/>
        </w:rPr>
        <w:t xml:space="preserve"> to invigorate development, mending, and wellbeing. Social morals are characterized as an activity moral focused on relational associations. Inclusion, shared regard, contribution, and an interconnected climate are all important for the activity morals.</w:t>
      </w:r>
    </w:p>
    <w:p w14:paraId="2B27ADFC" w14:textId="0BE0BDB1" w:rsidR="003F11AB" w:rsidRPr="00B737C5" w:rsidRDefault="003F11AB" w:rsidP="003F11AB">
      <w:pPr>
        <w:rPr>
          <w:rFonts w:cstheme="minorHAnsi"/>
        </w:rPr>
      </w:pPr>
      <w:r w:rsidRPr="00B737C5">
        <w:rPr>
          <w:rFonts w:cstheme="minorHAnsi"/>
        </w:rPr>
        <w:t xml:space="preserve">The key principle is that moral decisions and acts ought to be made about relational connections. As per this perspective, social morals </w:t>
      </w:r>
      <w:r w:rsidR="001A4A1B" w:rsidRPr="00B737C5">
        <w:rPr>
          <w:rFonts w:cstheme="minorHAnsi"/>
        </w:rPr>
        <w:t xml:space="preserve">are </w:t>
      </w:r>
      <w:r w:rsidRPr="00B737C5">
        <w:rPr>
          <w:rFonts w:cstheme="minorHAnsi"/>
        </w:rPr>
        <w:t xml:space="preserve">premised on the relationship rather than the deed. Common regard, inclusion, exemplified information, climate, and vagueness are all important for the social </w:t>
      </w:r>
      <w:r w:rsidR="00DF74F0" w:rsidRPr="00B737C5">
        <w:rPr>
          <w:rFonts w:cstheme="minorHAnsi"/>
        </w:rPr>
        <w:t>morals’</w:t>
      </w:r>
      <w:r w:rsidRPr="00B737C5">
        <w:rPr>
          <w:rFonts w:cstheme="minorHAnsi"/>
        </w:rPr>
        <w:t xml:space="preserve"> worldview. These norms should ensure that connections are framed </w:t>
      </w:r>
      <w:r w:rsidR="00250C8E" w:rsidRPr="00B737C5">
        <w:rPr>
          <w:rFonts w:cstheme="minorHAnsi"/>
        </w:rPr>
        <w:t>appropriately,</w:t>
      </w:r>
      <w:r w:rsidRPr="00B737C5">
        <w:rPr>
          <w:rFonts w:cstheme="minorHAnsi"/>
        </w:rPr>
        <w:t xml:space="preserve"> and that moral decisions and moves are made.</w:t>
      </w:r>
    </w:p>
    <w:p w14:paraId="29EC5430" w14:textId="77777777" w:rsidR="003F11AB" w:rsidRPr="00B737C5" w:rsidRDefault="003F11AB" w:rsidP="003F11AB">
      <w:pPr>
        <w:rPr>
          <w:rFonts w:cstheme="minorHAnsi"/>
        </w:rPr>
      </w:pPr>
      <w:r w:rsidRPr="00B737C5">
        <w:rPr>
          <w:rFonts w:cstheme="minorHAnsi"/>
        </w:rPr>
        <w:t>Benefits and Limitations of Person-Centred Care</w:t>
      </w:r>
    </w:p>
    <w:p w14:paraId="6A668409" w14:textId="04FC0FEB" w:rsidR="003F11AB" w:rsidRPr="00B737C5" w:rsidRDefault="003F11AB" w:rsidP="003F11AB">
      <w:pPr>
        <w:rPr>
          <w:rFonts w:cstheme="minorHAnsi"/>
        </w:rPr>
      </w:pPr>
      <w:r w:rsidRPr="00B737C5">
        <w:rPr>
          <w:rFonts w:cstheme="minorHAnsi"/>
        </w:rPr>
        <w:t>The main advantages of PCC are improved wellbeing and prosperity, working on a shared commitment, working on cost-adequacy, and an improved workplace. PCC morals incorporate reinforcing an individual's assets while maintaining their independence regarding standards, individual opportunity, and self-assurance. These components are basic for working on confidence and, by and large, personal satisfaction (Cowie, 2012). Accordingly, the singular will feel improved self-viability and independence, just as physical and mental prosperity. The advantages of Person-</w:t>
      </w:r>
      <w:r w:rsidR="00CC552E" w:rsidRPr="00B737C5">
        <w:rPr>
          <w:rFonts w:cstheme="minorHAnsi"/>
        </w:rPr>
        <w:t>cantered</w:t>
      </w:r>
      <w:r w:rsidRPr="00B737C5">
        <w:rPr>
          <w:rFonts w:cstheme="minorHAnsi"/>
        </w:rPr>
        <w:t xml:space="preserve"> care have been exhibited as far as expanded shared connections. Past research has featured the need for relational ties in PCC with the goal for patients to flourish utilizing equability and commonality. A proportional association can prompt the development of an organization, which includes direction shared by the two players. The expense viability of PCC is another advantage. One </w:t>
      </w:r>
      <w:r w:rsidRPr="00B737C5">
        <w:rPr>
          <w:rFonts w:cstheme="minorHAnsi"/>
        </w:rPr>
        <w:lastRenderedPageBreak/>
        <w:t xml:space="preserve">of the emergency clinic's targets is to release patients when achievable. Subsequently, medical organizations might need to save patients' emergency clinic stays and utilize their time (McCance, 2017). </w:t>
      </w:r>
      <w:r w:rsidR="00ED5A89" w:rsidRPr="00B737C5">
        <w:rPr>
          <w:rFonts w:cstheme="minorHAnsi"/>
        </w:rPr>
        <w:t>The s</w:t>
      </w:r>
      <w:r w:rsidRPr="00B737C5">
        <w:rPr>
          <w:rFonts w:cstheme="minorHAnsi"/>
        </w:rPr>
        <w:t>taff ha</w:t>
      </w:r>
      <w:r w:rsidR="00ED5A89" w:rsidRPr="00B737C5">
        <w:rPr>
          <w:rFonts w:cstheme="minorHAnsi"/>
        </w:rPr>
        <w:t>s</w:t>
      </w:r>
      <w:r w:rsidRPr="00B737C5">
        <w:rPr>
          <w:rFonts w:cstheme="minorHAnsi"/>
        </w:rPr>
        <w:t xml:space="preserve"> a superior workplace when they get person-cent</w:t>
      </w:r>
      <w:r w:rsidR="00ED5A89" w:rsidRPr="00B737C5">
        <w:rPr>
          <w:rFonts w:cstheme="minorHAnsi"/>
        </w:rPr>
        <w:t>e</w:t>
      </w:r>
      <w:r w:rsidRPr="00B737C5">
        <w:rPr>
          <w:rFonts w:cstheme="minorHAnsi"/>
        </w:rPr>
        <w:t>red care. As per research, burnout is unequivocally connected to long</w:t>
      </w:r>
      <w:r w:rsidR="00ED5A89" w:rsidRPr="00B737C5">
        <w:rPr>
          <w:rFonts w:cstheme="minorHAnsi"/>
        </w:rPr>
        <w:t>-</w:t>
      </w:r>
      <w:r w:rsidRPr="00B737C5">
        <w:rPr>
          <w:rFonts w:cstheme="minorHAnsi"/>
        </w:rPr>
        <w:t>haul responsibility and moral pressure. PCC seems to reduce staff soul strain by permitting them to convey legitimate consideration.</w:t>
      </w:r>
    </w:p>
    <w:p w14:paraId="79E43BDC" w14:textId="54FB5860" w:rsidR="003F11AB" w:rsidRPr="00B737C5" w:rsidRDefault="003F11AB" w:rsidP="003F11AB">
      <w:pPr>
        <w:rPr>
          <w:rFonts w:cstheme="minorHAnsi"/>
        </w:rPr>
      </w:pPr>
      <w:r w:rsidRPr="00B737C5">
        <w:rPr>
          <w:rFonts w:cstheme="minorHAnsi"/>
        </w:rPr>
        <w:t>PCC has potential drawbacks such as increased individual and monetary expenditures, some groups</w:t>
      </w:r>
      <w:r w:rsidR="00ED5A89" w:rsidRPr="00B737C5">
        <w:rPr>
          <w:rFonts w:cstheme="minorHAnsi"/>
        </w:rPr>
        <w:t>'</w:t>
      </w:r>
      <w:r w:rsidRPr="00B737C5">
        <w:rPr>
          <w:rFonts w:cstheme="minorHAnsi"/>
        </w:rPr>
        <w:t xml:space="preserve"> exclusions, rejection of staff's personality, risk of sympathy tiredness, and unfairness inferred from compassion. . Despite the benefits, PCC is one of the most common causes of patient falls in clinical settings. PCC, in practice, needs careful consideration, especially for persons with intellectual disabilities. The costs incurred due to falls are self-evident: wounds, fractures, and anxiety. These costs include the patient's distress and potential risks to their safety and greater clinic and rehabilitation costs.</w:t>
      </w:r>
    </w:p>
    <w:p w14:paraId="43D96B05" w14:textId="77777777" w:rsidR="003F11AB" w:rsidRPr="00B737C5" w:rsidRDefault="003F11AB" w:rsidP="003F11AB">
      <w:pPr>
        <w:rPr>
          <w:rFonts w:cstheme="minorHAnsi"/>
        </w:rPr>
      </w:pPr>
      <w:r w:rsidRPr="00B737C5">
        <w:rPr>
          <w:rFonts w:cstheme="minorHAnsi"/>
        </w:rPr>
        <w:t>There is no consensus on which patient group PCC is best suited. Nonetheless, there's a chance it will be very beneficial for a few people but not for anybody else. Suppose one of the goals includes people capable of making informed decisions and successfully engaging in their consideration (McCance, 2017). Some people may take advantage of the situation and use their powerful voices, while others with weaker voices will be hampered. There are also some who, for no apparent reason, do not want to be a part of their consideration. PCC frequently focuses on the patient and their privileges, while staff and humanity are occasionally overlooked. This approach may reduce the value of representatives as self-employed individuals, resulting in poor working conditions and high turnover rates.</w:t>
      </w:r>
    </w:p>
    <w:p w14:paraId="200E4227" w14:textId="757FBA09" w:rsidR="003F11AB" w:rsidRPr="00B737C5" w:rsidRDefault="003F11AB" w:rsidP="003F11AB">
      <w:pPr>
        <w:rPr>
          <w:rFonts w:cstheme="minorHAnsi"/>
        </w:rPr>
      </w:pPr>
      <w:r w:rsidRPr="00B737C5">
        <w:rPr>
          <w:rFonts w:cstheme="minorHAnsi"/>
        </w:rPr>
        <w:t xml:space="preserve">Therefore, patients will be viewed as people, while staff will not. Kadri et al. (2018) found that numerous dementia care workers were not perceived by their bosses as people by their own doing. There was an overall absence of acknowledgment of the ethical occupation of mindful. This aspect implies that the mind-boggling associations of care work might be diminished to a bunch of tasks, putting care workers' self-esteem and self-adequacy at </w:t>
      </w:r>
      <w:r w:rsidR="00DF74F0" w:rsidRPr="00B737C5">
        <w:rPr>
          <w:rFonts w:cstheme="minorHAnsi"/>
        </w:rPr>
        <w:t>risk,</w:t>
      </w:r>
      <w:r w:rsidRPr="00B737C5">
        <w:rPr>
          <w:rFonts w:cstheme="minorHAnsi"/>
        </w:rPr>
        <w:t xml:space="preserve"> and seriously affecting PCC conveyance. Medical services workers are consistently in danger of being overburdened by their obligations and association with their patients. Empathy weariness, characterized by an ever-evolving loss of sympathy and sleepiness, is a consequence of this. Sensations of dejection, relentless pressure and stress, and sleep deprivation or bad dreams are, for the most part, side effects of sympathy exhaustion. Compassion is a positive worth in care that people might view as one of the cent</w:t>
      </w:r>
      <w:r w:rsidR="00ED5A89" w:rsidRPr="00B737C5">
        <w:rPr>
          <w:rFonts w:cstheme="minorHAnsi"/>
        </w:rPr>
        <w:t>er</w:t>
      </w:r>
      <w:r w:rsidRPr="00B737C5">
        <w:rPr>
          <w:rFonts w:cstheme="minorHAnsi"/>
        </w:rPr>
        <w:t xml:space="preserve"> parts of PCC. When one is excessively empathic, there is a potential danger. Exorbitant sympathy for specific individuals can be treacherous, disregarding moral principles.</w:t>
      </w:r>
    </w:p>
    <w:p w14:paraId="710D307F" w14:textId="77777777" w:rsidR="003F11AB" w:rsidRPr="00B737C5" w:rsidRDefault="003F11AB" w:rsidP="003F11AB">
      <w:pPr>
        <w:rPr>
          <w:rFonts w:cstheme="minorHAnsi"/>
        </w:rPr>
      </w:pPr>
      <w:r w:rsidRPr="00B737C5">
        <w:rPr>
          <w:rFonts w:cstheme="minorHAnsi"/>
        </w:rPr>
        <w:lastRenderedPageBreak/>
        <w:t>Application of Person-Centred Care in Cancer Treatment</w:t>
      </w:r>
    </w:p>
    <w:p w14:paraId="220A750B" w14:textId="77777777" w:rsidR="003F11AB" w:rsidRPr="00B737C5" w:rsidRDefault="003F11AB" w:rsidP="003F11AB">
      <w:pPr>
        <w:rPr>
          <w:rFonts w:cstheme="minorHAnsi"/>
        </w:rPr>
      </w:pPr>
      <w:r w:rsidRPr="00B737C5">
        <w:rPr>
          <w:rFonts w:cstheme="minorHAnsi"/>
        </w:rPr>
        <w:t>By including patients and family in conversations about care and guaranteeing that treatment choices are divided among medical care staff and patients, it is feasible to develop other illnesses on the board, work on patients' encounters of care, and connection appointing choices and improvement drives to the requirements of administration clients. Malignant growth Patients benefit from approaching data regarding their illness and treatment decisions, like helping with fathoming, deciphering, and interpreting that data. All patients should have total admittance to data, paying little heed to proficiency or mental ability. Clinicians will need help to make this a reality, practically speaking. Patients who are satisfactorily taught about their wellbeing and treatment choices are bound to adhere to the treatment plan that has been settled.</w:t>
      </w:r>
    </w:p>
    <w:p w14:paraId="0638F90C" w14:textId="0BC12AC6" w:rsidR="003F11AB" w:rsidRPr="00B737C5" w:rsidRDefault="003F11AB" w:rsidP="00244CBD">
      <w:pPr>
        <w:rPr>
          <w:rFonts w:cstheme="minorHAnsi"/>
        </w:rPr>
      </w:pPr>
      <w:r w:rsidRPr="00B737C5">
        <w:rPr>
          <w:rFonts w:cstheme="minorHAnsi"/>
        </w:rPr>
        <w:t>Moreover, information proposes that solid correspondence between specialists and patients works on persistent results. With regards to treatment, having sufficient data is fundamental for communicating inclinations and practi</w:t>
      </w:r>
      <w:r w:rsidR="00ED5A89" w:rsidRPr="00B737C5">
        <w:rPr>
          <w:rFonts w:cstheme="minorHAnsi"/>
        </w:rPr>
        <w:t>c</w:t>
      </w:r>
      <w:r w:rsidRPr="00B737C5">
        <w:rPr>
          <w:rFonts w:cstheme="minorHAnsi"/>
        </w:rPr>
        <w:t xml:space="preserve">ing decisions. Patients might be more mindful of data when a medical services provider takes them through the material and supports them in deciphering and interpreting the data in importance to their circumstance, as indicated by proof from an assortment of ailment regions. It is basic in malignant growth treatment that patients are helped with appreciating data regarding their illness, for example, using different media and structures to furnish data to individuals with low understanding capacities. Understand that not every person </w:t>
      </w:r>
      <w:r w:rsidR="00250C8E" w:rsidRPr="00B737C5">
        <w:rPr>
          <w:rFonts w:cstheme="minorHAnsi"/>
        </w:rPr>
        <w:t>approach</w:t>
      </w:r>
      <w:r w:rsidRPr="00B737C5">
        <w:rPr>
          <w:rFonts w:cstheme="minorHAnsi"/>
        </w:rPr>
        <w:t xml:space="preserve"> web data.</w:t>
      </w:r>
    </w:p>
    <w:p w14:paraId="52B6F0DD" w14:textId="77777777" w:rsidR="003F11AB" w:rsidRPr="00B737C5" w:rsidRDefault="003F11AB" w:rsidP="003F11AB">
      <w:pPr>
        <w:rPr>
          <w:rFonts w:cstheme="minorHAnsi"/>
        </w:rPr>
      </w:pPr>
      <w:r w:rsidRPr="00B737C5">
        <w:rPr>
          <w:rFonts w:cstheme="minorHAnsi"/>
        </w:rPr>
        <w:t>Health professionals should educate medical care suppliers to pay attention to and speak with patients who experience physical or intellectual debilitation issues. Numerous malignant growth patients decide to be dynamic members in their consideration rather than detached beneficiaries. While not all patients want to partake in navigation (Storm, 2016), a few patients do at various treatment periods. Close to half of GPs have communicated a requirement to help manage patients approaching the finish of their lives. Including malignant growth patients in their treatment can assist them with having a superior encounter just as upgrade their wellbeing results.</w:t>
      </w:r>
    </w:p>
    <w:p w14:paraId="1B23F3AA" w14:textId="37BB00EC" w:rsidR="003F11AB" w:rsidRPr="00B737C5" w:rsidRDefault="003F11AB" w:rsidP="003F11AB">
      <w:pPr>
        <w:rPr>
          <w:rFonts w:cstheme="minorHAnsi"/>
        </w:rPr>
      </w:pPr>
      <w:r w:rsidRPr="00B737C5">
        <w:rPr>
          <w:rFonts w:cstheme="minorHAnsi"/>
        </w:rPr>
        <w:t xml:space="preserve"> Supporting staff to get abilities that permit them to work in a joint effort with patients has improved patients' capacity to deal with their conditions (Povey, 2009), bringing about a superior patient encounter and lower usage of medical care administrations. , Nurses might utilize basic apparatuses to assist with this. For instance, a bosom malignant growth clinical attendant expert conceived a trouble thermometer poll to advance </w:t>
      </w:r>
      <w:r w:rsidR="00ED5A89" w:rsidRPr="00B737C5">
        <w:rPr>
          <w:rFonts w:cstheme="minorHAnsi"/>
        </w:rPr>
        <w:t xml:space="preserve">the </w:t>
      </w:r>
      <w:r w:rsidRPr="00B737C5">
        <w:rPr>
          <w:rFonts w:cstheme="minorHAnsi"/>
        </w:rPr>
        <w:t>female conversation about their nervousness levels and ask radiographers to think about patients' interests and sort out care around their necessities (National Cancer Action Team 2010).</w:t>
      </w:r>
    </w:p>
    <w:p w14:paraId="6DAF8D00" w14:textId="77777777" w:rsidR="003F11AB" w:rsidRPr="00B737C5" w:rsidRDefault="003F11AB" w:rsidP="003F11AB">
      <w:pPr>
        <w:rPr>
          <w:rFonts w:cstheme="minorHAnsi"/>
        </w:rPr>
      </w:pPr>
      <w:r w:rsidRPr="00B737C5">
        <w:rPr>
          <w:rFonts w:cstheme="minorHAnsi"/>
        </w:rPr>
        <w:lastRenderedPageBreak/>
        <w:t>Recommendation for Improving Person-Centred Care</w:t>
      </w:r>
    </w:p>
    <w:p w14:paraId="02C11C49" w14:textId="6154062E" w:rsidR="003F11AB" w:rsidRPr="00B737C5" w:rsidRDefault="003F11AB" w:rsidP="003F11AB">
      <w:pPr>
        <w:rPr>
          <w:rFonts w:cstheme="minorHAnsi"/>
        </w:rPr>
      </w:pPr>
      <w:r w:rsidRPr="00B737C5">
        <w:rPr>
          <w:rFonts w:cstheme="minorHAnsi"/>
        </w:rPr>
        <w:t>Patient-cent</w:t>
      </w:r>
      <w:r w:rsidR="00ED5A89" w:rsidRPr="00B737C5">
        <w:rPr>
          <w:rFonts w:cstheme="minorHAnsi"/>
        </w:rPr>
        <w:t>e</w:t>
      </w:r>
      <w:r w:rsidRPr="00B737C5">
        <w:rPr>
          <w:rFonts w:cstheme="minorHAnsi"/>
        </w:rPr>
        <w:t xml:space="preserve">red care must be linked to the commissioning and provision of services required </w:t>
      </w:r>
      <w:r w:rsidR="00ED5A89" w:rsidRPr="00B737C5">
        <w:rPr>
          <w:rFonts w:cstheme="minorHAnsi"/>
        </w:rPr>
        <w:t>to meet</w:t>
      </w:r>
      <w:r w:rsidRPr="00B737C5">
        <w:rPr>
          <w:rFonts w:cstheme="minorHAnsi"/>
        </w:rPr>
        <w:t xml:space="preserve"> cancer patients' needs to be effective. For example, all patients should receive advice and information on the probability and governance of potential treatment consequences or late effects to maintain treatment implications. Following cancer treatment, this approach involves various physical and </w:t>
      </w:r>
      <w:r w:rsidR="003C030F" w:rsidRPr="00B737C5">
        <w:rPr>
          <w:rFonts w:cstheme="minorHAnsi"/>
        </w:rPr>
        <w:t>behavioural</w:t>
      </w:r>
      <w:r w:rsidRPr="00B737C5">
        <w:rPr>
          <w:rFonts w:cstheme="minorHAnsi"/>
        </w:rPr>
        <w:t xml:space="preserve"> changes that limit independence or quality of life. In cancer therapy, patient-cent</w:t>
      </w:r>
      <w:r w:rsidR="00ED5A89" w:rsidRPr="00B737C5">
        <w:rPr>
          <w:rFonts w:cstheme="minorHAnsi"/>
        </w:rPr>
        <w:t>e</w:t>
      </w:r>
      <w:r w:rsidRPr="00B737C5">
        <w:rPr>
          <w:rFonts w:cstheme="minorHAnsi"/>
        </w:rPr>
        <w:t>red care should also include rehabilitation programs. People living with and beyond cancer should have access to adequate and appropriate rehabilitation services to attain optimum function and quality of life. All patients, including occupational therapists, psychologists, speech therapists, nutritionists, psychiatrists, and therapy radiographers, must have competent allied health specialists to assist their specific needs throughout the cancer journey.</w:t>
      </w:r>
    </w:p>
    <w:p w14:paraId="089C9909" w14:textId="27E1CB1F" w:rsidR="003F11AB" w:rsidRPr="00B737C5" w:rsidRDefault="003F11AB" w:rsidP="003F11AB">
      <w:pPr>
        <w:rPr>
          <w:rFonts w:cstheme="minorHAnsi"/>
        </w:rPr>
      </w:pPr>
      <w:r w:rsidRPr="00B737C5">
        <w:rPr>
          <w:rFonts w:cstheme="minorHAnsi"/>
        </w:rPr>
        <w:t>Many of the interventions required for cancer patients are the same as for individuals suffering from other long-term illnesses. Instead of treating cancer in isolation, healthcare providers should consider this by contracting therapies specific to the person. The procurement and delivery of services to help cancer patients may or may not need to be cancer-specific, but it must adhere to the principles of person-cent</w:t>
      </w:r>
      <w:r w:rsidR="00ED5A89" w:rsidRPr="00B737C5">
        <w:rPr>
          <w:rFonts w:cstheme="minorHAnsi"/>
        </w:rPr>
        <w:t>e</w:t>
      </w:r>
      <w:r w:rsidRPr="00B737C5">
        <w:rPr>
          <w:rFonts w:cstheme="minorHAnsi"/>
        </w:rPr>
        <w:t>red care. These interventions must be incorporated in plans, commissioning objectives, and contracts and addressed with providers for healthcare professionals. To promote person-cent</w:t>
      </w:r>
      <w:r w:rsidR="00ED5A89" w:rsidRPr="00B737C5">
        <w:rPr>
          <w:rFonts w:cstheme="minorHAnsi"/>
        </w:rPr>
        <w:t>e</w:t>
      </w:r>
      <w:r w:rsidRPr="00B737C5">
        <w:rPr>
          <w:rFonts w:cstheme="minorHAnsi"/>
        </w:rPr>
        <w:t>red care for cancer patients, healthcare professionals should employ various financial and non-financial incentives and rewards available to them.</w:t>
      </w:r>
    </w:p>
    <w:p w14:paraId="21F61DEC" w14:textId="77777777" w:rsidR="003F11AB" w:rsidRPr="00B737C5" w:rsidRDefault="003F11AB" w:rsidP="003F11AB">
      <w:pPr>
        <w:rPr>
          <w:rFonts w:cstheme="minorHAnsi"/>
        </w:rPr>
      </w:pPr>
      <w:r w:rsidRPr="00B737C5">
        <w:rPr>
          <w:rFonts w:cstheme="minorHAnsi"/>
        </w:rPr>
        <w:t>References</w:t>
      </w:r>
    </w:p>
    <w:p w14:paraId="79E6B242" w14:textId="77777777" w:rsidR="003F11AB" w:rsidRPr="00B737C5" w:rsidRDefault="003F11AB" w:rsidP="003F11AB">
      <w:pPr>
        <w:rPr>
          <w:rFonts w:cstheme="minorHAnsi"/>
        </w:rPr>
      </w:pPr>
      <w:r w:rsidRPr="00B737C5">
        <w:rPr>
          <w:rFonts w:cstheme="minorHAnsi"/>
        </w:rPr>
        <w:t>Bevers, K., Watts, L., Kishino, N.D. and Gatchel, R.J., 2016. The biopsychosocial model of the assessment, prevention, and treatment of chronic pain. US Neurol, 12(2), pp.98-104.</w:t>
      </w:r>
    </w:p>
    <w:p w14:paraId="225191C7" w14:textId="0E7DB938" w:rsidR="003F11AB" w:rsidRPr="00B737C5" w:rsidRDefault="003F11AB" w:rsidP="003F11AB">
      <w:pPr>
        <w:rPr>
          <w:rFonts w:cstheme="minorHAnsi"/>
        </w:rPr>
      </w:pPr>
      <w:r w:rsidRPr="00B737C5">
        <w:rPr>
          <w:rFonts w:cstheme="minorHAnsi"/>
        </w:rPr>
        <w:t>Clarke, N. M. (2014). A person-cent</w:t>
      </w:r>
      <w:r w:rsidR="00ED5A89" w:rsidRPr="00B737C5">
        <w:rPr>
          <w:rFonts w:cstheme="minorHAnsi"/>
        </w:rPr>
        <w:t>e</w:t>
      </w:r>
      <w:r w:rsidRPr="00B737C5">
        <w:rPr>
          <w:rFonts w:cstheme="minorHAnsi"/>
        </w:rPr>
        <w:t xml:space="preserve">red </w:t>
      </w:r>
      <w:r w:rsidR="00ED5A89" w:rsidRPr="00B737C5">
        <w:rPr>
          <w:rFonts w:cstheme="minorHAnsi"/>
        </w:rPr>
        <w:t>i</w:t>
      </w:r>
      <w:r w:rsidRPr="00B737C5">
        <w:rPr>
          <w:rFonts w:cstheme="minorHAnsi"/>
        </w:rPr>
        <w:t>nquiry into the teaching and learning experiences of reflection and reflective practice—Part one. Nurse Education Today, 34(9), 1219-1224.</w:t>
      </w:r>
    </w:p>
    <w:p w14:paraId="2E524640" w14:textId="083746FB" w:rsidR="003F11AB" w:rsidRPr="00B737C5" w:rsidRDefault="003F11AB" w:rsidP="003F11AB">
      <w:pPr>
        <w:rPr>
          <w:rFonts w:cstheme="minorHAnsi"/>
        </w:rPr>
      </w:pPr>
      <w:r w:rsidRPr="00B737C5">
        <w:rPr>
          <w:rFonts w:cstheme="minorHAnsi"/>
        </w:rPr>
        <w:t>Cowie, M.R., 2012. Person-cent</w:t>
      </w:r>
      <w:r w:rsidR="00ED5A89" w:rsidRPr="00B737C5">
        <w:rPr>
          <w:rFonts w:cstheme="minorHAnsi"/>
        </w:rPr>
        <w:t>e</w:t>
      </w:r>
      <w:r w:rsidRPr="00B737C5">
        <w:rPr>
          <w:rFonts w:cstheme="minorHAnsi"/>
        </w:rPr>
        <w:t>red care: more than just improving patient satisfaction?</w:t>
      </w:r>
    </w:p>
    <w:p w14:paraId="255DDF9E" w14:textId="38A0358E" w:rsidR="003F11AB" w:rsidRPr="00B737C5" w:rsidRDefault="003F11AB" w:rsidP="00B737C5">
      <w:pPr>
        <w:rPr>
          <w:rFonts w:cstheme="minorHAnsi"/>
        </w:rPr>
      </w:pPr>
      <w:r w:rsidRPr="00B737C5">
        <w:rPr>
          <w:rFonts w:cstheme="minorHAnsi"/>
        </w:rPr>
        <w:t xml:space="preserve">Elliott, R., 2016. Research on person-centred/experiential psychotherapy and </w:t>
      </w:r>
      <w:r w:rsidR="003C030F" w:rsidRPr="00B737C5">
        <w:rPr>
          <w:rFonts w:cstheme="minorHAnsi"/>
        </w:rPr>
        <w:t>counselling</w:t>
      </w:r>
      <w:r w:rsidRPr="00B737C5">
        <w:rPr>
          <w:rFonts w:cstheme="minorHAnsi"/>
        </w:rPr>
        <w:t>: summary of the main findings.</w:t>
      </w:r>
    </w:p>
    <w:p w14:paraId="1D586620" w14:textId="77777777" w:rsidR="003F11AB" w:rsidRPr="00B737C5" w:rsidRDefault="003F11AB" w:rsidP="003F11AB">
      <w:pPr>
        <w:rPr>
          <w:rFonts w:cstheme="minorHAnsi"/>
        </w:rPr>
      </w:pPr>
      <w:r w:rsidRPr="00B737C5">
        <w:rPr>
          <w:rFonts w:cstheme="minorHAnsi"/>
        </w:rPr>
        <w:t>Hayes, K., 2015. Person-Centred Therapy. The Beginner′ s Guide to Counselling &amp; Psychotherapy, p.207.</w:t>
      </w:r>
    </w:p>
    <w:p w14:paraId="6352962A" w14:textId="77777777" w:rsidR="003F11AB" w:rsidRPr="00B737C5" w:rsidRDefault="003F11AB" w:rsidP="003F11AB">
      <w:pPr>
        <w:rPr>
          <w:rFonts w:cstheme="minorHAnsi"/>
        </w:rPr>
      </w:pPr>
      <w:r w:rsidRPr="00B737C5">
        <w:rPr>
          <w:rFonts w:cstheme="minorHAnsi"/>
        </w:rPr>
        <w:t>Institute of Medicine, 2010. The future of nursing: Leading change, advancing health. Washington, DC: National Academy Press.</w:t>
      </w:r>
    </w:p>
    <w:p w14:paraId="7257C077" w14:textId="6E30A448" w:rsidR="003F11AB" w:rsidRPr="00B737C5" w:rsidRDefault="003F11AB" w:rsidP="003F11AB">
      <w:pPr>
        <w:rPr>
          <w:rFonts w:cstheme="minorHAnsi"/>
        </w:rPr>
      </w:pPr>
      <w:r w:rsidRPr="00B737C5">
        <w:rPr>
          <w:rFonts w:cstheme="minorHAnsi"/>
        </w:rPr>
        <w:lastRenderedPageBreak/>
        <w:t>Kadri, A., Rapaport, P., Livingston, G., Cooper, C., Robertson, S., &amp; Higgs, P. (2018). Care workers, the unacknowledged persons in person-cent</w:t>
      </w:r>
      <w:r w:rsidR="00ED5A89" w:rsidRPr="00B737C5">
        <w:rPr>
          <w:rFonts w:cstheme="minorHAnsi"/>
        </w:rPr>
        <w:t>e</w:t>
      </w:r>
      <w:r w:rsidRPr="00B737C5">
        <w:rPr>
          <w:rFonts w:cstheme="minorHAnsi"/>
        </w:rPr>
        <w:t>red care: A secondary qualitative analysis of UK care home staff interviews. PLoS One, 13(7), e0200031.</w:t>
      </w:r>
    </w:p>
    <w:p w14:paraId="2B7F950F" w14:textId="43A0E583" w:rsidR="003F11AB" w:rsidRPr="00B737C5" w:rsidRDefault="003F11AB" w:rsidP="003F11AB">
      <w:pPr>
        <w:rPr>
          <w:rFonts w:cstheme="minorHAnsi"/>
        </w:rPr>
      </w:pPr>
      <w:r w:rsidRPr="00B737C5">
        <w:rPr>
          <w:rFonts w:cstheme="minorHAnsi"/>
        </w:rPr>
        <w:t>Lusk, J.M. and Fater, K., 2013. A concept analysis of patient</w:t>
      </w:r>
      <w:r w:rsidR="00ED5A89" w:rsidRPr="00B737C5">
        <w:rPr>
          <w:rFonts w:cstheme="minorHAnsi"/>
        </w:rPr>
        <w:t>-ce</w:t>
      </w:r>
      <w:r w:rsidR="00DF74F0" w:rsidRPr="00B737C5">
        <w:rPr>
          <w:rFonts w:cstheme="minorHAnsi"/>
        </w:rPr>
        <w:t>ntered</w:t>
      </w:r>
      <w:r w:rsidRPr="00B737C5">
        <w:rPr>
          <w:rFonts w:cstheme="minorHAnsi"/>
        </w:rPr>
        <w:t xml:space="preserve"> care. In Nursing forum (Vol. 48, No. 2, pp. 89-98).</w:t>
      </w:r>
    </w:p>
    <w:p w14:paraId="588635CB" w14:textId="04F8707E" w:rsidR="003F11AB" w:rsidRPr="00B737C5" w:rsidRDefault="003F11AB" w:rsidP="003F11AB">
      <w:pPr>
        <w:rPr>
          <w:rFonts w:cstheme="minorHAnsi"/>
        </w:rPr>
      </w:pPr>
      <w:r w:rsidRPr="00B737C5">
        <w:rPr>
          <w:rFonts w:cstheme="minorHAnsi"/>
        </w:rPr>
        <w:t>McCance, T., &amp; McCormack, B. (2017). The person-cent</w:t>
      </w:r>
      <w:r w:rsidR="00ED5A89" w:rsidRPr="00B737C5">
        <w:rPr>
          <w:rFonts w:cstheme="minorHAnsi"/>
        </w:rPr>
        <w:t>e</w:t>
      </w:r>
      <w:r w:rsidRPr="00B737C5">
        <w:rPr>
          <w:rFonts w:cstheme="minorHAnsi"/>
        </w:rPr>
        <w:t>red practice framework. Person-cent</w:t>
      </w:r>
      <w:r w:rsidR="00ED5A89" w:rsidRPr="00B737C5">
        <w:rPr>
          <w:rFonts w:cstheme="minorHAnsi"/>
        </w:rPr>
        <w:t>e</w:t>
      </w:r>
      <w:r w:rsidRPr="00B737C5">
        <w:rPr>
          <w:rFonts w:cstheme="minorHAnsi"/>
        </w:rPr>
        <w:t>red practice in nursing and health care: Theory and practice, 2.</w:t>
      </w:r>
    </w:p>
    <w:p w14:paraId="2FCA8251" w14:textId="0598EF01" w:rsidR="003F11AB" w:rsidRPr="00B737C5" w:rsidRDefault="003F11AB" w:rsidP="003F11AB">
      <w:pPr>
        <w:rPr>
          <w:rFonts w:cstheme="minorHAnsi"/>
        </w:rPr>
      </w:pPr>
      <w:r w:rsidRPr="00B737C5">
        <w:rPr>
          <w:rFonts w:cstheme="minorHAnsi"/>
        </w:rPr>
        <w:t>Murphy, D., Duggan, M.</w:t>
      </w:r>
      <w:r w:rsidR="00ED5A89" w:rsidRPr="00B737C5">
        <w:rPr>
          <w:rFonts w:cstheme="minorHAnsi"/>
        </w:rPr>
        <w:t>,</w:t>
      </w:r>
      <w:r w:rsidRPr="00B737C5">
        <w:rPr>
          <w:rFonts w:cstheme="minorHAnsi"/>
        </w:rPr>
        <w:t xml:space="preserve"> and Joseph, S., 2013. Relationship-based social work and its compatibility with the person-cent</w:t>
      </w:r>
      <w:r w:rsidR="00ED5A89" w:rsidRPr="00B737C5">
        <w:rPr>
          <w:rFonts w:cstheme="minorHAnsi"/>
        </w:rPr>
        <w:t>e</w:t>
      </w:r>
      <w:r w:rsidRPr="00B737C5">
        <w:rPr>
          <w:rFonts w:cstheme="minorHAnsi"/>
        </w:rPr>
        <w:t>red approach: Principled versus instrumental perspectives. The British journal of social work, 43(4), pp.703-719.</w:t>
      </w:r>
    </w:p>
    <w:p w14:paraId="06F6218A" w14:textId="77777777" w:rsidR="003F11AB" w:rsidRPr="00B737C5" w:rsidRDefault="003F11AB" w:rsidP="003F11AB">
      <w:pPr>
        <w:rPr>
          <w:rFonts w:cstheme="minorHAnsi"/>
        </w:rPr>
      </w:pPr>
      <w:r w:rsidRPr="00B737C5">
        <w:rPr>
          <w:rFonts w:cstheme="minorHAnsi"/>
        </w:rPr>
        <w:t>National Cancer Action Team. (2010). Excellence in cancer care: the contribution of the clinical nurse specialist.</w:t>
      </w:r>
    </w:p>
    <w:p w14:paraId="2B7162E2" w14:textId="787184CC" w:rsidR="003F11AB" w:rsidRPr="00B737C5" w:rsidRDefault="003F11AB" w:rsidP="003F11AB">
      <w:pPr>
        <w:rPr>
          <w:rFonts w:cstheme="minorHAnsi"/>
        </w:rPr>
      </w:pPr>
      <w:r w:rsidRPr="00B737C5">
        <w:rPr>
          <w:rFonts w:cstheme="minorHAnsi"/>
        </w:rPr>
        <w:t>Povey, C. (2009). Commentary on person</w:t>
      </w:r>
      <w:r w:rsidR="00ED5A89" w:rsidRPr="00B737C5">
        <w:rPr>
          <w:rFonts w:cstheme="minorHAnsi"/>
        </w:rPr>
        <w:t>-cente</w:t>
      </w:r>
      <w:r w:rsidRPr="00B737C5">
        <w:rPr>
          <w:rFonts w:cstheme="minorHAnsi"/>
        </w:rPr>
        <w:t>red approaches to supporting children and adults with autism spectrum disorders. Tizard Learning Disability Review.</w:t>
      </w:r>
    </w:p>
    <w:p w14:paraId="63B58C3D" w14:textId="360076CD" w:rsidR="003F11AB" w:rsidRPr="00B737C5" w:rsidRDefault="003F11AB" w:rsidP="003F11AB">
      <w:pPr>
        <w:rPr>
          <w:rFonts w:cstheme="minorHAnsi"/>
        </w:rPr>
      </w:pPr>
      <w:r w:rsidRPr="00B737C5">
        <w:rPr>
          <w:rFonts w:cstheme="minorHAnsi"/>
        </w:rPr>
        <w:t>Storm, M., &amp; Coulter, A. (2016). Patient-cent</w:t>
      </w:r>
      <w:r w:rsidR="00ED5A89" w:rsidRPr="00B737C5">
        <w:rPr>
          <w:rFonts w:cstheme="minorHAnsi"/>
        </w:rPr>
        <w:t>e</w:t>
      </w:r>
      <w:r w:rsidRPr="00B737C5">
        <w:rPr>
          <w:rFonts w:cstheme="minorHAnsi"/>
        </w:rPr>
        <w:t>red care in the Nordic countries. In Researching Patient Safety and Quality in Healthcare (pp. 27-42). CRC Press.</w:t>
      </w:r>
    </w:p>
    <w:sectPr w:rsidR="003F11AB" w:rsidRPr="00B737C5" w:rsidSect="004E176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yNTU2NzA2sjQytTBR0lEKTi0uzszPAykwqQUAfnyNBSwAAAA="/>
  </w:docVars>
  <w:rsids>
    <w:rsidRoot w:val="003F11AB"/>
    <w:rsid w:val="000300DC"/>
    <w:rsid w:val="00084054"/>
    <w:rsid w:val="000C5599"/>
    <w:rsid w:val="000F73E3"/>
    <w:rsid w:val="00117C9B"/>
    <w:rsid w:val="001A4A1B"/>
    <w:rsid w:val="002167D9"/>
    <w:rsid w:val="00244CBD"/>
    <w:rsid w:val="002467D3"/>
    <w:rsid w:val="00250C8E"/>
    <w:rsid w:val="00265413"/>
    <w:rsid w:val="00394459"/>
    <w:rsid w:val="003C030F"/>
    <w:rsid w:val="003F11AB"/>
    <w:rsid w:val="004006C5"/>
    <w:rsid w:val="00425F97"/>
    <w:rsid w:val="004E1766"/>
    <w:rsid w:val="004E74C5"/>
    <w:rsid w:val="005520E0"/>
    <w:rsid w:val="00705B89"/>
    <w:rsid w:val="008F44C9"/>
    <w:rsid w:val="009164C6"/>
    <w:rsid w:val="00A63957"/>
    <w:rsid w:val="00B56105"/>
    <w:rsid w:val="00B56C73"/>
    <w:rsid w:val="00B737C5"/>
    <w:rsid w:val="00C937C0"/>
    <w:rsid w:val="00CC552E"/>
    <w:rsid w:val="00D26212"/>
    <w:rsid w:val="00DF69CB"/>
    <w:rsid w:val="00DF74F0"/>
    <w:rsid w:val="00ED5A89"/>
    <w:rsid w:val="00F05135"/>
    <w:rsid w:val="00FB03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C47DD"/>
  <w15:chartTrackingRefBased/>
  <w15:docId w15:val="{C60F7E14-7124-4213-A8FA-7D7466564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E176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E176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3120</Words>
  <Characters>17785</Characters>
  <Application>Microsoft Office Word</Application>
  <DocSecurity>0</DocSecurity>
  <Lines>148</Lines>
  <Paragraphs>41</Paragraphs>
  <ScaleCrop>false</ScaleCrop>
  <Company>student id:2009133</Company>
  <LinksUpToDate>false</LinksUpToDate>
  <CharactersWithSpaces>20864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Nikolova (2009133)</dc:creator>
  <cp:keywords/>
  <dc:description/>
  <cp:lastModifiedBy>Teodora Nikolova (2009133)</cp:lastModifiedBy>
  <cp:revision>2</cp:revision>
  <dcterms:created xsi:type="dcterms:W3CDTF">2021-12-23T08:32:00Z</dcterms:created>
  <dcterms:modified xsi:type="dcterms:W3CDTF">2021-12-23T08:32:00Z</dcterms:modified>
</cp:coreProperties>
</file>