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09E05D" w14:textId="4D7181F3" w:rsidR="009E4B16" w:rsidRPr="001B41BB" w:rsidRDefault="00820052">
      <w:r w:rsidRPr="007C128B">
        <w:rPr>
          <w:u w:val="single"/>
        </w:rPr>
        <w:t xml:space="preserve">How does Boethius </w:t>
      </w:r>
      <w:r w:rsidR="00D61179" w:rsidRPr="007C128B">
        <w:rPr>
          <w:u w:val="single"/>
        </w:rPr>
        <w:t>acknowledge</w:t>
      </w:r>
      <w:r w:rsidRPr="007C128B">
        <w:rPr>
          <w:u w:val="single"/>
        </w:rPr>
        <w:t xml:space="preserve"> the relationship between human freedom</w:t>
      </w:r>
      <w:r w:rsidR="00D61179" w:rsidRPr="007C128B">
        <w:rPr>
          <w:u w:val="single"/>
        </w:rPr>
        <w:t xml:space="preserve"> and divine prescience  </w:t>
      </w:r>
      <w:r w:rsidRPr="007C128B">
        <w:rPr>
          <w:u w:val="single"/>
        </w:rPr>
        <w:t xml:space="preserve"> in his Consolation of Philosophy?</w:t>
      </w:r>
      <w:r w:rsidR="00D61179">
        <w:t xml:space="preserve"> </w:t>
      </w:r>
    </w:p>
    <w:p w14:paraId="3F3C4A0A" w14:textId="243AB088" w:rsidR="009E4B16" w:rsidRDefault="007C128B" w:rsidP="00D71F52">
      <w:pPr>
        <w:rPr>
          <w:color w:val="000000" w:themeColor="text1"/>
        </w:rPr>
      </w:pPr>
      <w:bookmarkStart w:id="0" w:name="_Hlk84764806"/>
      <w:bookmarkStart w:id="1" w:name="_Hlk84776755"/>
      <w:bookmarkStart w:id="2" w:name="_Hlk84779362"/>
      <w:r>
        <w:rPr>
          <w:color w:val="000000" w:themeColor="text1"/>
        </w:rPr>
        <w:t xml:space="preserve">The concept of free will </w:t>
      </w:r>
      <w:r w:rsidRPr="007C128B">
        <w:rPr>
          <w:color w:val="000000" w:themeColor="text1"/>
        </w:rPr>
        <w:t xml:space="preserve">(liberum arbitrium) </w:t>
      </w:r>
      <w:r>
        <w:rPr>
          <w:color w:val="000000" w:themeColor="text1"/>
        </w:rPr>
        <w:t>originated within Christian philosophy during the 4</w:t>
      </w:r>
      <w:r w:rsidRPr="007C128B">
        <w:rPr>
          <w:color w:val="000000" w:themeColor="text1"/>
          <w:vertAlign w:val="superscript"/>
        </w:rPr>
        <w:t>th</w:t>
      </w:r>
      <w:r>
        <w:rPr>
          <w:color w:val="000000" w:themeColor="text1"/>
        </w:rPr>
        <w:t xml:space="preserve"> century CE. Free will is the belief that human beings </w:t>
      </w:r>
      <w:r w:rsidR="00AB3D50">
        <w:rPr>
          <w:color w:val="000000" w:themeColor="text1"/>
        </w:rPr>
        <w:t>have “</w:t>
      </w:r>
      <w:r w:rsidR="00AB3D50" w:rsidRPr="00AB3D50">
        <w:rPr>
          <w:color w:val="000000" w:themeColor="text1"/>
        </w:rPr>
        <w:t xml:space="preserve">the power or capacity to choose among </w:t>
      </w:r>
      <w:r w:rsidR="00AB3D50" w:rsidRPr="00DD1FA6">
        <w:rPr>
          <w:color w:val="000000" w:themeColor="text1"/>
        </w:rPr>
        <w:t>alternatives or to act in certain situations independently of natural, social, or divine restraints”</w:t>
      </w:r>
      <w:r w:rsidR="00AB3D50">
        <w:rPr>
          <w:color w:val="000000" w:themeColor="text1"/>
        </w:rPr>
        <w:t xml:space="preserve"> (Bhutia, 2017). Free will is</w:t>
      </w:r>
      <w:r w:rsidR="002F4468">
        <w:rPr>
          <w:color w:val="000000" w:themeColor="text1"/>
        </w:rPr>
        <w:t xml:space="preserve"> often</w:t>
      </w:r>
      <w:r w:rsidR="00AB3D50">
        <w:rPr>
          <w:color w:val="000000" w:themeColor="text1"/>
        </w:rPr>
        <w:t xml:space="preserve"> applied to </w:t>
      </w:r>
      <w:r w:rsidR="00404455">
        <w:rPr>
          <w:color w:val="000000" w:themeColor="text1"/>
        </w:rPr>
        <w:t>the credo</w:t>
      </w:r>
      <w:r w:rsidR="00D71F52">
        <w:rPr>
          <w:color w:val="000000" w:themeColor="text1"/>
        </w:rPr>
        <w:t>s</w:t>
      </w:r>
      <w:r w:rsidR="00404455">
        <w:rPr>
          <w:color w:val="000000" w:themeColor="text1"/>
        </w:rPr>
        <w:t xml:space="preserve"> of moral responsibility</w:t>
      </w:r>
      <w:r w:rsidR="002F4468">
        <w:rPr>
          <w:color w:val="000000" w:themeColor="text1"/>
        </w:rPr>
        <w:t>, sin, and judgement.  The argument of how</w:t>
      </w:r>
      <w:r w:rsidR="00BC2437">
        <w:rPr>
          <w:color w:val="000000" w:themeColor="text1"/>
        </w:rPr>
        <w:t xml:space="preserve"> we should define </w:t>
      </w:r>
      <w:r w:rsidR="002F4468">
        <w:rPr>
          <w:color w:val="000000" w:themeColor="text1"/>
        </w:rPr>
        <w:t xml:space="preserve">free will and whether it exists or not is one of </w:t>
      </w:r>
      <w:r w:rsidR="00BC2437">
        <w:rPr>
          <w:color w:val="000000" w:themeColor="text1"/>
        </w:rPr>
        <w:t xml:space="preserve">the </w:t>
      </w:r>
      <w:r w:rsidR="002F4468">
        <w:rPr>
          <w:color w:val="000000" w:themeColor="text1"/>
        </w:rPr>
        <w:t xml:space="preserve">most extensive and wavering debates </w:t>
      </w:r>
      <w:r w:rsidR="00D71F52">
        <w:rPr>
          <w:color w:val="000000" w:themeColor="text1"/>
        </w:rPr>
        <w:t>in philosophy and theology.</w:t>
      </w:r>
      <w:r w:rsidR="00D44562">
        <w:rPr>
          <w:color w:val="000000" w:themeColor="text1"/>
        </w:rPr>
        <w:t xml:space="preserve"> Christians, particularly Methodist</w:t>
      </w:r>
      <w:r w:rsidR="00BC2437">
        <w:rPr>
          <w:color w:val="000000" w:themeColor="text1"/>
        </w:rPr>
        <w:t>s</w:t>
      </w:r>
      <w:r w:rsidR="00D44562">
        <w:rPr>
          <w:color w:val="000000" w:themeColor="text1"/>
        </w:rPr>
        <w:t xml:space="preserve"> follow the tenets of Jacob Arminius</w:t>
      </w:r>
      <w:r w:rsidR="00BC2437">
        <w:rPr>
          <w:color w:val="000000" w:themeColor="text1"/>
        </w:rPr>
        <w:t xml:space="preserve"> and </w:t>
      </w:r>
      <w:r w:rsidR="00D44562">
        <w:rPr>
          <w:color w:val="000000" w:themeColor="text1"/>
        </w:rPr>
        <w:t>believe in divine prescience. God’</w:t>
      </w:r>
      <w:r w:rsidR="00DA3AD0">
        <w:rPr>
          <w:color w:val="000000" w:themeColor="text1"/>
        </w:rPr>
        <w:t>s foreknowledge aids his omniscience, leading him to have an infinite awareness of every choice an individual makes. Despite this divine prescience,</w:t>
      </w:r>
      <w:r w:rsidR="00E519AA">
        <w:rPr>
          <w:color w:val="000000" w:themeColor="text1"/>
        </w:rPr>
        <w:t xml:space="preserve"> it is said that</w:t>
      </w:r>
      <w:r w:rsidR="00DA3AD0">
        <w:rPr>
          <w:color w:val="000000" w:themeColor="text1"/>
        </w:rPr>
        <w:t xml:space="preserve"> God still proffers the </w:t>
      </w:r>
      <w:r w:rsidR="009C46B6">
        <w:rPr>
          <w:color w:val="000000" w:themeColor="text1"/>
        </w:rPr>
        <w:t>freedom of choice to mankind.</w:t>
      </w:r>
    </w:p>
    <w:p w14:paraId="2B09E84A" w14:textId="66ACA4EA" w:rsidR="000C2D57" w:rsidRDefault="004215E2">
      <w:pPr>
        <w:rPr>
          <w:color w:val="000000" w:themeColor="text1"/>
        </w:rPr>
      </w:pPr>
      <w:r>
        <w:rPr>
          <w:color w:val="000000" w:themeColor="text1"/>
        </w:rPr>
        <w:t>F</w:t>
      </w:r>
      <w:r w:rsidR="009C46B6">
        <w:rPr>
          <w:color w:val="000000" w:themeColor="text1"/>
        </w:rPr>
        <w:t>ree</w:t>
      </w:r>
      <w:r>
        <w:rPr>
          <w:color w:val="000000" w:themeColor="text1"/>
        </w:rPr>
        <w:t xml:space="preserve"> will </w:t>
      </w:r>
      <w:r w:rsidR="009C46B6">
        <w:rPr>
          <w:color w:val="000000" w:themeColor="text1"/>
        </w:rPr>
        <w:t xml:space="preserve">allows God to identify those who he </w:t>
      </w:r>
      <w:r w:rsidR="00CC6086">
        <w:rPr>
          <w:color w:val="000000" w:themeColor="text1"/>
        </w:rPr>
        <w:t>sh</w:t>
      </w:r>
      <w:r w:rsidR="009C46B6">
        <w:rPr>
          <w:color w:val="000000" w:themeColor="text1"/>
        </w:rPr>
        <w:t xml:space="preserve">ould grant </w:t>
      </w:r>
      <w:r>
        <w:rPr>
          <w:color w:val="000000" w:themeColor="text1"/>
        </w:rPr>
        <w:t xml:space="preserve">eternal </w:t>
      </w:r>
      <w:r w:rsidR="009C46B6">
        <w:rPr>
          <w:color w:val="000000" w:themeColor="text1"/>
        </w:rPr>
        <w:t>salvation</w:t>
      </w:r>
      <w:r w:rsidR="00CC6086">
        <w:rPr>
          <w:color w:val="000000" w:themeColor="text1"/>
        </w:rPr>
        <w:t xml:space="preserve"> to</w:t>
      </w:r>
      <w:r w:rsidR="009C46B6">
        <w:rPr>
          <w:color w:val="000000" w:themeColor="text1"/>
        </w:rPr>
        <w:t>.</w:t>
      </w:r>
      <w:r w:rsidR="00CC6086">
        <w:rPr>
          <w:color w:val="000000" w:themeColor="text1"/>
        </w:rPr>
        <w:t xml:space="preserve"> He </w:t>
      </w:r>
      <w:r w:rsidR="009C46B6">
        <w:rPr>
          <w:color w:val="000000" w:themeColor="text1"/>
        </w:rPr>
        <w:t>does this through judging</w:t>
      </w:r>
      <w:r>
        <w:rPr>
          <w:color w:val="000000" w:themeColor="text1"/>
        </w:rPr>
        <w:t xml:space="preserve"> the</w:t>
      </w:r>
      <w:r w:rsidR="009C46B6">
        <w:rPr>
          <w:color w:val="000000" w:themeColor="text1"/>
        </w:rPr>
        <w:t xml:space="preserve"> choices</w:t>
      </w:r>
      <w:r w:rsidR="00CC6086">
        <w:rPr>
          <w:color w:val="000000" w:themeColor="text1"/>
        </w:rPr>
        <w:t xml:space="preserve"> </w:t>
      </w:r>
      <w:r>
        <w:rPr>
          <w:color w:val="000000" w:themeColor="text1"/>
        </w:rPr>
        <w:t xml:space="preserve">that </w:t>
      </w:r>
      <w:r w:rsidR="00CC6086">
        <w:rPr>
          <w:color w:val="000000" w:themeColor="text1"/>
        </w:rPr>
        <w:t xml:space="preserve">humans make in </w:t>
      </w:r>
      <w:r>
        <w:rPr>
          <w:color w:val="000000" w:themeColor="text1"/>
        </w:rPr>
        <w:t xml:space="preserve">relation to </w:t>
      </w:r>
      <w:r w:rsidR="00CC6086">
        <w:rPr>
          <w:color w:val="000000" w:themeColor="text1"/>
        </w:rPr>
        <w:t>how they re</w:t>
      </w:r>
      <w:r>
        <w:rPr>
          <w:color w:val="000000" w:themeColor="text1"/>
        </w:rPr>
        <w:t>spond</w:t>
      </w:r>
      <w:r w:rsidR="00CC6086">
        <w:rPr>
          <w:color w:val="000000" w:themeColor="text1"/>
        </w:rPr>
        <w:t xml:space="preserve"> to grace and</w:t>
      </w:r>
      <w:r>
        <w:rPr>
          <w:color w:val="000000" w:themeColor="text1"/>
        </w:rPr>
        <w:t xml:space="preserve"> react to</w:t>
      </w:r>
      <w:r w:rsidR="00CC6086">
        <w:rPr>
          <w:color w:val="000000" w:themeColor="text1"/>
        </w:rPr>
        <w:t xml:space="preserve"> the gospel</w:t>
      </w:r>
      <w:r>
        <w:rPr>
          <w:color w:val="000000" w:themeColor="text1"/>
        </w:rPr>
        <w:t>. C</w:t>
      </w:r>
      <w:r w:rsidR="00CC6086">
        <w:rPr>
          <w:color w:val="000000" w:themeColor="text1"/>
        </w:rPr>
        <w:t>alvin’s doctrine of election</w:t>
      </w:r>
      <w:r>
        <w:rPr>
          <w:color w:val="000000" w:themeColor="text1"/>
        </w:rPr>
        <w:t xml:space="preserve"> counters </w:t>
      </w:r>
      <w:r w:rsidR="001B41BB">
        <w:rPr>
          <w:color w:val="000000" w:themeColor="text1"/>
        </w:rPr>
        <w:t>th</w:t>
      </w:r>
      <w:r w:rsidR="00E519AA">
        <w:rPr>
          <w:color w:val="000000" w:themeColor="text1"/>
        </w:rPr>
        <w:t>e</w:t>
      </w:r>
      <w:r w:rsidR="000C2D57">
        <w:rPr>
          <w:color w:val="000000" w:themeColor="text1"/>
        </w:rPr>
        <w:t xml:space="preserve"> </w:t>
      </w:r>
      <w:r w:rsidR="001B41BB">
        <w:rPr>
          <w:color w:val="000000" w:themeColor="text1"/>
        </w:rPr>
        <w:t>Arminian theory of free will and</w:t>
      </w:r>
      <w:r>
        <w:rPr>
          <w:color w:val="000000" w:themeColor="text1"/>
        </w:rPr>
        <w:t xml:space="preserve"> asserts </w:t>
      </w:r>
      <w:r w:rsidR="00CC6086">
        <w:rPr>
          <w:color w:val="000000" w:themeColor="text1"/>
        </w:rPr>
        <w:t xml:space="preserve">that </w:t>
      </w:r>
      <w:r>
        <w:rPr>
          <w:color w:val="000000" w:themeColor="text1"/>
        </w:rPr>
        <w:t>regardless of th</w:t>
      </w:r>
      <w:r w:rsidR="001B41BB">
        <w:rPr>
          <w:color w:val="000000" w:themeColor="text1"/>
        </w:rPr>
        <w:t>e ability to</w:t>
      </w:r>
      <w:r>
        <w:rPr>
          <w:color w:val="000000" w:themeColor="text1"/>
        </w:rPr>
        <w:t xml:space="preserve"> </w:t>
      </w:r>
      <w:r w:rsidR="001B41BB">
        <w:rPr>
          <w:color w:val="000000" w:themeColor="text1"/>
        </w:rPr>
        <w:t>choose,</w:t>
      </w:r>
      <w:r w:rsidR="001B41BB" w:rsidRPr="001B41BB">
        <w:rPr>
          <w:color w:val="000000" w:themeColor="text1"/>
        </w:rPr>
        <w:t xml:space="preserve"> God cannot be chosen, instead he can only </w:t>
      </w:r>
      <w:r w:rsidR="00793F25" w:rsidRPr="001B41BB">
        <w:rPr>
          <w:color w:val="000000" w:themeColor="text1"/>
        </w:rPr>
        <w:t>choose</w:t>
      </w:r>
      <w:r w:rsidR="00793F25">
        <w:rPr>
          <w:color w:val="000000" w:themeColor="text1"/>
        </w:rPr>
        <w:t>. God</w:t>
      </w:r>
      <w:r>
        <w:rPr>
          <w:color w:val="000000" w:themeColor="text1"/>
        </w:rPr>
        <w:t xml:space="preserve"> had </w:t>
      </w:r>
      <w:r w:rsidR="001B41BB">
        <w:rPr>
          <w:color w:val="000000" w:themeColor="text1"/>
        </w:rPr>
        <w:t xml:space="preserve">already </w:t>
      </w:r>
      <w:r>
        <w:rPr>
          <w:color w:val="000000" w:themeColor="text1"/>
        </w:rPr>
        <w:t>predestined either eternal damnation or eternal</w:t>
      </w:r>
      <w:r w:rsidR="001B41BB">
        <w:rPr>
          <w:color w:val="000000" w:themeColor="text1"/>
        </w:rPr>
        <w:t xml:space="preserve"> salvation</w:t>
      </w:r>
      <w:bookmarkStart w:id="3" w:name="_Hlk84272483"/>
      <w:r w:rsidR="001B41BB">
        <w:rPr>
          <w:color w:val="000000" w:themeColor="text1"/>
        </w:rPr>
        <w:t xml:space="preserve"> to every being before they came into creation</w:t>
      </w:r>
      <w:bookmarkEnd w:id="3"/>
      <w:r w:rsidR="001B41BB">
        <w:rPr>
          <w:color w:val="000000" w:themeColor="text1"/>
        </w:rPr>
        <w:t>. Th</w:t>
      </w:r>
      <w:r w:rsidR="00793F25">
        <w:rPr>
          <w:color w:val="000000" w:themeColor="text1"/>
        </w:rPr>
        <w:t xml:space="preserve">ere is no practicality behind his reasons of choice. He </w:t>
      </w:r>
      <w:r w:rsidR="00290CB6">
        <w:rPr>
          <w:color w:val="000000" w:themeColor="text1"/>
        </w:rPr>
        <w:t>decided</w:t>
      </w:r>
      <w:r w:rsidR="00855F07">
        <w:rPr>
          <w:color w:val="000000" w:themeColor="text1"/>
        </w:rPr>
        <w:t xml:space="preserve"> </w:t>
      </w:r>
      <w:r w:rsidR="00793F25">
        <w:rPr>
          <w:color w:val="000000" w:themeColor="text1"/>
        </w:rPr>
        <w:t>purely for his own “good pleasure”</w:t>
      </w:r>
      <w:r w:rsidR="00793F25">
        <w:t xml:space="preserve"> </w:t>
      </w:r>
      <w:r w:rsidR="00793F25" w:rsidRPr="00793F25">
        <w:rPr>
          <w:color w:val="000000" w:themeColor="text1"/>
        </w:rPr>
        <w:t>(Matt</w:t>
      </w:r>
      <w:r w:rsidR="00793F25">
        <w:rPr>
          <w:color w:val="000000" w:themeColor="text1"/>
        </w:rPr>
        <w:t xml:space="preserve">hew, </w:t>
      </w:r>
      <w:r w:rsidR="00793F25" w:rsidRPr="00793F25">
        <w:rPr>
          <w:color w:val="000000" w:themeColor="text1"/>
        </w:rPr>
        <w:t>11:25-27)</w:t>
      </w:r>
      <w:r w:rsidR="00793F25">
        <w:rPr>
          <w:color w:val="000000" w:themeColor="text1"/>
        </w:rPr>
        <w:t>.</w:t>
      </w:r>
    </w:p>
    <w:p w14:paraId="056270AE" w14:textId="6F22E61E" w:rsidR="000E2FAA" w:rsidRDefault="00BC2437" w:rsidP="00545D04">
      <w:r w:rsidRPr="00BC2437">
        <w:rPr>
          <w:i/>
          <w:iCs/>
          <w:color w:val="000000" w:themeColor="text1"/>
        </w:rPr>
        <w:t>The Consolation of Philosophy</w:t>
      </w:r>
      <w:r>
        <w:rPr>
          <w:color w:val="000000" w:themeColor="text1"/>
        </w:rPr>
        <w:t xml:space="preserve"> written by </w:t>
      </w:r>
      <w:r w:rsidRPr="00BC2437">
        <w:rPr>
          <w:color w:val="000000" w:themeColor="text1"/>
        </w:rPr>
        <w:t>Anicius Severinus Manlius Boethius</w:t>
      </w:r>
      <w:r>
        <w:rPr>
          <w:color w:val="000000" w:themeColor="text1"/>
        </w:rPr>
        <w:t xml:space="preserve">, offers a rebuttal to the Calvinist theory by </w:t>
      </w:r>
      <w:r w:rsidR="001C72F4">
        <w:rPr>
          <w:color w:val="000000" w:themeColor="text1"/>
        </w:rPr>
        <w:t>splitting his argument in to</w:t>
      </w:r>
      <w:r w:rsidR="000D62CF">
        <w:rPr>
          <w:color w:val="000000" w:themeColor="text1"/>
        </w:rPr>
        <w:t xml:space="preserve"> 5 chapters</w:t>
      </w:r>
      <w:r w:rsidR="005666AC">
        <w:rPr>
          <w:color w:val="000000" w:themeColor="text1"/>
        </w:rPr>
        <w:t xml:space="preserve"> throughout the book</w:t>
      </w:r>
      <w:r w:rsidR="000D62CF">
        <w:rPr>
          <w:color w:val="000000" w:themeColor="text1"/>
        </w:rPr>
        <w:t xml:space="preserve">. Boethius deals with the problem of </w:t>
      </w:r>
      <w:r w:rsidR="000D62CF" w:rsidRPr="000D62CF">
        <w:rPr>
          <w:color w:val="000000" w:themeColor="text1"/>
        </w:rPr>
        <w:t>human freedom versus divine foreknowledge</w:t>
      </w:r>
      <w:r w:rsidR="000D62CF">
        <w:rPr>
          <w:color w:val="000000" w:themeColor="text1"/>
        </w:rPr>
        <w:t xml:space="preserve"> with philosophy personified as a woman whilst he is locked inside his prison cell. </w:t>
      </w:r>
      <w:r w:rsidR="00AD735B">
        <w:t>Both Boethius and Lady Philosophy speculate on the</w:t>
      </w:r>
      <w:r w:rsidR="007F50B6">
        <w:t xml:space="preserve"> </w:t>
      </w:r>
      <w:r w:rsidR="00AD735B" w:rsidRPr="00AD735B">
        <w:t>essentiality</w:t>
      </w:r>
      <w:r w:rsidR="007F50B6">
        <w:t xml:space="preserve"> and existence</w:t>
      </w:r>
      <w:r w:rsidR="00AD735B">
        <w:t xml:space="preserve"> of free will.</w:t>
      </w:r>
      <w:r w:rsidR="0080315B">
        <w:t xml:space="preserve"> </w:t>
      </w:r>
    </w:p>
    <w:p w14:paraId="29ED6B05" w14:textId="142F73CA" w:rsidR="005666AC" w:rsidRDefault="000E2FAA" w:rsidP="00545D04">
      <w:pPr>
        <w:rPr>
          <w:color w:val="000000" w:themeColor="text1"/>
        </w:rPr>
      </w:pPr>
      <w:r>
        <w:t>Boethius is curious as to if chance is the cause of events. Lady Philosophy asks Boethius if he thinks that</w:t>
      </w:r>
      <w:r w:rsidRPr="000E2FAA">
        <w:t xml:space="preserve"> </w:t>
      </w:r>
      <w:r w:rsidRPr="00A52338">
        <w:rPr>
          <w:color w:val="000000" w:themeColor="text1"/>
        </w:rPr>
        <w:t xml:space="preserve">“this world </w:t>
      </w:r>
      <w:r w:rsidR="00A52338">
        <w:rPr>
          <w:color w:val="000000" w:themeColor="text1"/>
        </w:rPr>
        <w:t xml:space="preserve">of ours- thinkest thou it is governed haphazard and fortuitously, or believest thou that there is in it any rational guidance?” </w:t>
      </w:r>
      <w:r w:rsidR="00B25193">
        <w:rPr>
          <w:rStyle w:val="FootnoteReference"/>
        </w:rPr>
        <w:footnoteReference w:id="1"/>
      </w:r>
      <w:r w:rsidR="008374AB">
        <w:rPr>
          <w:color w:val="000000" w:themeColor="text1"/>
        </w:rPr>
        <w:t xml:space="preserve"> An event cannot happen randomly because that must </w:t>
      </w:r>
      <w:r w:rsidR="00AD2B83">
        <w:rPr>
          <w:color w:val="000000" w:themeColor="text1"/>
        </w:rPr>
        <w:t xml:space="preserve">imply that the event </w:t>
      </w:r>
      <w:r w:rsidR="008374AB">
        <w:rPr>
          <w:color w:val="000000" w:themeColor="text1"/>
        </w:rPr>
        <w:t>h</w:t>
      </w:r>
      <w:r w:rsidR="00AD2B83">
        <w:rPr>
          <w:color w:val="000000" w:themeColor="text1"/>
        </w:rPr>
        <w:t>as</w:t>
      </w:r>
      <w:r w:rsidR="008374AB">
        <w:rPr>
          <w:color w:val="000000" w:themeColor="text1"/>
        </w:rPr>
        <w:t xml:space="preserve"> </w:t>
      </w:r>
      <w:r w:rsidR="00AD2B83">
        <w:rPr>
          <w:color w:val="000000" w:themeColor="text1"/>
        </w:rPr>
        <w:t xml:space="preserve">originated </w:t>
      </w:r>
      <w:r w:rsidR="008374AB">
        <w:rPr>
          <w:color w:val="000000" w:themeColor="text1"/>
        </w:rPr>
        <w:t xml:space="preserve">from nothing </w:t>
      </w:r>
      <w:r w:rsidR="00AD2B83">
        <w:rPr>
          <w:color w:val="000000" w:themeColor="text1"/>
        </w:rPr>
        <w:t>and thus,</w:t>
      </w:r>
      <w:r w:rsidR="008374AB">
        <w:rPr>
          <w:color w:val="000000" w:themeColor="text1"/>
        </w:rPr>
        <w:t xml:space="preserve"> no cause.</w:t>
      </w:r>
      <w:r w:rsidR="00AD2B83">
        <w:rPr>
          <w:color w:val="000000" w:themeColor="text1"/>
        </w:rPr>
        <w:t xml:space="preserve"> Lady Philosophy uses the analogy of a man digging the earth and comes across buried gold. She says that although the find was regarded as accidental it is not “ex nihilo, for it has proper causes, the unforeseen and unexpected concurrence of which has brought about”</w:t>
      </w:r>
      <w:r w:rsidR="00AD2B83">
        <w:rPr>
          <w:rStyle w:val="FootnoteReference"/>
          <w:color w:val="000000" w:themeColor="text1"/>
        </w:rPr>
        <w:footnoteReference w:id="2"/>
      </w:r>
      <w:r w:rsidR="00AD2B83">
        <w:rPr>
          <w:color w:val="000000" w:themeColor="text1"/>
        </w:rPr>
        <w:t xml:space="preserve">. </w:t>
      </w:r>
    </w:p>
    <w:p w14:paraId="372B7B79" w14:textId="028E69BE" w:rsidR="00371EA4" w:rsidRPr="007C268D" w:rsidRDefault="0080315B" w:rsidP="00545D04">
      <w:r>
        <w:t>It is agreed</w:t>
      </w:r>
      <w:r w:rsidR="007F50B6">
        <w:t xml:space="preserve"> between the</w:t>
      </w:r>
      <w:r w:rsidR="008374AB">
        <w:t xml:space="preserve"> two</w:t>
      </w:r>
      <w:r>
        <w:t xml:space="preserve"> that God exists because t</w:t>
      </w:r>
      <w:r w:rsidRPr="0080315B">
        <w:t xml:space="preserve">he </w:t>
      </w:r>
      <w:r>
        <w:t>e</w:t>
      </w:r>
      <w:r w:rsidRPr="0080315B">
        <w:t xml:space="preserve">xistence of </w:t>
      </w:r>
      <w:r>
        <w:t>g</w:t>
      </w:r>
      <w:r w:rsidRPr="0080315B">
        <w:t xml:space="preserve">ood things implies </w:t>
      </w:r>
      <w:r w:rsidR="00307109" w:rsidRPr="0080315B">
        <w:t>th</w:t>
      </w:r>
      <w:r w:rsidR="00307109">
        <w:t>at there is a</w:t>
      </w:r>
      <w:r w:rsidRPr="0080315B">
        <w:t xml:space="preserve"> </w:t>
      </w:r>
      <w:r>
        <w:t>hi</w:t>
      </w:r>
      <w:r w:rsidRPr="0080315B">
        <w:t xml:space="preserve">ghest </w:t>
      </w:r>
      <w:r>
        <w:t>g</w:t>
      </w:r>
      <w:r w:rsidRPr="0080315B">
        <w:t xml:space="preserve">ood that </w:t>
      </w:r>
      <w:r>
        <w:t>c</w:t>
      </w:r>
      <w:r w:rsidRPr="0080315B">
        <w:t xml:space="preserve">auses </w:t>
      </w:r>
      <w:r>
        <w:t>t</w:t>
      </w:r>
      <w:r w:rsidRPr="0080315B">
        <w:t>hem</w:t>
      </w:r>
      <w:r w:rsidR="00096E15">
        <w:t xml:space="preserve">. In Book 5, Lady Philosophy </w:t>
      </w:r>
      <w:r w:rsidR="000C2D57">
        <w:t>and Boethius discuss divine omniscience. In Part 1, Boethius asks Lady Philosophy “</w:t>
      </w:r>
      <w:r w:rsidR="00AF6A2B" w:rsidRPr="00AF6A2B">
        <w:t>in</w:t>
      </w:r>
      <w:r w:rsidR="00AF6A2B">
        <w:t xml:space="preserve"> this</w:t>
      </w:r>
      <w:r w:rsidR="00AF6A2B" w:rsidRPr="00AF6A2B">
        <w:t xml:space="preserve"> series o</w:t>
      </w:r>
      <w:r w:rsidR="0023487A">
        <w:t>f linked</w:t>
      </w:r>
      <w:r w:rsidR="00AF6A2B" w:rsidRPr="00AF6A2B">
        <w:t xml:space="preserve"> causes, is there any freedom </w:t>
      </w:r>
      <w:r w:rsidR="0023487A">
        <w:t xml:space="preserve">left to </w:t>
      </w:r>
      <w:r w:rsidR="00AF6A2B" w:rsidRPr="00AF6A2B">
        <w:t>our will, or does th</w:t>
      </w:r>
      <w:r w:rsidR="0023487A">
        <w:t>e</w:t>
      </w:r>
      <w:r w:rsidR="00AF6A2B" w:rsidRPr="00AF6A2B">
        <w:t xml:space="preserve"> chain of fate </w:t>
      </w:r>
      <w:r w:rsidR="0023487A">
        <w:t xml:space="preserve">bind also </w:t>
      </w:r>
      <w:r w:rsidR="00AF6A2B" w:rsidRPr="00AF6A2B">
        <w:t>the</w:t>
      </w:r>
      <w:r w:rsidR="0023487A">
        <w:t xml:space="preserve"> </w:t>
      </w:r>
      <w:r w:rsidR="00A52338">
        <w:t xml:space="preserve">very </w:t>
      </w:r>
      <w:r w:rsidR="00A52338" w:rsidRPr="00AF6A2B">
        <w:t>motions</w:t>
      </w:r>
      <w:r w:rsidR="00AF6A2B" w:rsidRPr="00AF6A2B">
        <w:t xml:space="preserve"> of </w:t>
      </w:r>
      <w:r w:rsidR="0023487A">
        <w:t>our souls</w:t>
      </w:r>
      <w:r w:rsidR="00AF6A2B" w:rsidRPr="00AF6A2B">
        <w:t>?”</w:t>
      </w:r>
      <w:r w:rsidR="00AF6A2B">
        <w:t xml:space="preserve"> </w:t>
      </w:r>
      <w:r w:rsidR="003A4849">
        <w:rPr>
          <w:rStyle w:val="FootnoteReference"/>
        </w:rPr>
        <w:footnoteReference w:id="3"/>
      </w:r>
      <w:r w:rsidR="00A67EA4">
        <w:t>, a question that has always cropped up in classical theism in one way or another.</w:t>
      </w:r>
      <w:r w:rsidR="00371EA4">
        <w:t xml:space="preserve"> In part 2, Lady Philosophy attempts to e</w:t>
      </w:r>
      <w:r w:rsidR="00371EA4" w:rsidRPr="00371EA4">
        <w:t xml:space="preserve">xplicate the relationship </w:t>
      </w:r>
      <w:r w:rsidR="00371EA4">
        <w:t>between huma</w:t>
      </w:r>
      <w:r w:rsidR="00371EA4" w:rsidRPr="00371EA4">
        <w:t>n</w:t>
      </w:r>
      <w:r w:rsidR="00371EA4">
        <w:t xml:space="preserve"> free will and divine prescience. She delineates how freedom exists in the world and how creatures cannot be rational “unless he be endowed with free will”</w:t>
      </w:r>
      <w:r w:rsidR="00371EA4">
        <w:rPr>
          <w:rStyle w:val="FootnoteReference"/>
        </w:rPr>
        <w:footnoteReference w:id="4"/>
      </w:r>
      <w:r w:rsidR="007C268D">
        <w:t xml:space="preserve">.  Divine spirits and celestial beings have achieved greater freedom as they focus their souls on God. Those beings who fall back into the temptations of wickedness and </w:t>
      </w:r>
      <w:r w:rsidR="007C268D">
        <w:lastRenderedPageBreak/>
        <w:t xml:space="preserve">material goods become “far more unhappy when indulged with an unjust freedom from punishment” </w:t>
      </w:r>
      <w:r w:rsidR="007C268D">
        <w:rPr>
          <w:rStyle w:val="FootnoteReference"/>
        </w:rPr>
        <w:footnoteReference w:id="5"/>
      </w:r>
      <w:r w:rsidR="007C268D">
        <w:t>. They become prisoners of their own free will.</w:t>
      </w:r>
    </w:p>
    <w:p w14:paraId="15D353BA" w14:textId="21EEAAF6" w:rsidR="000069FF" w:rsidRPr="000069FF" w:rsidRDefault="000C2D57" w:rsidP="00545D04">
      <w:pPr>
        <w:rPr>
          <w:color w:val="000000" w:themeColor="text1"/>
        </w:rPr>
      </w:pPr>
      <w:bookmarkStart w:id="9" w:name="_Hlk84716800"/>
      <w:r>
        <w:t xml:space="preserve">Lady Philosophy </w:t>
      </w:r>
      <w:r w:rsidR="00096E15">
        <w:t>apprises</w:t>
      </w:r>
      <w:r w:rsidR="004361F3">
        <w:t xml:space="preserve"> </w:t>
      </w:r>
      <w:r w:rsidR="000077F4">
        <w:t>God’s “</w:t>
      </w:r>
      <w:r w:rsidR="000077F4" w:rsidRPr="000077F4">
        <w:t>knowledge, also transcending all movement of time, dwells in the simplicity of its own changeless present, and, embracing the whole infinite sweep of the past and of the future, contemplates all that falls within its simple cognition as if it were now taking plac</w:t>
      </w:r>
      <w:r w:rsidR="000077F4">
        <w:t>e”</w:t>
      </w:r>
      <w:r w:rsidR="000077F4" w:rsidRPr="000077F4">
        <w:rPr>
          <w:rStyle w:val="FootnoteReference"/>
          <w:vertAlign w:val="baseline"/>
        </w:rPr>
        <w:t xml:space="preserve"> </w:t>
      </w:r>
      <w:r w:rsidR="004361F3" w:rsidRPr="004361F3">
        <w:rPr>
          <w:rStyle w:val="FootnoteReference"/>
          <w:color w:val="FF0000"/>
        </w:rPr>
        <w:footnoteReference w:id="6"/>
      </w:r>
      <w:r w:rsidR="00C5203F" w:rsidRPr="004361F3">
        <w:rPr>
          <w:color w:val="FF0000"/>
        </w:rPr>
        <w:t xml:space="preserve"> </w:t>
      </w:r>
      <w:r w:rsidR="00347FAF">
        <w:t>Boethius acknowledges that there</w:t>
      </w:r>
      <w:r w:rsidR="00347FAF" w:rsidRPr="00347FAF">
        <w:t xml:space="preserve"> seems </w:t>
      </w:r>
      <w:r w:rsidR="00347FAF">
        <w:t xml:space="preserve">to </w:t>
      </w:r>
      <w:r w:rsidR="00347FAF" w:rsidRPr="00347FAF">
        <w:t xml:space="preserve">be </w:t>
      </w:r>
      <w:r w:rsidR="00BC1A16" w:rsidRPr="006B5D3B">
        <w:t>“</w:t>
      </w:r>
      <w:r w:rsidR="005666AC" w:rsidRPr="006B5D3B">
        <w:t>t</w:t>
      </w:r>
      <w:r w:rsidR="00BC1A16" w:rsidRPr="006B5D3B">
        <w:t xml:space="preserve">oo </w:t>
      </w:r>
      <w:r w:rsidR="005666AC" w:rsidRPr="006B5D3B">
        <w:t>much of a paradox and a contradiction that God should know all things, and yet there should be free will. For if God foresees everything, and can in no</w:t>
      </w:r>
      <w:r w:rsidR="006B5D3B" w:rsidRPr="006B5D3B">
        <w:t xml:space="preserve"> wise be deceived, that which providence foresees to be about to happen must necessarily come to pass”</w:t>
      </w:r>
      <w:r w:rsidR="00971635" w:rsidRPr="006B5D3B">
        <w:rPr>
          <w:rStyle w:val="FootnoteReference"/>
        </w:rPr>
        <w:footnoteReference w:id="7"/>
      </w:r>
      <w:r w:rsidR="00971635" w:rsidRPr="006B5D3B">
        <w:t>.</w:t>
      </w:r>
      <w:bookmarkEnd w:id="9"/>
      <w:r w:rsidR="00C5203F">
        <w:t>The idea of God being an omniscient power who knows the outcome of every choice that human beings make contradicts the theory of</w:t>
      </w:r>
      <w:r w:rsidR="00F4719B">
        <w:t xml:space="preserve"> </w:t>
      </w:r>
      <w:r w:rsidR="00C5203F">
        <w:t>human free</w:t>
      </w:r>
      <w:r w:rsidR="00F4719B">
        <w:t>dom</w:t>
      </w:r>
      <w:r w:rsidR="00C5203F">
        <w:t xml:space="preserve">. If </w:t>
      </w:r>
      <w:r w:rsidR="00347FAF">
        <w:t xml:space="preserve">the </w:t>
      </w:r>
      <w:r w:rsidR="00C5203F">
        <w:t xml:space="preserve">outcome is </w:t>
      </w:r>
      <w:r w:rsidR="00F4719B">
        <w:t xml:space="preserve">already </w:t>
      </w:r>
      <w:r w:rsidR="00C5203F">
        <w:t>known</w:t>
      </w:r>
      <w:r w:rsidR="00F4719B">
        <w:t xml:space="preserve"> before</w:t>
      </w:r>
      <w:r w:rsidR="00347FAF">
        <w:t xml:space="preserve"> it </w:t>
      </w:r>
      <w:r w:rsidR="00F4719B">
        <w:t>happen</w:t>
      </w:r>
      <w:r w:rsidR="00347FAF">
        <w:t>s</w:t>
      </w:r>
      <w:r w:rsidR="00C5203F">
        <w:t>,</w:t>
      </w:r>
      <w:r w:rsidR="00F4719B">
        <w:t xml:space="preserve"> </w:t>
      </w:r>
      <w:r w:rsidR="00347FAF">
        <w:t xml:space="preserve">then </w:t>
      </w:r>
      <w:r w:rsidR="00F4719B">
        <w:t>every choice is necessary because they have been pre-established by God and must happe</w:t>
      </w:r>
      <w:r w:rsidR="007F50B6">
        <w:t>n</w:t>
      </w:r>
      <w:r w:rsidR="00F4719B">
        <w:t>.</w:t>
      </w:r>
      <w:r w:rsidR="007F50B6">
        <w:t xml:space="preserve"> </w:t>
      </w:r>
      <w:r w:rsidR="00307109">
        <w:t xml:space="preserve">If God did not make us able to sin, </w:t>
      </w:r>
      <w:r w:rsidR="000D62CF">
        <w:t xml:space="preserve">then </w:t>
      </w:r>
      <w:r w:rsidR="00307109">
        <w:t>there would be no point in creating us</w:t>
      </w:r>
      <w:r w:rsidR="00A7777E">
        <w:t xml:space="preserve">. Boethius affirms that if God </w:t>
      </w:r>
      <w:r w:rsidR="00A7777E" w:rsidRPr="0023487A">
        <w:rPr>
          <w:color w:val="000000" w:themeColor="text1"/>
        </w:rPr>
        <w:t xml:space="preserve">is eternal “he foreknows not only what men will do, but also their designs and purposes, there can be no freedom of the will” </w:t>
      </w:r>
      <w:r w:rsidR="00971635" w:rsidRPr="0023487A">
        <w:rPr>
          <w:rStyle w:val="FootnoteReference"/>
          <w:color w:val="000000" w:themeColor="text1"/>
        </w:rPr>
        <w:footnoteReference w:id="8"/>
      </w:r>
      <w:r w:rsidR="0023487A">
        <w:rPr>
          <w:color w:val="000000" w:themeColor="text1"/>
        </w:rPr>
        <w:t>.</w:t>
      </w:r>
    </w:p>
    <w:p w14:paraId="75197907" w14:textId="7A8095A6" w:rsidR="00C047FB" w:rsidRPr="00EC0953" w:rsidRDefault="00971635" w:rsidP="00C047FB">
      <w:r>
        <w:t>As</w:t>
      </w:r>
      <w:r w:rsidR="00307109">
        <w:t xml:space="preserve"> Thomas Aquinas states </w:t>
      </w:r>
      <w:r w:rsidR="00307109" w:rsidRPr="00307109">
        <w:t>“</w:t>
      </w:r>
      <w:r w:rsidR="00307109">
        <w:t>n</w:t>
      </w:r>
      <w:r w:rsidR="00307109" w:rsidRPr="00307109">
        <w:t xml:space="preserve">othing which implies contradiction falls under the omnipotence of God” </w:t>
      </w:r>
      <w:r w:rsidR="00307109">
        <w:t>(Aquinas 1274, cited in Flew 2000</w:t>
      </w:r>
      <w:r w:rsidR="00DD1FA6">
        <w:t>). Without</w:t>
      </w:r>
      <w:r w:rsidR="00855F07">
        <w:t xml:space="preserve"> sin and our moral judgement, there would be no reason for the suffering of human beings. Is it ethical for an omnibenevolent God to judge us for acts that are out of our control?</w:t>
      </w:r>
      <w:r w:rsidR="00C047FB" w:rsidRPr="00C047FB">
        <w:t xml:space="preserve"> </w:t>
      </w:r>
      <w:r w:rsidR="00C047FB">
        <w:t xml:space="preserve">British philosopher Peter Geach uses </w:t>
      </w:r>
      <w:r w:rsidR="00C047FB" w:rsidRPr="00EC0953">
        <w:t>the analogy of playing chess with a grand master</w:t>
      </w:r>
      <w:r w:rsidR="00C047FB">
        <w:t xml:space="preserve"> to</w:t>
      </w:r>
      <w:r w:rsidR="00045D18">
        <w:t xml:space="preserve"> encapsulate open theist </w:t>
      </w:r>
      <w:r w:rsidR="00C047FB">
        <w:t>t</w:t>
      </w:r>
      <w:r w:rsidR="00045D18">
        <w:t>eachings of the</w:t>
      </w:r>
      <w:r w:rsidR="00C047FB">
        <w:t xml:space="preserve"> impact of God’s prescience on free will</w:t>
      </w:r>
      <w:r w:rsidR="00C047FB" w:rsidRPr="00EC0953">
        <w:t xml:space="preserve">.  </w:t>
      </w:r>
      <w:r w:rsidR="00C047FB">
        <w:t>He asserts that “al</w:t>
      </w:r>
      <w:r w:rsidR="00C047FB" w:rsidRPr="00EC0953">
        <w:t>though you are free to make a move wherever you like, the grandmaster will ultimately win the game</w:t>
      </w:r>
      <w:r w:rsidR="00C047FB">
        <w:t>” (Geach, 1916).</w:t>
      </w:r>
      <w:r w:rsidR="00045D18">
        <w:t xml:space="preserve"> </w:t>
      </w:r>
    </w:p>
    <w:p w14:paraId="5BEACDF1" w14:textId="727835DA" w:rsidR="00D64392" w:rsidRDefault="00855F07" w:rsidP="00EC0953">
      <w:r>
        <w:t xml:space="preserve"> Boethius starts to question the nature of the God; how can we be blamed for sins that we commit if they have already been set in stone?</w:t>
      </w:r>
      <w:r w:rsidR="00E519AA">
        <w:t xml:space="preserve"> He wonders if God is truly omnipotent</w:t>
      </w:r>
      <w:r w:rsidR="00E519AA" w:rsidRPr="00511656">
        <w:t xml:space="preserve">. He asks if God </w:t>
      </w:r>
      <w:r w:rsidR="00511656">
        <w:t xml:space="preserve">“thinks of events which possibly may not happen at all as inevitably destined to come to pass, he is deceived” </w:t>
      </w:r>
      <w:r w:rsidR="00511656">
        <w:rPr>
          <w:rStyle w:val="FootnoteReference"/>
        </w:rPr>
        <w:footnoteReference w:id="9"/>
      </w:r>
      <w:r w:rsidR="00A67EA4">
        <w:t>If God is omnipotent and omniscience then he cannot be omnibenevolent.</w:t>
      </w:r>
      <w:r w:rsidR="00837D05">
        <w:t xml:space="preserve"> Boethius’ theory here can be drawn from Epicurean thought.</w:t>
      </w:r>
      <w:r w:rsidR="00A67EA4">
        <w:t xml:space="preserve"> Greek Philosopher Epicurus claimed that God </w:t>
      </w:r>
      <w:r w:rsidR="00837D05">
        <w:t xml:space="preserve">could </w:t>
      </w:r>
      <w:r w:rsidR="00A67EA4">
        <w:t>not exist due to the problem of evil</w:t>
      </w:r>
      <w:r w:rsidR="00837D05">
        <w:t xml:space="preserve"> and if he did, it would be impossible for him to be entirely omnibenevolent, omniscient, and omnipotent all at the same time.</w:t>
      </w:r>
      <w:r w:rsidR="002E5CA2">
        <w:t xml:space="preserve"> This theory is given through ‘the inconsistent triad’. Australian philosopher John L. Mackie gave the following three propositions: God is omnipotent, and God is omnibenevolent but evil still exists, therefore it is logically inconsistent for the three propositions to coincide. The only solution that would make sense it to remove one of them, so that the other two can exist simultaneously. </w:t>
      </w:r>
    </w:p>
    <w:p w14:paraId="08B6CDFB" w14:textId="70D6A5AC" w:rsidR="00D64392" w:rsidRDefault="00D64392" w:rsidP="00EC0953">
      <w:r>
        <w:t xml:space="preserve">God’s nature is indefinite to modern day readers who may approach the idea of </w:t>
      </w:r>
      <w:r w:rsidR="00594C0E">
        <w:t>an omnibenevolent</w:t>
      </w:r>
      <w:r>
        <w:t xml:space="preserve"> God with caution and critique. </w:t>
      </w:r>
      <w:r w:rsidR="00594C0E">
        <w:t>Why does God not intervene and prevent the suffering of the innocent? Moral evil caused by free will may be justified in some cases. If there were attempts from a God to prevent evil from happening, this would take away our free will.</w:t>
      </w:r>
      <w:r w:rsidR="00594C0E" w:rsidRPr="00594C0E">
        <w:t xml:space="preserve"> In</w:t>
      </w:r>
      <w:r w:rsidR="00594C0E">
        <w:t xml:space="preserve"> his book</w:t>
      </w:r>
      <w:r w:rsidR="00594C0E" w:rsidRPr="00594C0E">
        <w:t xml:space="preserve"> </w:t>
      </w:r>
      <w:r w:rsidR="0092642A" w:rsidRPr="0092642A">
        <w:rPr>
          <w:i/>
          <w:iCs/>
        </w:rPr>
        <w:t>W</w:t>
      </w:r>
      <w:r w:rsidR="00594C0E" w:rsidRPr="0092642A">
        <w:rPr>
          <w:i/>
          <w:iCs/>
        </w:rPr>
        <w:t>hy God Allows Evil,</w:t>
      </w:r>
      <w:r w:rsidR="00594C0E" w:rsidRPr="00594C0E">
        <w:t xml:space="preserve"> </w:t>
      </w:r>
      <w:r w:rsidR="0092642A">
        <w:t xml:space="preserve">Richard </w:t>
      </w:r>
      <w:r w:rsidR="00594C0E" w:rsidRPr="00594C0E">
        <w:t xml:space="preserve">Swinburne argues that </w:t>
      </w:r>
      <w:r w:rsidR="0092642A">
        <w:t>free will would not exist if human beings did not have the ability to choose whether to use their free will for good or evil. This,</w:t>
      </w:r>
      <w:r w:rsidR="00594C0E">
        <w:t xml:space="preserve"> however, cannot be applied to natural evil. Natural evil is out of human control and therefore is due to natural causes rather than as a consequence of our free will. </w:t>
      </w:r>
    </w:p>
    <w:p w14:paraId="4CED7FBA" w14:textId="1D2483E2" w:rsidR="000D62CF" w:rsidRPr="002E5CA2" w:rsidRDefault="0092642A" w:rsidP="00EC0953">
      <w:r>
        <w:lastRenderedPageBreak/>
        <w:t>Humans must face the consequences of their actions. If they do not, they become puppets of God and the choices that they make are fundamentally pointless as they do not affect anything. In some cases, it is believed that “e</w:t>
      </w:r>
      <w:r w:rsidRPr="0092642A">
        <w:t>vil does not exist. If it did, then God would not exist. And all suffering at the hand of evil people would cease to have significanc</w:t>
      </w:r>
      <w:r>
        <w:t>e” (Graham, 2018).</w:t>
      </w:r>
      <w:r w:rsidR="00FF67DC">
        <w:t xml:space="preserve"> Evil is simply the lack of good. It is only temporal and holds power over the body and worldly goods. </w:t>
      </w:r>
      <w:r w:rsidR="00290CB6">
        <w:t xml:space="preserve">Lady Philosophy answers Boethius’ questions </w:t>
      </w:r>
      <w:r w:rsidR="002E5CA2">
        <w:t xml:space="preserve">of </w:t>
      </w:r>
      <w:r w:rsidR="00FF67DC">
        <w:t xml:space="preserve">true </w:t>
      </w:r>
      <w:r w:rsidR="002E5CA2">
        <w:t xml:space="preserve">God’s nature </w:t>
      </w:r>
      <w:r w:rsidR="00290CB6">
        <w:t xml:space="preserve">by </w:t>
      </w:r>
      <w:r w:rsidR="002141C8">
        <w:t xml:space="preserve">explaining to him the dissimilitude between </w:t>
      </w:r>
      <w:r w:rsidR="000C2D57">
        <w:t>D</w:t>
      </w:r>
      <w:r w:rsidR="002141C8">
        <w:t>ivine prescience and predetermination.</w:t>
      </w:r>
    </w:p>
    <w:p w14:paraId="4D430CA2" w14:textId="09A9AA0E" w:rsidR="00EC0953" w:rsidRDefault="00347FAF" w:rsidP="00EC0953">
      <w:r>
        <w:t>I</w:t>
      </w:r>
      <w:r w:rsidR="001520E8">
        <w:t xml:space="preserve">n his book </w:t>
      </w:r>
      <w:r w:rsidR="001520E8" w:rsidRPr="001520E8">
        <w:rPr>
          <w:i/>
          <w:iCs/>
        </w:rPr>
        <w:t>An Exact Exposition of the Orthodox Faith</w:t>
      </w:r>
      <w:r w:rsidR="001520E8">
        <w:t>, John of Damascus states “</w:t>
      </w:r>
      <w:r w:rsidR="001520E8" w:rsidRPr="001520E8">
        <w:t>It must be borne in mind that God foreknows but does not predetermine everything, since He foreknows all that is in us, but does not predetermine it all.</w:t>
      </w:r>
      <w:r w:rsidR="001520E8">
        <w:t>” (John of Damascus 2012, cited in Knight 2020)</w:t>
      </w:r>
      <w:r w:rsidR="00EC0953">
        <w:t>. Lady Philosophy identifies that God’s prescience is not the cause of our choices. Human free will is the cause</w:t>
      </w:r>
      <w:r w:rsidR="008C1402">
        <w:t xml:space="preserve"> of our choices, not because God’s foreknowledge exists, but because his foreknowledge is incapable of turning out false.</w:t>
      </w:r>
      <w:r w:rsidR="00EC0953">
        <w:t xml:space="preserve"> </w:t>
      </w:r>
      <w:r w:rsidR="0015080D">
        <w:t xml:space="preserve">Lady Philosophy’s argument </w:t>
      </w:r>
      <w:r w:rsidR="00225CFC">
        <w:t xml:space="preserve">that aims to prove that divine prescience is compatible with human free will </w:t>
      </w:r>
      <w:r w:rsidR="0015080D">
        <w:t>is, as she calls it, “</w:t>
      </w:r>
      <w:r w:rsidR="0015080D" w:rsidRPr="0015080D">
        <w:t>conditional necessity</w:t>
      </w:r>
      <w:r w:rsidR="0015080D">
        <w:t xml:space="preserve">” </w:t>
      </w:r>
      <w:r w:rsidR="00971635">
        <w:rPr>
          <w:rStyle w:val="FootnoteReference"/>
        </w:rPr>
        <w:footnoteReference w:id="10"/>
      </w:r>
      <w:r w:rsidR="00971635">
        <w:t>.</w:t>
      </w:r>
    </w:p>
    <w:p w14:paraId="02DA5009" w14:textId="6AEDB67C" w:rsidR="00225CFC" w:rsidRDefault="0015080D" w:rsidP="00EC0953">
      <w:r w:rsidRPr="0015080D">
        <w:t xml:space="preserve">The argument of conditional necessity depends on the </w:t>
      </w:r>
      <w:r w:rsidR="00A7777E">
        <w:t>available</w:t>
      </w:r>
      <w:r w:rsidRPr="0015080D">
        <w:t xml:space="preserve"> </w:t>
      </w:r>
      <w:r w:rsidR="000C2D57">
        <w:t>knowledge</w:t>
      </w:r>
      <w:r w:rsidRPr="0015080D">
        <w:t xml:space="preserve"> of a statement</w:t>
      </w:r>
      <w:r w:rsidR="00A7777E">
        <w:t xml:space="preserve"> that is available to us</w:t>
      </w:r>
      <w:r w:rsidRPr="0015080D">
        <w:t>. An example of this is that it is not conditionally necessary that someone is walking because they are a human being</w:t>
      </w:r>
      <w:r>
        <w:t xml:space="preserve"> because not all human beings can walk</w:t>
      </w:r>
      <w:r w:rsidRPr="0015080D">
        <w:t>, but if it is known than that person is walking, it is conditionally necessary that the person is walking</w:t>
      </w:r>
      <w:r w:rsidR="00D55FF7">
        <w:t>. T</w:t>
      </w:r>
      <w:r w:rsidR="00A7777E">
        <w:t>his</w:t>
      </w:r>
      <w:r w:rsidR="00D55FF7">
        <w:t xml:space="preserve"> background information that the person is walking is necessary since human beings </w:t>
      </w:r>
      <w:r w:rsidR="00A7777E">
        <w:t>cannot comprehend</w:t>
      </w:r>
      <w:r w:rsidR="00D55FF7">
        <w:t xml:space="preserve"> something that is not proven to be true</w:t>
      </w:r>
      <w:r w:rsidR="00A7777E">
        <w:t xml:space="preserve"> to them</w:t>
      </w:r>
      <w:r w:rsidR="00D55FF7">
        <w:t>.</w:t>
      </w:r>
      <w:r w:rsidR="00225CFC">
        <w:t xml:space="preserve"> Such necessity is applied to human choice. Human </w:t>
      </w:r>
      <w:r w:rsidR="00225CFC" w:rsidRPr="00511656">
        <w:t xml:space="preserve">choice has </w:t>
      </w:r>
      <w:r w:rsidR="004361F3" w:rsidRPr="00511656">
        <w:t xml:space="preserve">no necessity in </w:t>
      </w:r>
      <w:r w:rsidR="006C135C" w:rsidRPr="00511656">
        <w:t xml:space="preserve">its own nature, </w:t>
      </w:r>
      <w:r w:rsidR="00225CFC" w:rsidRPr="00511656">
        <w:t>“</w:t>
      </w:r>
      <w:r w:rsidR="006C135C" w:rsidRPr="00511656">
        <w:t>f</w:t>
      </w:r>
      <w:r w:rsidR="004361F3" w:rsidRPr="00511656">
        <w:t>or th</w:t>
      </w:r>
      <w:r w:rsidR="00371EA4" w:rsidRPr="00511656">
        <w:t xml:space="preserve">e former </w:t>
      </w:r>
      <w:r w:rsidR="004361F3" w:rsidRPr="00511656">
        <w:t xml:space="preserve">necessity is not </w:t>
      </w:r>
      <w:r w:rsidR="00511656" w:rsidRPr="00511656">
        <w:t>i</w:t>
      </w:r>
      <w:r w:rsidR="00371EA4" w:rsidRPr="00511656">
        <w:t xml:space="preserve">mposed by the </w:t>
      </w:r>
      <w:r w:rsidR="004361F3" w:rsidRPr="00511656">
        <w:t xml:space="preserve">thing’s </w:t>
      </w:r>
      <w:r w:rsidR="00371EA4" w:rsidRPr="00511656">
        <w:t xml:space="preserve">own </w:t>
      </w:r>
      <w:r w:rsidR="004361F3" w:rsidRPr="00511656">
        <w:t>proper nature</w:t>
      </w:r>
      <w:r w:rsidR="00511656" w:rsidRPr="00511656">
        <w:t xml:space="preserve">, </w:t>
      </w:r>
      <w:r w:rsidR="004361F3" w:rsidRPr="00511656">
        <w:t xml:space="preserve">but by the addition of the condition; no necessity </w:t>
      </w:r>
      <w:r w:rsidR="00511656" w:rsidRPr="00511656">
        <w:t>compels one who is voluntarily walking to go forward, although it is necessary for him to go forward at the moment of walking”</w:t>
      </w:r>
      <w:r w:rsidR="00225CFC" w:rsidRPr="00511656">
        <w:t xml:space="preserve"> </w:t>
      </w:r>
      <w:r w:rsidR="00971635" w:rsidRPr="00511656">
        <w:rPr>
          <w:rStyle w:val="FootnoteReference"/>
        </w:rPr>
        <w:footnoteReference w:id="11"/>
      </w:r>
      <w:r w:rsidR="00971635" w:rsidRPr="00511656">
        <w:t xml:space="preserve">. </w:t>
      </w:r>
      <w:r w:rsidR="00225CFC">
        <w:t xml:space="preserve">The actions </w:t>
      </w:r>
      <w:r w:rsidR="00A10C86">
        <w:t>everyone decides to take</w:t>
      </w:r>
      <w:r w:rsidR="00225CFC">
        <w:t xml:space="preserve"> is </w:t>
      </w:r>
      <w:r w:rsidR="00A10C86">
        <w:t xml:space="preserve">only </w:t>
      </w:r>
      <w:r w:rsidR="00225CFC">
        <w:t xml:space="preserve">necessary </w:t>
      </w:r>
      <w:r w:rsidR="00A10C86">
        <w:t xml:space="preserve">because they had the capability to choose these actions. The nature of God allows him to know the entirety of mankind’s actions and their consequences because they a conditional necessity, not because God has already pre-determined the destiny of </w:t>
      </w:r>
      <w:r w:rsidR="00E4516C">
        <w:t xml:space="preserve">human </w:t>
      </w:r>
      <w:r w:rsidR="00A10C86">
        <w:t>beings.</w:t>
      </w:r>
    </w:p>
    <w:p w14:paraId="4BB3605D" w14:textId="69CD1471" w:rsidR="008E1006" w:rsidRDefault="008E1006" w:rsidP="00EC0953">
      <w:r>
        <w:t xml:space="preserve">Aquinas took Boethius’ solutions and analogies to disprove theological fatalism. </w:t>
      </w:r>
      <w:r w:rsidR="008C4CA4">
        <w:t>Aquinas</w:t>
      </w:r>
      <w:r>
        <w:t xml:space="preserve"> uses the circle analog</w:t>
      </w:r>
      <w:r w:rsidR="008C4CA4">
        <w:t xml:space="preserve">y.  </w:t>
      </w:r>
      <w:r w:rsidR="00826A03">
        <w:t>In modern philosophy, this is a powerful analogy to put forward the Boe</w:t>
      </w:r>
      <w:r w:rsidR="00F45A06">
        <w:t>th</w:t>
      </w:r>
      <w:r w:rsidR="00826A03">
        <w:t xml:space="preserve">ian idea that God is transient. It was used </w:t>
      </w:r>
      <w:r w:rsidR="00826A03" w:rsidRPr="00826A03">
        <w:t xml:space="preserve">by Eleonore Stump and Norman Kretzmann </w:t>
      </w:r>
      <w:r w:rsidR="00826A03">
        <w:t>in 1981 and</w:t>
      </w:r>
      <w:r w:rsidR="00826A03" w:rsidRPr="00826A03">
        <w:t xml:space="preserve"> applied</w:t>
      </w:r>
      <w:r w:rsidR="00826A03">
        <w:t xml:space="preserve"> </w:t>
      </w:r>
      <w:r w:rsidR="00826A03" w:rsidRPr="00826A03">
        <w:t xml:space="preserve">explicitly to the foreknowledge </w:t>
      </w:r>
      <w:r w:rsidR="00F45A06" w:rsidRPr="00826A03">
        <w:t>dilemma.</w:t>
      </w:r>
      <w:r w:rsidR="00F45A06">
        <w:t xml:space="preserve"> This</w:t>
      </w:r>
      <w:r w:rsidR="008C4CA4">
        <w:t xml:space="preserve"> analogy is understood and explained by</w:t>
      </w:r>
      <w:r w:rsidR="008C4CA4" w:rsidRPr="008C4CA4">
        <w:t xml:space="preserve"> </w:t>
      </w:r>
      <w:r w:rsidR="008C4CA4">
        <w:t>the</w:t>
      </w:r>
      <w:r w:rsidR="008C4CA4" w:rsidRPr="008C4CA4">
        <w:t xml:space="preserve"> philosopher Katherin A. Rogers </w:t>
      </w:r>
      <w:r w:rsidR="008C4CA4">
        <w:t xml:space="preserve">in her book </w:t>
      </w:r>
      <w:r w:rsidR="008C4CA4" w:rsidRPr="008C4CA4">
        <w:rPr>
          <w:i/>
          <w:iCs/>
        </w:rPr>
        <w:t>The Necessity of the Present and Anselm's Eternalist Response to the Problem of Theological Fatalismas</w:t>
      </w:r>
      <w:r w:rsidR="008C4CA4">
        <w:rPr>
          <w:i/>
          <w:iCs/>
        </w:rPr>
        <w:t xml:space="preserve">, </w:t>
      </w:r>
      <w:r w:rsidR="008C4CA4">
        <w:t>as</w:t>
      </w:r>
      <w:r w:rsidR="008C4CA4" w:rsidRPr="008C4CA4">
        <w:t xml:space="preserve"> </w:t>
      </w:r>
      <w:r w:rsidR="008C4CA4">
        <w:t>“</w:t>
      </w:r>
      <w:r w:rsidR="008C4CA4" w:rsidRPr="008C4CA4">
        <w:t>in which the way a timeless God is present to each, and every moment of time is compared to the way in which the centre of a circle is present to every point on its circumference</w:t>
      </w:r>
      <w:r w:rsidR="008C4CA4">
        <w:t>”</w:t>
      </w:r>
      <w:r w:rsidR="008C4CA4" w:rsidRPr="008C4CA4">
        <w:t xml:space="preserve"> (</w:t>
      </w:r>
      <w:r w:rsidR="008C4CA4">
        <w:t>Rogers 2007).</w:t>
      </w:r>
    </w:p>
    <w:p w14:paraId="651D9930" w14:textId="48557524" w:rsidR="00F45A06" w:rsidRDefault="00FC281B" w:rsidP="00EC0953">
      <w:pPr>
        <w:rPr>
          <w:color w:val="000000" w:themeColor="text1"/>
        </w:rPr>
      </w:pPr>
      <w:r>
        <w:t xml:space="preserve">Humans have an entirely different perception of time in comparison to the divine. God can see things before they have happened because he is the creator of the universe. </w:t>
      </w:r>
      <w:r w:rsidR="000763B3">
        <w:t xml:space="preserve">Following Plato’s teachings, </w:t>
      </w:r>
      <w:r>
        <w:t>Lady Philosophy describes God as</w:t>
      </w:r>
      <w:r w:rsidRPr="00F71F86">
        <w:t xml:space="preserve"> “eternal</w:t>
      </w:r>
      <w:r w:rsidR="00F71F86" w:rsidRPr="00F71F86">
        <w:t>”</w:t>
      </w:r>
      <w:r w:rsidR="00971635" w:rsidRPr="00F71F86">
        <w:rPr>
          <w:rStyle w:val="FootnoteReference"/>
        </w:rPr>
        <w:footnoteReference w:id="12"/>
      </w:r>
      <w:r w:rsidR="00F71F86" w:rsidRPr="00F71F86">
        <w:t xml:space="preserve"> but the world as perpetual</w:t>
      </w:r>
      <w:r w:rsidR="00971635" w:rsidRPr="00F71F86">
        <w:t xml:space="preserve">. </w:t>
      </w:r>
      <w:r w:rsidR="000763B3">
        <w:t xml:space="preserve">God exists outside of the universe entirely. This means </w:t>
      </w:r>
      <w:r w:rsidR="003713AF">
        <w:t xml:space="preserve">that </w:t>
      </w:r>
      <w:r w:rsidR="000763B3" w:rsidRPr="000763B3">
        <w:t>God’s “</w:t>
      </w:r>
      <w:r w:rsidR="000763B3" w:rsidRPr="0023487A">
        <w:rPr>
          <w:color w:val="000000" w:themeColor="text1"/>
        </w:rPr>
        <w:t xml:space="preserve">eternal presence” </w:t>
      </w:r>
      <w:r w:rsidR="006B5D3B">
        <w:rPr>
          <w:rStyle w:val="FootnoteReference"/>
          <w:color w:val="000000" w:themeColor="text1"/>
        </w:rPr>
        <w:footnoteReference w:id="13"/>
      </w:r>
      <w:r w:rsidR="006B5D3B">
        <w:rPr>
          <w:color w:val="000000" w:themeColor="text1"/>
        </w:rPr>
        <w:t xml:space="preserve"> </w:t>
      </w:r>
      <w:r w:rsidR="00971635">
        <w:t xml:space="preserve">allows him to grasp </w:t>
      </w:r>
      <w:r w:rsidR="006B5D3B">
        <w:t>eternity which is “the possession of endless life whole and perfect at a single moment”</w:t>
      </w:r>
      <w:r w:rsidR="006B5D3B">
        <w:rPr>
          <w:rStyle w:val="FootnoteReference"/>
        </w:rPr>
        <w:footnoteReference w:id="14"/>
      </w:r>
      <w:r w:rsidR="006B5D3B">
        <w:t>.</w:t>
      </w:r>
      <w:r w:rsidR="00971635">
        <w:rPr>
          <w:color w:val="000000" w:themeColor="text1"/>
        </w:rPr>
        <w:t xml:space="preserve"> This is </w:t>
      </w:r>
      <w:r w:rsidR="00971635">
        <w:rPr>
          <w:color w:val="000000" w:themeColor="text1"/>
        </w:rPr>
        <w:lastRenderedPageBreak/>
        <w:t xml:space="preserve">something that cannot be done by </w:t>
      </w:r>
      <w:r w:rsidR="00C82EEA">
        <w:rPr>
          <w:color w:val="000000" w:themeColor="text1"/>
        </w:rPr>
        <w:t xml:space="preserve">humankind as mankind, unlike God is </w:t>
      </w:r>
      <w:r w:rsidR="00C82EEA" w:rsidRPr="00C82EEA">
        <w:rPr>
          <w:color w:val="000000" w:themeColor="text1"/>
        </w:rPr>
        <w:t>evanescent</w:t>
      </w:r>
      <w:r w:rsidR="00C82EEA">
        <w:rPr>
          <w:color w:val="000000" w:themeColor="text1"/>
        </w:rPr>
        <w:t>.</w:t>
      </w:r>
      <w:r w:rsidR="00DD1FA6">
        <w:rPr>
          <w:color w:val="000000" w:themeColor="text1"/>
        </w:rPr>
        <w:t xml:space="preserve"> In the Bible, all human knowledge, unless it is knowledge of God is defective as even “</w:t>
      </w:r>
      <w:r w:rsidR="00DD1FA6" w:rsidRPr="00DD1FA6">
        <w:rPr>
          <w:color w:val="000000" w:themeColor="text1"/>
        </w:rPr>
        <w:t>the foolishness of God is wiser than men, and the weakness of God is stronger than men</w:t>
      </w:r>
      <w:r w:rsidR="00DD1FA6">
        <w:rPr>
          <w:color w:val="000000" w:themeColor="text1"/>
        </w:rPr>
        <w:t>” (</w:t>
      </w:r>
      <w:r w:rsidR="00DD1FA6" w:rsidRPr="00DD1FA6">
        <w:rPr>
          <w:color w:val="000000" w:themeColor="text1"/>
        </w:rPr>
        <w:t>1 Corinthians 1:25</w:t>
      </w:r>
      <w:r w:rsidR="00DD1FA6">
        <w:rPr>
          <w:color w:val="000000" w:themeColor="text1"/>
        </w:rPr>
        <w:t>).</w:t>
      </w:r>
      <w:r w:rsidR="000E6C6A">
        <w:rPr>
          <w:color w:val="000000" w:themeColor="text1"/>
        </w:rPr>
        <w:t xml:space="preserve"> Boethius believes that the argument that God exists outside of time holds the answer to the question ‘can free will exist alongside God’s foreknowledge?’. </w:t>
      </w:r>
      <w:r w:rsidR="00F45A06" w:rsidRPr="00F45A06">
        <w:rPr>
          <w:color w:val="000000" w:themeColor="text1"/>
        </w:rPr>
        <w:t xml:space="preserve">As Linda </w:t>
      </w:r>
      <w:proofErr w:type="spellStart"/>
      <w:r w:rsidR="00F45A06" w:rsidRPr="00F45A06">
        <w:rPr>
          <w:color w:val="000000" w:themeColor="text1"/>
        </w:rPr>
        <w:t>Zagzebski</w:t>
      </w:r>
      <w:proofErr w:type="spellEnd"/>
      <w:r w:rsidR="00F45A06" w:rsidRPr="00F45A06">
        <w:rPr>
          <w:color w:val="000000" w:themeColor="text1"/>
        </w:rPr>
        <w:t xml:space="preserve"> explains, “the way Boethius describes God’s cognitive grasp of temporal reality, all temporal events are before the mind of God at once. To say ‘at once’ or ‘simultaneously’ is to use a temporal metaphor, but Boethius is clear that it does not make sense to think of the whole of temporal reality as being before God’s mind in a single temporal present. It is an atemporal present, a single complete grasp of all events in the entire span of time</w:t>
      </w:r>
      <w:r w:rsidR="00F45A06">
        <w:rPr>
          <w:color w:val="000000" w:themeColor="text1"/>
        </w:rPr>
        <w:t>” (</w:t>
      </w:r>
      <w:proofErr w:type="spellStart"/>
      <w:r w:rsidR="00F45A06">
        <w:rPr>
          <w:color w:val="000000" w:themeColor="text1"/>
        </w:rPr>
        <w:t>Zagzebski</w:t>
      </w:r>
      <w:proofErr w:type="spellEnd"/>
      <w:r w:rsidR="00F45A06">
        <w:rPr>
          <w:color w:val="000000" w:themeColor="text1"/>
        </w:rPr>
        <w:t>,</w:t>
      </w:r>
      <w:r w:rsidR="00A00A39">
        <w:rPr>
          <w:color w:val="000000" w:themeColor="text1"/>
        </w:rPr>
        <w:t xml:space="preserve"> 2004).</w:t>
      </w:r>
    </w:p>
    <w:p w14:paraId="7AF504E7" w14:textId="04A9DD32" w:rsidR="00FF67DC" w:rsidRPr="00F45A06" w:rsidRDefault="009E551E" w:rsidP="00EC0953">
      <w:r>
        <w:t>God may know us well enough to know what actions we may take, but if we have absolute free will the how does God know, for certain what action we will take?</w:t>
      </w:r>
      <w:r w:rsidR="00826A03" w:rsidRPr="00826A03">
        <w:t xml:space="preserve"> </w:t>
      </w:r>
      <w:r w:rsidR="00826A03">
        <w:t xml:space="preserve">Boethius explains that in his opinion, </w:t>
      </w:r>
      <w:r w:rsidR="00826A03" w:rsidRPr="00826A03">
        <w:t xml:space="preserve">“it is preposterous to speak of the occurrence of events in time as the cause of eternal foreknowledge” </w:t>
      </w:r>
      <w:r w:rsidR="00826A03">
        <w:rPr>
          <w:rStyle w:val="FootnoteReference"/>
        </w:rPr>
        <w:footnoteReference w:id="15"/>
      </w:r>
      <w:r w:rsidR="00826A03">
        <w:t xml:space="preserve"> </w:t>
      </w:r>
      <w:r>
        <w:t>The analogy of a terrorist carrying a bomb on to an airplane is often used to describe this. The airport contained CCTV of the surroundings of each plane. Once the bomb is set off, the CCTV is viewed. It shows the terrorist planting the bomb, at the time the CCTV was being watched, the terrorist had no choice to change his mind and not set the bomb off. The police are not responsible for the actions of the terrorist. When applied to the actions of mankind and God, God knows the actions we will take before they are made as he has access to this foreknowledge although that is not to say that he has forced us to take those actions</w:t>
      </w:r>
      <w:r w:rsidR="00F45A06">
        <w:t>.</w:t>
      </w:r>
    </w:p>
    <w:p w14:paraId="4541BF1A" w14:textId="1B236EAE" w:rsidR="000069FF" w:rsidRPr="00C945A4" w:rsidRDefault="0094599B" w:rsidP="00EC0953">
      <w:r>
        <w:rPr>
          <w:color w:val="000000" w:themeColor="text1"/>
        </w:rPr>
        <w:t>Boethius begins to question the reason and efficiency of prayer.</w:t>
      </w:r>
      <w:r w:rsidRPr="0094599B">
        <w:t xml:space="preserve"> </w:t>
      </w:r>
      <w:r w:rsidRPr="0094599B">
        <w:rPr>
          <w:color w:val="000000" w:themeColor="text1"/>
        </w:rPr>
        <w:t>If things are already set in stone</w:t>
      </w:r>
      <w:r>
        <w:rPr>
          <w:color w:val="000000" w:themeColor="text1"/>
        </w:rPr>
        <w:t xml:space="preserve"> and therefore predestined, “no ground is left for hope or prayer, since how can we hope for blessings, or pray for mercy, when every object of desire depends upon the links of an unalterable chain of causation?”</w:t>
      </w:r>
      <w:r>
        <w:rPr>
          <w:rStyle w:val="FootnoteReference"/>
          <w:color w:val="000000" w:themeColor="text1"/>
        </w:rPr>
        <w:footnoteReference w:id="16"/>
      </w:r>
      <w:r>
        <w:rPr>
          <w:color w:val="000000" w:themeColor="text1"/>
        </w:rPr>
        <w:t>. Lady Philosophy justifies the need for prayer because it is a way of communicating with God. This communication is important regardless of predestination</w:t>
      </w:r>
      <w:r w:rsidR="00C945A4">
        <w:rPr>
          <w:color w:val="000000" w:themeColor="text1"/>
        </w:rPr>
        <w:t>. M</w:t>
      </w:r>
      <w:r>
        <w:rPr>
          <w:color w:val="000000" w:themeColor="text1"/>
        </w:rPr>
        <w:t>ankind should</w:t>
      </w:r>
      <w:r w:rsidR="00C945A4">
        <w:rPr>
          <w:color w:val="000000" w:themeColor="text1"/>
        </w:rPr>
        <w:t xml:space="preserve"> make every effort to attempt to build a relationship with God through prayer despite not having the same knowledge as the divine. God judges our actions on Earth and although he knows what we strive towards before it happens, that does not take away our need to attain the ultimate good which is God</w:t>
      </w:r>
      <w:r w:rsidR="00C945A4">
        <w:t>.</w:t>
      </w:r>
    </w:p>
    <w:p w14:paraId="523C23E9" w14:textId="06A52354" w:rsidR="00C945A4" w:rsidRDefault="000D62CF" w:rsidP="00C945A4">
      <w:r w:rsidRPr="006B5D3B">
        <w:t xml:space="preserve"> Boethius’ logic teaches that the only way that we can truly obtain free will is if we use rational thought and reasons when processing our choices. Rational decisions that are not tainted by external factors are the key to happiness. Through free</w:t>
      </w:r>
      <w:r w:rsidR="006B5D3B">
        <w:t xml:space="preserve"> </w:t>
      </w:r>
      <w:r w:rsidRPr="006B5D3B">
        <w:t>will</w:t>
      </w:r>
      <w:r w:rsidR="006B5D3B">
        <w:t>, humans should</w:t>
      </w:r>
      <w:r w:rsidRPr="006B5D3B">
        <w:t xml:space="preserve"> strive to pursue the good </w:t>
      </w:r>
      <w:r w:rsidR="00C16E5F">
        <w:t>vices to</w:t>
      </w:r>
      <w:r w:rsidR="006B5D3B">
        <w:t xml:space="preserve"> avoid </w:t>
      </w:r>
      <w:r w:rsidRPr="006B5D3B">
        <w:t>the bad</w:t>
      </w:r>
      <w:r w:rsidR="00C16E5F">
        <w:t xml:space="preserve"> ones</w:t>
      </w:r>
      <w:r w:rsidR="006B5D3B">
        <w:t>.</w:t>
      </w:r>
      <w:r w:rsidR="000069FF">
        <w:t xml:space="preserve"> Humans do not freely use their will for bad vices. Free will is exercised when it is in pursuit of God. </w:t>
      </w:r>
      <w:r w:rsidR="008E53C2">
        <w:t xml:space="preserve">Lady philosophy explains how both her and Boethius “have proved that God and true happiness are one and the same” </w:t>
      </w:r>
      <w:r w:rsidR="008E53C2">
        <w:rPr>
          <w:rStyle w:val="FootnoteReference"/>
        </w:rPr>
        <w:footnoteReference w:id="17"/>
      </w:r>
      <w:r w:rsidR="008E53C2">
        <w:t xml:space="preserve">. Essentially, the only time that human beings can freely achieve free will is when they continually search for the goodness that is God by using their rational thought and reason in aim to seek happiness. </w:t>
      </w:r>
    </w:p>
    <w:p w14:paraId="0848EF16" w14:textId="50BC30A8" w:rsidR="00B53972" w:rsidRDefault="00B53972" w:rsidP="00C945A4"/>
    <w:p w14:paraId="7D4DDF20" w14:textId="5B3802D3" w:rsidR="00B53972" w:rsidRPr="0092642A" w:rsidRDefault="00B3737A" w:rsidP="00C945A4">
      <w:r>
        <w:t>Boethius and Lady Philosophy are not content with leaving the question of whether or not free will exists, and if it does, how does it exist alongside foreknowledge and predestination unanswered.</w:t>
      </w:r>
      <w:r w:rsidR="00CA1688">
        <w:t xml:space="preserve"> </w:t>
      </w:r>
      <w:r w:rsidR="00E7532C" w:rsidRPr="00E7532C">
        <w:t>Nelson Pike</w:t>
      </w:r>
      <w:r w:rsidR="00E7532C">
        <w:t xml:space="preserve"> claims that “</w:t>
      </w:r>
      <w:r w:rsidR="00E7532C" w:rsidRPr="00E7532C">
        <w:t>omniscience and human free will are mutually exclusive</w:t>
      </w:r>
      <w:r w:rsidR="00E7532C">
        <w:t xml:space="preserve">” (Duncombe, </w:t>
      </w:r>
      <w:r w:rsidR="00E7532C">
        <w:lastRenderedPageBreak/>
        <w:t xml:space="preserve">2014). </w:t>
      </w:r>
      <w:r w:rsidR="00CA1688">
        <w:t xml:space="preserve">Boethius </w:t>
      </w:r>
      <w:r w:rsidR="00E7532C">
        <w:t xml:space="preserve">rejects this idea and </w:t>
      </w:r>
      <w:r w:rsidR="00CA1688">
        <w:t>identifies that when initially addressing this question, it could seem that God’s foreknowledge</w:t>
      </w:r>
      <w:r w:rsidR="00E7532C">
        <w:t xml:space="preserve"> and omniscience</w:t>
      </w:r>
      <w:r w:rsidR="00CA1688">
        <w:t xml:space="preserve"> interrupts human freedom. He states, “has man, then, any freedom, if the reign of the law is absolute?” </w:t>
      </w:r>
      <w:r w:rsidR="00CA1688">
        <w:rPr>
          <w:rStyle w:val="FootnoteReference"/>
        </w:rPr>
        <w:footnoteReference w:id="18"/>
      </w:r>
      <w:r w:rsidR="00CA1688">
        <w:t xml:space="preserve">. Boethius and Lady Philosophy demonstrate Platonic philosophical teachings in their arguments. The theories </w:t>
      </w:r>
      <w:r w:rsidR="008F2628">
        <w:t>included in the</w:t>
      </w:r>
      <w:r w:rsidR="008F2628" w:rsidRPr="008F2628">
        <w:rPr>
          <w:i/>
          <w:iCs/>
        </w:rPr>
        <w:t xml:space="preserve"> Consolation of Philosophy</w:t>
      </w:r>
      <w:r w:rsidR="008F2628">
        <w:t xml:space="preserve">, </w:t>
      </w:r>
      <w:r w:rsidR="00CA1688">
        <w:t xml:space="preserve">of divine prescience, </w:t>
      </w:r>
      <w:r w:rsidR="008F2628">
        <w:t xml:space="preserve">omniscience, the definition of evil and the distinction between eternal and perpetual are derived from Plato’s doctrines. Boethius concludes that God exists outside of a time and a universe that we can comprehend, so we must accept that God </w:t>
      </w:r>
      <w:r w:rsidR="008F2628" w:rsidRPr="008F2628">
        <w:t>sees everything as present, rather than past or future.</w:t>
      </w:r>
      <w:r w:rsidR="00B97063">
        <w:t xml:space="preserve"> Boethius concludes that although God has the capacity to know of present events because “his knowledge, also </w:t>
      </w:r>
      <w:r w:rsidR="005F466B">
        <w:t>transcending</w:t>
      </w:r>
      <w:r w:rsidR="00B97063">
        <w:t xml:space="preserve"> of </w:t>
      </w:r>
      <w:r w:rsidR="005F466B">
        <w:t xml:space="preserve">all movement of time, dwells in the simplicity of its own changeless present” </w:t>
      </w:r>
      <w:r w:rsidR="005F466B">
        <w:rPr>
          <w:rStyle w:val="FootnoteReference"/>
        </w:rPr>
        <w:footnoteReference w:id="19"/>
      </w:r>
      <w:r w:rsidR="00B97063">
        <w:t xml:space="preserve">it is </w:t>
      </w:r>
      <w:r w:rsidR="005F466B">
        <w:t xml:space="preserve">then </w:t>
      </w:r>
      <w:r w:rsidR="00B97063">
        <w:t>not deterministic. Instead, God observes</w:t>
      </w:r>
      <w:r w:rsidR="005F466B">
        <w:t xml:space="preserve"> and knows.</w:t>
      </w:r>
      <w:r w:rsidR="00B97063">
        <w:t xml:space="preserve"> </w:t>
      </w:r>
      <w:r w:rsidR="005F466B">
        <w:t xml:space="preserve">He </w:t>
      </w:r>
      <w:r w:rsidR="00B97063">
        <w:t>does not cause</w:t>
      </w:r>
      <w:r w:rsidR="005F466B">
        <w:t xml:space="preserve"> or intervene as that will take away the freedom to decide what actions human beings want to pursue.</w:t>
      </w:r>
      <w:r w:rsidR="00B97063">
        <w:t xml:space="preserve"> </w:t>
      </w:r>
      <w:r w:rsidR="005F466B">
        <w:t xml:space="preserve"> The “freedom of man’s will </w:t>
      </w:r>
      <w:proofErr w:type="gramStart"/>
      <w:r w:rsidR="005F466B">
        <w:t>stands</w:t>
      </w:r>
      <w:proofErr w:type="gramEnd"/>
      <w:r w:rsidR="005F466B">
        <w:t xml:space="preserve"> unshaken, and laws are not unrighteous, since their rewards and punishments are held forth to wills unbound by any necessity”</w:t>
      </w:r>
      <w:r w:rsidR="005F466B">
        <w:rPr>
          <w:rStyle w:val="FootnoteReference"/>
        </w:rPr>
        <w:footnoteReference w:id="20"/>
      </w:r>
      <w:r w:rsidR="005F466B">
        <w:t xml:space="preserve">. </w:t>
      </w:r>
      <w:r w:rsidR="00B97063">
        <w:t>God does not infringe on the laws of free will. He demolishes the paradox between divine foreknowledge and human free will with his argument, leading us to believe that God’s foreknowledge can coincide with human free will.</w:t>
      </w:r>
      <w:bookmarkEnd w:id="2"/>
    </w:p>
    <w:bookmarkEnd w:id="0"/>
    <w:p w14:paraId="55F2A178" w14:textId="1BDFB291" w:rsidR="002A64F8" w:rsidRPr="00B53972" w:rsidRDefault="00F45A06">
      <w:pPr>
        <w:rPr>
          <w:sz w:val="24"/>
          <w:szCs w:val="24"/>
          <w:u w:val="single"/>
        </w:rPr>
      </w:pPr>
      <w:r w:rsidRPr="00F45A06">
        <w:rPr>
          <w:sz w:val="24"/>
          <w:szCs w:val="24"/>
          <w:u w:val="single"/>
        </w:rPr>
        <w:t>Bibliography</w:t>
      </w:r>
      <w:bookmarkEnd w:id="1"/>
    </w:p>
    <w:p w14:paraId="0CA402E6" w14:textId="76B1345D" w:rsidR="00307109" w:rsidRPr="00DD1FA6" w:rsidRDefault="00D71F52" w:rsidP="00AF6A2B">
      <w:pPr>
        <w:pStyle w:val="ListParagraph"/>
        <w:numPr>
          <w:ilvl w:val="0"/>
          <w:numId w:val="3"/>
        </w:numPr>
        <w:rPr>
          <w:u w:val="single"/>
        </w:rPr>
      </w:pPr>
      <w:r>
        <w:t xml:space="preserve">Bhutia, T. 2017. </w:t>
      </w:r>
      <w:r w:rsidR="00D44562" w:rsidRPr="00AF6A2B">
        <w:rPr>
          <w:i/>
          <w:iCs/>
        </w:rPr>
        <w:t>Free will.</w:t>
      </w:r>
      <w:r w:rsidR="00D44562">
        <w:t xml:space="preserve"> Available at:</w:t>
      </w:r>
      <w:r w:rsidR="00D44562" w:rsidRPr="00D44562">
        <w:t xml:space="preserve"> </w:t>
      </w:r>
      <w:hyperlink r:id="rId8" w:history="1">
        <w:r w:rsidR="00D44562" w:rsidRPr="00984F8C">
          <w:rPr>
            <w:rStyle w:val="Hyperlink"/>
          </w:rPr>
          <w:t>https://www.britannica.com/topic/free-will</w:t>
        </w:r>
      </w:hyperlink>
      <w:r w:rsidR="00D44562">
        <w:t xml:space="preserve"> [Accessed 04 October 2021].</w:t>
      </w:r>
    </w:p>
    <w:p w14:paraId="482943C7" w14:textId="6EDC4348" w:rsidR="00DD1FA6" w:rsidRDefault="00DD1FA6" w:rsidP="00DD1FA6">
      <w:pPr>
        <w:pStyle w:val="ListParagraph"/>
        <w:numPr>
          <w:ilvl w:val="0"/>
          <w:numId w:val="3"/>
        </w:numPr>
      </w:pPr>
      <w:r w:rsidRPr="00DD1FA6">
        <w:t>1 Corinthians 1:25</w:t>
      </w:r>
      <w:r>
        <w:t xml:space="preserve">. </w:t>
      </w:r>
      <w:r w:rsidRPr="00DD1FA6">
        <w:t>New Revised Standard Version Bible: Anglicized Edition.</w:t>
      </w:r>
    </w:p>
    <w:p w14:paraId="130E0F3B" w14:textId="38EC9F04" w:rsidR="00E7532C" w:rsidRPr="00E7532C" w:rsidRDefault="00E7532C" w:rsidP="00E7532C">
      <w:pPr>
        <w:pStyle w:val="ListParagraph"/>
        <w:numPr>
          <w:ilvl w:val="0"/>
          <w:numId w:val="3"/>
        </w:numPr>
        <w:rPr>
          <w:i/>
          <w:iCs/>
        </w:rPr>
      </w:pPr>
      <w:r>
        <w:t>Duncombe, D. 2014.</w:t>
      </w:r>
      <w:r w:rsidRPr="00E7532C">
        <w:t xml:space="preserve"> </w:t>
      </w:r>
      <w:r w:rsidRPr="00E7532C">
        <w:rPr>
          <w:i/>
          <w:iCs/>
        </w:rPr>
        <w:t>Boethius on Divine Foreknowledge and Human Freedom.</w:t>
      </w:r>
      <w:r>
        <w:t xml:space="preserve"> Available at:</w:t>
      </w:r>
      <w:r w:rsidRPr="00E7532C">
        <w:t xml:space="preserve"> </w:t>
      </w:r>
      <w:hyperlink r:id="rId9" w:history="1">
        <w:r w:rsidRPr="00436240">
          <w:rPr>
            <w:rStyle w:val="Hyperlink"/>
          </w:rPr>
          <w:t>https://daveduncombe.wordpress.com/2014/09/17/boethius-on-divine-foreknowledge-and-human-freedom/</w:t>
        </w:r>
      </w:hyperlink>
      <w:r>
        <w:t xml:space="preserve"> [Accessed 09 October 2021].</w:t>
      </w:r>
    </w:p>
    <w:p w14:paraId="5AF65FF0" w14:textId="721A0B12" w:rsidR="00DD1FA6" w:rsidRPr="00DD1FA6" w:rsidRDefault="00DD1FA6" w:rsidP="00DD1FA6">
      <w:pPr>
        <w:pStyle w:val="ListParagraph"/>
      </w:pPr>
    </w:p>
    <w:p w14:paraId="6FB03AF4" w14:textId="35F45609" w:rsidR="00307109" w:rsidRPr="00EC0953" w:rsidRDefault="00307109" w:rsidP="00307109">
      <w:pPr>
        <w:pStyle w:val="ListParagraph"/>
        <w:numPr>
          <w:ilvl w:val="0"/>
          <w:numId w:val="3"/>
        </w:numPr>
        <w:rPr>
          <w:i/>
          <w:iCs/>
          <w:u w:val="single"/>
        </w:rPr>
      </w:pPr>
      <w:r>
        <w:t>Flew, A. 2000.</w:t>
      </w:r>
      <w:r w:rsidRPr="00307109">
        <w:rPr>
          <w:i/>
          <w:iCs/>
        </w:rPr>
        <w:t xml:space="preserve"> C.S. Lewis, God and the Problem of Evil</w:t>
      </w:r>
      <w:r>
        <w:rPr>
          <w:i/>
          <w:iCs/>
        </w:rPr>
        <w:t xml:space="preserve">. </w:t>
      </w:r>
      <w:r>
        <w:t xml:space="preserve">Available at: </w:t>
      </w:r>
      <w:hyperlink r:id="rId10" w:history="1">
        <w:r w:rsidRPr="00113086">
          <w:rPr>
            <w:rStyle w:val="Hyperlink"/>
          </w:rPr>
          <w:t>https://philosophynow.org/issues/26/CS_Lewis_God_and_the_Problem_of_Evil</w:t>
        </w:r>
      </w:hyperlink>
      <w:r>
        <w:t xml:space="preserve"> [Accessed 05 October 2021].</w:t>
      </w:r>
    </w:p>
    <w:p w14:paraId="6D261986" w14:textId="77777777" w:rsidR="0092642A" w:rsidRPr="0092642A" w:rsidRDefault="00EC0953" w:rsidP="00307109">
      <w:pPr>
        <w:pStyle w:val="ListParagraph"/>
        <w:numPr>
          <w:ilvl w:val="0"/>
          <w:numId w:val="3"/>
        </w:numPr>
        <w:rPr>
          <w:i/>
          <w:iCs/>
          <w:u w:val="single"/>
        </w:rPr>
      </w:pPr>
      <w:r>
        <w:t xml:space="preserve">Geach, P. </w:t>
      </w:r>
      <w:r w:rsidR="00C047FB">
        <w:t xml:space="preserve">2017. </w:t>
      </w:r>
      <w:r w:rsidR="00C047FB" w:rsidRPr="00C047FB">
        <w:rPr>
          <w:i/>
          <w:iCs/>
        </w:rPr>
        <w:t>The Everlasting God</w:t>
      </w:r>
      <w:r w:rsidR="00C047FB">
        <w:t xml:space="preserve">. Available at: </w:t>
      </w:r>
    </w:p>
    <w:p w14:paraId="79957022" w14:textId="49526A40" w:rsidR="00EC0953" w:rsidRDefault="00EA797B" w:rsidP="0092642A">
      <w:pPr>
        <w:pStyle w:val="ListParagraph"/>
      </w:pPr>
      <w:hyperlink r:id="rId11" w:history="1">
        <w:r w:rsidR="0092642A" w:rsidRPr="0028309C">
          <w:rPr>
            <w:rStyle w:val="Hyperlink"/>
          </w:rPr>
          <w:t>https://philosophyfinds.wordpress.com/2017/06/05/the-everlasting-god/</w:t>
        </w:r>
      </w:hyperlink>
      <w:r w:rsidR="00C047FB">
        <w:t xml:space="preserve"> [Accessed 07 October 2021].</w:t>
      </w:r>
      <w:r w:rsidR="0092642A">
        <w:t xml:space="preserve"> </w:t>
      </w:r>
    </w:p>
    <w:p w14:paraId="618BBC71" w14:textId="51DF494D" w:rsidR="0092642A" w:rsidRPr="0092642A" w:rsidRDefault="0092642A" w:rsidP="0092642A">
      <w:pPr>
        <w:pStyle w:val="ListParagraph"/>
        <w:rPr>
          <w:u w:val="single"/>
        </w:rPr>
      </w:pPr>
      <w:r>
        <w:t>Graham, W. 2018.</w:t>
      </w:r>
      <w:r w:rsidRPr="0092642A">
        <w:t xml:space="preserve"> </w:t>
      </w:r>
      <w:r w:rsidRPr="0092642A">
        <w:rPr>
          <w:i/>
          <w:iCs/>
        </w:rPr>
        <w:t>Evil Does not Exist</w:t>
      </w:r>
      <w:r>
        <w:rPr>
          <w:i/>
          <w:iCs/>
        </w:rPr>
        <w:t xml:space="preserve">. </w:t>
      </w:r>
      <w:r>
        <w:t xml:space="preserve">Available at: </w:t>
      </w:r>
      <w:hyperlink r:id="rId12" w:history="1">
        <w:r w:rsidRPr="0028309C">
          <w:rPr>
            <w:rStyle w:val="Hyperlink"/>
          </w:rPr>
          <w:t>https://wyattgraham.com/evil-does-not-exist/</w:t>
        </w:r>
      </w:hyperlink>
      <w:r>
        <w:t xml:space="preserve"> [Accessed 08 October 2021].</w:t>
      </w:r>
    </w:p>
    <w:p w14:paraId="2673CD43" w14:textId="54BD6F59" w:rsidR="001520E8" w:rsidRPr="001520E8" w:rsidRDefault="001520E8" w:rsidP="00307109">
      <w:pPr>
        <w:pStyle w:val="ListParagraph"/>
        <w:numPr>
          <w:ilvl w:val="0"/>
          <w:numId w:val="3"/>
        </w:numPr>
        <w:rPr>
          <w:i/>
          <w:iCs/>
          <w:u w:val="single"/>
        </w:rPr>
      </w:pPr>
      <w:r>
        <w:t xml:space="preserve">Knight, K. 2020. </w:t>
      </w:r>
      <w:r w:rsidRPr="001520E8">
        <w:rPr>
          <w:i/>
          <w:iCs/>
        </w:rPr>
        <w:t>Whether men are predestined by God?</w:t>
      </w:r>
      <w:r>
        <w:rPr>
          <w:i/>
          <w:iCs/>
        </w:rPr>
        <w:t xml:space="preserve"> </w:t>
      </w:r>
      <w:r>
        <w:t>Available at:</w:t>
      </w:r>
      <w:r w:rsidRPr="001520E8">
        <w:t xml:space="preserve"> https://www.newadvent.org/summa/1023.htm</w:t>
      </w:r>
      <w:r>
        <w:rPr>
          <w:i/>
          <w:iCs/>
        </w:rPr>
        <w:t xml:space="preserve"> </w:t>
      </w:r>
      <w:r>
        <w:t>[Accessed 05 October 202</w:t>
      </w:r>
      <w:r w:rsidR="00FF67DC">
        <w:t>1</w:t>
      </w:r>
      <w:r>
        <w:t>].</w:t>
      </w:r>
    </w:p>
    <w:p w14:paraId="291E7301" w14:textId="7CC533B8" w:rsidR="00793F25" w:rsidRPr="007C77B4" w:rsidRDefault="00793F25" w:rsidP="00793F25">
      <w:pPr>
        <w:pStyle w:val="ListParagraph"/>
        <w:numPr>
          <w:ilvl w:val="0"/>
          <w:numId w:val="3"/>
        </w:numPr>
        <w:rPr>
          <w:u w:val="single"/>
        </w:rPr>
      </w:pPr>
      <w:r>
        <w:t xml:space="preserve">Matthew 11:25 </w:t>
      </w:r>
      <w:bookmarkStart w:id="13" w:name="_Hlk84707890"/>
      <w:r w:rsidRPr="00793F25">
        <w:t>New Revised Standard Version Bible: Anglicized Edition</w:t>
      </w:r>
      <w:r w:rsidR="00BC2437">
        <w:t>.</w:t>
      </w:r>
    </w:p>
    <w:p w14:paraId="345E109B" w14:textId="3A5AFD41" w:rsidR="007C77B4" w:rsidRPr="007C77B4" w:rsidRDefault="007C77B4" w:rsidP="007C77B4">
      <w:pPr>
        <w:pStyle w:val="ListParagraph"/>
        <w:numPr>
          <w:ilvl w:val="0"/>
          <w:numId w:val="3"/>
        </w:numPr>
        <w:rPr>
          <w:i/>
          <w:iCs/>
        </w:rPr>
      </w:pPr>
      <w:r>
        <w:t xml:space="preserve">Prabhat, P. 2007. </w:t>
      </w:r>
      <w:r w:rsidRPr="007C77B4">
        <w:rPr>
          <w:i/>
          <w:iCs/>
        </w:rPr>
        <w:t>The Consolation of Philosophy of Boethius</w:t>
      </w:r>
    </w:p>
    <w:bookmarkEnd w:id="13"/>
    <w:p w14:paraId="2238FE7C" w14:textId="447DD647" w:rsidR="00BC2437" w:rsidRPr="00A00A39" w:rsidRDefault="00D64392" w:rsidP="00D64392">
      <w:pPr>
        <w:pStyle w:val="ListParagraph"/>
        <w:numPr>
          <w:ilvl w:val="0"/>
          <w:numId w:val="3"/>
        </w:numPr>
        <w:rPr>
          <w:u w:val="single"/>
        </w:rPr>
      </w:pPr>
      <w:r>
        <w:t xml:space="preserve">Rogers, K.A. 2007. </w:t>
      </w:r>
      <w:r w:rsidRPr="00D64392">
        <w:rPr>
          <w:i/>
          <w:iCs/>
        </w:rPr>
        <w:t>The Necessity of the Present and Anselm’s Eternalist Response to the Problem of Theological Fatalism</w:t>
      </w:r>
      <w:r>
        <w:rPr>
          <w:i/>
          <w:iCs/>
        </w:rPr>
        <w:t xml:space="preserve"> </w:t>
      </w:r>
      <w:r w:rsidRPr="00D64392">
        <w:t>Religious Studies, vol. 43, no. 1, Cambridge University Press</w:t>
      </w:r>
      <w:r>
        <w:t>.</w:t>
      </w:r>
    </w:p>
    <w:p w14:paraId="2A92491F" w14:textId="205566E0" w:rsidR="00A00A39" w:rsidRPr="00A00A39" w:rsidRDefault="00A00A39" w:rsidP="00D64392">
      <w:pPr>
        <w:pStyle w:val="ListParagraph"/>
        <w:numPr>
          <w:ilvl w:val="0"/>
          <w:numId w:val="3"/>
        </w:numPr>
      </w:pPr>
      <w:proofErr w:type="spellStart"/>
      <w:r w:rsidRPr="00A00A39">
        <w:t>Zagzebski</w:t>
      </w:r>
      <w:proofErr w:type="spellEnd"/>
      <w:r>
        <w:t xml:space="preserve">, L. 2004. </w:t>
      </w:r>
      <w:r w:rsidRPr="00A00A39">
        <w:rPr>
          <w:i/>
          <w:iCs/>
        </w:rPr>
        <w:t>Foreknowledge and Free Will</w:t>
      </w:r>
      <w:r>
        <w:rPr>
          <w:i/>
          <w:iCs/>
        </w:rPr>
        <w:t xml:space="preserve">. </w:t>
      </w:r>
      <w:r>
        <w:t>Available at:</w:t>
      </w:r>
      <w:r w:rsidRPr="00A00A39">
        <w:t xml:space="preserve"> </w:t>
      </w:r>
      <w:hyperlink r:id="rId13" w:history="1">
        <w:r w:rsidRPr="00436240">
          <w:rPr>
            <w:rStyle w:val="Hyperlink"/>
          </w:rPr>
          <w:t>https://plato.stanford.edu/entries/free-will-foreknowledge/</w:t>
        </w:r>
      </w:hyperlink>
      <w:r>
        <w:t xml:space="preserve"> [Accessed 07 October 2021].</w:t>
      </w:r>
    </w:p>
    <w:p w14:paraId="250FE404" w14:textId="6DAB2B31" w:rsidR="009C0208" w:rsidRDefault="009C0208" w:rsidP="00307109">
      <w:pPr>
        <w:pStyle w:val="ListParagraph"/>
        <w:rPr>
          <w:u w:val="single"/>
        </w:rPr>
      </w:pPr>
    </w:p>
    <w:p w14:paraId="3F1C4612" w14:textId="30732066" w:rsidR="009C0208" w:rsidRPr="00793F25" w:rsidRDefault="009C0208" w:rsidP="00307109">
      <w:pPr>
        <w:pStyle w:val="ListParagraph"/>
        <w:rPr>
          <w:u w:val="single"/>
        </w:rPr>
      </w:pPr>
      <w:r>
        <w:rPr>
          <w:u w:val="single"/>
        </w:rPr>
        <w:t xml:space="preserve"> </w:t>
      </w:r>
    </w:p>
    <w:sectPr w:rsidR="009C0208" w:rsidRPr="00793F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0B836" w14:textId="77777777" w:rsidR="00EA797B" w:rsidRDefault="00EA797B" w:rsidP="002A64F8">
      <w:pPr>
        <w:spacing w:after="0" w:line="240" w:lineRule="auto"/>
      </w:pPr>
      <w:r>
        <w:separator/>
      </w:r>
    </w:p>
  </w:endnote>
  <w:endnote w:type="continuationSeparator" w:id="0">
    <w:p w14:paraId="7029EB50" w14:textId="77777777" w:rsidR="00EA797B" w:rsidRDefault="00EA797B" w:rsidP="002A64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3E33C" w14:textId="77777777" w:rsidR="00EA797B" w:rsidRDefault="00EA797B" w:rsidP="002A64F8">
      <w:pPr>
        <w:spacing w:after="0" w:line="240" w:lineRule="auto"/>
      </w:pPr>
      <w:r>
        <w:separator/>
      </w:r>
    </w:p>
  </w:footnote>
  <w:footnote w:type="continuationSeparator" w:id="0">
    <w:p w14:paraId="4CD0D508" w14:textId="77777777" w:rsidR="00EA797B" w:rsidRDefault="00EA797B" w:rsidP="002A64F8">
      <w:pPr>
        <w:spacing w:after="0" w:line="240" w:lineRule="auto"/>
      </w:pPr>
      <w:r>
        <w:continuationSeparator/>
      </w:r>
    </w:p>
  </w:footnote>
  <w:footnote w:id="1">
    <w:p w14:paraId="6AC95CAF" w14:textId="22E3817B" w:rsidR="00B25193" w:rsidRPr="00B25193" w:rsidRDefault="00B25193">
      <w:pPr>
        <w:pStyle w:val="FootnoteText"/>
        <w:rPr>
          <w:i/>
          <w:iCs/>
        </w:rPr>
      </w:pPr>
      <w:r>
        <w:rPr>
          <w:rStyle w:val="FootnoteReference"/>
        </w:rPr>
        <w:footnoteRef/>
      </w:r>
      <w:bookmarkStart w:id="4" w:name="_Hlk84786132"/>
      <w:r w:rsidR="00E7532C">
        <w:t>Prabhat</w:t>
      </w:r>
      <w:r w:rsidRPr="00B25193">
        <w:t>,</w:t>
      </w:r>
      <w:r w:rsidR="00E7532C">
        <w:t xml:space="preserve"> 2007</w:t>
      </w:r>
      <w:r w:rsidRPr="00B25193">
        <w:t xml:space="preserve">. </w:t>
      </w:r>
      <w:bookmarkEnd w:id="4"/>
      <w:r w:rsidRPr="00E7532C">
        <w:rPr>
          <w:i/>
          <w:iCs/>
        </w:rPr>
        <w:t xml:space="preserve">The Consolation of Philosophy. </w:t>
      </w:r>
      <w:r>
        <w:rPr>
          <w:i/>
          <w:iCs/>
        </w:rPr>
        <w:t>p.</w:t>
      </w:r>
      <w:r w:rsidR="00A52338">
        <w:rPr>
          <w:i/>
          <w:iCs/>
        </w:rPr>
        <w:t xml:space="preserve"> 30</w:t>
      </w:r>
    </w:p>
  </w:footnote>
  <w:footnote w:id="2">
    <w:p w14:paraId="262B718F" w14:textId="5998B82C" w:rsidR="00AD2B83" w:rsidRPr="00AD2B83" w:rsidRDefault="00AD2B83">
      <w:pPr>
        <w:pStyle w:val="FootnoteText"/>
        <w:rPr>
          <w:i/>
          <w:iCs/>
        </w:rPr>
      </w:pPr>
      <w:r>
        <w:rPr>
          <w:rStyle w:val="FootnoteReference"/>
        </w:rPr>
        <w:footnoteRef/>
      </w:r>
      <w:r>
        <w:t xml:space="preserve"> </w:t>
      </w:r>
      <w:r w:rsidR="00E7532C" w:rsidRPr="00E7532C">
        <w:t xml:space="preserve">Prabhat, 2007. </w:t>
      </w:r>
      <w:r w:rsidR="00E7532C" w:rsidRPr="00E7532C">
        <w:rPr>
          <w:i/>
          <w:iCs/>
        </w:rPr>
        <w:t xml:space="preserve">The </w:t>
      </w:r>
      <w:r w:rsidRPr="00E7532C">
        <w:rPr>
          <w:i/>
          <w:iCs/>
        </w:rPr>
        <w:t>Consolation of Philosophy</w:t>
      </w:r>
      <w:r w:rsidRPr="00AD2B83">
        <w:rPr>
          <w:i/>
          <w:iCs/>
        </w:rPr>
        <w:t>. p. 169</w:t>
      </w:r>
    </w:p>
  </w:footnote>
  <w:footnote w:id="3">
    <w:p w14:paraId="524B765E" w14:textId="40B3615B" w:rsidR="004361F3" w:rsidRPr="00AF6A2B" w:rsidRDefault="004361F3">
      <w:pPr>
        <w:pStyle w:val="FootnoteText"/>
        <w:rPr>
          <w:i/>
          <w:iCs/>
        </w:rPr>
      </w:pPr>
      <w:r>
        <w:rPr>
          <w:rStyle w:val="FootnoteReference"/>
        </w:rPr>
        <w:footnoteRef/>
      </w:r>
      <w:bookmarkStart w:id="5" w:name="_Hlk84706319"/>
      <w:bookmarkStart w:id="6" w:name="_Hlk84718467"/>
      <w:bookmarkStart w:id="7" w:name="_Hlk84723156"/>
      <w:r w:rsidR="00AF6A2B">
        <w:t xml:space="preserve"> </w:t>
      </w:r>
      <w:r w:rsidR="00E7532C" w:rsidRPr="00E7532C">
        <w:t xml:space="preserve">Prabhat, 2007. </w:t>
      </w:r>
      <w:r w:rsidR="00AF6A2B">
        <w:rPr>
          <w:i/>
          <w:iCs/>
        </w:rPr>
        <w:t>The Consolation of Philosophy</w:t>
      </w:r>
      <w:bookmarkEnd w:id="5"/>
      <w:r w:rsidR="00AF6A2B">
        <w:rPr>
          <w:i/>
          <w:iCs/>
        </w:rPr>
        <w:t xml:space="preserve">. </w:t>
      </w:r>
      <w:bookmarkEnd w:id="6"/>
      <w:r w:rsidR="00AF6A2B">
        <w:rPr>
          <w:i/>
          <w:iCs/>
        </w:rPr>
        <w:t xml:space="preserve">p. </w:t>
      </w:r>
      <w:r w:rsidR="0023487A">
        <w:rPr>
          <w:i/>
          <w:iCs/>
        </w:rPr>
        <w:t>170</w:t>
      </w:r>
    </w:p>
    <w:bookmarkEnd w:id="7"/>
  </w:footnote>
  <w:footnote w:id="4">
    <w:p w14:paraId="1ED759AB" w14:textId="0B281245" w:rsidR="00371EA4" w:rsidRPr="00371EA4" w:rsidRDefault="00371EA4">
      <w:pPr>
        <w:pStyle w:val="FootnoteText"/>
        <w:rPr>
          <w:i/>
          <w:iCs/>
        </w:rPr>
      </w:pPr>
      <w:r>
        <w:rPr>
          <w:rStyle w:val="FootnoteReference"/>
        </w:rPr>
        <w:footnoteRef/>
      </w:r>
      <w:r>
        <w:t xml:space="preserve"> Ibid. </w:t>
      </w:r>
      <w:r>
        <w:rPr>
          <w:i/>
          <w:iCs/>
        </w:rPr>
        <w:t>p. 170.</w:t>
      </w:r>
    </w:p>
  </w:footnote>
  <w:footnote w:id="5">
    <w:p w14:paraId="1F7DC84F" w14:textId="5EA7DE40" w:rsidR="007C268D" w:rsidRDefault="007C268D">
      <w:pPr>
        <w:pStyle w:val="FootnoteText"/>
      </w:pPr>
      <w:r>
        <w:rPr>
          <w:rStyle w:val="FootnoteReference"/>
        </w:rPr>
        <w:footnoteRef/>
      </w:r>
      <w:r>
        <w:t xml:space="preserve"> </w:t>
      </w:r>
      <w:bookmarkStart w:id="8" w:name="_Hlk84727900"/>
      <w:r w:rsidRPr="007C268D">
        <w:t xml:space="preserve"> </w:t>
      </w:r>
      <w:r w:rsidR="00E7532C" w:rsidRPr="00E7532C">
        <w:t xml:space="preserve">Prabhat, 2007. </w:t>
      </w:r>
      <w:r w:rsidRPr="00E7532C">
        <w:rPr>
          <w:i/>
          <w:iCs/>
        </w:rPr>
        <w:t>The Consolation of Philosophy</w:t>
      </w:r>
      <w:r w:rsidRPr="007C268D">
        <w:t>.</w:t>
      </w:r>
      <w:r w:rsidRPr="007C268D">
        <w:rPr>
          <w:i/>
          <w:iCs/>
        </w:rPr>
        <w:t xml:space="preserve">  </w:t>
      </w:r>
      <w:bookmarkEnd w:id="8"/>
      <w:r w:rsidRPr="007C268D">
        <w:rPr>
          <w:i/>
          <w:iCs/>
        </w:rPr>
        <w:t>p. 141</w:t>
      </w:r>
    </w:p>
  </w:footnote>
  <w:footnote w:id="6">
    <w:p w14:paraId="05A92973" w14:textId="716ED537" w:rsidR="004361F3" w:rsidRPr="00CF48D9" w:rsidRDefault="004361F3">
      <w:pPr>
        <w:pStyle w:val="FootnoteText"/>
        <w:rPr>
          <w:i/>
          <w:iCs/>
        </w:rPr>
      </w:pPr>
      <w:r>
        <w:rPr>
          <w:rStyle w:val="FootnoteReference"/>
        </w:rPr>
        <w:footnoteRef/>
      </w:r>
      <w:r>
        <w:t xml:space="preserve"> </w:t>
      </w:r>
      <w:bookmarkStart w:id="10" w:name="_Hlk84706369"/>
      <w:bookmarkStart w:id="11" w:name="_Hlk84725144"/>
      <w:r w:rsidR="00E7532C" w:rsidRPr="00E7532C">
        <w:t xml:space="preserve">Prabhat, 2007. </w:t>
      </w:r>
      <w:r w:rsidR="00971635" w:rsidRPr="00E7532C">
        <w:rPr>
          <w:i/>
          <w:iCs/>
        </w:rPr>
        <w:t>The Consolation of Philosophy</w:t>
      </w:r>
      <w:bookmarkEnd w:id="10"/>
      <w:r w:rsidR="00971635" w:rsidRPr="00E7532C">
        <w:rPr>
          <w:i/>
          <w:iCs/>
        </w:rPr>
        <w:t xml:space="preserve">. </w:t>
      </w:r>
      <w:r w:rsidR="00CF48D9" w:rsidRPr="00E7532C">
        <w:rPr>
          <w:i/>
          <w:iCs/>
        </w:rPr>
        <w:t xml:space="preserve"> </w:t>
      </w:r>
      <w:r w:rsidR="00CF48D9">
        <w:rPr>
          <w:i/>
          <w:iCs/>
        </w:rPr>
        <w:t>p.</w:t>
      </w:r>
      <w:r w:rsidR="00AD2B83">
        <w:rPr>
          <w:i/>
          <w:iCs/>
        </w:rPr>
        <w:t xml:space="preserve"> </w:t>
      </w:r>
      <w:bookmarkEnd w:id="11"/>
      <w:r w:rsidR="00CF48D9">
        <w:rPr>
          <w:i/>
          <w:iCs/>
        </w:rPr>
        <w:t>192</w:t>
      </w:r>
    </w:p>
  </w:footnote>
  <w:footnote w:id="7">
    <w:p w14:paraId="5FC9A8B9" w14:textId="5EDA7B72" w:rsidR="00971635" w:rsidRPr="00B25193" w:rsidRDefault="00971635">
      <w:pPr>
        <w:pStyle w:val="FootnoteText"/>
        <w:rPr>
          <w:i/>
          <w:iCs/>
        </w:rPr>
      </w:pPr>
      <w:r>
        <w:rPr>
          <w:rStyle w:val="FootnoteReference"/>
        </w:rPr>
        <w:footnoteRef/>
      </w:r>
      <w:r>
        <w:t>Ibid.</w:t>
      </w:r>
      <w:r w:rsidR="00B25193">
        <w:t xml:space="preserve"> </w:t>
      </w:r>
      <w:r w:rsidR="00B25193">
        <w:rPr>
          <w:i/>
          <w:iCs/>
        </w:rPr>
        <w:t xml:space="preserve">p. </w:t>
      </w:r>
      <w:r w:rsidR="006B5D3B">
        <w:rPr>
          <w:i/>
          <w:iCs/>
        </w:rPr>
        <w:t>172</w:t>
      </w:r>
    </w:p>
  </w:footnote>
  <w:footnote w:id="8">
    <w:p w14:paraId="4D6194EB" w14:textId="31133681" w:rsidR="00971635" w:rsidRPr="00B25193" w:rsidRDefault="00971635">
      <w:pPr>
        <w:pStyle w:val="FootnoteText"/>
        <w:rPr>
          <w:i/>
          <w:iCs/>
        </w:rPr>
      </w:pPr>
      <w:r>
        <w:rPr>
          <w:rStyle w:val="FootnoteReference"/>
        </w:rPr>
        <w:footnoteRef/>
      </w:r>
      <w:r w:rsidR="00E7532C" w:rsidRPr="00E7532C">
        <w:t xml:space="preserve">Prabhat, 2007. </w:t>
      </w:r>
      <w:r>
        <w:t xml:space="preserve"> </w:t>
      </w:r>
      <w:r w:rsidR="00B25193" w:rsidRPr="00B25193">
        <w:rPr>
          <w:i/>
          <w:iCs/>
        </w:rPr>
        <w:t>The Consolation of Philosophy</w:t>
      </w:r>
      <w:r w:rsidR="0023487A">
        <w:rPr>
          <w:i/>
          <w:iCs/>
        </w:rPr>
        <w:t xml:space="preserve"> p. 172-173</w:t>
      </w:r>
    </w:p>
  </w:footnote>
  <w:footnote w:id="9">
    <w:p w14:paraId="0B6C510B" w14:textId="3AFDFB0E" w:rsidR="00511656" w:rsidRPr="00511656" w:rsidRDefault="00511656">
      <w:pPr>
        <w:pStyle w:val="FootnoteText"/>
        <w:rPr>
          <w:i/>
          <w:iCs/>
        </w:rPr>
      </w:pPr>
      <w:r>
        <w:rPr>
          <w:rStyle w:val="FootnoteReference"/>
        </w:rPr>
        <w:footnoteRef/>
      </w:r>
      <w:r>
        <w:t xml:space="preserve"> Ibid </w:t>
      </w:r>
      <w:r>
        <w:rPr>
          <w:i/>
          <w:iCs/>
        </w:rPr>
        <w:t>p. 175</w:t>
      </w:r>
    </w:p>
  </w:footnote>
  <w:footnote w:id="10">
    <w:p w14:paraId="46CC8621" w14:textId="438905A8" w:rsidR="00971635" w:rsidRPr="00B25193" w:rsidRDefault="00971635">
      <w:pPr>
        <w:pStyle w:val="FootnoteText"/>
        <w:rPr>
          <w:i/>
          <w:iCs/>
        </w:rPr>
      </w:pPr>
      <w:r>
        <w:rPr>
          <w:rStyle w:val="FootnoteReference"/>
        </w:rPr>
        <w:footnoteRef/>
      </w:r>
      <w:bookmarkStart w:id="12" w:name="_Hlk84718642"/>
      <w:r w:rsidRPr="00971635">
        <w:t>.</w:t>
      </w:r>
      <w:r w:rsidR="00E7532C" w:rsidRPr="00E7532C">
        <w:t xml:space="preserve"> Prabhat, 2007. </w:t>
      </w:r>
      <w:r w:rsidRPr="00971635">
        <w:t xml:space="preserve"> </w:t>
      </w:r>
      <w:r w:rsidRPr="00971635">
        <w:rPr>
          <w:i/>
          <w:iCs/>
        </w:rPr>
        <w:t>The Consolation of Philosophy</w:t>
      </w:r>
      <w:bookmarkEnd w:id="12"/>
      <w:r w:rsidRPr="00971635">
        <w:rPr>
          <w:i/>
          <w:iCs/>
        </w:rPr>
        <w:t>.</w:t>
      </w:r>
      <w:r w:rsidR="00B25193">
        <w:t xml:space="preserve"> </w:t>
      </w:r>
      <w:r w:rsidR="0023487A" w:rsidRPr="0023487A">
        <w:rPr>
          <w:i/>
          <w:iCs/>
        </w:rPr>
        <w:t>p. 195</w:t>
      </w:r>
    </w:p>
  </w:footnote>
  <w:footnote w:id="11">
    <w:p w14:paraId="640D90F1" w14:textId="0599EACD" w:rsidR="00971635" w:rsidRPr="00511656" w:rsidRDefault="00971635">
      <w:pPr>
        <w:pStyle w:val="FootnoteText"/>
        <w:rPr>
          <w:i/>
          <w:iCs/>
        </w:rPr>
      </w:pPr>
      <w:r>
        <w:rPr>
          <w:rStyle w:val="FootnoteReference"/>
        </w:rPr>
        <w:footnoteRef/>
      </w:r>
      <w:r w:rsidR="00E7532C" w:rsidRPr="00E7532C">
        <w:t xml:space="preserve">Prabhat, 2007. </w:t>
      </w:r>
      <w:r>
        <w:t xml:space="preserve"> </w:t>
      </w:r>
      <w:r w:rsidR="006B5D3B" w:rsidRPr="00E7532C">
        <w:rPr>
          <w:i/>
          <w:iCs/>
        </w:rPr>
        <w:t>The Consolation of Philosophy.</w:t>
      </w:r>
      <w:r w:rsidR="006B5D3B" w:rsidRPr="006B5D3B">
        <w:t xml:space="preserve">  </w:t>
      </w:r>
      <w:r w:rsidR="00511656" w:rsidRPr="00511656">
        <w:rPr>
          <w:i/>
          <w:iCs/>
        </w:rPr>
        <w:t>p.</w:t>
      </w:r>
      <w:r w:rsidR="00511656">
        <w:rPr>
          <w:i/>
          <w:iCs/>
        </w:rPr>
        <w:t xml:space="preserve"> </w:t>
      </w:r>
      <w:r w:rsidR="00511656" w:rsidRPr="00511656">
        <w:rPr>
          <w:i/>
          <w:iCs/>
        </w:rPr>
        <w:t>194</w:t>
      </w:r>
    </w:p>
  </w:footnote>
  <w:footnote w:id="12">
    <w:p w14:paraId="3488D230" w14:textId="0A7C2C0D" w:rsidR="00971635" w:rsidRDefault="00971635">
      <w:pPr>
        <w:pStyle w:val="FootnoteText"/>
      </w:pPr>
      <w:r>
        <w:rPr>
          <w:rStyle w:val="FootnoteReference"/>
        </w:rPr>
        <w:footnoteRef/>
      </w:r>
      <w:r>
        <w:t xml:space="preserve"> </w:t>
      </w:r>
      <w:r w:rsidR="00E7532C" w:rsidRPr="00E7532C">
        <w:t xml:space="preserve">Prabhat, 2007. </w:t>
      </w:r>
      <w:r w:rsidR="006B5D3B" w:rsidRPr="00E7532C">
        <w:rPr>
          <w:i/>
          <w:iCs/>
        </w:rPr>
        <w:t>The Consolation of Philosophy.</w:t>
      </w:r>
      <w:r w:rsidR="006B5D3B" w:rsidRPr="006B5D3B">
        <w:t xml:space="preserve">  </w:t>
      </w:r>
      <w:r w:rsidR="00F71F86" w:rsidRPr="00F71F86">
        <w:rPr>
          <w:i/>
          <w:iCs/>
        </w:rPr>
        <w:t>p. 166</w:t>
      </w:r>
    </w:p>
  </w:footnote>
  <w:footnote w:id="13">
    <w:p w14:paraId="5D892705" w14:textId="5FCCEAC4" w:rsidR="006B5D3B" w:rsidRPr="006B5D3B" w:rsidRDefault="006B5D3B">
      <w:pPr>
        <w:pStyle w:val="FootnoteText"/>
        <w:rPr>
          <w:i/>
          <w:iCs/>
        </w:rPr>
      </w:pPr>
      <w:r>
        <w:rPr>
          <w:rStyle w:val="FootnoteReference"/>
        </w:rPr>
        <w:footnoteRef/>
      </w:r>
      <w:r>
        <w:t xml:space="preserve"> Ibid. </w:t>
      </w:r>
      <w:r>
        <w:rPr>
          <w:i/>
          <w:iCs/>
        </w:rPr>
        <w:t>p. 193</w:t>
      </w:r>
    </w:p>
  </w:footnote>
  <w:footnote w:id="14">
    <w:p w14:paraId="77A87C82" w14:textId="5737E55E" w:rsidR="006B5D3B" w:rsidRDefault="006B5D3B">
      <w:pPr>
        <w:pStyle w:val="FootnoteText"/>
      </w:pPr>
      <w:r>
        <w:rPr>
          <w:rStyle w:val="FootnoteReference"/>
        </w:rPr>
        <w:footnoteRef/>
      </w:r>
      <w:r>
        <w:t xml:space="preserve"> Ibid. </w:t>
      </w:r>
      <w:r w:rsidRPr="0094599B">
        <w:rPr>
          <w:i/>
          <w:iCs/>
        </w:rPr>
        <w:t>p. 190</w:t>
      </w:r>
    </w:p>
  </w:footnote>
  <w:footnote w:id="15">
    <w:p w14:paraId="02D5A4C6" w14:textId="7D473CB2" w:rsidR="00826A03" w:rsidRDefault="00826A03">
      <w:pPr>
        <w:pStyle w:val="FootnoteText"/>
      </w:pPr>
      <w:r>
        <w:rPr>
          <w:rStyle w:val="FootnoteReference"/>
        </w:rPr>
        <w:footnoteRef/>
      </w:r>
      <w:r>
        <w:t xml:space="preserve"> Ibid. </w:t>
      </w:r>
      <w:r w:rsidRPr="00826A03">
        <w:rPr>
          <w:i/>
          <w:iCs/>
        </w:rPr>
        <w:t>p.174</w:t>
      </w:r>
    </w:p>
  </w:footnote>
  <w:footnote w:id="16">
    <w:p w14:paraId="204D0F46" w14:textId="083029D8" w:rsidR="0094599B" w:rsidRDefault="0094599B">
      <w:pPr>
        <w:pStyle w:val="FootnoteText"/>
      </w:pPr>
      <w:r>
        <w:rPr>
          <w:rStyle w:val="FootnoteReference"/>
        </w:rPr>
        <w:footnoteRef/>
      </w:r>
      <w:r>
        <w:t xml:space="preserve"> Ibid. </w:t>
      </w:r>
      <w:r w:rsidRPr="0094599B">
        <w:rPr>
          <w:i/>
          <w:iCs/>
        </w:rPr>
        <w:t>p. 177</w:t>
      </w:r>
    </w:p>
  </w:footnote>
  <w:footnote w:id="17">
    <w:p w14:paraId="0A1A3EA2" w14:textId="091A14EE" w:rsidR="008E53C2" w:rsidRDefault="008E53C2">
      <w:pPr>
        <w:pStyle w:val="FootnoteText"/>
      </w:pPr>
      <w:r>
        <w:rPr>
          <w:rStyle w:val="FootnoteReference"/>
        </w:rPr>
        <w:footnoteRef/>
      </w:r>
      <w:r>
        <w:t xml:space="preserve"> Ibid. p. 105</w:t>
      </w:r>
    </w:p>
  </w:footnote>
  <w:footnote w:id="18">
    <w:p w14:paraId="4E136EB7" w14:textId="546B5497" w:rsidR="00CA1688" w:rsidRDefault="00CA1688">
      <w:pPr>
        <w:pStyle w:val="FootnoteText"/>
      </w:pPr>
      <w:r>
        <w:rPr>
          <w:rStyle w:val="FootnoteReference"/>
        </w:rPr>
        <w:footnoteRef/>
      </w:r>
      <w:r>
        <w:t xml:space="preserve"> Ibid. </w:t>
      </w:r>
      <w:r w:rsidRPr="00CA1688">
        <w:rPr>
          <w:i/>
          <w:iCs/>
        </w:rPr>
        <w:t>p. 165</w:t>
      </w:r>
    </w:p>
  </w:footnote>
  <w:footnote w:id="19">
    <w:p w14:paraId="40D52C67" w14:textId="57F99DCD" w:rsidR="005F466B" w:rsidRPr="005F466B" w:rsidRDefault="005F466B">
      <w:pPr>
        <w:pStyle w:val="FootnoteText"/>
        <w:rPr>
          <w:i/>
          <w:iCs/>
        </w:rPr>
      </w:pPr>
      <w:r>
        <w:rPr>
          <w:rStyle w:val="FootnoteReference"/>
        </w:rPr>
        <w:footnoteRef/>
      </w:r>
      <w:r>
        <w:t xml:space="preserve"> Ibid. </w:t>
      </w:r>
      <w:r>
        <w:rPr>
          <w:i/>
          <w:iCs/>
        </w:rPr>
        <w:t>p.192</w:t>
      </w:r>
    </w:p>
  </w:footnote>
  <w:footnote w:id="20">
    <w:p w14:paraId="4A6997F9" w14:textId="0A64900A" w:rsidR="005F466B" w:rsidRPr="005F466B" w:rsidRDefault="005F466B">
      <w:pPr>
        <w:pStyle w:val="FootnoteText"/>
        <w:rPr>
          <w:i/>
          <w:iCs/>
        </w:rPr>
      </w:pPr>
      <w:r>
        <w:rPr>
          <w:rStyle w:val="FootnoteReference"/>
        </w:rPr>
        <w:footnoteRef/>
      </w:r>
      <w:r>
        <w:t xml:space="preserve"> Ibid. </w:t>
      </w:r>
      <w:r>
        <w:rPr>
          <w:i/>
          <w:iCs/>
        </w:rPr>
        <w:t>p.197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302C7"/>
    <w:multiLevelType w:val="hybridMultilevel"/>
    <w:tmpl w:val="E8A47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7A21A1"/>
    <w:multiLevelType w:val="hybridMultilevel"/>
    <w:tmpl w:val="A7F4E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D64B43"/>
    <w:multiLevelType w:val="hybridMultilevel"/>
    <w:tmpl w:val="FEACA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4606DB"/>
    <w:multiLevelType w:val="hybridMultilevel"/>
    <w:tmpl w:val="D4EE48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052"/>
    <w:rsid w:val="000069FF"/>
    <w:rsid w:val="000077F4"/>
    <w:rsid w:val="00045D18"/>
    <w:rsid w:val="000666E6"/>
    <w:rsid w:val="000763B3"/>
    <w:rsid w:val="00096E15"/>
    <w:rsid w:val="000C2D57"/>
    <w:rsid w:val="000D62CF"/>
    <w:rsid w:val="000E2FAA"/>
    <w:rsid w:val="000E6C6A"/>
    <w:rsid w:val="0015080D"/>
    <w:rsid w:val="001520E8"/>
    <w:rsid w:val="001B41BB"/>
    <w:rsid w:val="001C72F4"/>
    <w:rsid w:val="002141C8"/>
    <w:rsid w:val="00225CFC"/>
    <w:rsid w:val="0023487A"/>
    <w:rsid w:val="00290CB6"/>
    <w:rsid w:val="002A64F8"/>
    <w:rsid w:val="002E5CA2"/>
    <w:rsid w:val="002F4468"/>
    <w:rsid w:val="00307109"/>
    <w:rsid w:val="00347FAF"/>
    <w:rsid w:val="003713AF"/>
    <w:rsid w:val="00371EA4"/>
    <w:rsid w:val="003A4849"/>
    <w:rsid w:val="00404455"/>
    <w:rsid w:val="004215E2"/>
    <w:rsid w:val="00430CE1"/>
    <w:rsid w:val="004361F3"/>
    <w:rsid w:val="00440274"/>
    <w:rsid w:val="00511656"/>
    <w:rsid w:val="00545D04"/>
    <w:rsid w:val="005666AC"/>
    <w:rsid w:val="00594C0E"/>
    <w:rsid w:val="005F466B"/>
    <w:rsid w:val="00606FDB"/>
    <w:rsid w:val="00634AC1"/>
    <w:rsid w:val="006B42EB"/>
    <w:rsid w:val="006B5D3B"/>
    <w:rsid w:val="006C135C"/>
    <w:rsid w:val="00793F25"/>
    <w:rsid w:val="007C128B"/>
    <w:rsid w:val="007C268D"/>
    <w:rsid w:val="007C77B4"/>
    <w:rsid w:val="007F50B6"/>
    <w:rsid w:val="0080315B"/>
    <w:rsid w:val="00820052"/>
    <w:rsid w:val="00826A03"/>
    <w:rsid w:val="008374AB"/>
    <w:rsid w:val="00837D05"/>
    <w:rsid w:val="00855F07"/>
    <w:rsid w:val="008C1402"/>
    <w:rsid w:val="008C4CA4"/>
    <w:rsid w:val="008E1006"/>
    <w:rsid w:val="008E53C2"/>
    <w:rsid w:val="008F2628"/>
    <w:rsid w:val="0092642A"/>
    <w:rsid w:val="00927DAD"/>
    <w:rsid w:val="0094599B"/>
    <w:rsid w:val="00971635"/>
    <w:rsid w:val="00987FA0"/>
    <w:rsid w:val="0099661D"/>
    <w:rsid w:val="009C0208"/>
    <w:rsid w:val="009C46B6"/>
    <w:rsid w:val="009E4B16"/>
    <w:rsid w:val="009E551E"/>
    <w:rsid w:val="00A00A39"/>
    <w:rsid w:val="00A10011"/>
    <w:rsid w:val="00A10C86"/>
    <w:rsid w:val="00A52338"/>
    <w:rsid w:val="00A65DF1"/>
    <w:rsid w:val="00A67EA4"/>
    <w:rsid w:val="00A7777E"/>
    <w:rsid w:val="00AB3D50"/>
    <w:rsid w:val="00AC0476"/>
    <w:rsid w:val="00AD2B83"/>
    <w:rsid w:val="00AD735B"/>
    <w:rsid w:val="00AF6A2B"/>
    <w:rsid w:val="00B25193"/>
    <w:rsid w:val="00B3737A"/>
    <w:rsid w:val="00B53972"/>
    <w:rsid w:val="00B97063"/>
    <w:rsid w:val="00BC1A16"/>
    <w:rsid w:val="00BC2437"/>
    <w:rsid w:val="00C047FB"/>
    <w:rsid w:val="00C16E5F"/>
    <w:rsid w:val="00C2285D"/>
    <w:rsid w:val="00C5203F"/>
    <w:rsid w:val="00C57D19"/>
    <w:rsid w:val="00C82EEA"/>
    <w:rsid w:val="00C945A4"/>
    <w:rsid w:val="00CA1688"/>
    <w:rsid w:val="00CC6086"/>
    <w:rsid w:val="00CF48D9"/>
    <w:rsid w:val="00D317ED"/>
    <w:rsid w:val="00D44562"/>
    <w:rsid w:val="00D55FF7"/>
    <w:rsid w:val="00D61179"/>
    <w:rsid w:val="00D64392"/>
    <w:rsid w:val="00D71F52"/>
    <w:rsid w:val="00DA3AD0"/>
    <w:rsid w:val="00DD1FA6"/>
    <w:rsid w:val="00DD6843"/>
    <w:rsid w:val="00DE1881"/>
    <w:rsid w:val="00DF1F23"/>
    <w:rsid w:val="00E4516C"/>
    <w:rsid w:val="00E519AA"/>
    <w:rsid w:val="00E73918"/>
    <w:rsid w:val="00E7532C"/>
    <w:rsid w:val="00E82F46"/>
    <w:rsid w:val="00EA797B"/>
    <w:rsid w:val="00EC0953"/>
    <w:rsid w:val="00F410D2"/>
    <w:rsid w:val="00F45A06"/>
    <w:rsid w:val="00F4719B"/>
    <w:rsid w:val="00F71F86"/>
    <w:rsid w:val="00F757DD"/>
    <w:rsid w:val="00FC281B"/>
    <w:rsid w:val="00FF6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01EFE"/>
  <w15:chartTrackingRefBased/>
  <w15:docId w15:val="{27B7B176-CF4D-4C71-BB63-F648DA38A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7DAD"/>
    <w:pPr>
      <w:ind w:left="720"/>
      <w:contextualSpacing/>
    </w:pPr>
  </w:style>
  <w:style w:type="character" w:styleId="Hyperlink">
    <w:name w:val="Hyperlink"/>
    <w:basedOn w:val="DefaultParagraphFont"/>
    <w:uiPriority w:val="99"/>
    <w:unhideWhenUsed/>
    <w:rsid w:val="00A65DF1"/>
    <w:rPr>
      <w:color w:val="0000FF"/>
      <w:u w:val="single"/>
    </w:rPr>
  </w:style>
  <w:style w:type="character" w:styleId="UnresolvedMention">
    <w:name w:val="Unresolved Mention"/>
    <w:basedOn w:val="DefaultParagraphFont"/>
    <w:uiPriority w:val="99"/>
    <w:semiHidden/>
    <w:unhideWhenUsed/>
    <w:rsid w:val="00D44562"/>
    <w:rPr>
      <w:color w:val="605E5C"/>
      <w:shd w:val="clear" w:color="auto" w:fill="E1DFDD"/>
    </w:rPr>
  </w:style>
  <w:style w:type="character" w:styleId="Emphasis">
    <w:name w:val="Emphasis"/>
    <w:basedOn w:val="DefaultParagraphFont"/>
    <w:uiPriority w:val="20"/>
    <w:qFormat/>
    <w:rsid w:val="007F50B6"/>
    <w:rPr>
      <w:i/>
      <w:iCs/>
    </w:rPr>
  </w:style>
  <w:style w:type="paragraph" w:styleId="FootnoteText">
    <w:name w:val="footnote text"/>
    <w:basedOn w:val="Normal"/>
    <w:link w:val="FootnoteTextChar"/>
    <w:uiPriority w:val="99"/>
    <w:semiHidden/>
    <w:unhideWhenUsed/>
    <w:rsid w:val="002A64F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A64F8"/>
    <w:rPr>
      <w:sz w:val="20"/>
      <w:szCs w:val="20"/>
    </w:rPr>
  </w:style>
  <w:style w:type="character" w:styleId="FootnoteReference">
    <w:name w:val="footnote reference"/>
    <w:basedOn w:val="DefaultParagraphFont"/>
    <w:uiPriority w:val="99"/>
    <w:semiHidden/>
    <w:unhideWhenUsed/>
    <w:rsid w:val="002A64F8"/>
    <w:rPr>
      <w:vertAlign w:val="superscript"/>
    </w:rPr>
  </w:style>
  <w:style w:type="paragraph" w:styleId="EndnoteText">
    <w:name w:val="endnote text"/>
    <w:basedOn w:val="Normal"/>
    <w:link w:val="EndnoteTextChar"/>
    <w:uiPriority w:val="99"/>
    <w:semiHidden/>
    <w:unhideWhenUsed/>
    <w:rsid w:val="004361F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361F3"/>
    <w:rPr>
      <w:sz w:val="20"/>
      <w:szCs w:val="20"/>
    </w:rPr>
  </w:style>
  <w:style w:type="character" w:styleId="EndnoteReference">
    <w:name w:val="endnote reference"/>
    <w:basedOn w:val="DefaultParagraphFont"/>
    <w:uiPriority w:val="99"/>
    <w:semiHidden/>
    <w:unhideWhenUsed/>
    <w:rsid w:val="004361F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652260">
      <w:bodyDiv w:val="1"/>
      <w:marLeft w:val="0"/>
      <w:marRight w:val="0"/>
      <w:marTop w:val="0"/>
      <w:marBottom w:val="0"/>
      <w:divBdr>
        <w:top w:val="none" w:sz="0" w:space="0" w:color="auto"/>
        <w:left w:val="none" w:sz="0" w:space="0" w:color="auto"/>
        <w:bottom w:val="none" w:sz="0" w:space="0" w:color="auto"/>
        <w:right w:val="none" w:sz="0" w:space="0" w:color="auto"/>
      </w:divBdr>
    </w:div>
    <w:div w:id="1389114023">
      <w:bodyDiv w:val="1"/>
      <w:marLeft w:val="0"/>
      <w:marRight w:val="0"/>
      <w:marTop w:val="0"/>
      <w:marBottom w:val="0"/>
      <w:divBdr>
        <w:top w:val="none" w:sz="0" w:space="0" w:color="auto"/>
        <w:left w:val="none" w:sz="0" w:space="0" w:color="auto"/>
        <w:bottom w:val="none" w:sz="0" w:space="0" w:color="auto"/>
        <w:right w:val="none" w:sz="0" w:space="0" w:color="auto"/>
      </w:divBdr>
    </w:div>
    <w:div w:id="1937514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free-will" TargetMode="External"/><Relationship Id="rId13" Type="http://schemas.openxmlformats.org/officeDocument/2006/relationships/hyperlink" Target="https://plato.stanford.edu/entries/free-will-foreknowledg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yattgraham.com/evil-does-not-exis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hilosophyfinds.wordpress.com/2017/06/05/the-everlasting-god/"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philosophynow.org/issues/26/CS_Lewis_God_and_the_Problem_of_Evil" TargetMode="External"/><Relationship Id="rId4" Type="http://schemas.openxmlformats.org/officeDocument/2006/relationships/settings" Target="settings.xml"/><Relationship Id="rId9" Type="http://schemas.openxmlformats.org/officeDocument/2006/relationships/hyperlink" Target="https://daveduncombe.wordpress.com/2014/09/17/boethius-on-divine-foreknowledge-and-human-freed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CCC388-87B2-4642-A7FE-BC624A77B4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6413</TotalTime>
  <Pages>5</Pages>
  <Words>2697</Words>
  <Characters>15375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Griffiths (2000821)</dc:creator>
  <cp:keywords/>
  <dc:description/>
  <cp:lastModifiedBy>Megan Griffiths (2000821)</cp:lastModifiedBy>
  <cp:revision>11</cp:revision>
  <dcterms:created xsi:type="dcterms:W3CDTF">2021-10-03T18:36:00Z</dcterms:created>
  <dcterms:modified xsi:type="dcterms:W3CDTF">2021-10-10T18:47:00Z</dcterms:modified>
</cp:coreProperties>
</file>