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5D180C" w14:textId="3BAAFF1F" w:rsidR="00967DCF" w:rsidRDefault="00D01D97" w:rsidP="00967DCF">
      <w:pPr>
        <w:jc w:val="center"/>
        <w:rPr>
          <w:rFonts w:eastAsia="Times New Roman"/>
          <w:b/>
          <w:bCs/>
        </w:rPr>
      </w:pPr>
      <w:r>
        <w:rPr>
          <w:noProof/>
        </w:rPr>
        <w:drawing>
          <wp:anchor distT="0" distB="0" distL="114300" distR="114300" simplePos="0" relativeHeight="251659264" behindDoc="0" locked="0" layoutInCell="1" allowOverlap="1" wp14:anchorId="0D23343C" wp14:editId="4FF8464D">
            <wp:simplePos x="0" y="0"/>
            <wp:positionH relativeFrom="column">
              <wp:posOffset>1440180</wp:posOffset>
            </wp:positionH>
            <wp:positionV relativeFrom="paragraph">
              <wp:posOffset>114300</wp:posOffset>
            </wp:positionV>
            <wp:extent cx="2903220" cy="1043940"/>
            <wp:effectExtent l="152400" t="76200" r="297180" b="251460"/>
            <wp:wrapSquare wrapText="bothSides"/>
            <wp:docPr id="1281344755"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281344755" name="Picture 1281344755"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2903220" cy="104394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p>
    <w:p w14:paraId="7C705E7F" w14:textId="77777777" w:rsidR="00967DCF" w:rsidRDefault="00967DCF" w:rsidP="00967DCF">
      <w:pPr>
        <w:jc w:val="center"/>
        <w:rPr>
          <w:rFonts w:eastAsia="Times New Roman"/>
          <w:b/>
          <w:bCs/>
        </w:rPr>
      </w:pPr>
    </w:p>
    <w:p w14:paraId="7DE61BAE" w14:textId="36D59B13" w:rsidR="00967DCF" w:rsidRDefault="00967DCF" w:rsidP="00967DCF">
      <w:pPr>
        <w:jc w:val="center"/>
        <w:rPr>
          <w:rFonts w:eastAsia="Times New Roman"/>
          <w:b/>
          <w:bCs/>
        </w:rPr>
      </w:pPr>
    </w:p>
    <w:p w14:paraId="7FC0D1A0" w14:textId="77777777" w:rsidR="00967DCF" w:rsidRDefault="00967DCF" w:rsidP="00967DCF">
      <w:pPr>
        <w:jc w:val="center"/>
        <w:rPr>
          <w:rFonts w:eastAsia="Times New Roman"/>
          <w:b/>
          <w:bCs/>
        </w:rPr>
      </w:pPr>
    </w:p>
    <w:p w14:paraId="2336EB3A" w14:textId="5BA6BEF8" w:rsidR="00967DCF" w:rsidRDefault="00967DCF" w:rsidP="00967DCF">
      <w:pPr>
        <w:jc w:val="center"/>
        <w:rPr>
          <w:rFonts w:eastAsia="Times New Roman"/>
          <w:b/>
          <w:bCs/>
        </w:rPr>
      </w:pPr>
    </w:p>
    <w:p w14:paraId="0CEACC8A" w14:textId="00716CFD" w:rsidR="00967DCF" w:rsidRDefault="00967DCF" w:rsidP="00967DCF">
      <w:pPr>
        <w:jc w:val="center"/>
        <w:rPr>
          <w:rFonts w:eastAsia="Times New Roman"/>
          <w:b/>
          <w:bCs/>
        </w:rPr>
      </w:pPr>
    </w:p>
    <w:p w14:paraId="26B59404" w14:textId="2F6D4B54" w:rsidR="00967DCF" w:rsidRDefault="00967DCF" w:rsidP="00967DCF">
      <w:pPr>
        <w:spacing w:line="480" w:lineRule="auto"/>
        <w:jc w:val="center"/>
        <w:rPr>
          <w:b/>
          <w:bCs/>
          <w:lang w:val="en-GB"/>
        </w:rPr>
      </w:pPr>
    </w:p>
    <w:p w14:paraId="27A13DE8" w14:textId="77777777" w:rsidR="00FF1696" w:rsidRDefault="00967DCF" w:rsidP="00967DCF">
      <w:pPr>
        <w:spacing w:line="480" w:lineRule="auto"/>
        <w:jc w:val="center"/>
        <w:rPr>
          <w:b/>
          <w:bCs/>
          <w:sz w:val="32"/>
          <w:szCs w:val="32"/>
          <w:lang w:val="en-GB"/>
        </w:rPr>
      </w:pPr>
      <w:r>
        <w:rPr>
          <w:b/>
          <w:bCs/>
          <w:sz w:val="32"/>
          <w:szCs w:val="32"/>
          <w:lang w:val="en-GB"/>
        </w:rPr>
        <w:t>Student</w:t>
      </w:r>
      <w:r w:rsidR="00FF1696">
        <w:rPr>
          <w:b/>
          <w:bCs/>
          <w:sz w:val="32"/>
          <w:szCs w:val="32"/>
          <w:lang w:val="en-GB"/>
        </w:rPr>
        <w:t xml:space="preserve"> </w:t>
      </w:r>
      <w:r>
        <w:rPr>
          <w:b/>
          <w:bCs/>
          <w:sz w:val="32"/>
          <w:szCs w:val="32"/>
          <w:lang w:val="en-GB"/>
        </w:rPr>
        <w:t>Na</w:t>
      </w:r>
      <w:r w:rsidR="00FF1696">
        <w:rPr>
          <w:b/>
          <w:bCs/>
          <w:sz w:val="32"/>
          <w:szCs w:val="32"/>
          <w:lang w:val="en-GB"/>
        </w:rPr>
        <w:t>me</w:t>
      </w:r>
    </w:p>
    <w:p w14:paraId="1EFC14AD" w14:textId="7F7E3416" w:rsidR="00967DCF" w:rsidRDefault="00967DCF" w:rsidP="00967DCF">
      <w:pPr>
        <w:spacing w:line="480" w:lineRule="auto"/>
        <w:jc w:val="center"/>
        <w:rPr>
          <w:b/>
          <w:bCs/>
          <w:sz w:val="32"/>
          <w:szCs w:val="32"/>
          <w:lang w:val="en-GB"/>
        </w:rPr>
      </w:pPr>
      <w:r>
        <w:rPr>
          <w:sz w:val="32"/>
          <w:szCs w:val="32"/>
          <w:lang w:val="en-GB"/>
        </w:rPr>
        <w:t>Kouadio Affoue Denise</w:t>
      </w:r>
    </w:p>
    <w:p w14:paraId="47B205AB" w14:textId="788B098B" w:rsidR="00967DCF" w:rsidRDefault="00967DCF" w:rsidP="00967DCF">
      <w:pPr>
        <w:spacing w:line="480" w:lineRule="auto"/>
        <w:jc w:val="center"/>
        <w:rPr>
          <w:b/>
          <w:bCs/>
          <w:sz w:val="32"/>
          <w:szCs w:val="32"/>
          <w:lang w:val="en-GB"/>
        </w:rPr>
      </w:pPr>
      <w:r>
        <w:rPr>
          <w:b/>
          <w:bCs/>
          <w:sz w:val="32"/>
          <w:szCs w:val="32"/>
          <w:lang w:val="en-GB"/>
        </w:rPr>
        <w:t>Student ID:</w:t>
      </w:r>
      <w:r w:rsidR="005B74D5">
        <w:rPr>
          <w:b/>
          <w:bCs/>
          <w:sz w:val="32"/>
          <w:szCs w:val="32"/>
          <w:lang w:val="en-GB"/>
        </w:rPr>
        <w:t xml:space="preserve"> 2412968</w:t>
      </w:r>
    </w:p>
    <w:p w14:paraId="13903C47" w14:textId="4EA519C4" w:rsidR="00967DCF" w:rsidRDefault="00967DCF" w:rsidP="00967DCF">
      <w:pPr>
        <w:spacing w:line="480" w:lineRule="auto"/>
        <w:jc w:val="center"/>
        <w:rPr>
          <w:sz w:val="32"/>
          <w:szCs w:val="32"/>
          <w:lang w:val="en-GB"/>
        </w:rPr>
      </w:pPr>
    </w:p>
    <w:p w14:paraId="1F652A64" w14:textId="71CEA4B4" w:rsidR="00967DCF" w:rsidRDefault="00967DCF" w:rsidP="00967DCF">
      <w:pPr>
        <w:spacing w:line="480" w:lineRule="auto"/>
        <w:jc w:val="center"/>
        <w:rPr>
          <w:b/>
          <w:sz w:val="32"/>
          <w:szCs w:val="32"/>
          <w:lang w:val="en-GB"/>
        </w:rPr>
      </w:pPr>
      <w:proofErr w:type="gramStart"/>
      <w:r>
        <w:rPr>
          <w:b/>
          <w:sz w:val="32"/>
          <w:szCs w:val="32"/>
          <w:lang w:val="en-GB"/>
        </w:rPr>
        <w:t>Module</w:t>
      </w:r>
      <w:r w:rsidR="005C1D6C">
        <w:rPr>
          <w:b/>
          <w:sz w:val="32"/>
          <w:szCs w:val="32"/>
          <w:lang w:val="en-GB"/>
        </w:rPr>
        <w:t xml:space="preserve"> </w:t>
      </w:r>
      <w:r>
        <w:rPr>
          <w:b/>
          <w:sz w:val="32"/>
          <w:szCs w:val="32"/>
          <w:lang w:val="en-GB"/>
        </w:rPr>
        <w:t>:</w:t>
      </w:r>
      <w:proofErr w:type="gramEnd"/>
      <w:r>
        <w:rPr>
          <w:b/>
          <w:sz w:val="32"/>
          <w:szCs w:val="32"/>
          <w:lang w:val="en-GB"/>
        </w:rPr>
        <w:t xml:space="preserve"> </w:t>
      </w:r>
      <w:r>
        <w:rPr>
          <w:bCs/>
          <w:sz w:val="32"/>
          <w:szCs w:val="32"/>
          <w:lang w:val="en-GB"/>
        </w:rPr>
        <w:t>Digital Transformation in the Health and Care</w:t>
      </w:r>
      <w:r>
        <w:rPr>
          <w:b/>
          <w:sz w:val="32"/>
          <w:szCs w:val="32"/>
          <w:lang w:val="en-GB"/>
        </w:rPr>
        <w:t xml:space="preserve"> </w:t>
      </w:r>
      <w:r>
        <w:rPr>
          <w:bCs/>
          <w:sz w:val="32"/>
          <w:szCs w:val="32"/>
          <w:lang w:val="en-GB"/>
        </w:rPr>
        <w:t>Professions</w:t>
      </w:r>
    </w:p>
    <w:p w14:paraId="0717F375" w14:textId="77777777" w:rsidR="00967DCF" w:rsidRDefault="00967DCF" w:rsidP="00967DCF">
      <w:pPr>
        <w:spacing w:line="480" w:lineRule="auto"/>
        <w:jc w:val="center"/>
        <w:rPr>
          <w:b/>
          <w:sz w:val="32"/>
          <w:szCs w:val="32"/>
          <w:lang w:val="en-GB"/>
        </w:rPr>
      </w:pPr>
      <w:r>
        <w:rPr>
          <w:b/>
          <w:sz w:val="32"/>
          <w:szCs w:val="32"/>
          <w:lang w:val="en-GB"/>
        </w:rPr>
        <w:t xml:space="preserve">Module code: </w:t>
      </w:r>
      <w:r>
        <w:rPr>
          <w:bCs/>
          <w:sz w:val="32"/>
          <w:szCs w:val="32"/>
          <w:lang w:val="en-GB"/>
        </w:rPr>
        <w:t>BMHP6026</w:t>
      </w:r>
    </w:p>
    <w:p w14:paraId="3CE37AAA" w14:textId="77777777" w:rsidR="00967DCF" w:rsidRDefault="00967DCF" w:rsidP="00967DCF">
      <w:pPr>
        <w:spacing w:line="480" w:lineRule="auto"/>
        <w:jc w:val="center"/>
        <w:rPr>
          <w:b/>
          <w:sz w:val="32"/>
          <w:szCs w:val="32"/>
          <w:lang w:val="en-GB"/>
        </w:rPr>
      </w:pPr>
    </w:p>
    <w:p w14:paraId="7DE59735" w14:textId="77777777" w:rsidR="00967DCF" w:rsidRDefault="00967DCF" w:rsidP="00967DCF">
      <w:pPr>
        <w:spacing w:line="480" w:lineRule="auto"/>
        <w:jc w:val="center"/>
        <w:rPr>
          <w:b/>
          <w:sz w:val="32"/>
          <w:szCs w:val="32"/>
          <w:lang w:val="en-GB"/>
        </w:rPr>
      </w:pPr>
    </w:p>
    <w:p w14:paraId="6BE6C915" w14:textId="77777777" w:rsidR="00967DCF" w:rsidRDefault="00967DCF" w:rsidP="00967DCF">
      <w:pPr>
        <w:spacing w:line="480" w:lineRule="auto"/>
        <w:jc w:val="center"/>
        <w:rPr>
          <w:sz w:val="32"/>
          <w:szCs w:val="32"/>
          <w:lang w:val="en-GB"/>
        </w:rPr>
      </w:pPr>
      <w:r>
        <w:rPr>
          <w:b/>
          <w:sz w:val="32"/>
          <w:szCs w:val="32"/>
          <w:lang w:val="en-GB"/>
        </w:rPr>
        <w:t xml:space="preserve">Assignment Title: </w:t>
      </w:r>
      <w:r>
        <w:rPr>
          <w:sz w:val="32"/>
          <w:szCs w:val="32"/>
          <w:lang w:val="en-GB"/>
        </w:rPr>
        <w:t>Component 1: Written Report</w:t>
      </w:r>
    </w:p>
    <w:p w14:paraId="0FBD1C26" w14:textId="77777777" w:rsidR="00967DCF" w:rsidRDefault="00967DCF" w:rsidP="00967DCF">
      <w:pPr>
        <w:rPr>
          <w:sz w:val="32"/>
          <w:szCs w:val="32"/>
          <w:lang w:val="en-GB"/>
        </w:rPr>
      </w:pPr>
      <w:r>
        <w:rPr>
          <w:sz w:val="32"/>
          <w:szCs w:val="32"/>
          <w:lang w:val="en-GB"/>
        </w:rPr>
        <w:br w:type="page"/>
      </w:r>
    </w:p>
    <w:sdt>
      <w:sdtPr>
        <w:rPr>
          <w:rFonts w:ascii="Arial" w:eastAsia="Arial" w:hAnsi="Arial" w:cs="Arial"/>
          <w:color w:val="auto"/>
          <w:sz w:val="22"/>
          <w:szCs w:val="22"/>
          <w:lang w:val="en"/>
        </w:rPr>
        <w:id w:val="224199033"/>
        <w:docPartObj>
          <w:docPartGallery w:val="Table of Contents"/>
          <w:docPartUnique/>
        </w:docPartObj>
      </w:sdtPr>
      <w:sdtContent>
        <w:p w14:paraId="64ED9879" w14:textId="77777777" w:rsidR="00967DCF" w:rsidRDefault="00967DCF" w:rsidP="00967DCF">
          <w:pPr>
            <w:pStyle w:val="TOCHeading"/>
            <w:spacing w:line="360" w:lineRule="auto"/>
            <w:jc w:val="center"/>
            <w:rPr>
              <w:rFonts w:ascii="Arial" w:hAnsi="Arial" w:cs="Arial"/>
              <w:b/>
              <w:bCs/>
              <w:color w:val="000000" w:themeColor="text1"/>
              <w:sz w:val="28"/>
              <w:szCs w:val="28"/>
              <w:u w:val="single"/>
            </w:rPr>
          </w:pPr>
          <w:r>
            <w:rPr>
              <w:rFonts w:ascii="Arial" w:hAnsi="Arial" w:cs="Arial"/>
              <w:b/>
              <w:bCs/>
              <w:color w:val="000000" w:themeColor="text1"/>
              <w:sz w:val="28"/>
              <w:szCs w:val="28"/>
              <w:u w:val="single"/>
            </w:rPr>
            <w:t>Table of Contents</w:t>
          </w:r>
        </w:p>
        <w:p w14:paraId="09FF3C6B" w14:textId="77777777" w:rsidR="00967DCF" w:rsidRDefault="00967DCF" w:rsidP="00967DCF">
          <w:pPr>
            <w:pStyle w:val="TOC1"/>
            <w:tabs>
              <w:tab w:val="right" w:leader="dot" w:pos="9350"/>
            </w:tabs>
            <w:spacing w:line="360" w:lineRule="auto"/>
            <w:jc w:val="both"/>
            <w:rPr>
              <w:noProof/>
              <w:color w:val="000000" w:themeColor="text1"/>
              <w:sz w:val="24"/>
              <w:szCs w:val="24"/>
            </w:rPr>
          </w:pPr>
          <w:r>
            <w:rPr>
              <w:color w:val="000000" w:themeColor="text1"/>
              <w:sz w:val="24"/>
              <w:szCs w:val="24"/>
            </w:rPr>
            <w:fldChar w:fldCharType="begin"/>
          </w:r>
          <w:r>
            <w:rPr>
              <w:color w:val="000000" w:themeColor="text1"/>
              <w:sz w:val="24"/>
              <w:szCs w:val="24"/>
            </w:rPr>
            <w:instrText xml:space="preserve"> TOC \o "1-3" \h \z \u </w:instrText>
          </w:r>
          <w:r>
            <w:rPr>
              <w:color w:val="000000" w:themeColor="text1"/>
              <w:sz w:val="24"/>
              <w:szCs w:val="24"/>
            </w:rPr>
            <w:fldChar w:fldCharType="separate"/>
          </w:r>
          <w:hyperlink r:id="rId8" w:anchor="_Toc241140342" w:history="1">
            <w:r>
              <w:rPr>
                <w:rStyle w:val="Hyperlink"/>
                <w:noProof/>
                <w:color w:val="000000" w:themeColor="text1"/>
                <w:sz w:val="24"/>
                <w:szCs w:val="24"/>
              </w:rPr>
              <w:t>1. Introduction</w:t>
            </w:r>
            <w:r>
              <w:rPr>
                <w:rStyle w:val="Hyperlink"/>
                <w:noProof/>
                <w:webHidden/>
                <w:color w:val="000000" w:themeColor="text1"/>
                <w:sz w:val="24"/>
                <w:szCs w:val="24"/>
                <w:u w:val="none"/>
              </w:rPr>
              <w:tab/>
            </w:r>
            <w:r>
              <w:rPr>
                <w:rStyle w:val="Hyperlink"/>
                <w:noProof/>
                <w:webHidden/>
                <w:color w:val="000000" w:themeColor="text1"/>
                <w:sz w:val="24"/>
                <w:szCs w:val="24"/>
                <w:u w:val="none"/>
              </w:rPr>
              <w:fldChar w:fldCharType="begin"/>
            </w:r>
            <w:r>
              <w:rPr>
                <w:rStyle w:val="Hyperlink"/>
                <w:noProof/>
                <w:webHidden/>
                <w:color w:val="000000" w:themeColor="text1"/>
                <w:sz w:val="24"/>
                <w:szCs w:val="24"/>
                <w:u w:val="none"/>
              </w:rPr>
              <w:instrText xml:space="preserve"> PAGEREF _Toc241140342 \h </w:instrText>
            </w:r>
            <w:r>
              <w:rPr>
                <w:rStyle w:val="Hyperlink"/>
                <w:noProof/>
                <w:webHidden/>
                <w:color w:val="000000" w:themeColor="text1"/>
                <w:sz w:val="24"/>
                <w:szCs w:val="24"/>
                <w:u w:val="none"/>
              </w:rPr>
            </w:r>
            <w:r>
              <w:rPr>
                <w:rStyle w:val="Hyperlink"/>
                <w:noProof/>
                <w:webHidden/>
                <w:color w:val="000000" w:themeColor="text1"/>
                <w:sz w:val="24"/>
                <w:szCs w:val="24"/>
                <w:u w:val="none"/>
              </w:rPr>
              <w:fldChar w:fldCharType="separate"/>
            </w:r>
            <w:r>
              <w:rPr>
                <w:rStyle w:val="Hyperlink"/>
                <w:noProof/>
                <w:webHidden/>
                <w:color w:val="000000" w:themeColor="text1"/>
                <w:sz w:val="24"/>
                <w:szCs w:val="24"/>
                <w:u w:val="none"/>
              </w:rPr>
              <w:t>3</w:t>
            </w:r>
            <w:r>
              <w:rPr>
                <w:rStyle w:val="Hyperlink"/>
                <w:noProof/>
                <w:webHidden/>
                <w:color w:val="000000" w:themeColor="text1"/>
                <w:sz w:val="24"/>
                <w:szCs w:val="24"/>
                <w:u w:val="none"/>
              </w:rPr>
              <w:fldChar w:fldCharType="end"/>
            </w:r>
          </w:hyperlink>
        </w:p>
        <w:p w14:paraId="1FBD7BE9" w14:textId="77777777" w:rsidR="00967DCF" w:rsidRDefault="00967DCF" w:rsidP="00967DCF">
          <w:pPr>
            <w:pStyle w:val="TOC1"/>
            <w:tabs>
              <w:tab w:val="right" w:leader="dot" w:pos="9350"/>
            </w:tabs>
            <w:spacing w:line="360" w:lineRule="auto"/>
            <w:jc w:val="both"/>
            <w:rPr>
              <w:noProof/>
              <w:color w:val="000000" w:themeColor="text1"/>
              <w:sz w:val="24"/>
              <w:szCs w:val="24"/>
            </w:rPr>
          </w:pPr>
          <w:hyperlink r:id="rId9" w:anchor="_Toc241140343" w:history="1">
            <w:r>
              <w:rPr>
                <w:rStyle w:val="Hyperlink"/>
                <w:noProof/>
                <w:color w:val="000000" w:themeColor="text1"/>
                <w:sz w:val="24"/>
                <w:szCs w:val="24"/>
              </w:rPr>
              <w:t>2. Overview and Implementation of NHS Virtual Wards and Remote Patient Monitoring</w:t>
            </w:r>
            <w:r>
              <w:rPr>
                <w:rStyle w:val="Hyperlink"/>
                <w:noProof/>
                <w:webHidden/>
                <w:color w:val="000000" w:themeColor="text1"/>
                <w:sz w:val="24"/>
                <w:szCs w:val="24"/>
                <w:u w:val="none"/>
              </w:rPr>
              <w:tab/>
            </w:r>
            <w:r>
              <w:rPr>
                <w:rStyle w:val="Hyperlink"/>
                <w:noProof/>
                <w:webHidden/>
                <w:color w:val="000000" w:themeColor="text1"/>
                <w:sz w:val="24"/>
                <w:szCs w:val="24"/>
                <w:u w:val="none"/>
              </w:rPr>
              <w:fldChar w:fldCharType="begin"/>
            </w:r>
            <w:r>
              <w:rPr>
                <w:rStyle w:val="Hyperlink"/>
                <w:noProof/>
                <w:webHidden/>
                <w:color w:val="000000" w:themeColor="text1"/>
                <w:sz w:val="24"/>
                <w:szCs w:val="24"/>
                <w:u w:val="none"/>
              </w:rPr>
              <w:instrText xml:space="preserve"> PAGEREF _Toc241140343 \h </w:instrText>
            </w:r>
            <w:r>
              <w:rPr>
                <w:rStyle w:val="Hyperlink"/>
                <w:noProof/>
                <w:webHidden/>
                <w:color w:val="000000" w:themeColor="text1"/>
                <w:sz w:val="24"/>
                <w:szCs w:val="24"/>
                <w:u w:val="none"/>
              </w:rPr>
            </w:r>
            <w:r>
              <w:rPr>
                <w:rStyle w:val="Hyperlink"/>
                <w:noProof/>
                <w:webHidden/>
                <w:color w:val="000000" w:themeColor="text1"/>
                <w:sz w:val="24"/>
                <w:szCs w:val="24"/>
                <w:u w:val="none"/>
              </w:rPr>
              <w:fldChar w:fldCharType="separate"/>
            </w:r>
            <w:r>
              <w:rPr>
                <w:rStyle w:val="Hyperlink"/>
                <w:noProof/>
                <w:webHidden/>
                <w:color w:val="000000" w:themeColor="text1"/>
                <w:sz w:val="24"/>
                <w:szCs w:val="24"/>
                <w:u w:val="none"/>
              </w:rPr>
              <w:t>3</w:t>
            </w:r>
            <w:r>
              <w:rPr>
                <w:rStyle w:val="Hyperlink"/>
                <w:noProof/>
                <w:webHidden/>
                <w:color w:val="000000" w:themeColor="text1"/>
                <w:sz w:val="24"/>
                <w:szCs w:val="24"/>
                <w:u w:val="none"/>
              </w:rPr>
              <w:fldChar w:fldCharType="end"/>
            </w:r>
          </w:hyperlink>
        </w:p>
        <w:p w14:paraId="43476579" w14:textId="77777777" w:rsidR="00967DCF" w:rsidRDefault="00967DCF" w:rsidP="00967DCF">
          <w:pPr>
            <w:pStyle w:val="TOC1"/>
            <w:tabs>
              <w:tab w:val="right" w:leader="dot" w:pos="9350"/>
            </w:tabs>
            <w:spacing w:line="360" w:lineRule="auto"/>
            <w:jc w:val="both"/>
            <w:rPr>
              <w:noProof/>
              <w:color w:val="000000" w:themeColor="text1"/>
              <w:sz w:val="24"/>
              <w:szCs w:val="24"/>
            </w:rPr>
          </w:pPr>
          <w:hyperlink r:id="rId10" w:anchor="_Toc241140344" w:history="1">
            <w:r>
              <w:rPr>
                <w:rStyle w:val="Hyperlink"/>
                <w:noProof/>
                <w:color w:val="000000" w:themeColor="text1"/>
                <w:sz w:val="24"/>
                <w:szCs w:val="24"/>
              </w:rPr>
              <w:t>3. Impact on the Health and Social Care Workforce</w:t>
            </w:r>
            <w:r>
              <w:rPr>
                <w:rStyle w:val="Hyperlink"/>
                <w:noProof/>
                <w:webHidden/>
                <w:color w:val="000000" w:themeColor="text1"/>
                <w:sz w:val="24"/>
                <w:szCs w:val="24"/>
                <w:u w:val="none"/>
              </w:rPr>
              <w:tab/>
            </w:r>
            <w:r>
              <w:rPr>
                <w:rStyle w:val="Hyperlink"/>
                <w:noProof/>
                <w:webHidden/>
                <w:color w:val="000000" w:themeColor="text1"/>
                <w:sz w:val="24"/>
                <w:szCs w:val="24"/>
                <w:u w:val="none"/>
              </w:rPr>
              <w:fldChar w:fldCharType="begin"/>
            </w:r>
            <w:r>
              <w:rPr>
                <w:rStyle w:val="Hyperlink"/>
                <w:noProof/>
                <w:webHidden/>
                <w:color w:val="000000" w:themeColor="text1"/>
                <w:sz w:val="24"/>
                <w:szCs w:val="24"/>
                <w:u w:val="none"/>
              </w:rPr>
              <w:instrText xml:space="preserve"> PAGEREF _Toc241140344 \h </w:instrText>
            </w:r>
            <w:r>
              <w:rPr>
                <w:rStyle w:val="Hyperlink"/>
                <w:noProof/>
                <w:webHidden/>
                <w:color w:val="000000" w:themeColor="text1"/>
                <w:sz w:val="24"/>
                <w:szCs w:val="24"/>
                <w:u w:val="none"/>
              </w:rPr>
            </w:r>
            <w:r>
              <w:rPr>
                <w:rStyle w:val="Hyperlink"/>
                <w:noProof/>
                <w:webHidden/>
                <w:color w:val="000000" w:themeColor="text1"/>
                <w:sz w:val="24"/>
                <w:szCs w:val="24"/>
                <w:u w:val="none"/>
              </w:rPr>
              <w:fldChar w:fldCharType="separate"/>
            </w:r>
            <w:r>
              <w:rPr>
                <w:rStyle w:val="Hyperlink"/>
                <w:noProof/>
                <w:webHidden/>
                <w:color w:val="000000" w:themeColor="text1"/>
                <w:sz w:val="24"/>
                <w:szCs w:val="24"/>
                <w:u w:val="none"/>
              </w:rPr>
              <w:t>4</w:t>
            </w:r>
            <w:r>
              <w:rPr>
                <w:rStyle w:val="Hyperlink"/>
                <w:noProof/>
                <w:webHidden/>
                <w:color w:val="000000" w:themeColor="text1"/>
                <w:sz w:val="24"/>
                <w:szCs w:val="24"/>
                <w:u w:val="none"/>
              </w:rPr>
              <w:fldChar w:fldCharType="end"/>
            </w:r>
          </w:hyperlink>
        </w:p>
        <w:p w14:paraId="250CA5E8" w14:textId="77777777" w:rsidR="00967DCF" w:rsidRDefault="00967DCF" w:rsidP="00967DCF">
          <w:pPr>
            <w:pStyle w:val="TOC1"/>
            <w:tabs>
              <w:tab w:val="right" w:leader="dot" w:pos="9350"/>
            </w:tabs>
            <w:spacing w:line="360" w:lineRule="auto"/>
            <w:jc w:val="both"/>
            <w:rPr>
              <w:noProof/>
              <w:color w:val="000000" w:themeColor="text1"/>
              <w:sz w:val="24"/>
              <w:szCs w:val="24"/>
            </w:rPr>
          </w:pPr>
          <w:hyperlink r:id="rId11" w:anchor="_Toc241140345" w:history="1">
            <w:r>
              <w:rPr>
                <w:rStyle w:val="Hyperlink"/>
                <w:noProof/>
                <w:color w:val="000000" w:themeColor="text1"/>
                <w:sz w:val="24"/>
                <w:szCs w:val="24"/>
              </w:rPr>
              <w:t>4. Impact on Service Delivery</w:t>
            </w:r>
            <w:r>
              <w:rPr>
                <w:rStyle w:val="Hyperlink"/>
                <w:noProof/>
                <w:webHidden/>
                <w:color w:val="000000" w:themeColor="text1"/>
                <w:sz w:val="24"/>
                <w:szCs w:val="24"/>
                <w:u w:val="none"/>
              </w:rPr>
              <w:tab/>
            </w:r>
            <w:r>
              <w:rPr>
                <w:rStyle w:val="Hyperlink"/>
                <w:noProof/>
                <w:webHidden/>
                <w:color w:val="000000" w:themeColor="text1"/>
                <w:sz w:val="24"/>
                <w:szCs w:val="24"/>
                <w:u w:val="none"/>
              </w:rPr>
              <w:fldChar w:fldCharType="begin"/>
            </w:r>
            <w:r>
              <w:rPr>
                <w:rStyle w:val="Hyperlink"/>
                <w:noProof/>
                <w:webHidden/>
                <w:color w:val="000000" w:themeColor="text1"/>
                <w:sz w:val="24"/>
                <w:szCs w:val="24"/>
                <w:u w:val="none"/>
              </w:rPr>
              <w:instrText xml:space="preserve"> PAGEREF _Toc241140345 \h </w:instrText>
            </w:r>
            <w:r>
              <w:rPr>
                <w:rStyle w:val="Hyperlink"/>
                <w:noProof/>
                <w:webHidden/>
                <w:color w:val="000000" w:themeColor="text1"/>
                <w:sz w:val="24"/>
                <w:szCs w:val="24"/>
                <w:u w:val="none"/>
              </w:rPr>
            </w:r>
            <w:r>
              <w:rPr>
                <w:rStyle w:val="Hyperlink"/>
                <w:noProof/>
                <w:webHidden/>
                <w:color w:val="000000" w:themeColor="text1"/>
                <w:sz w:val="24"/>
                <w:szCs w:val="24"/>
                <w:u w:val="none"/>
              </w:rPr>
              <w:fldChar w:fldCharType="separate"/>
            </w:r>
            <w:r>
              <w:rPr>
                <w:rStyle w:val="Hyperlink"/>
                <w:noProof/>
                <w:webHidden/>
                <w:color w:val="000000" w:themeColor="text1"/>
                <w:sz w:val="24"/>
                <w:szCs w:val="24"/>
                <w:u w:val="none"/>
              </w:rPr>
              <w:t>6</w:t>
            </w:r>
            <w:r>
              <w:rPr>
                <w:rStyle w:val="Hyperlink"/>
                <w:noProof/>
                <w:webHidden/>
                <w:color w:val="000000" w:themeColor="text1"/>
                <w:sz w:val="24"/>
                <w:szCs w:val="24"/>
                <w:u w:val="none"/>
              </w:rPr>
              <w:fldChar w:fldCharType="end"/>
            </w:r>
          </w:hyperlink>
        </w:p>
        <w:p w14:paraId="71456BAD" w14:textId="77777777" w:rsidR="00967DCF" w:rsidRDefault="00967DCF" w:rsidP="00967DCF">
          <w:pPr>
            <w:pStyle w:val="TOC1"/>
            <w:tabs>
              <w:tab w:val="right" w:leader="dot" w:pos="9350"/>
            </w:tabs>
            <w:spacing w:line="360" w:lineRule="auto"/>
            <w:jc w:val="both"/>
            <w:rPr>
              <w:noProof/>
              <w:color w:val="000000" w:themeColor="text1"/>
              <w:sz w:val="24"/>
              <w:szCs w:val="24"/>
            </w:rPr>
          </w:pPr>
          <w:hyperlink r:id="rId12" w:anchor="_Toc241140346" w:history="1">
            <w:r>
              <w:rPr>
                <w:rStyle w:val="Hyperlink"/>
                <w:noProof/>
                <w:color w:val="000000" w:themeColor="text1"/>
                <w:sz w:val="24"/>
                <w:szCs w:val="24"/>
              </w:rPr>
              <w:t>5. Impact on Patients/Service Users</w:t>
            </w:r>
            <w:r>
              <w:rPr>
                <w:rStyle w:val="Hyperlink"/>
                <w:noProof/>
                <w:webHidden/>
                <w:color w:val="000000" w:themeColor="text1"/>
                <w:sz w:val="24"/>
                <w:szCs w:val="24"/>
                <w:u w:val="none"/>
              </w:rPr>
              <w:tab/>
            </w:r>
            <w:r>
              <w:rPr>
                <w:rStyle w:val="Hyperlink"/>
                <w:noProof/>
                <w:webHidden/>
                <w:color w:val="000000" w:themeColor="text1"/>
                <w:sz w:val="24"/>
                <w:szCs w:val="24"/>
                <w:u w:val="none"/>
              </w:rPr>
              <w:fldChar w:fldCharType="begin"/>
            </w:r>
            <w:r>
              <w:rPr>
                <w:rStyle w:val="Hyperlink"/>
                <w:noProof/>
                <w:webHidden/>
                <w:color w:val="000000" w:themeColor="text1"/>
                <w:sz w:val="24"/>
                <w:szCs w:val="24"/>
                <w:u w:val="none"/>
              </w:rPr>
              <w:instrText xml:space="preserve"> PAGEREF _Toc241140346 \h </w:instrText>
            </w:r>
            <w:r>
              <w:rPr>
                <w:rStyle w:val="Hyperlink"/>
                <w:noProof/>
                <w:webHidden/>
                <w:color w:val="000000" w:themeColor="text1"/>
                <w:sz w:val="24"/>
                <w:szCs w:val="24"/>
                <w:u w:val="none"/>
              </w:rPr>
            </w:r>
            <w:r>
              <w:rPr>
                <w:rStyle w:val="Hyperlink"/>
                <w:noProof/>
                <w:webHidden/>
                <w:color w:val="000000" w:themeColor="text1"/>
                <w:sz w:val="24"/>
                <w:szCs w:val="24"/>
                <w:u w:val="none"/>
              </w:rPr>
              <w:fldChar w:fldCharType="separate"/>
            </w:r>
            <w:r>
              <w:rPr>
                <w:rStyle w:val="Hyperlink"/>
                <w:noProof/>
                <w:webHidden/>
                <w:color w:val="000000" w:themeColor="text1"/>
                <w:sz w:val="24"/>
                <w:szCs w:val="24"/>
                <w:u w:val="none"/>
              </w:rPr>
              <w:t>7</w:t>
            </w:r>
            <w:r>
              <w:rPr>
                <w:rStyle w:val="Hyperlink"/>
                <w:noProof/>
                <w:webHidden/>
                <w:color w:val="000000" w:themeColor="text1"/>
                <w:sz w:val="24"/>
                <w:szCs w:val="24"/>
                <w:u w:val="none"/>
              </w:rPr>
              <w:fldChar w:fldCharType="end"/>
            </w:r>
          </w:hyperlink>
        </w:p>
        <w:p w14:paraId="0F40C71C" w14:textId="77777777" w:rsidR="00967DCF" w:rsidRDefault="00967DCF" w:rsidP="00967DCF">
          <w:pPr>
            <w:pStyle w:val="TOC1"/>
            <w:tabs>
              <w:tab w:val="right" w:leader="dot" w:pos="9350"/>
            </w:tabs>
            <w:spacing w:line="360" w:lineRule="auto"/>
            <w:jc w:val="both"/>
            <w:rPr>
              <w:noProof/>
              <w:color w:val="000000" w:themeColor="text1"/>
              <w:sz w:val="24"/>
              <w:szCs w:val="24"/>
            </w:rPr>
          </w:pPr>
          <w:hyperlink r:id="rId13" w:anchor="_Toc241140347" w:history="1">
            <w:r>
              <w:rPr>
                <w:rStyle w:val="Hyperlink"/>
                <w:noProof/>
                <w:color w:val="000000" w:themeColor="text1"/>
                <w:sz w:val="24"/>
                <w:szCs w:val="24"/>
              </w:rPr>
              <w:t>6. Conclusion and Recommendations</w:t>
            </w:r>
            <w:r>
              <w:rPr>
                <w:rStyle w:val="Hyperlink"/>
                <w:noProof/>
                <w:webHidden/>
                <w:color w:val="000000" w:themeColor="text1"/>
                <w:sz w:val="24"/>
                <w:szCs w:val="24"/>
                <w:u w:val="none"/>
              </w:rPr>
              <w:tab/>
            </w:r>
            <w:r>
              <w:rPr>
                <w:rStyle w:val="Hyperlink"/>
                <w:noProof/>
                <w:webHidden/>
                <w:color w:val="000000" w:themeColor="text1"/>
                <w:sz w:val="24"/>
                <w:szCs w:val="24"/>
                <w:u w:val="none"/>
              </w:rPr>
              <w:fldChar w:fldCharType="begin"/>
            </w:r>
            <w:r>
              <w:rPr>
                <w:rStyle w:val="Hyperlink"/>
                <w:noProof/>
                <w:webHidden/>
                <w:color w:val="000000" w:themeColor="text1"/>
                <w:sz w:val="24"/>
                <w:szCs w:val="24"/>
                <w:u w:val="none"/>
              </w:rPr>
              <w:instrText xml:space="preserve"> PAGEREF _Toc241140347 \h </w:instrText>
            </w:r>
            <w:r>
              <w:rPr>
                <w:rStyle w:val="Hyperlink"/>
                <w:noProof/>
                <w:webHidden/>
                <w:color w:val="000000" w:themeColor="text1"/>
                <w:sz w:val="24"/>
                <w:szCs w:val="24"/>
                <w:u w:val="none"/>
              </w:rPr>
            </w:r>
            <w:r>
              <w:rPr>
                <w:rStyle w:val="Hyperlink"/>
                <w:noProof/>
                <w:webHidden/>
                <w:color w:val="000000" w:themeColor="text1"/>
                <w:sz w:val="24"/>
                <w:szCs w:val="24"/>
                <w:u w:val="none"/>
              </w:rPr>
              <w:fldChar w:fldCharType="separate"/>
            </w:r>
            <w:r>
              <w:rPr>
                <w:rStyle w:val="Hyperlink"/>
                <w:noProof/>
                <w:webHidden/>
                <w:color w:val="000000" w:themeColor="text1"/>
                <w:sz w:val="24"/>
                <w:szCs w:val="24"/>
                <w:u w:val="none"/>
              </w:rPr>
              <w:t>8</w:t>
            </w:r>
            <w:r>
              <w:rPr>
                <w:rStyle w:val="Hyperlink"/>
                <w:noProof/>
                <w:webHidden/>
                <w:color w:val="000000" w:themeColor="text1"/>
                <w:sz w:val="24"/>
                <w:szCs w:val="24"/>
                <w:u w:val="none"/>
              </w:rPr>
              <w:fldChar w:fldCharType="end"/>
            </w:r>
          </w:hyperlink>
        </w:p>
        <w:p w14:paraId="43232901" w14:textId="77777777" w:rsidR="00967DCF" w:rsidRDefault="00967DCF" w:rsidP="00967DCF">
          <w:pPr>
            <w:pStyle w:val="TOC1"/>
            <w:tabs>
              <w:tab w:val="right" w:leader="dot" w:pos="9350"/>
            </w:tabs>
            <w:spacing w:line="360" w:lineRule="auto"/>
            <w:jc w:val="both"/>
            <w:rPr>
              <w:noProof/>
              <w:color w:val="000000" w:themeColor="text1"/>
              <w:sz w:val="24"/>
              <w:szCs w:val="24"/>
            </w:rPr>
          </w:pPr>
          <w:hyperlink r:id="rId14" w:anchor="_Toc241140348" w:history="1">
            <w:r>
              <w:rPr>
                <w:rStyle w:val="Hyperlink"/>
                <w:noProof/>
                <w:color w:val="000000" w:themeColor="text1"/>
                <w:sz w:val="24"/>
                <w:szCs w:val="24"/>
              </w:rPr>
              <w:t>Reference List</w:t>
            </w:r>
            <w:r>
              <w:rPr>
                <w:rStyle w:val="Hyperlink"/>
                <w:noProof/>
                <w:webHidden/>
                <w:color w:val="000000" w:themeColor="text1"/>
                <w:sz w:val="24"/>
                <w:szCs w:val="24"/>
                <w:u w:val="none"/>
              </w:rPr>
              <w:tab/>
            </w:r>
            <w:r>
              <w:rPr>
                <w:rStyle w:val="Hyperlink"/>
                <w:noProof/>
                <w:webHidden/>
                <w:color w:val="000000" w:themeColor="text1"/>
                <w:sz w:val="24"/>
                <w:szCs w:val="24"/>
                <w:u w:val="none"/>
              </w:rPr>
              <w:fldChar w:fldCharType="begin"/>
            </w:r>
            <w:r>
              <w:rPr>
                <w:rStyle w:val="Hyperlink"/>
                <w:noProof/>
                <w:webHidden/>
                <w:color w:val="000000" w:themeColor="text1"/>
                <w:sz w:val="24"/>
                <w:szCs w:val="24"/>
                <w:u w:val="none"/>
              </w:rPr>
              <w:instrText xml:space="preserve"> PAGEREF _Toc241140348 \h </w:instrText>
            </w:r>
            <w:r>
              <w:rPr>
                <w:rStyle w:val="Hyperlink"/>
                <w:noProof/>
                <w:webHidden/>
                <w:color w:val="000000" w:themeColor="text1"/>
                <w:sz w:val="24"/>
                <w:szCs w:val="24"/>
                <w:u w:val="none"/>
              </w:rPr>
            </w:r>
            <w:r>
              <w:rPr>
                <w:rStyle w:val="Hyperlink"/>
                <w:noProof/>
                <w:webHidden/>
                <w:color w:val="000000" w:themeColor="text1"/>
                <w:sz w:val="24"/>
                <w:szCs w:val="24"/>
                <w:u w:val="none"/>
              </w:rPr>
              <w:fldChar w:fldCharType="separate"/>
            </w:r>
            <w:r>
              <w:rPr>
                <w:rStyle w:val="Hyperlink"/>
                <w:noProof/>
                <w:webHidden/>
                <w:color w:val="000000" w:themeColor="text1"/>
                <w:sz w:val="24"/>
                <w:szCs w:val="24"/>
                <w:u w:val="none"/>
              </w:rPr>
              <w:t>10</w:t>
            </w:r>
            <w:r>
              <w:rPr>
                <w:rStyle w:val="Hyperlink"/>
                <w:noProof/>
                <w:webHidden/>
                <w:color w:val="000000" w:themeColor="text1"/>
                <w:sz w:val="24"/>
                <w:szCs w:val="24"/>
                <w:u w:val="none"/>
              </w:rPr>
              <w:fldChar w:fldCharType="end"/>
            </w:r>
          </w:hyperlink>
        </w:p>
        <w:p w14:paraId="36E8EF2B" w14:textId="77777777" w:rsidR="00967DCF" w:rsidRDefault="00967DCF" w:rsidP="00967DCF">
          <w:pPr>
            <w:spacing w:line="360" w:lineRule="auto"/>
            <w:jc w:val="both"/>
          </w:pPr>
          <w:r>
            <w:rPr>
              <w:b/>
              <w:bCs/>
              <w:noProof/>
              <w:color w:val="000000" w:themeColor="text1"/>
              <w:sz w:val="24"/>
              <w:szCs w:val="24"/>
            </w:rPr>
            <w:fldChar w:fldCharType="end"/>
          </w:r>
        </w:p>
      </w:sdtContent>
    </w:sdt>
    <w:p w14:paraId="212C1C5D" w14:textId="77777777" w:rsidR="00967DCF" w:rsidRDefault="00967DCF" w:rsidP="00967DCF">
      <w:pPr>
        <w:spacing w:line="480" w:lineRule="auto"/>
        <w:jc w:val="center"/>
        <w:rPr>
          <w:sz w:val="32"/>
          <w:szCs w:val="32"/>
          <w:lang w:val="en-GB"/>
        </w:rPr>
      </w:pPr>
    </w:p>
    <w:p w14:paraId="3448EA29" w14:textId="77777777" w:rsidR="00967DCF" w:rsidRDefault="00967DCF" w:rsidP="00967DCF">
      <w:pPr>
        <w:jc w:val="center"/>
        <w:rPr>
          <w:rFonts w:eastAsia="Times New Roman"/>
          <w:b/>
          <w:bCs/>
        </w:rPr>
      </w:pPr>
      <w:r>
        <w:br w:type="page"/>
      </w:r>
    </w:p>
    <w:p w14:paraId="6C4C0095" w14:textId="6883FCA7" w:rsidR="00967DCF" w:rsidRDefault="00967DCF" w:rsidP="006D1376">
      <w:pPr>
        <w:pStyle w:val="Heading1"/>
        <w:numPr>
          <w:ilvl w:val="0"/>
          <w:numId w:val="2"/>
        </w:numPr>
        <w:rPr>
          <w:rFonts w:ascii="Arial" w:eastAsia="Arial" w:hAnsi="Arial" w:cs="Arial"/>
          <w:b/>
          <w:bCs/>
          <w:color w:val="000000" w:themeColor="text1"/>
          <w:sz w:val="28"/>
          <w:szCs w:val="28"/>
        </w:rPr>
      </w:pPr>
      <w:bookmarkStart w:id="0" w:name="_Toc241140342"/>
      <w:r w:rsidRPr="0048547B">
        <w:rPr>
          <w:rFonts w:ascii="Arial" w:eastAsia="Arial" w:hAnsi="Arial" w:cs="Arial"/>
          <w:b/>
          <w:bCs/>
          <w:color w:val="000000" w:themeColor="text1"/>
          <w:sz w:val="28"/>
          <w:szCs w:val="28"/>
        </w:rPr>
        <w:lastRenderedPageBreak/>
        <w:t>Introduction</w:t>
      </w:r>
      <w:bookmarkEnd w:id="0"/>
    </w:p>
    <w:p w14:paraId="5A4D74BA" w14:textId="77777777" w:rsidR="006D1376" w:rsidRPr="006D1376" w:rsidRDefault="006D1376" w:rsidP="006D1376"/>
    <w:p w14:paraId="167D71A6" w14:textId="77777777" w:rsidR="007C1CD7" w:rsidRPr="00E11EB6" w:rsidRDefault="00967DCF" w:rsidP="002C6C3D">
      <w:pPr>
        <w:spacing w:line="360" w:lineRule="auto"/>
        <w:jc w:val="both"/>
        <w:rPr>
          <w:rFonts w:eastAsia="Times New Roman"/>
          <w:color w:val="161F19"/>
        </w:rPr>
      </w:pPr>
      <w:r w:rsidRPr="00E11EB6">
        <w:rPr>
          <w:rFonts w:eastAsia="Times New Roman"/>
          <w:color w:val="161F19"/>
        </w:rPr>
        <w:t xml:space="preserve">The digital revolution is having a significant effect on the way health and social care services are provided in the </w:t>
      </w:r>
      <w:r w:rsidRPr="00E11EB6">
        <w:rPr>
          <w:rFonts w:eastAsia="Times New Roman"/>
          <w:color w:val="000000" w:themeColor="text1"/>
        </w:rPr>
        <w:t>U</w:t>
      </w:r>
      <w:r w:rsidR="00DC6BCB" w:rsidRPr="00E11EB6">
        <w:rPr>
          <w:rFonts w:eastAsia="Times New Roman"/>
          <w:color w:val="000000" w:themeColor="text1"/>
        </w:rPr>
        <w:t xml:space="preserve">nited </w:t>
      </w:r>
      <w:r w:rsidRPr="00E11EB6">
        <w:rPr>
          <w:rFonts w:eastAsia="Times New Roman"/>
          <w:color w:val="000000" w:themeColor="text1"/>
        </w:rPr>
        <w:t>K</w:t>
      </w:r>
      <w:r w:rsidR="00DC6BCB" w:rsidRPr="00E11EB6">
        <w:rPr>
          <w:rFonts w:eastAsia="Times New Roman"/>
          <w:color w:val="000000" w:themeColor="text1"/>
        </w:rPr>
        <w:t>ingdom (UK)</w:t>
      </w:r>
      <w:r w:rsidRPr="00E11EB6">
        <w:rPr>
          <w:rFonts w:eastAsia="Times New Roman"/>
          <w:color w:val="000000" w:themeColor="text1"/>
        </w:rPr>
        <w:t xml:space="preserve">. </w:t>
      </w:r>
      <w:r w:rsidRPr="00E11EB6">
        <w:rPr>
          <w:rFonts w:eastAsia="Times New Roman"/>
          <w:color w:val="161F19"/>
        </w:rPr>
        <w:t>One such innovation is the</w:t>
      </w:r>
      <w:r w:rsidRPr="00E11EB6">
        <w:rPr>
          <w:rFonts w:eastAsia="Times New Roman"/>
          <w:color w:val="000000" w:themeColor="text1"/>
        </w:rPr>
        <w:t xml:space="preserve"> NHS </w:t>
      </w:r>
      <w:r w:rsidRPr="00E11EB6">
        <w:rPr>
          <w:rFonts w:eastAsia="Times New Roman"/>
          <w:color w:val="161F19"/>
        </w:rPr>
        <w:t xml:space="preserve">Virtual Wards and Remote Patient Monitoring </w:t>
      </w:r>
      <w:r w:rsidR="008E7110" w:rsidRPr="00E11EB6">
        <w:rPr>
          <w:rFonts w:eastAsia="Times New Roman"/>
          <w:color w:val="161F19"/>
        </w:rPr>
        <w:t>S</w:t>
      </w:r>
      <w:r w:rsidRPr="00E11EB6">
        <w:rPr>
          <w:rFonts w:eastAsia="Times New Roman"/>
          <w:color w:val="161F19"/>
        </w:rPr>
        <w:t xml:space="preserve">ervice, which allows eligible patients to receive hospital-standard care from the comfort of their own homes. NHS England refers to virtual </w:t>
      </w:r>
      <w:r w:rsidR="008E7110" w:rsidRPr="00E11EB6">
        <w:rPr>
          <w:rFonts w:eastAsia="Times New Roman"/>
          <w:color w:val="161F19"/>
        </w:rPr>
        <w:t>words</w:t>
      </w:r>
      <w:r w:rsidRPr="00E11EB6">
        <w:rPr>
          <w:rFonts w:eastAsia="Times New Roman"/>
          <w:color w:val="161F19"/>
        </w:rPr>
        <w:t xml:space="preserve"> as those which provide acute care, treatment, and monitoring in the familiar surroundings of the patients, using digital technology such as apps, wearable technology, and remote dashboards. </w:t>
      </w:r>
    </w:p>
    <w:p w14:paraId="03AC94C7" w14:textId="77777777" w:rsidR="00A316F7" w:rsidRDefault="00A316F7" w:rsidP="00967DCF">
      <w:pPr>
        <w:spacing w:line="360" w:lineRule="auto"/>
        <w:jc w:val="both"/>
        <w:rPr>
          <w:rFonts w:eastAsia="Times New Roman"/>
          <w:color w:val="161F19"/>
        </w:rPr>
      </w:pPr>
    </w:p>
    <w:p w14:paraId="3ABF3E3A" w14:textId="719F951F" w:rsidR="00967DCF" w:rsidRDefault="00967DCF" w:rsidP="00967DCF">
      <w:pPr>
        <w:spacing w:line="360" w:lineRule="auto"/>
        <w:jc w:val="both"/>
        <w:rPr>
          <w:rFonts w:eastAsia="Times New Roman"/>
        </w:rPr>
      </w:pPr>
      <w:r>
        <w:rPr>
          <w:rFonts w:eastAsia="Times New Roman"/>
          <w:color w:val="161F19"/>
        </w:rPr>
        <w:t>NHS England reported that virtual wards have provided almost 13,000 beds in the year up to 2024/25, indicating rapid growth on a national scale. This report provides a critical evaluation of this innovation based on its impact on the health and social care workforce, service delivery, and the patient/service user population.</w:t>
      </w:r>
      <w:r w:rsidR="00A316F7">
        <w:rPr>
          <w:rFonts w:eastAsia="Times New Roman"/>
          <w:color w:val="161F19"/>
        </w:rPr>
        <w:t xml:space="preserve"> </w:t>
      </w:r>
    </w:p>
    <w:p w14:paraId="55C318B3" w14:textId="77777777" w:rsidR="00967DCF" w:rsidRDefault="00967DCF" w:rsidP="00967DCF">
      <w:pPr>
        <w:pStyle w:val="Heading1"/>
        <w:rPr>
          <w:rFonts w:ascii="Arial" w:eastAsia="Arial" w:hAnsi="Arial" w:cs="Arial"/>
          <w:b/>
          <w:bCs/>
          <w:color w:val="000000" w:themeColor="text1"/>
          <w:sz w:val="28"/>
          <w:szCs w:val="28"/>
        </w:rPr>
      </w:pPr>
      <w:r w:rsidRPr="009014C7">
        <w:rPr>
          <w:rFonts w:ascii="Arial" w:eastAsia="Arial" w:hAnsi="Arial" w:cs="Arial"/>
          <w:b/>
          <w:bCs/>
          <w:color w:val="000000" w:themeColor="text1"/>
          <w:sz w:val="24"/>
          <w:szCs w:val="24"/>
        </w:rPr>
        <w:t xml:space="preserve">2. </w:t>
      </w:r>
      <w:bookmarkStart w:id="1" w:name="_Toc241140343"/>
      <w:r w:rsidRPr="00E562B0">
        <w:rPr>
          <w:rFonts w:ascii="Arial" w:eastAsia="Arial" w:hAnsi="Arial" w:cs="Arial"/>
          <w:b/>
          <w:bCs/>
          <w:color w:val="000000" w:themeColor="text1"/>
          <w:sz w:val="28"/>
          <w:szCs w:val="28"/>
        </w:rPr>
        <w:t>Overview and Implementation of NHS Virtual Wards and Remote Patient Monitoring</w:t>
      </w:r>
      <w:bookmarkEnd w:id="1"/>
    </w:p>
    <w:p w14:paraId="613FE03A" w14:textId="77777777" w:rsidR="00B245B4" w:rsidRPr="00B245B4" w:rsidRDefault="00B245B4" w:rsidP="00B245B4"/>
    <w:p w14:paraId="542DAE97" w14:textId="1CF46189" w:rsidR="008674AD" w:rsidRPr="00477B6C" w:rsidRDefault="00967DCF" w:rsidP="00477B6C">
      <w:pPr>
        <w:pStyle w:val="ListParagraph"/>
        <w:numPr>
          <w:ilvl w:val="0"/>
          <w:numId w:val="3"/>
        </w:numPr>
        <w:spacing w:line="360" w:lineRule="auto"/>
        <w:jc w:val="both"/>
        <w:rPr>
          <w:rFonts w:eastAsia="Times New Roman"/>
          <w:b/>
          <w:bCs/>
          <w:color w:val="EE0000"/>
          <w:sz w:val="24"/>
          <w:szCs w:val="24"/>
          <w:highlight w:val="white"/>
        </w:rPr>
      </w:pPr>
      <w:r w:rsidRPr="00477B6C">
        <w:rPr>
          <w:rFonts w:eastAsia="Times New Roman"/>
          <w:b/>
          <w:bCs/>
          <w:sz w:val="24"/>
          <w:szCs w:val="24"/>
        </w:rPr>
        <w:t xml:space="preserve">Nature </w:t>
      </w:r>
      <w:r w:rsidRPr="00477B6C">
        <w:rPr>
          <w:rFonts w:eastAsia="Times New Roman"/>
          <w:b/>
          <w:bCs/>
          <w:sz w:val="24"/>
          <w:szCs w:val="24"/>
          <w:highlight w:val="white"/>
        </w:rPr>
        <w:t xml:space="preserve">and Key Features of </w:t>
      </w:r>
      <w:r w:rsidR="008E7110" w:rsidRPr="00477B6C">
        <w:rPr>
          <w:rFonts w:eastAsia="Times New Roman"/>
          <w:b/>
          <w:bCs/>
          <w:sz w:val="24"/>
          <w:szCs w:val="24"/>
          <w:highlight w:val="white"/>
        </w:rPr>
        <w:t>Digital</w:t>
      </w:r>
      <w:r w:rsidRPr="00477B6C">
        <w:rPr>
          <w:rFonts w:eastAsia="Times New Roman"/>
          <w:b/>
          <w:bCs/>
          <w:sz w:val="24"/>
          <w:szCs w:val="24"/>
          <w:highlight w:val="white"/>
        </w:rPr>
        <w:t xml:space="preserve"> Innovation</w:t>
      </w:r>
      <w:r w:rsidR="009014C7" w:rsidRPr="00477B6C">
        <w:rPr>
          <w:rFonts w:eastAsia="Times New Roman"/>
          <w:b/>
          <w:bCs/>
          <w:sz w:val="24"/>
          <w:szCs w:val="24"/>
          <w:highlight w:val="white"/>
        </w:rPr>
        <w:t xml:space="preserve"> </w:t>
      </w:r>
    </w:p>
    <w:p w14:paraId="6930BDD4" w14:textId="77777777" w:rsidR="00F2594D" w:rsidRPr="009014C7" w:rsidRDefault="00F2594D" w:rsidP="00967DCF">
      <w:pPr>
        <w:spacing w:line="360" w:lineRule="auto"/>
        <w:jc w:val="both"/>
        <w:rPr>
          <w:rFonts w:eastAsia="Times New Roman"/>
          <w:b/>
          <w:bCs/>
          <w:color w:val="EE0000"/>
          <w:sz w:val="24"/>
          <w:szCs w:val="24"/>
          <w:highlight w:val="white"/>
        </w:rPr>
      </w:pPr>
    </w:p>
    <w:p w14:paraId="26EADD72" w14:textId="77777777" w:rsidR="00967DCF" w:rsidRDefault="00967DCF" w:rsidP="00967DCF">
      <w:pPr>
        <w:spacing w:line="360" w:lineRule="auto"/>
        <w:jc w:val="both"/>
        <w:rPr>
          <w:rFonts w:eastAsia="Times New Roman"/>
        </w:rPr>
      </w:pPr>
      <w:r>
        <w:rPr>
          <w:rFonts w:eastAsia="Times New Roman"/>
          <w:highlight w:val="white"/>
        </w:rPr>
        <w:t>NHS Virtual Wards can support the provision of acute care for the patient at the patient's own home without the need for a physical hospital setting or care home</w:t>
      </w:r>
      <w:r w:rsidRPr="00935D37">
        <w:rPr>
          <w:rFonts w:eastAsia="Times New Roman"/>
          <w:highlight w:val="white"/>
        </w:rPr>
        <w:t>. Remote Patient Monitoring</w:t>
      </w:r>
      <w:r>
        <w:rPr>
          <w:rFonts w:eastAsia="Times New Roman"/>
          <w:highlight w:val="white"/>
        </w:rPr>
        <w:t xml:space="preserve"> (RPM): Measurement data will be collected using information from digital devices, applications, and clinical systems. These measurements include oxygen saturation, blood pressure, pulse, temperature, and other vital signs. According to NHS England, virtual wards should be considered to make remote monitoring and clinical decision-making possible, with home visits when required (</w:t>
      </w:r>
      <w:proofErr w:type="spellStart"/>
      <w:r>
        <w:rPr>
          <w:rFonts w:eastAsia="Times New Roman"/>
          <w:highlight w:val="white"/>
        </w:rPr>
        <w:t>Kaihlanen</w:t>
      </w:r>
      <w:proofErr w:type="spellEnd"/>
      <w:r>
        <w:rPr>
          <w:rFonts w:eastAsia="Times New Roman"/>
          <w:highlight w:val="white"/>
        </w:rPr>
        <w:t xml:space="preserve"> </w:t>
      </w:r>
      <w:r>
        <w:rPr>
          <w:rFonts w:eastAsia="Times New Roman"/>
          <w:i/>
          <w:iCs/>
          <w:highlight w:val="white"/>
        </w:rPr>
        <w:t>et al</w:t>
      </w:r>
      <w:r>
        <w:rPr>
          <w:rFonts w:eastAsia="Times New Roman"/>
          <w:highlight w:val="white"/>
        </w:rPr>
        <w:t>., 2025). Respiratory illness and heart failure/frailty are suitable p</w:t>
      </w:r>
      <w:r>
        <w:rPr>
          <w:rFonts w:eastAsia="Times New Roman"/>
        </w:rPr>
        <w:t>athways. This model may help cut down on patients' exposure to unnecessary hospital settings and keep patient care as close as possible to patients' daily activities.</w:t>
      </w:r>
    </w:p>
    <w:p w14:paraId="1B3E2D3E" w14:textId="19DBE7FB" w:rsidR="00967DCF" w:rsidRDefault="00967DCF" w:rsidP="00967DCF">
      <w:pPr>
        <w:spacing w:line="360" w:lineRule="auto"/>
        <w:jc w:val="both"/>
        <w:rPr>
          <w:rFonts w:eastAsia="Times New Roman"/>
        </w:rPr>
      </w:pPr>
      <w:r>
        <w:rPr>
          <w:rFonts w:eastAsia="Times New Roman"/>
          <w:noProof/>
        </w:rPr>
        <w:lastRenderedPageBreak/>
        <w:drawing>
          <wp:inline distT="0" distB="0" distL="0" distR="0" wp14:anchorId="1A97A336" wp14:editId="66A317FB">
            <wp:extent cx="5722620" cy="2857500"/>
            <wp:effectExtent l="0" t="0" r="0" b="0"/>
            <wp:docPr id="15825860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2620" cy="2857500"/>
                    </a:xfrm>
                    <a:prstGeom prst="rect">
                      <a:avLst/>
                    </a:prstGeom>
                    <a:noFill/>
                    <a:ln>
                      <a:noFill/>
                    </a:ln>
                  </pic:spPr>
                </pic:pic>
              </a:graphicData>
            </a:graphic>
          </wp:inline>
        </w:drawing>
      </w:r>
    </w:p>
    <w:p w14:paraId="265C661D" w14:textId="534F7ADA" w:rsidR="005B2E91" w:rsidRPr="008E490C" w:rsidRDefault="00967DCF" w:rsidP="001A0C54">
      <w:pPr>
        <w:spacing w:line="360" w:lineRule="auto"/>
        <w:jc w:val="center"/>
        <w:rPr>
          <w:rFonts w:eastAsia="Times New Roman"/>
        </w:rPr>
      </w:pPr>
      <w:r>
        <w:rPr>
          <w:rFonts w:eastAsia="Times New Roman"/>
          <w:b/>
          <w:bCs/>
        </w:rPr>
        <w:t>Figure</w:t>
      </w:r>
      <w:r w:rsidR="00D21A79">
        <w:rPr>
          <w:rFonts w:eastAsia="Times New Roman"/>
          <w:b/>
          <w:bCs/>
        </w:rPr>
        <w:t xml:space="preserve"> 1</w:t>
      </w:r>
      <w:r>
        <w:rPr>
          <w:rFonts w:eastAsia="Times New Roman"/>
          <w:b/>
          <w:bCs/>
        </w:rPr>
        <w:t>: The way the NHS Virtual Wards and Remote Patient Monitoring system works</w:t>
      </w:r>
      <w:r w:rsidR="005B2E91">
        <w:rPr>
          <w:rFonts w:eastAsia="Times New Roman"/>
          <w:b/>
          <w:bCs/>
        </w:rPr>
        <w:t xml:space="preserve"> </w:t>
      </w:r>
      <w:r w:rsidRPr="005B2E91">
        <w:rPr>
          <w:rFonts w:eastAsia="Times New Roman"/>
          <w:b/>
          <w:bCs/>
        </w:rPr>
        <w:t>(</w:t>
      </w:r>
      <w:proofErr w:type="spellStart"/>
      <w:r w:rsidRPr="005B2E91">
        <w:rPr>
          <w:rFonts w:eastAsia="Times New Roman"/>
          <w:b/>
          <w:bCs/>
        </w:rPr>
        <w:t>IDSLogic</w:t>
      </w:r>
      <w:proofErr w:type="spellEnd"/>
      <w:r w:rsidRPr="005B2E91">
        <w:rPr>
          <w:rFonts w:eastAsia="Times New Roman"/>
          <w:b/>
          <w:bCs/>
        </w:rPr>
        <w:t>, 2024)</w:t>
      </w:r>
      <w:r w:rsidR="005B2E91" w:rsidRPr="005B2E91">
        <w:rPr>
          <w:rFonts w:eastAsia="Times New Roman"/>
          <w:b/>
          <w:bCs/>
        </w:rPr>
        <w:t>.</w:t>
      </w:r>
    </w:p>
    <w:p w14:paraId="7F180F0F" w14:textId="16D4AE1E" w:rsidR="00967DCF" w:rsidRDefault="00967DCF" w:rsidP="00D856FA">
      <w:pPr>
        <w:pStyle w:val="Heading2"/>
        <w:numPr>
          <w:ilvl w:val="0"/>
          <w:numId w:val="4"/>
        </w:numPr>
        <w:rPr>
          <w:rFonts w:eastAsia="Times New Roman"/>
          <w:color w:val="EE0000"/>
          <w:sz w:val="24"/>
          <w:szCs w:val="24"/>
        </w:rPr>
      </w:pPr>
      <w:r w:rsidRPr="001F1BD5">
        <w:rPr>
          <w:rFonts w:eastAsia="Times New Roman"/>
          <w:b/>
          <w:bCs/>
          <w:color w:val="auto"/>
          <w:sz w:val="24"/>
          <w:szCs w:val="24"/>
        </w:rPr>
        <w:t>Implementation</w:t>
      </w:r>
      <w:r w:rsidRPr="00023156">
        <w:rPr>
          <w:rFonts w:eastAsia="Times New Roman"/>
          <w:b/>
          <w:bCs/>
          <w:color w:val="auto"/>
        </w:rPr>
        <w:t xml:space="preserve"> </w:t>
      </w:r>
      <w:r w:rsidRPr="001F1BD5">
        <w:rPr>
          <w:rFonts w:eastAsia="Times New Roman"/>
          <w:b/>
          <w:bCs/>
          <w:color w:val="auto"/>
          <w:sz w:val="24"/>
          <w:szCs w:val="24"/>
        </w:rPr>
        <w:t>within UK Health and Social Care</w:t>
      </w:r>
      <w:r w:rsidR="00B90F9F" w:rsidRPr="00BC6CCC">
        <w:rPr>
          <w:rFonts w:eastAsia="Times New Roman"/>
          <w:color w:val="auto"/>
          <w:sz w:val="24"/>
          <w:szCs w:val="24"/>
        </w:rPr>
        <w:t xml:space="preserve"> </w:t>
      </w:r>
    </w:p>
    <w:p w14:paraId="7D34634B" w14:textId="77777777" w:rsidR="00F2594D" w:rsidRPr="00F2594D" w:rsidRDefault="00F2594D" w:rsidP="00F2594D"/>
    <w:p w14:paraId="27E95D76" w14:textId="77777777" w:rsidR="002E0DFA" w:rsidRDefault="00967DCF" w:rsidP="002E0DFA">
      <w:pPr>
        <w:spacing w:line="360" w:lineRule="auto"/>
        <w:jc w:val="both"/>
        <w:rPr>
          <w:rFonts w:eastAsia="Times New Roman"/>
        </w:rPr>
      </w:pPr>
      <w:r>
        <w:rPr>
          <w:rFonts w:eastAsia="Times New Roman"/>
        </w:rPr>
        <w:t>Implementation has been spreading across England via hospitals, community teams, GPs, care homes and Integrated Care Boards (ICBs). The operational framework for NHS England in 2024 includes virtual wards as one of the elements that will help slow the speed of admission into hospital and help discharge people earlier, while keeping occupancy above 80% (</w:t>
      </w:r>
      <w:proofErr w:type="spellStart"/>
      <w:r>
        <w:rPr>
          <w:rFonts w:eastAsia="Times New Roman"/>
        </w:rPr>
        <w:t>Picón</w:t>
      </w:r>
      <w:proofErr w:type="spellEnd"/>
      <w:r>
        <w:rPr>
          <w:rFonts w:eastAsia="Times New Roman"/>
        </w:rPr>
        <w:t xml:space="preserve">-Jaimes, 2024). The national collection of a Virtual Wards Minimum Data Set began in 2024 and serves a variety of purposes, including capacity, use, and patient pathways. But there is now evidence that pressures in hospital beds have not necessarily reduced </w:t>
      </w:r>
      <w:r w:rsidR="00E07C58">
        <w:rPr>
          <w:rFonts w:eastAsia="Times New Roman"/>
        </w:rPr>
        <w:t>because of</w:t>
      </w:r>
      <w:r>
        <w:rPr>
          <w:rFonts w:eastAsia="Times New Roman"/>
        </w:rPr>
        <w:t xml:space="preserve"> the measure, as it is not always clear if the patients would have had to be admitted otherwise (</w:t>
      </w:r>
      <w:proofErr w:type="spellStart"/>
      <w:r>
        <w:rPr>
          <w:rFonts w:eastAsia="Times New Roman"/>
        </w:rPr>
        <w:t>Stoumpos</w:t>
      </w:r>
      <w:proofErr w:type="spellEnd"/>
      <w:r>
        <w:rPr>
          <w:rFonts w:eastAsia="Times New Roman"/>
        </w:rPr>
        <w:t xml:space="preserve"> </w:t>
      </w:r>
      <w:r>
        <w:rPr>
          <w:rFonts w:eastAsia="Times New Roman"/>
          <w:i/>
          <w:iCs/>
        </w:rPr>
        <w:t>et al</w:t>
      </w:r>
      <w:r>
        <w:rPr>
          <w:rFonts w:eastAsia="Times New Roman"/>
        </w:rPr>
        <w:t>., 2023).</w:t>
      </w:r>
    </w:p>
    <w:p w14:paraId="004C9EB0" w14:textId="77777777" w:rsidR="002E0DFA" w:rsidRDefault="002E0DFA" w:rsidP="002E0DFA">
      <w:pPr>
        <w:spacing w:line="360" w:lineRule="auto"/>
        <w:jc w:val="both"/>
        <w:rPr>
          <w:rFonts w:eastAsia="Times New Roman"/>
        </w:rPr>
      </w:pPr>
    </w:p>
    <w:p w14:paraId="71BB59EE" w14:textId="3EB3518F" w:rsidR="00967DCF" w:rsidRPr="00A2328E" w:rsidRDefault="00967DCF" w:rsidP="00A2328E">
      <w:pPr>
        <w:pStyle w:val="ListParagraph"/>
        <w:numPr>
          <w:ilvl w:val="0"/>
          <w:numId w:val="5"/>
        </w:numPr>
        <w:spacing w:line="360" w:lineRule="auto"/>
        <w:jc w:val="both"/>
        <w:rPr>
          <w:rFonts w:eastAsia="Times New Roman"/>
        </w:rPr>
      </w:pPr>
      <w:r w:rsidRPr="00A2328E">
        <w:rPr>
          <w:rFonts w:eastAsia="Times New Roman"/>
          <w:b/>
          <w:bCs/>
          <w:color w:val="000000" w:themeColor="text1"/>
          <w:sz w:val="24"/>
          <w:szCs w:val="24"/>
        </w:rPr>
        <w:t>R</w:t>
      </w:r>
      <w:r w:rsidRPr="00A2328E">
        <w:rPr>
          <w:rFonts w:eastAsia="Times New Roman"/>
          <w:b/>
          <w:bCs/>
          <w:color w:val="000000" w:themeColor="text1"/>
          <w:sz w:val="24"/>
          <w:szCs w:val="24"/>
          <w:highlight w:val="white"/>
        </w:rPr>
        <w:t>elevant UK Policy, Standards and Regulatory Context</w:t>
      </w:r>
    </w:p>
    <w:p w14:paraId="6F5911F7" w14:textId="77777777" w:rsidR="00616F6A" w:rsidRPr="00616F6A" w:rsidRDefault="00616F6A" w:rsidP="00616F6A">
      <w:pPr>
        <w:rPr>
          <w:highlight w:val="white"/>
        </w:rPr>
      </w:pPr>
    </w:p>
    <w:p w14:paraId="3B75FFE3" w14:textId="77777777" w:rsidR="00967DCF" w:rsidRDefault="00967DCF" w:rsidP="00967DCF">
      <w:pPr>
        <w:spacing w:line="360" w:lineRule="auto"/>
        <w:jc w:val="both"/>
        <w:rPr>
          <w:rFonts w:eastAsia="Times New Roman"/>
          <w:highlight w:val="white"/>
        </w:rPr>
      </w:pPr>
      <w:r>
        <w:rPr>
          <w:rFonts w:eastAsia="Times New Roman"/>
          <w:highlight w:val="white"/>
        </w:rPr>
        <w:t xml:space="preserve">It reflects the 2022 A Plan for Digital Health and Social Care that advocated for virtual wards and home monitoring (Iyanna </w:t>
      </w:r>
      <w:r>
        <w:rPr>
          <w:rFonts w:eastAsia="Times New Roman"/>
          <w:i/>
          <w:iCs/>
          <w:highlight w:val="white"/>
        </w:rPr>
        <w:t>et al</w:t>
      </w:r>
      <w:r>
        <w:rPr>
          <w:rFonts w:eastAsia="Times New Roman"/>
          <w:highlight w:val="white"/>
        </w:rPr>
        <w:t xml:space="preserve">., 2022). It is necessary to submit data protection impact assessments, data sharing agreements, and privacy notices to NHS England. The </w:t>
      </w:r>
      <w:r>
        <w:rPr>
          <w:rFonts w:eastAsia="Times New Roman"/>
          <w:i/>
          <w:iCs/>
          <w:highlight w:val="white"/>
        </w:rPr>
        <w:t xml:space="preserve">GDPR </w:t>
      </w:r>
      <w:r>
        <w:rPr>
          <w:rFonts w:eastAsia="Times New Roman"/>
          <w:highlight w:val="white"/>
        </w:rPr>
        <w:t>and</w:t>
      </w:r>
      <w:r>
        <w:rPr>
          <w:rFonts w:eastAsia="Times New Roman"/>
          <w:i/>
          <w:iCs/>
          <w:highlight w:val="white"/>
        </w:rPr>
        <w:t xml:space="preserve"> Data Protection Act 2018</w:t>
      </w:r>
      <w:r>
        <w:rPr>
          <w:rFonts w:eastAsia="Times New Roman"/>
          <w:highlight w:val="white"/>
        </w:rPr>
        <w:t xml:space="preserve"> in the United Kingdom apply to private patient health information.</w:t>
      </w:r>
    </w:p>
    <w:p w14:paraId="3F0852A0" w14:textId="77777777" w:rsidR="00FB12C5" w:rsidRDefault="00FB12C5" w:rsidP="00967DCF">
      <w:pPr>
        <w:spacing w:line="360" w:lineRule="auto"/>
        <w:jc w:val="both"/>
        <w:rPr>
          <w:rFonts w:eastAsia="Times New Roman"/>
          <w:b/>
          <w:bCs/>
          <w:i/>
          <w:iCs/>
          <w:highlight w:val="white"/>
        </w:rPr>
      </w:pPr>
    </w:p>
    <w:p w14:paraId="217F6F99" w14:textId="77777777" w:rsidR="001B406D" w:rsidRDefault="001B406D" w:rsidP="00967DCF">
      <w:pPr>
        <w:spacing w:line="360" w:lineRule="auto"/>
        <w:jc w:val="both"/>
        <w:rPr>
          <w:rFonts w:eastAsia="Times New Roman"/>
          <w:b/>
          <w:bCs/>
          <w:i/>
          <w:iCs/>
          <w:highlight w:val="white"/>
        </w:rPr>
      </w:pPr>
    </w:p>
    <w:p w14:paraId="78098587" w14:textId="77777777" w:rsidR="001B406D" w:rsidRDefault="001B406D" w:rsidP="00967DCF">
      <w:pPr>
        <w:spacing w:line="360" w:lineRule="auto"/>
        <w:jc w:val="both"/>
        <w:rPr>
          <w:rFonts w:eastAsia="Times New Roman"/>
          <w:b/>
          <w:bCs/>
          <w:i/>
          <w:iCs/>
          <w:highlight w:val="white"/>
        </w:rPr>
      </w:pPr>
    </w:p>
    <w:p w14:paraId="49518EA9" w14:textId="74A30C84" w:rsidR="00BE14EF" w:rsidRDefault="00967DCF" w:rsidP="00E7402D">
      <w:pPr>
        <w:pStyle w:val="Heading1"/>
        <w:numPr>
          <w:ilvl w:val="0"/>
          <w:numId w:val="2"/>
        </w:numPr>
        <w:rPr>
          <w:rFonts w:ascii="Arial" w:eastAsia="Arial" w:hAnsi="Arial" w:cs="Arial"/>
          <w:b/>
          <w:bCs/>
          <w:color w:val="000000" w:themeColor="text1"/>
          <w:sz w:val="28"/>
          <w:szCs w:val="28"/>
        </w:rPr>
      </w:pPr>
      <w:bookmarkStart w:id="2" w:name="_Toc241140344"/>
      <w:r w:rsidRPr="002967DA">
        <w:rPr>
          <w:rFonts w:ascii="Arial" w:eastAsia="Arial" w:hAnsi="Arial" w:cs="Arial"/>
          <w:b/>
          <w:bCs/>
          <w:color w:val="000000" w:themeColor="text1"/>
          <w:sz w:val="28"/>
          <w:szCs w:val="28"/>
        </w:rPr>
        <w:lastRenderedPageBreak/>
        <w:t>Impact on the Health and Social Care Workforc</w:t>
      </w:r>
      <w:bookmarkEnd w:id="2"/>
      <w:r w:rsidR="00E7402D">
        <w:rPr>
          <w:rFonts w:ascii="Arial" w:eastAsia="Arial" w:hAnsi="Arial" w:cs="Arial"/>
          <w:b/>
          <w:bCs/>
          <w:color w:val="000000" w:themeColor="text1"/>
          <w:sz w:val="28"/>
          <w:szCs w:val="28"/>
        </w:rPr>
        <w:t>e</w:t>
      </w:r>
    </w:p>
    <w:p w14:paraId="74BC3DFD" w14:textId="77777777" w:rsidR="00E7402D" w:rsidRPr="00E7402D" w:rsidRDefault="00E7402D" w:rsidP="00E7402D">
      <w:pPr>
        <w:pStyle w:val="ListParagraph"/>
      </w:pPr>
    </w:p>
    <w:p w14:paraId="15E9405B" w14:textId="1627CC7F" w:rsidR="00616F6A" w:rsidRPr="00553106" w:rsidRDefault="00967DCF" w:rsidP="00553106">
      <w:pPr>
        <w:pStyle w:val="ListParagraph"/>
        <w:numPr>
          <w:ilvl w:val="0"/>
          <w:numId w:val="6"/>
        </w:numPr>
        <w:spacing w:line="360" w:lineRule="auto"/>
        <w:jc w:val="both"/>
        <w:rPr>
          <w:rFonts w:eastAsia="Times New Roman"/>
          <w:b/>
          <w:bCs/>
          <w:sz w:val="24"/>
          <w:szCs w:val="24"/>
          <w:highlight w:val="white"/>
        </w:rPr>
      </w:pPr>
      <w:r w:rsidRPr="00553106">
        <w:rPr>
          <w:rFonts w:eastAsia="Times New Roman"/>
          <w:b/>
          <w:bCs/>
          <w:sz w:val="24"/>
          <w:szCs w:val="24"/>
        </w:rPr>
        <w:t>Changes in Profession</w:t>
      </w:r>
      <w:r w:rsidRPr="00553106">
        <w:rPr>
          <w:rFonts w:eastAsia="Times New Roman"/>
          <w:b/>
          <w:bCs/>
          <w:sz w:val="24"/>
          <w:szCs w:val="24"/>
          <w:highlight w:val="white"/>
        </w:rPr>
        <w:t>al Roles and Responsibilities</w:t>
      </w:r>
    </w:p>
    <w:p w14:paraId="5BD6E296" w14:textId="77777777" w:rsidR="00BE14EF" w:rsidRPr="003D091A" w:rsidRDefault="00BE14EF" w:rsidP="00967DCF">
      <w:pPr>
        <w:spacing w:line="360" w:lineRule="auto"/>
        <w:jc w:val="both"/>
        <w:rPr>
          <w:rFonts w:eastAsia="Times New Roman"/>
          <w:b/>
          <w:bCs/>
          <w:sz w:val="24"/>
          <w:szCs w:val="24"/>
          <w:highlight w:val="white"/>
        </w:rPr>
      </w:pPr>
    </w:p>
    <w:p w14:paraId="46C7CE4F" w14:textId="77777777" w:rsidR="00967DCF" w:rsidRDefault="00967DCF" w:rsidP="00967DCF">
      <w:pPr>
        <w:spacing w:line="360" w:lineRule="auto"/>
        <w:jc w:val="both"/>
        <w:rPr>
          <w:rFonts w:eastAsia="Times New Roman"/>
        </w:rPr>
      </w:pPr>
      <w:r>
        <w:rPr>
          <w:rFonts w:eastAsia="Times New Roman"/>
          <w:highlight w:val="white"/>
        </w:rPr>
        <w:t xml:space="preserve">NHS Virtual Wards move professional practice from a hospital environment to care coordination at home. The patient is assessed remotely using either video or telephone consultations, as well as home visits, by nurses, doctors, and </w:t>
      </w:r>
      <w:r w:rsidRPr="001F65BE">
        <w:rPr>
          <w:rFonts w:eastAsia="Times New Roman"/>
          <w:b/>
          <w:bCs/>
          <w:highlight w:val="white"/>
        </w:rPr>
        <w:t>Allied Health Professionals</w:t>
      </w:r>
      <w:r>
        <w:rPr>
          <w:rFonts w:eastAsia="Times New Roman"/>
          <w:highlight w:val="white"/>
        </w:rPr>
        <w:t xml:space="preserve"> (AHPs). In addition, the multidisciplinary team can perform blood tests, administer drugs, give IV therapy, and monitor the patient's progress remotely (Abou Hashish and Alnajjar, 2024). NHS England guidance also states that there needs to be a named clinical lead and adequate staffing to enable delivery to be safe. Thus, there is a need to enhance the rate of coordination, escalation, and home care from professionals.</w:t>
      </w:r>
    </w:p>
    <w:p w14:paraId="1CEB09D5" w14:textId="77777777" w:rsidR="00553106" w:rsidRDefault="00553106" w:rsidP="00967DCF">
      <w:pPr>
        <w:spacing w:line="360" w:lineRule="auto"/>
        <w:jc w:val="both"/>
        <w:rPr>
          <w:rFonts w:eastAsia="Times New Roman"/>
          <w:b/>
          <w:bCs/>
          <w:sz w:val="24"/>
          <w:szCs w:val="24"/>
        </w:rPr>
      </w:pPr>
    </w:p>
    <w:p w14:paraId="7A429512" w14:textId="544CAF39" w:rsidR="00967DCF" w:rsidRPr="00553106" w:rsidRDefault="00967DCF" w:rsidP="00553106">
      <w:pPr>
        <w:pStyle w:val="ListParagraph"/>
        <w:numPr>
          <w:ilvl w:val="0"/>
          <w:numId w:val="6"/>
        </w:numPr>
        <w:spacing w:line="360" w:lineRule="auto"/>
        <w:jc w:val="both"/>
        <w:rPr>
          <w:rFonts w:eastAsia="Times New Roman"/>
          <w:b/>
          <w:bCs/>
          <w:sz w:val="24"/>
          <w:szCs w:val="24"/>
        </w:rPr>
      </w:pPr>
      <w:r w:rsidRPr="00553106">
        <w:rPr>
          <w:rFonts w:eastAsia="Times New Roman"/>
          <w:b/>
          <w:bCs/>
          <w:sz w:val="24"/>
          <w:szCs w:val="24"/>
        </w:rPr>
        <w:t>Digital Skills, Training and Role Competency</w:t>
      </w:r>
    </w:p>
    <w:p w14:paraId="0618E917" w14:textId="77777777" w:rsidR="00616F6A" w:rsidRPr="00DD3DE1" w:rsidRDefault="00616F6A" w:rsidP="00967DCF">
      <w:pPr>
        <w:spacing w:line="360" w:lineRule="auto"/>
        <w:jc w:val="both"/>
        <w:rPr>
          <w:rFonts w:eastAsia="Times New Roman"/>
          <w:sz w:val="24"/>
          <w:szCs w:val="24"/>
        </w:rPr>
      </w:pPr>
    </w:p>
    <w:p w14:paraId="675DD4B7" w14:textId="5A7AFAC8" w:rsidR="00967DCF" w:rsidRDefault="00967DCF" w:rsidP="00967DCF">
      <w:pPr>
        <w:spacing w:line="360" w:lineRule="auto"/>
        <w:jc w:val="both"/>
        <w:rPr>
          <w:rFonts w:eastAsia="Times New Roman"/>
        </w:rPr>
      </w:pPr>
      <w:r>
        <w:rPr>
          <w:rFonts w:eastAsia="Times New Roman"/>
        </w:rPr>
        <w:t xml:space="preserve">The role of digital literacy becomes essential for employees who work remotely. People need to possess knowledge concerning surveillance techniques, digital skills, patient information, escalation of cases, and risks brought by technology (Lee </w:t>
      </w:r>
      <w:r>
        <w:rPr>
          <w:rFonts w:eastAsia="Times New Roman"/>
          <w:i/>
          <w:iCs/>
        </w:rPr>
        <w:t>et al</w:t>
      </w:r>
      <w:r>
        <w:rPr>
          <w:rFonts w:eastAsia="Times New Roman"/>
        </w:rPr>
        <w:t xml:space="preserve">., 2023). NHS England demands training on technology that is related to individual roles, SOPs, and assistance to patients. It will improve employees' self-confidence. However, it is important to provide sufficient time and adequate resources for training. The employees might experience uncertainties about using </w:t>
      </w:r>
      <w:r w:rsidR="00FD0D57">
        <w:rPr>
          <w:rFonts w:eastAsia="Times New Roman"/>
        </w:rPr>
        <w:t>technology</w:t>
      </w:r>
      <w:r>
        <w:rPr>
          <w:rFonts w:eastAsia="Times New Roman"/>
        </w:rPr>
        <w:t xml:space="preserve"> because of difficulties with their use. The </w:t>
      </w:r>
      <w:r w:rsidR="00FD0D57">
        <w:rPr>
          <w:rFonts w:eastAsia="Times New Roman"/>
        </w:rPr>
        <w:t>under confidence</w:t>
      </w:r>
      <w:r>
        <w:rPr>
          <w:rFonts w:eastAsia="Times New Roman"/>
        </w:rPr>
        <w:t xml:space="preserve"> in current practice among the staff went unnoticed in the </w:t>
      </w:r>
      <w:r w:rsidR="00616F6A">
        <w:rPr>
          <w:rFonts w:eastAsia="Times New Roman"/>
        </w:rPr>
        <w:t>Southeast</w:t>
      </w:r>
      <w:r>
        <w:rPr>
          <w:rFonts w:eastAsia="Times New Roman"/>
        </w:rPr>
        <w:t xml:space="preserve"> case study (Longhini </w:t>
      </w:r>
      <w:r>
        <w:rPr>
          <w:rFonts w:eastAsia="Times New Roman"/>
          <w:i/>
          <w:iCs/>
        </w:rPr>
        <w:t>et al</w:t>
      </w:r>
      <w:r>
        <w:rPr>
          <w:rFonts w:eastAsia="Times New Roman"/>
        </w:rPr>
        <w:t>., 2022).</w:t>
      </w:r>
    </w:p>
    <w:p w14:paraId="01405F0D" w14:textId="77777777" w:rsidR="00F73A75" w:rsidRDefault="00F73A75" w:rsidP="00967DCF">
      <w:pPr>
        <w:spacing w:line="360" w:lineRule="auto"/>
        <w:jc w:val="both"/>
        <w:rPr>
          <w:rFonts w:eastAsia="Times New Roman"/>
        </w:rPr>
      </w:pPr>
    </w:p>
    <w:p w14:paraId="15B65004" w14:textId="4A42AD85" w:rsidR="00967DCF" w:rsidRPr="00553106" w:rsidRDefault="00967DCF" w:rsidP="00553106">
      <w:pPr>
        <w:pStyle w:val="ListParagraph"/>
        <w:numPr>
          <w:ilvl w:val="0"/>
          <w:numId w:val="6"/>
        </w:numPr>
        <w:spacing w:line="360" w:lineRule="auto"/>
        <w:jc w:val="both"/>
        <w:rPr>
          <w:rFonts w:eastAsia="Times New Roman"/>
          <w:b/>
          <w:bCs/>
          <w:sz w:val="24"/>
          <w:szCs w:val="24"/>
        </w:rPr>
      </w:pPr>
      <w:r w:rsidRPr="00553106">
        <w:rPr>
          <w:rFonts w:eastAsia="Times New Roman"/>
          <w:b/>
          <w:bCs/>
          <w:sz w:val="24"/>
          <w:szCs w:val="24"/>
        </w:rPr>
        <w:t>Benefits for Workforce Efficiency and Clinical Practice</w:t>
      </w:r>
    </w:p>
    <w:p w14:paraId="3286F074" w14:textId="77777777" w:rsidR="00616F6A" w:rsidRPr="00DD3DE1" w:rsidRDefault="00616F6A" w:rsidP="00967DCF">
      <w:pPr>
        <w:spacing w:line="360" w:lineRule="auto"/>
        <w:jc w:val="both"/>
        <w:rPr>
          <w:rFonts w:eastAsia="Times New Roman"/>
          <w:sz w:val="24"/>
          <w:szCs w:val="24"/>
        </w:rPr>
      </w:pPr>
    </w:p>
    <w:p w14:paraId="0E2873A3" w14:textId="76AD0959" w:rsidR="00967DCF" w:rsidRDefault="00967DCF" w:rsidP="00967DCF">
      <w:pPr>
        <w:spacing w:line="360" w:lineRule="auto"/>
        <w:jc w:val="both"/>
        <w:rPr>
          <w:rFonts w:eastAsia="Times New Roman"/>
        </w:rPr>
      </w:pPr>
      <w:r>
        <w:rPr>
          <w:rFonts w:eastAsia="Times New Roman"/>
        </w:rPr>
        <w:t xml:space="preserve">Remote access to clinical information is possible, meaning that it does not necessarily mean that the individual needs to stay at the hospital throughout the day. Evidence proves that remote monitoring technology can provide information for decision-making processes and reduce the workload, according to NHS England (Berardi </w:t>
      </w:r>
      <w:r>
        <w:rPr>
          <w:rFonts w:eastAsia="Times New Roman"/>
          <w:i/>
          <w:iCs/>
        </w:rPr>
        <w:t>et al.</w:t>
      </w:r>
      <w:r>
        <w:rPr>
          <w:rFonts w:eastAsia="Times New Roman"/>
        </w:rPr>
        <w:t xml:space="preserve">, 2024). The NHS has distributed more than 1 million pulse oximeters under its monitoring program from November 2020 to March 2023. Benefits in terms of cost savings and reduction in hospital admissions were also observed in all 29 virtual wards of the </w:t>
      </w:r>
      <w:r w:rsidR="00FD0D57">
        <w:rPr>
          <w:rFonts w:eastAsia="Times New Roman"/>
        </w:rPr>
        <w:t>Southeast</w:t>
      </w:r>
      <w:r>
        <w:rPr>
          <w:rFonts w:eastAsia="Times New Roman"/>
        </w:rPr>
        <w:t>.</w:t>
      </w:r>
    </w:p>
    <w:p w14:paraId="7FD7CE44" w14:textId="77777777" w:rsidR="00F73A75" w:rsidRDefault="00F73A75" w:rsidP="00967DCF">
      <w:pPr>
        <w:spacing w:line="360" w:lineRule="auto"/>
        <w:jc w:val="both"/>
        <w:rPr>
          <w:rFonts w:eastAsia="Times New Roman"/>
          <w:b/>
          <w:bCs/>
          <w:i/>
          <w:iCs/>
        </w:rPr>
      </w:pPr>
    </w:p>
    <w:p w14:paraId="6CC2A182" w14:textId="77777777" w:rsidR="00616F6A" w:rsidRDefault="00616F6A" w:rsidP="00967DCF">
      <w:pPr>
        <w:spacing w:line="360" w:lineRule="auto"/>
        <w:jc w:val="both"/>
        <w:rPr>
          <w:rFonts w:eastAsia="Times New Roman"/>
          <w:b/>
          <w:bCs/>
          <w:sz w:val="24"/>
          <w:szCs w:val="24"/>
        </w:rPr>
      </w:pPr>
    </w:p>
    <w:p w14:paraId="40E8E0F3" w14:textId="4A980C3C" w:rsidR="00967DCF" w:rsidRPr="00ED39E5" w:rsidRDefault="00967DCF" w:rsidP="00ED39E5">
      <w:pPr>
        <w:pStyle w:val="ListParagraph"/>
        <w:numPr>
          <w:ilvl w:val="0"/>
          <w:numId w:val="6"/>
        </w:numPr>
        <w:spacing w:line="360" w:lineRule="auto"/>
        <w:jc w:val="both"/>
        <w:rPr>
          <w:rFonts w:eastAsia="Times New Roman"/>
          <w:b/>
          <w:bCs/>
          <w:sz w:val="24"/>
          <w:szCs w:val="24"/>
        </w:rPr>
      </w:pPr>
      <w:r w:rsidRPr="00ED39E5">
        <w:rPr>
          <w:rFonts w:eastAsia="Times New Roman"/>
          <w:b/>
          <w:bCs/>
          <w:sz w:val="24"/>
          <w:szCs w:val="24"/>
        </w:rPr>
        <w:lastRenderedPageBreak/>
        <w:t>Workforce Challenges and Limitations</w:t>
      </w:r>
    </w:p>
    <w:p w14:paraId="4ACAC81C" w14:textId="77777777" w:rsidR="00616F6A" w:rsidRPr="00DD3DE1" w:rsidRDefault="00616F6A" w:rsidP="00967DCF">
      <w:pPr>
        <w:spacing w:line="360" w:lineRule="auto"/>
        <w:jc w:val="both"/>
        <w:rPr>
          <w:rFonts w:eastAsia="Times New Roman"/>
          <w:b/>
          <w:bCs/>
          <w:sz w:val="24"/>
          <w:szCs w:val="24"/>
        </w:rPr>
      </w:pPr>
    </w:p>
    <w:p w14:paraId="410A8E9D" w14:textId="77777777" w:rsidR="00967DCF" w:rsidRDefault="00967DCF" w:rsidP="00967DCF">
      <w:pPr>
        <w:spacing w:line="360" w:lineRule="auto"/>
        <w:jc w:val="both"/>
        <w:rPr>
          <w:rFonts w:eastAsia="Times New Roman"/>
        </w:rPr>
      </w:pPr>
      <w:r>
        <w:rPr>
          <w:rFonts w:eastAsia="Times New Roman"/>
        </w:rPr>
        <w:t xml:space="preserve">Virtual wards do not, however, necessarily lower workload. Staff can perform patient management at multiple locations, completing the digital documentation and responding to alerts (Alotaibi </w:t>
      </w:r>
      <w:r>
        <w:rPr>
          <w:rFonts w:eastAsia="Times New Roman"/>
          <w:i/>
          <w:iCs/>
        </w:rPr>
        <w:t>et al</w:t>
      </w:r>
      <w:r>
        <w:rPr>
          <w:rFonts w:eastAsia="Times New Roman"/>
        </w:rPr>
        <w:t>., 2025). NHS England reported that a lack of funding may lead to recruitment challenges and staff being overworked. It can also be a barrier to communication between the provider(s) and GP(s) if systems are not aligned.</w:t>
      </w:r>
    </w:p>
    <w:p w14:paraId="46A67222" w14:textId="77777777" w:rsidR="00F73A75" w:rsidRDefault="00F73A75" w:rsidP="00967DCF">
      <w:pPr>
        <w:spacing w:line="360" w:lineRule="auto"/>
        <w:jc w:val="both"/>
        <w:rPr>
          <w:rFonts w:eastAsia="Times New Roman"/>
        </w:rPr>
      </w:pPr>
    </w:p>
    <w:p w14:paraId="4D0DE9B0" w14:textId="4021C07B" w:rsidR="00967DCF" w:rsidRPr="00ED39E5" w:rsidRDefault="00967DCF" w:rsidP="00ED39E5">
      <w:pPr>
        <w:pStyle w:val="ListParagraph"/>
        <w:numPr>
          <w:ilvl w:val="0"/>
          <w:numId w:val="6"/>
        </w:numPr>
        <w:spacing w:line="360" w:lineRule="auto"/>
        <w:jc w:val="both"/>
        <w:rPr>
          <w:rFonts w:eastAsia="Times New Roman"/>
          <w:b/>
          <w:bCs/>
          <w:sz w:val="24"/>
          <w:szCs w:val="24"/>
        </w:rPr>
      </w:pPr>
      <w:r w:rsidRPr="00ED39E5">
        <w:rPr>
          <w:rFonts w:eastAsia="Times New Roman"/>
          <w:b/>
          <w:bCs/>
          <w:sz w:val="24"/>
          <w:szCs w:val="24"/>
        </w:rPr>
        <w:t>Critical Evaluation of Workforce Impact</w:t>
      </w:r>
    </w:p>
    <w:p w14:paraId="7D749EB8" w14:textId="77777777" w:rsidR="00616F6A" w:rsidRPr="001F65BE" w:rsidRDefault="00616F6A" w:rsidP="00967DCF">
      <w:pPr>
        <w:spacing w:line="360" w:lineRule="auto"/>
        <w:jc w:val="both"/>
        <w:rPr>
          <w:rFonts w:eastAsia="Times New Roman"/>
        </w:rPr>
      </w:pPr>
    </w:p>
    <w:p w14:paraId="29CAD7CF" w14:textId="77777777" w:rsidR="00967DCF" w:rsidRDefault="00967DCF" w:rsidP="00967DCF">
      <w:pPr>
        <w:spacing w:line="360" w:lineRule="auto"/>
        <w:jc w:val="both"/>
        <w:rPr>
          <w:rFonts w:eastAsia="Times New Roman"/>
        </w:rPr>
      </w:pPr>
      <w:r>
        <w:rPr>
          <w:rFonts w:eastAsia="Times New Roman"/>
        </w:rPr>
        <w:t xml:space="preserve">There are broader skill sets within the profession and the potential advantages of having virtual wards; however, these advantages require appropriate staffing, training, leadership, and technology integration for the virtual wards (Russell </w:t>
      </w:r>
      <w:r>
        <w:rPr>
          <w:rFonts w:eastAsia="Times New Roman"/>
          <w:i/>
          <w:iCs/>
        </w:rPr>
        <w:t>et al.</w:t>
      </w:r>
      <w:r>
        <w:rPr>
          <w:rFonts w:eastAsia="Times New Roman"/>
        </w:rPr>
        <w:t xml:space="preserve">, 2023). Appropriate clinical leadership and appropriate team development are viewed as enablers, while lack of clinical leadership because of fragmentation and inadequate resource availability is considered a barrier. Digital transformation does not necessarily mean downsizing your workforce but reusing them (Borges do Nascimento </w:t>
      </w:r>
      <w:r>
        <w:rPr>
          <w:rFonts w:eastAsia="Times New Roman"/>
          <w:i/>
          <w:iCs/>
        </w:rPr>
        <w:t>et al.</w:t>
      </w:r>
      <w:r>
        <w:rPr>
          <w:rFonts w:eastAsia="Times New Roman"/>
        </w:rPr>
        <w:t>, 2023).</w:t>
      </w:r>
    </w:p>
    <w:p w14:paraId="65C5F5FD" w14:textId="77777777" w:rsidR="00967DCF" w:rsidRDefault="00967DCF" w:rsidP="00967DCF">
      <w:pPr>
        <w:pStyle w:val="Heading1"/>
        <w:rPr>
          <w:rFonts w:ascii="Arial" w:eastAsia="Arial" w:hAnsi="Arial" w:cs="Arial"/>
          <w:b/>
          <w:bCs/>
          <w:color w:val="000000" w:themeColor="text1"/>
          <w:sz w:val="28"/>
          <w:szCs w:val="28"/>
        </w:rPr>
      </w:pPr>
      <w:bookmarkStart w:id="3" w:name="_Toc241140345"/>
      <w:r w:rsidRPr="00854C40">
        <w:rPr>
          <w:rFonts w:ascii="Arial" w:eastAsia="Arial" w:hAnsi="Arial" w:cs="Arial"/>
          <w:b/>
          <w:bCs/>
          <w:color w:val="000000" w:themeColor="text1"/>
          <w:sz w:val="28"/>
          <w:szCs w:val="28"/>
        </w:rPr>
        <w:t>4. Impact on Service Delivery</w:t>
      </w:r>
      <w:bookmarkEnd w:id="3"/>
    </w:p>
    <w:p w14:paraId="7BF371AA" w14:textId="77777777" w:rsidR="00616F6A" w:rsidRPr="00616F6A" w:rsidRDefault="00616F6A" w:rsidP="00616F6A"/>
    <w:p w14:paraId="767AEA49" w14:textId="78D40C83" w:rsidR="00967DCF" w:rsidRPr="00ED39E5" w:rsidRDefault="00967DCF" w:rsidP="00ED39E5">
      <w:pPr>
        <w:pStyle w:val="ListParagraph"/>
        <w:numPr>
          <w:ilvl w:val="0"/>
          <w:numId w:val="6"/>
        </w:numPr>
        <w:spacing w:line="360" w:lineRule="auto"/>
        <w:jc w:val="both"/>
        <w:rPr>
          <w:rFonts w:eastAsia="Times New Roman"/>
          <w:b/>
          <w:bCs/>
          <w:sz w:val="24"/>
          <w:szCs w:val="24"/>
        </w:rPr>
      </w:pPr>
      <w:r w:rsidRPr="00ED39E5">
        <w:rPr>
          <w:rFonts w:eastAsia="Times New Roman"/>
          <w:b/>
          <w:bCs/>
          <w:sz w:val="24"/>
          <w:szCs w:val="24"/>
        </w:rPr>
        <w:t>Changes to Workflows and Models of Care</w:t>
      </w:r>
    </w:p>
    <w:p w14:paraId="0795F56E" w14:textId="77777777" w:rsidR="00616F6A" w:rsidRPr="001F65BE" w:rsidRDefault="00616F6A" w:rsidP="00967DCF">
      <w:pPr>
        <w:spacing w:line="360" w:lineRule="auto"/>
        <w:jc w:val="both"/>
        <w:rPr>
          <w:rFonts w:eastAsia="Times New Roman"/>
        </w:rPr>
      </w:pPr>
    </w:p>
    <w:p w14:paraId="647AEAA1" w14:textId="10A9098B" w:rsidR="00967DCF" w:rsidRDefault="00967DCF" w:rsidP="00967DCF">
      <w:pPr>
        <w:spacing w:line="360" w:lineRule="auto"/>
        <w:jc w:val="both"/>
        <w:rPr>
          <w:rFonts w:eastAsia="Times New Roman"/>
        </w:rPr>
      </w:pPr>
      <w:r>
        <w:rPr>
          <w:rFonts w:eastAsia="Times New Roman"/>
        </w:rPr>
        <w:t xml:space="preserve">Virtual wards in the NHS are innovations where the care services that are delivered on a ward level in hospitals are transferred to the patient’s home or care homes. The admission assessment, clinical assessment, monitoring from afar, visiting the patient’s home, diagnosis, managing medication, and discharge are some of the approaches used in delivering care (Paul </w:t>
      </w:r>
      <w:r>
        <w:rPr>
          <w:rFonts w:eastAsia="Times New Roman"/>
          <w:i/>
          <w:iCs/>
        </w:rPr>
        <w:t>et al</w:t>
      </w:r>
      <w:r>
        <w:rPr>
          <w:rFonts w:eastAsia="Times New Roman"/>
        </w:rPr>
        <w:t>., 2024). Where the interventions are to be delivered at hospital levels, virtual wards are expected to provide interventions using Multi-Disciplinary Teams (MDTs) and monitor them daily, if clinically appropriate, as set out by NHS England</w:t>
      </w:r>
      <w:r w:rsidR="004138AB">
        <w:rPr>
          <w:rFonts w:eastAsia="Times New Roman"/>
        </w:rPr>
        <w:t xml:space="preserve"> (Saeed </w:t>
      </w:r>
      <w:r w:rsidR="004138AB">
        <w:rPr>
          <w:rFonts w:eastAsia="Times New Roman"/>
          <w:i/>
          <w:iCs/>
        </w:rPr>
        <w:t>et al</w:t>
      </w:r>
      <w:r w:rsidR="004138AB">
        <w:rPr>
          <w:rFonts w:eastAsia="Times New Roman"/>
        </w:rPr>
        <w:t>., 2023)</w:t>
      </w:r>
      <w:r w:rsidR="003A30D9">
        <w:rPr>
          <w:rFonts w:eastAsia="Times New Roman"/>
        </w:rPr>
        <w:t>.</w:t>
      </w:r>
      <w:r>
        <w:rPr>
          <w:rFonts w:eastAsia="Times New Roman"/>
        </w:rPr>
        <w:t xml:space="preserve"> There is a change in the process flow because there are digital records which can be reviewed before the decision on whether to visit the patient is made (Saeed </w:t>
      </w:r>
      <w:r>
        <w:rPr>
          <w:rFonts w:eastAsia="Times New Roman"/>
          <w:i/>
          <w:iCs/>
        </w:rPr>
        <w:t>et al</w:t>
      </w:r>
      <w:r>
        <w:rPr>
          <w:rFonts w:eastAsia="Times New Roman"/>
        </w:rPr>
        <w:t>., 2023)</w:t>
      </w:r>
      <w:r w:rsidR="001C721E">
        <w:rPr>
          <w:rFonts w:eastAsia="Times New Roman"/>
        </w:rPr>
        <w:t>.</w:t>
      </w:r>
    </w:p>
    <w:p w14:paraId="7EDA7EB8" w14:textId="77777777" w:rsidR="00AB2B3E" w:rsidRDefault="00AB2B3E" w:rsidP="00967DCF">
      <w:pPr>
        <w:spacing w:line="360" w:lineRule="auto"/>
        <w:jc w:val="both"/>
        <w:rPr>
          <w:rFonts w:eastAsia="Times New Roman"/>
        </w:rPr>
      </w:pPr>
    </w:p>
    <w:p w14:paraId="6C7A5571" w14:textId="77777777" w:rsidR="007968AB" w:rsidRDefault="007968AB" w:rsidP="00967DCF">
      <w:pPr>
        <w:spacing w:line="360" w:lineRule="auto"/>
        <w:jc w:val="both"/>
        <w:rPr>
          <w:rFonts w:eastAsia="Times New Roman"/>
          <w:b/>
          <w:bCs/>
          <w:sz w:val="24"/>
          <w:szCs w:val="24"/>
        </w:rPr>
      </w:pPr>
    </w:p>
    <w:p w14:paraId="49D47243" w14:textId="77777777" w:rsidR="007968AB" w:rsidRDefault="007968AB" w:rsidP="00967DCF">
      <w:pPr>
        <w:spacing w:line="360" w:lineRule="auto"/>
        <w:jc w:val="both"/>
        <w:rPr>
          <w:rFonts w:eastAsia="Times New Roman"/>
          <w:b/>
          <w:bCs/>
          <w:sz w:val="24"/>
          <w:szCs w:val="24"/>
        </w:rPr>
      </w:pPr>
    </w:p>
    <w:p w14:paraId="4ED48603" w14:textId="77777777" w:rsidR="008F0F6F" w:rsidRDefault="008F0F6F" w:rsidP="00967DCF">
      <w:pPr>
        <w:spacing w:line="360" w:lineRule="auto"/>
        <w:jc w:val="both"/>
        <w:rPr>
          <w:rFonts w:eastAsia="Times New Roman"/>
          <w:b/>
          <w:bCs/>
          <w:sz w:val="24"/>
          <w:szCs w:val="24"/>
        </w:rPr>
      </w:pPr>
    </w:p>
    <w:p w14:paraId="2D57B6CD" w14:textId="77777777" w:rsidR="008F0F6F" w:rsidRDefault="008F0F6F" w:rsidP="00967DCF">
      <w:pPr>
        <w:spacing w:line="360" w:lineRule="auto"/>
        <w:jc w:val="both"/>
        <w:rPr>
          <w:rFonts w:eastAsia="Times New Roman"/>
          <w:b/>
          <w:bCs/>
          <w:sz w:val="24"/>
          <w:szCs w:val="24"/>
        </w:rPr>
      </w:pPr>
    </w:p>
    <w:p w14:paraId="5A8802EB" w14:textId="0345A96A" w:rsidR="00967DCF" w:rsidRPr="00ED39E5" w:rsidRDefault="00967DCF" w:rsidP="00ED39E5">
      <w:pPr>
        <w:pStyle w:val="ListParagraph"/>
        <w:numPr>
          <w:ilvl w:val="0"/>
          <w:numId w:val="6"/>
        </w:numPr>
        <w:spacing w:line="360" w:lineRule="auto"/>
        <w:jc w:val="both"/>
        <w:rPr>
          <w:rFonts w:eastAsia="Times New Roman"/>
          <w:b/>
          <w:bCs/>
          <w:sz w:val="24"/>
          <w:szCs w:val="24"/>
        </w:rPr>
      </w:pPr>
      <w:r w:rsidRPr="00ED39E5">
        <w:rPr>
          <w:rFonts w:eastAsia="Times New Roman"/>
          <w:b/>
          <w:bCs/>
          <w:sz w:val="24"/>
          <w:szCs w:val="24"/>
        </w:rPr>
        <w:lastRenderedPageBreak/>
        <w:t>Benefits for Efficiency, Capacity and Continuity of Care</w:t>
      </w:r>
    </w:p>
    <w:p w14:paraId="4169922D" w14:textId="77777777" w:rsidR="00616F6A" w:rsidRPr="001F65BE" w:rsidRDefault="00616F6A" w:rsidP="00967DCF">
      <w:pPr>
        <w:spacing w:line="360" w:lineRule="auto"/>
        <w:jc w:val="both"/>
        <w:rPr>
          <w:rFonts w:eastAsia="Times New Roman"/>
        </w:rPr>
      </w:pPr>
    </w:p>
    <w:p w14:paraId="2EE4E8CF" w14:textId="2B566623" w:rsidR="00967DCF" w:rsidRDefault="00967DCF" w:rsidP="00967DCF">
      <w:pPr>
        <w:spacing w:line="360" w:lineRule="auto"/>
        <w:jc w:val="both"/>
        <w:rPr>
          <w:rFonts w:eastAsia="Times New Roman"/>
        </w:rPr>
      </w:pPr>
      <w:r>
        <w:rPr>
          <w:rFonts w:eastAsia="Times New Roman"/>
        </w:rPr>
        <w:t xml:space="preserve">The introduction of virtual </w:t>
      </w:r>
      <w:proofErr w:type="gramStart"/>
      <w:r>
        <w:rPr>
          <w:rFonts w:eastAsia="Times New Roman"/>
        </w:rPr>
        <w:t>wards</w:t>
      </w:r>
      <w:proofErr w:type="gramEnd"/>
      <w:r>
        <w:rPr>
          <w:rFonts w:eastAsia="Times New Roman"/>
        </w:rPr>
        <w:t xml:space="preserve"> could allow the prevention of admitting suitable patients or facilitate the discharge of patients more quickly. According to the assessment by NHS England, the pathways of 18 non-elective admissions had the cost-effectiveness of an annual net gain of £10.4 million in the </w:t>
      </w:r>
      <w:r w:rsidR="00FD0D57">
        <w:rPr>
          <w:rFonts w:eastAsia="Times New Roman"/>
        </w:rPr>
        <w:t>Southeast</w:t>
      </w:r>
      <w:r>
        <w:rPr>
          <w:rFonts w:eastAsia="Times New Roman"/>
        </w:rPr>
        <w:t xml:space="preserve"> (Irani </w:t>
      </w:r>
      <w:r>
        <w:rPr>
          <w:rFonts w:eastAsia="Times New Roman"/>
          <w:i/>
          <w:iCs/>
        </w:rPr>
        <w:t>et al.</w:t>
      </w:r>
      <w:r>
        <w:rPr>
          <w:rFonts w:eastAsia="Times New Roman"/>
        </w:rPr>
        <w:t xml:space="preserve">, 2023). The number of patients managed by virtual ward pathways in </w:t>
      </w:r>
      <w:r w:rsidR="00FD0D57">
        <w:rPr>
          <w:rFonts w:eastAsia="Times New Roman"/>
        </w:rPr>
        <w:t>Northwest</w:t>
      </w:r>
      <w:r>
        <w:rPr>
          <w:rFonts w:eastAsia="Times New Roman"/>
        </w:rPr>
        <w:t xml:space="preserve"> London during the period between 01/04/2022 and 01/04/2023 is 4,311, which is projected to save 8,622 bed days. Despite their efficiency, there is one viability criterion for these programs; that is, they cannot be the same patients as those who would have been treated in hospitals.</w:t>
      </w:r>
    </w:p>
    <w:p w14:paraId="693992CA" w14:textId="77777777" w:rsidR="00AB2B3E" w:rsidRDefault="00AB2B3E" w:rsidP="00967DCF">
      <w:pPr>
        <w:spacing w:line="360" w:lineRule="auto"/>
        <w:jc w:val="both"/>
        <w:rPr>
          <w:rFonts w:eastAsia="Times New Roman"/>
        </w:rPr>
      </w:pPr>
    </w:p>
    <w:p w14:paraId="1EC41535" w14:textId="36B89A1E" w:rsidR="00967DCF" w:rsidRPr="00241431" w:rsidRDefault="00967DCF" w:rsidP="00241431">
      <w:pPr>
        <w:pStyle w:val="ListParagraph"/>
        <w:numPr>
          <w:ilvl w:val="0"/>
          <w:numId w:val="6"/>
        </w:numPr>
        <w:spacing w:line="360" w:lineRule="auto"/>
        <w:jc w:val="both"/>
        <w:rPr>
          <w:rFonts w:eastAsia="Times New Roman"/>
          <w:b/>
          <w:bCs/>
          <w:sz w:val="24"/>
          <w:szCs w:val="24"/>
        </w:rPr>
      </w:pPr>
      <w:r w:rsidRPr="00241431">
        <w:rPr>
          <w:rFonts w:eastAsia="Times New Roman"/>
          <w:b/>
          <w:bCs/>
          <w:sz w:val="24"/>
          <w:szCs w:val="24"/>
        </w:rPr>
        <w:t>Communication, Coordination and Integration of Services</w:t>
      </w:r>
    </w:p>
    <w:p w14:paraId="13DD43B5" w14:textId="77777777" w:rsidR="00616F6A" w:rsidRPr="001F65BE" w:rsidRDefault="00616F6A" w:rsidP="00967DCF">
      <w:pPr>
        <w:spacing w:line="360" w:lineRule="auto"/>
        <w:jc w:val="both"/>
        <w:rPr>
          <w:rFonts w:eastAsia="Times New Roman"/>
        </w:rPr>
      </w:pPr>
    </w:p>
    <w:p w14:paraId="636E5B15" w14:textId="4C49EE10" w:rsidR="00967DCF" w:rsidRDefault="00967DCF" w:rsidP="00967DCF">
      <w:pPr>
        <w:spacing w:line="360" w:lineRule="auto"/>
        <w:jc w:val="both"/>
        <w:rPr>
          <w:rFonts w:eastAsia="Times New Roman"/>
        </w:rPr>
      </w:pPr>
      <w:r>
        <w:rPr>
          <w:rFonts w:eastAsia="Times New Roman"/>
        </w:rPr>
        <w:t>There are inter-</w:t>
      </w:r>
      <w:proofErr w:type="spellStart"/>
      <w:r>
        <w:rPr>
          <w:rFonts w:eastAsia="Times New Roman"/>
        </w:rPr>
        <w:t>organisation</w:t>
      </w:r>
      <w:proofErr w:type="spellEnd"/>
      <w:r>
        <w:rPr>
          <w:rFonts w:eastAsia="Times New Roman"/>
        </w:rPr>
        <w:t xml:space="preserve"> relationships between hospitals, community services, General Practitioners (GPs), social care and care homes, and these services are being delivered to individuals. The goal of e-health records is that there should be an exchange of information from the time of referrals and assessments until monitoring, treatment, and discharge, as stated by NHS England (Jarva </w:t>
      </w:r>
      <w:r>
        <w:rPr>
          <w:rFonts w:eastAsia="Times New Roman"/>
          <w:i/>
          <w:iCs/>
        </w:rPr>
        <w:t>et al.</w:t>
      </w:r>
      <w:r>
        <w:rPr>
          <w:rFonts w:eastAsia="Times New Roman"/>
        </w:rPr>
        <w:t xml:space="preserve">, 2022). There can also be the option of MDT board rounds </w:t>
      </w:r>
      <w:r w:rsidR="00DB1B8B">
        <w:rPr>
          <w:rFonts w:eastAsia="Times New Roman"/>
        </w:rPr>
        <w:t>daily</w:t>
      </w:r>
      <w:r>
        <w:rPr>
          <w:rFonts w:eastAsia="Times New Roman"/>
        </w:rPr>
        <w:t xml:space="preserve">, which can help </w:t>
      </w:r>
      <w:r w:rsidR="00FD0D57">
        <w:rPr>
          <w:rFonts w:eastAsia="Times New Roman"/>
        </w:rPr>
        <w:t>with</w:t>
      </w:r>
      <w:r>
        <w:rPr>
          <w:rFonts w:eastAsia="Times New Roman"/>
        </w:rPr>
        <w:t xml:space="preserve"> making shared decisions. However, with non-integrated records, information exchanges can be difficult in different digital systems.</w:t>
      </w:r>
    </w:p>
    <w:p w14:paraId="49187063" w14:textId="77777777" w:rsidR="00935561" w:rsidRDefault="00935561" w:rsidP="00967DCF">
      <w:pPr>
        <w:spacing w:line="360" w:lineRule="auto"/>
        <w:jc w:val="both"/>
        <w:rPr>
          <w:rFonts w:eastAsia="Times New Roman"/>
        </w:rPr>
      </w:pPr>
    </w:p>
    <w:p w14:paraId="42CD3E8A" w14:textId="77777777" w:rsidR="00967DCF" w:rsidRDefault="00967DCF" w:rsidP="00967DCF">
      <w:pPr>
        <w:spacing w:line="360" w:lineRule="auto"/>
        <w:jc w:val="both"/>
        <w:rPr>
          <w:rFonts w:eastAsia="Times New Roman"/>
        </w:rPr>
      </w:pPr>
      <w:r>
        <w:rPr>
          <w:rFonts w:eastAsia="Times New Roman"/>
        </w:rPr>
        <w:t>Monitoring devices, digital platforms, staffing, training, and technical support will be needed for implementation. It is an expectation by NHS England that such services must have the capability to offer alternatives where the usage of technology causes digital exclusion (</w:t>
      </w:r>
      <w:proofErr w:type="spellStart"/>
      <w:r>
        <w:rPr>
          <w:rFonts w:eastAsia="Times New Roman"/>
        </w:rPr>
        <w:t>Gazquez</w:t>
      </w:r>
      <w:proofErr w:type="spellEnd"/>
      <w:r>
        <w:rPr>
          <w:rFonts w:eastAsia="Times New Roman"/>
        </w:rPr>
        <w:t xml:space="preserve">-Garcia </w:t>
      </w:r>
      <w:r>
        <w:rPr>
          <w:rFonts w:eastAsia="Times New Roman"/>
          <w:i/>
          <w:iCs/>
        </w:rPr>
        <w:t>et al</w:t>
      </w:r>
      <w:r>
        <w:rPr>
          <w:rFonts w:eastAsia="Times New Roman"/>
        </w:rPr>
        <w:t xml:space="preserve">., 2025). Poor connection, malfunctioning, and incompatible devices might become a problem in conducting monitoring and reducing the rate of information exchange. High investment costs will be another risk in increasing service provision because of the absence of information when necessary (Tan </w:t>
      </w:r>
      <w:r>
        <w:rPr>
          <w:rFonts w:eastAsia="Times New Roman"/>
          <w:i/>
          <w:iCs/>
        </w:rPr>
        <w:t>et al.</w:t>
      </w:r>
      <w:r>
        <w:rPr>
          <w:rFonts w:eastAsia="Times New Roman"/>
        </w:rPr>
        <w:t>, 2022).</w:t>
      </w:r>
    </w:p>
    <w:p w14:paraId="116738BE" w14:textId="77777777" w:rsidR="00935561" w:rsidRDefault="00935561" w:rsidP="00967DCF">
      <w:pPr>
        <w:spacing w:line="360" w:lineRule="auto"/>
        <w:jc w:val="both"/>
        <w:rPr>
          <w:rFonts w:eastAsia="Times New Roman"/>
        </w:rPr>
      </w:pPr>
    </w:p>
    <w:p w14:paraId="56E4FA0A" w14:textId="035DED36" w:rsidR="00967DCF" w:rsidRPr="00241431" w:rsidRDefault="00967DCF" w:rsidP="00241431">
      <w:pPr>
        <w:pStyle w:val="ListParagraph"/>
        <w:numPr>
          <w:ilvl w:val="0"/>
          <w:numId w:val="6"/>
        </w:numPr>
        <w:spacing w:line="360" w:lineRule="auto"/>
        <w:jc w:val="both"/>
        <w:rPr>
          <w:rFonts w:eastAsia="Times New Roman"/>
          <w:b/>
          <w:bCs/>
          <w:sz w:val="24"/>
          <w:szCs w:val="24"/>
        </w:rPr>
      </w:pPr>
      <w:r w:rsidRPr="00241431">
        <w:rPr>
          <w:rFonts w:eastAsia="Times New Roman"/>
          <w:b/>
          <w:bCs/>
          <w:sz w:val="24"/>
          <w:szCs w:val="24"/>
        </w:rPr>
        <w:t>Critical Evaluation of Service Delivery Impact</w:t>
      </w:r>
    </w:p>
    <w:p w14:paraId="54BEEC32" w14:textId="77777777" w:rsidR="00616F6A" w:rsidRPr="00892BE2" w:rsidRDefault="00616F6A" w:rsidP="00967DCF">
      <w:pPr>
        <w:spacing w:line="360" w:lineRule="auto"/>
        <w:jc w:val="both"/>
        <w:rPr>
          <w:rFonts w:eastAsia="Times New Roman"/>
          <w:b/>
          <w:bCs/>
        </w:rPr>
      </w:pPr>
    </w:p>
    <w:p w14:paraId="29593D88" w14:textId="55D7B270" w:rsidR="00967DCF" w:rsidRDefault="00967DCF" w:rsidP="00967DCF">
      <w:pPr>
        <w:spacing w:line="360" w:lineRule="auto"/>
        <w:jc w:val="both"/>
        <w:rPr>
          <w:rFonts w:eastAsia="Times New Roman"/>
        </w:rPr>
      </w:pPr>
      <w:r>
        <w:rPr>
          <w:rFonts w:eastAsia="Times New Roman"/>
        </w:rPr>
        <w:t xml:space="preserve">The use of virtual wards is likely to increase services' capacity for delivering care near the patients' homes and continuity of care for the patients, but virtual wards will not decrease the demands on the NHS. Demands on the NHS are determined by appropriate patient selection, technology, documentation, staffing, and clinical governance (Holl </w:t>
      </w:r>
      <w:r>
        <w:rPr>
          <w:rFonts w:eastAsia="Times New Roman"/>
          <w:i/>
          <w:iCs/>
        </w:rPr>
        <w:t>et al</w:t>
      </w:r>
      <w:r>
        <w:rPr>
          <w:rFonts w:eastAsia="Times New Roman"/>
        </w:rPr>
        <w:t xml:space="preserve">., 2024). While there has been evidence showing the efficiency of some models of virtual wards, differences among </w:t>
      </w:r>
      <w:r>
        <w:rPr>
          <w:rFonts w:eastAsia="Times New Roman"/>
        </w:rPr>
        <w:lastRenderedPageBreak/>
        <w:t xml:space="preserve">the models prevent making a judgment of their efficiency </w:t>
      </w:r>
      <w:r w:rsidR="00FD0D57">
        <w:rPr>
          <w:rFonts w:eastAsia="Times New Roman"/>
        </w:rPr>
        <w:t>now</w:t>
      </w:r>
      <w:r>
        <w:rPr>
          <w:rFonts w:eastAsia="Times New Roman"/>
        </w:rPr>
        <w:t>. All ICSs of the NHS use virtual wards, while pathways for their use have been developed, even contrary to what NHS England claimed (Cosa and Torelli, 2024).</w:t>
      </w:r>
    </w:p>
    <w:p w14:paraId="5F9A5376" w14:textId="77777777" w:rsidR="00967DCF" w:rsidRDefault="00967DCF" w:rsidP="00967DCF">
      <w:pPr>
        <w:pStyle w:val="Heading1"/>
        <w:rPr>
          <w:rFonts w:ascii="Arial" w:eastAsia="Arial" w:hAnsi="Arial" w:cs="Arial"/>
          <w:b/>
          <w:bCs/>
          <w:color w:val="000000" w:themeColor="text1"/>
          <w:sz w:val="28"/>
          <w:szCs w:val="28"/>
        </w:rPr>
      </w:pPr>
      <w:bookmarkStart w:id="4" w:name="_Toc241140346"/>
      <w:r w:rsidRPr="00854C40">
        <w:rPr>
          <w:rFonts w:eastAsia="Arial"/>
          <w:b/>
          <w:bCs/>
          <w:i/>
          <w:iCs/>
          <w:color w:val="000000" w:themeColor="text1"/>
          <w:sz w:val="28"/>
          <w:szCs w:val="28"/>
        </w:rPr>
        <w:t>5</w:t>
      </w:r>
      <w:r w:rsidRPr="00854C40">
        <w:rPr>
          <w:rFonts w:ascii="Arial" w:eastAsia="Arial" w:hAnsi="Arial" w:cs="Arial"/>
          <w:b/>
          <w:bCs/>
          <w:color w:val="000000" w:themeColor="text1"/>
          <w:sz w:val="28"/>
          <w:szCs w:val="28"/>
        </w:rPr>
        <w:t>. Impact on Patients/Service Users</w:t>
      </w:r>
      <w:bookmarkEnd w:id="4"/>
    </w:p>
    <w:p w14:paraId="06BC1721" w14:textId="77777777" w:rsidR="000A07C6" w:rsidRPr="000A07C6" w:rsidRDefault="000A07C6" w:rsidP="000A07C6"/>
    <w:p w14:paraId="3E80B387" w14:textId="077CF0F7" w:rsidR="00967DCF" w:rsidRPr="00F41453" w:rsidRDefault="00967DCF" w:rsidP="00F41453">
      <w:pPr>
        <w:pStyle w:val="ListParagraph"/>
        <w:numPr>
          <w:ilvl w:val="0"/>
          <w:numId w:val="6"/>
        </w:numPr>
        <w:spacing w:line="360" w:lineRule="auto"/>
        <w:jc w:val="both"/>
        <w:rPr>
          <w:rFonts w:eastAsia="Times New Roman"/>
          <w:b/>
          <w:bCs/>
          <w:sz w:val="24"/>
          <w:szCs w:val="24"/>
        </w:rPr>
      </w:pPr>
      <w:r w:rsidRPr="00F41453">
        <w:rPr>
          <w:rFonts w:eastAsia="Times New Roman"/>
          <w:b/>
          <w:bCs/>
          <w:sz w:val="24"/>
          <w:szCs w:val="24"/>
        </w:rPr>
        <w:t>Changes in Patient Experience and Access to Care</w:t>
      </w:r>
    </w:p>
    <w:p w14:paraId="06E9FB73" w14:textId="77777777" w:rsidR="000A07C6" w:rsidRPr="001F65BE" w:rsidRDefault="000A07C6" w:rsidP="00967DCF">
      <w:pPr>
        <w:spacing w:line="360" w:lineRule="auto"/>
        <w:jc w:val="both"/>
        <w:rPr>
          <w:rFonts w:eastAsia="Times New Roman"/>
        </w:rPr>
      </w:pPr>
    </w:p>
    <w:p w14:paraId="6A741DD4" w14:textId="5F60DEE2" w:rsidR="00967DCF" w:rsidRDefault="00967DCF" w:rsidP="00967DCF">
      <w:pPr>
        <w:spacing w:line="360" w:lineRule="auto"/>
        <w:jc w:val="both"/>
        <w:rPr>
          <w:rFonts w:eastAsia="Times New Roman"/>
          <w:b/>
          <w:bCs/>
          <w:i/>
          <w:iCs/>
        </w:rPr>
      </w:pPr>
      <w:r>
        <w:rPr>
          <w:rFonts w:eastAsia="Times New Roman"/>
        </w:rPr>
        <w:t xml:space="preserve">In fact, NHS Virtual Wards radically change the care experience for a patient due to their hospital-grade treatment in the comfort of their own homes. The routine checks of patients’ clinical state, medication management, blood checks, and remote monitoring can be carried out without checking the status of the patient in a hospital bed (Das, 2024). Virtual wards are on a scale that NHS England estimates have treated more than 100,000 patients during 2022. However, a </w:t>
      </w:r>
      <w:proofErr w:type="gramStart"/>
      <w:r>
        <w:rPr>
          <w:rFonts w:eastAsia="Times New Roman"/>
        </w:rPr>
        <w:t>South East</w:t>
      </w:r>
      <w:proofErr w:type="gramEnd"/>
      <w:r>
        <w:rPr>
          <w:rFonts w:eastAsia="Times New Roman"/>
        </w:rPr>
        <w:t xml:space="preserve"> assessment, which examined 29 virtual ward pathways and over </w:t>
      </w:r>
      <w:r w:rsidR="000A07C6">
        <w:rPr>
          <w:rFonts w:eastAsia="Times New Roman"/>
        </w:rPr>
        <w:t>22,000</w:t>
      </w:r>
      <w:r>
        <w:rPr>
          <w:rFonts w:eastAsia="Times New Roman"/>
        </w:rPr>
        <w:t xml:space="preserve"> patients failed to attend appointments for treatment, revealed broadly positive patient experience. This was a patient priority: to be at home and near family (</w:t>
      </w:r>
      <w:proofErr w:type="spellStart"/>
      <w:r>
        <w:rPr>
          <w:rFonts w:eastAsia="Times New Roman"/>
        </w:rPr>
        <w:t>Ozalp</w:t>
      </w:r>
      <w:proofErr w:type="spellEnd"/>
      <w:r>
        <w:rPr>
          <w:rFonts w:eastAsia="Times New Roman"/>
        </w:rPr>
        <w:t xml:space="preserve"> </w:t>
      </w:r>
      <w:r>
        <w:rPr>
          <w:rFonts w:eastAsia="Times New Roman"/>
          <w:i/>
          <w:iCs/>
        </w:rPr>
        <w:t>et al</w:t>
      </w:r>
      <w:r>
        <w:rPr>
          <w:rFonts w:eastAsia="Times New Roman"/>
        </w:rPr>
        <w:t>., 2022).</w:t>
      </w:r>
    </w:p>
    <w:p w14:paraId="752AA27E" w14:textId="77777777" w:rsidR="000A07C6" w:rsidRDefault="000A07C6" w:rsidP="00967DCF">
      <w:pPr>
        <w:spacing w:line="360" w:lineRule="auto"/>
        <w:jc w:val="both"/>
        <w:rPr>
          <w:rFonts w:eastAsia="Times New Roman"/>
          <w:b/>
          <w:bCs/>
        </w:rPr>
      </w:pPr>
    </w:p>
    <w:p w14:paraId="03A93B6A" w14:textId="4B620850" w:rsidR="00967DCF" w:rsidRPr="00F41453" w:rsidRDefault="00967DCF" w:rsidP="00F41453">
      <w:pPr>
        <w:pStyle w:val="ListParagraph"/>
        <w:numPr>
          <w:ilvl w:val="0"/>
          <w:numId w:val="6"/>
        </w:numPr>
        <w:spacing w:line="360" w:lineRule="auto"/>
        <w:jc w:val="both"/>
        <w:rPr>
          <w:rFonts w:eastAsia="Times New Roman"/>
          <w:b/>
          <w:bCs/>
          <w:sz w:val="24"/>
          <w:szCs w:val="24"/>
        </w:rPr>
      </w:pPr>
      <w:r w:rsidRPr="00F41453">
        <w:rPr>
          <w:rFonts w:eastAsia="Times New Roman"/>
          <w:b/>
          <w:bCs/>
          <w:sz w:val="24"/>
          <w:szCs w:val="24"/>
        </w:rPr>
        <w:t>Convenience, Independence and Care at Home</w:t>
      </w:r>
    </w:p>
    <w:p w14:paraId="59BA1B29" w14:textId="77777777" w:rsidR="000A07C6" w:rsidRPr="001F65BE" w:rsidRDefault="000A07C6" w:rsidP="00967DCF">
      <w:pPr>
        <w:spacing w:line="360" w:lineRule="auto"/>
        <w:jc w:val="both"/>
        <w:rPr>
          <w:rFonts w:eastAsia="Times New Roman"/>
          <w:b/>
          <w:bCs/>
        </w:rPr>
      </w:pPr>
    </w:p>
    <w:p w14:paraId="0E590C7B" w14:textId="77777777" w:rsidR="00967DCF" w:rsidRDefault="00967DCF" w:rsidP="00967DCF">
      <w:pPr>
        <w:spacing w:line="360" w:lineRule="auto"/>
        <w:jc w:val="both"/>
        <w:rPr>
          <w:rFonts w:eastAsia="Times New Roman"/>
        </w:rPr>
      </w:pPr>
      <w:r>
        <w:rPr>
          <w:rFonts w:eastAsia="Times New Roman"/>
        </w:rPr>
        <w:t xml:space="preserve">Treatment at home may give more comfort and independence. Acute care can be provided in "home-like" settings. Family can also continue to be involved in care. But it can sometimes have a cost to patients/carers (van Kessel </w:t>
      </w:r>
      <w:r>
        <w:rPr>
          <w:rFonts w:eastAsia="Times New Roman"/>
          <w:i/>
          <w:iCs/>
        </w:rPr>
        <w:t>et al</w:t>
      </w:r>
      <w:r>
        <w:rPr>
          <w:rFonts w:eastAsia="Times New Roman"/>
        </w:rPr>
        <w:t xml:space="preserve">., 2022). The </w:t>
      </w:r>
      <w:proofErr w:type="gramStart"/>
      <w:r>
        <w:rPr>
          <w:rFonts w:eastAsia="Times New Roman"/>
        </w:rPr>
        <w:t>South East</w:t>
      </w:r>
      <w:proofErr w:type="gramEnd"/>
      <w:r>
        <w:rPr>
          <w:rFonts w:eastAsia="Times New Roman"/>
        </w:rPr>
        <w:t xml:space="preserve"> evaluation revealed that there was an increased burden of care, but carers appreciated the home treatment. </w:t>
      </w:r>
      <w:proofErr w:type="gramStart"/>
      <w:r>
        <w:rPr>
          <w:rFonts w:eastAsia="Times New Roman"/>
        </w:rPr>
        <w:t>So</w:t>
      </w:r>
      <w:proofErr w:type="gramEnd"/>
      <w:r>
        <w:rPr>
          <w:rFonts w:eastAsia="Times New Roman"/>
        </w:rPr>
        <w:t xml:space="preserve"> convenience is not equally beneficial to each patient.</w:t>
      </w:r>
    </w:p>
    <w:p w14:paraId="427AE3D4" w14:textId="77777777" w:rsidR="000A07C6" w:rsidRDefault="000A07C6" w:rsidP="00967DCF">
      <w:pPr>
        <w:spacing w:line="360" w:lineRule="auto"/>
        <w:jc w:val="both"/>
        <w:rPr>
          <w:rFonts w:eastAsia="Times New Roman"/>
        </w:rPr>
      </w:pPr>
    </w:p>
    <w:p w14:paraId="09407C4A" w14:textId="2D3F321D" w:rsidR="00967DCF" w:rsidRPr="002C5301" w:rsidRDefault="00967DCF" w:rsidP="002C5301">
      <w:pPr>
        <w:pStyle w:val="ListParagraph"/>
        <w:numPr>
          <w:ilvl w:val="0"/>
          <w:numId w:val="6"/>
        </w:numPr>
        <w:spacing w:line="360" w:lineRule="auto"/>
        <w:jc w:val="both"/>
        <w:rPr>
          <w:rFonts w:eastAsia="Times New Roman"/>
          <w:b/>
          <w:bCs/>
          <w:sz w:val="24"/>
          <w:szCs w:val="24"/>
        </w:rPr>
      </w:pPr>
      <w:r w:rsidRPr="002C5301">
        <w:rPr>
          <w:rFonts w:eastAsia="Times New Roman"/>
          <w:b/>
          <w:bCs/>
          <w:sz w:val="24"/>
          <w:szCs w:val="24"/>
        </w:rPr>
        <w:t>Patient Safety, Monitoring and Quality of Care</w:t>
      </w:r>
    </w:p>
    <w:p w14:paraId="636E7E48" w14:textId="77777777" w:rsidR="000A07C6" w:rsidRPr="001F65BE" w:rsidRDefault="000A07C6" w:rsidP="00967DCF">
      <w:pPr>
        <w:spacing w:line="360" w:lineRule="auto"/>
        <w:jc w:val="both"/>
        <w:rPr>
          <w:rFonts w:eastAsia="Times New Roman"/>
        </w:rPr>
      </w:pPr>
    </w:p>
    <w:p w14:paraId="40C09FD5" w14:textId="5E65F375" w:rsidR="000A07C6" w:rsidRPr="00913274" w:rsidRDefault="00967DCF" w:rsidP="00967DCF">
      <w:pPr>
        <w:spacing w:line="360" w:lineRule="auto"/>
        <w:jc w:val="both"/>
        <w:rPr>
          <w:rFonts w:eastAsia="Times New Roman"/>
        </w:rPr>
      </w:pPr>
      <w:r>
        <w:rPr>
          <w:rFonts w:eastAsia="Times New Roman"/>
        </w:rPr>
        <w:t xml:space="preserve">In addition to the hospital, remote monitoring can improve the safety of patients in that it offers clinicians access to vital signs data, which can then alert them to any abnormal levels not within pre-set limits. It includes clinically indicated monitoring and measures that NHS England wants </w:t>
      </w:r>
      <w:r w:rsidR="00FD0D57">
        <w:rPr>
          <w:rFonts w:eastAsia="Times New Roman"/>
        </w:rPr>
        <w:t>to introduce</w:t>
      </w:r>
      <w:r>
        <w:rPr>
          <w:rFonts w:eastAsia="Times New Roman"/>
        </w:rPr>
        <w:t xml:space="preserve"> </w:t>
      </w:r>
      <w:r w:rsidR="001F65BE">
        <w:rPr>
          <w:rFonts w:eastAsia="Times New Roman"/>
        </w:rPr>
        <w:t>daily</w:t>
      </w:r>
      <w:r>
        <w:rPr>
          <w:rFonts w:eastAsia="Times New Roman"/>
        </w:rPr>
        <w:t>, such as NEWS2. It can thus facilitate early intervention by clinicians and reduce unnecessary exposure to the hospital environment. However, technology can never replace physical examinations or emergency intervention (</w:t>
      </w:r>
      <w:proofErr w:type="spellStart"/>
      <w:r>
        <w:rPr>
          <w:rFonts w:eastAsia="Times New Roman"/>
        </w:rPr>
        <w:t>Kaihlanen</w:t>
      </w:r>
      <w:proofErr w:type="spellEnd"/>
      <w:r>
        <w:rPr>
          <w:rFonts w:eastAsia="Times New Roman"/>
        </w:rPr>
        <w:t xml:space="preserve"> </w:t>
      </w:r>
      <w:r>
        <w:rPr>
          <w:rFonts w:eastAsia="Times New Roman"/>
          <w:i/>
          <w:iCs/>
        </w:rPr>
        <w:t>et al.</w:t>
      </w:r>
      <w:r>
        <w:rPr>
          <w:rFonts w:eastAsia="Times New Roman"/>
        </w:rPr>
        <w:t>, 2025). In this regard, the NHS guidelines suggest that Virtual Care should be avoided where face-to-face is essential.</w:t>
      </w:r>
    </w:p>
    <w:p w14:paraId="09ACE49E" w14:textId="77777777" w:rsidR="002646AA" w:rsidRDefault="002646AA" w:rsidP="00967DCF">
      <w:pPr>
        <w:spacing w:line="360" w:lineRule="auto"/>
        <w:jc w:val="both"/>
        <w:rPr>
          <w:rFonts w:eastAsia="Times New Roman"/>
          <w:b/>
          <w:bCs/>
          <w:sz w:val="24"/>
          <w:szCs w:val="24"/>
        </w:rPr>
      </w:pPr>
    </w:p>
    <w:p w14:paraId="5F5288CC" w14:textId="0ADF9037" w:rsidR="00967DCF" w:rsidRPr="002C5301" w:rsidRDefault="00967DCF" w:rsidP="002C5301">
      <w:pPr>
        <w:pStyle w:val="ListParagraph"/>
        <w:numPr>
          <w:ilvl w:val="0"/>
          <w:numId w:val="6"/>
        </w:numPr>
        <w:spacing w:line="360" w:lineRule="auto"/>
        <w:jc w:val="both"/>
        <w:rPr>
          <w:rFonts w:eastAsia="Times New Roman"/>
          <w:b/>
          <w:bCs/>
          <w:sz w:val="24"/>
          <w:szCs w:val="24"/>
        </w:rPr>
      </w:pPr>
      <w:r w:rsidRPr="002C5301">
        <w:rPr>
          <w:rFonts w:eastAsia="Times New Roman"/>
          <w:b/>
          <w:bCs/>
          <w:sz w:val="24"/>
          <w:szCs w:val="24"/>
        </w:rPr>
        <w:lastRenderedPageBreak/>
        <w:t>Privacy, Digital Literacy and Digital Exclusion</w:t>
      </w:r>
    </w:p>
    <w:p w14:paraId="4F41C67A" w14:textId="77777777" w:rsidR="000A07C6" w:rsidRPr="008A0CE0" w:rsidRDefault="000A07C6" w:rsidP="00967DCF">
      <w:pPr>
        <w:spacing w:line="360" w:lineRule="auto"/>
        <w:jc w:val="both"/>
        <w:rPr>
          <w:rFonts w:eastAsia="Times New Roman"/>
          <w:b/>
          <w:bCs/>
        </w:rPr>
      </w:pPr>
    </w:p>
    <w:p w14:paraId="7C56E554" w14:textId="77777777" w:rsidR="00967DCF" w:rsidRDefault="00967DCF" w:rsidP="00967DCF">
      <w:pPr>
        <w:spacing w:line="360" w:lineRule="auto"/>
        <w:jc w:val="both"/>
        <w:rPr>
          <w:rFonts w:eastAsia="Times New Roman"/>
        </w:rPr>
      </w:pPr>
      <w:r>
        <w:rPr>
          <w:rFonts w:eastAsia="Times New Roman"/>
        </w:rPr>
        <w:t>There might be challenges for patients in accessing apps, smartphones, or monitoring devices. NHS England needs other options to address digital exclusion other than technology. Personal privacy is also important, as health information is gathered and exchanged digitally (</w:t>
      </w:r>
      <w:proofErr w:type="spellStart"/>
      <w:r>
        <w:rPr>
          <w:rFonts w:eastAsia="Times New Roman"/>
        </w:rPr>
        <w:t>Picón</w:t>
      </w:r>
      <w:proofErr w:type="spellEnd"/>
      <w:r>
        <w:rPr>
          <w:rFonts w:eastAsia="Times New Roman"/>
        </w:rPr>
        <w:t>-Jaimes, 2024). These systems then need to provide data protection, security, usability, and clinical safety.</w:t>
      </w:r>
    </w:p>
    <w:p w14:paraId="1AC4A99A" w14:textId="77777777" w:rsidR="000A07C6" w:rsidRDefault="000A07C6" w:rsidP="00967DCF">
      <w:pPr>
        <w:spacing w:line="360" w:lineRule="auto"/>
        <w:jc w:val="both"/>
        <w:rPr>
          <w:rFonts w:eastAsia="Times New Roman"/>
          <w:highlight w:val="white"/>
        </w:rPr>
      </w:pPr>
    </w:p>
    <w:p w14:paraId="2CA8C4F2" w14:textId="1D577374" w:rsidR="00967DCF" w:rsidRPr="00137C97" w:rsidRDefault="00967DCF" w:rsidP="00137C97">
      <w:pPr>
        <w:pStyle w:val="ListParagraph"/>
        <w:numPr>
          <w:ilvl w:val="0"/>
          <w:numId w:val="6"/>
        </w:numPr>
        <w:spacing w:line="360" w:lineRule="auto"/>
        <w:jc w:val="both"/>
        <w:rPr>
          <w:rFonts w:eastAsia="Times New Roman"/>
          <w:b/>
          <w:bCs/>
          <w:sz w:val="24"/>
          <w:szCs w:val="24"/>
        </w:rPr>
      </w:pPr>
      <w:r w:rsidRPr="00137C97">
        <w:rPr>
          <w:rFonts w:eastAsia="Times New Roman"/>
          <w:b/>
          <w:bCs/>
          <w:sz w:val="24"/>
          <w:szCs w:val="24"/>
        </w:rPr>
        <w:t>Critical Evaluation of Patient/Service User Impact</w:t>
      </w:r>
    </w:p>
    <w:p w14:paraId="1266C1D3" w14:textId="77777777" w:rsidR="000A07C6" w:rsidRPr="008A0CE0" w:rsidRDefault="000A07C6" w:rsidP="00967DCF">
      <w:pPr>
        <w:spacing w:line="360" w:lineRule="auto"/>
        <w:jc w:val="both"/>
        <w:rPr>
          <w:rFonts w:eastAsia="Times New Roman"/>
          <w:highlight w:val="white"/>
        </w:rPr>
      </w:pPr>
    </w:p>
    <w:p w14:paraId="61985473" w14:textId="77777777" w:rsidR="00967DCF" w:rsidRDefault="00967DCF" w:rsidP="00967DCF">
      <w:pPr>
        <w:spacing w:line="360" w:lineRule="auto"/>
        <w:jc w:val="both"/>
        <w:rPr>
          <w:rFonts w:eastAsia="Times New Roman"/>
          <w:highlight w:val="white"/>
        </w:rPr>
      </w:pPr>
      <w:r>
        <w:rPr>
          <w:rFonts w:eastAsia="Times New Roman"/>
          <w:highlight w:val="white"/>
        </w:rPr>
        <w:t xml:space="preserve">There are advantages </w:t>
      </w:r>
      <w:proofErr w:type="gramStart"/>
      <w:r>
        <w:rPr>
          <w:rFonts w:eastAsia="Times New Roman"/>
          <w:highlight w:val="white"/>
        </w:rPr>
        <w:t>of</w:t>
      </w:r>
      <w:proofErr w:type="gramEnd"/>
      <w:r>
        <w:rPr>
          <w:rFonts w:eastAsia="Times New Roman"/>
          <w:highlight w:val="white"/>
        </w:rPr>
        <w:t xml:space="preserve"> having virtual </w:t>
      </w:r>
      <w:proofErr w:type="gramStart"/>
      <w:r>
        <w:rPr>
          <w:rFonts w:eastAsia="Times New Roman"/>
          <w:highlight w:val="white"/>
        </w:rPr>
        <w:t>wards</w:t>
      </w:r>
      <w:proofErr w:type="gramEnd"/>
      <w:r>
        <w:rPr>
          <w:rFonts w:eastAsia="Times New Roman"/>
          <w:highlight w:val="white"/>
        </w:rPr>
        <w:t xml:space="preserve">, including comfort, independence, availability, and continuity of care, but they cannot be used for all people. According to the </w:t>
      </w:r>
      <w:proofErr w:type="gramStart"/>
      <w:r>
        <w:rPr>
          <w:rFonts w:eastAsia="Times New Roman"/>
          <w:highlight w:val="white"/>
        </w:rPr>
        <w:t>South East</w:t>
      </w:r>
      <w:proofErr w:type="gramEnd"/>
      <w:r>
        <w:rPr>
          <w:rFonts w:eastAsia="Times New Roman"/>
          <w:highlight w:val="white"/>
        </w:rPr>
        <w:t xml:space="preserve"> study, the black and minority ethnic population performed poorly in the virtual ward patient populations; however, due to insufficient data on ethnicity, no conclusion was drawn (</w:t>
      </w:r>
      <w:proofErr w:type="spellStart"/>
      <w:r>
        <w:rPr>
          <w:rFonts w:eastAsia="Times New Roman"/>
          <w:highlight w:val="white"/>
        </w:rPr>
        <w:t>Stoumpos</w:t>
      </w:r>
      <w:proofErr w:type="spellEnd"/>
      <w:r>
        <w:rPr>
          <w:rFonts w:eastAsia="Times New Roman"/>
          <w:highlight w:val="white"/>
        </w:rPr>
        <w:t xml:space="preserve"> </w:t>
      </w:r>
      <w:r>
        <w:rPr>
          <w:rFonts w:eastAsia="Times New Roman"/>
          <w:i/>
          <w:iCs/>
          <w:highlight w:val="white"/>
        </w:rPr>
        <w:t>et al</w:t>
      </w:r>
      <w:r>
        <w:rPr>
          <w:rFonts w:eastAsia="Times New Roman"/>
          <w:highlight w:val="white"/>
        </w:rPr>
        <w:t xml:space="preserve">., 2023). The above points to the fact that, although virtual wards may bring about a more satisfactory experience for patients, there may be some inequalities in terms of access to the wards. Therefore, the successful adoption of virtual </w:t>
      </w:r>
      <w:proofErr w:type="gramStart"/>
      <w:r>
        <w:rPr>
          <w:rFonts w:eastAsia="Times New Roman"/>
          <w:highlight w:val="white"/>
        </w:rPr>
        <w:t>wards</w:t>
      </w:r>
      <w:proofErr w:type="gramEnd"/>
      <w:r>
        <w:rPr>
          <w:rFonts w:eastAsia="Times New Roman"/>
          <w:highlight w:val="white"/>
        </w:rPr>
        <w:t xml:space="preserve"> should include patient choice, having suitable alternatives, involving caregivers, and monitoring of the process (Iyanna </w:t>
      </w:r>
      <w:r>
        <w:rPr>
          <w:rFonts w:eastAsia="Times New Roman"/>
          <w:i/>
          <w:iCs/>
          <w:highlight w:val="white"/>
        </w:rPr>
        <w:t>et al</w:t>
      </w:r>
      <w:r>
        <w:rPr>
          <w:rFonts w:eastAsia="Times New Roman"/>
          <w:highlight w:val="white"/>
        </w:rPr>
        <w:t>., 2022).</w:t>
      </w:r>
    </w:p>
    <w:p w14:paraId="0908374A" w14:textId="75931167" w:rsidR="00877509" w:rsidRDefault="00967DCF" w:rsidP="00172927">
      <w:pPr>
        <w:pStyle w:val="Heading1"/>
        <w:rPr>
          <w:rFonts w:ascii="Arial" w:eastAsia="Arial" w:hAnsi="Arial" w:cs="Arial"/>
          <w:b/>
          <w:bCs/>
          <w:color w:val="000000" w:themeColor="text1"/>
          <w:sz w:val="28"/>
          <w:szCs w:val="28"/>
        </w:rPr>
      </w:pPr>
      <w:bookmarkStart w:id="5" w:name="_Toc241140347"/>
      <w:r w:rsidRPr="00854C40">
        <w:rPr>
          <w:rFonts w:eastAsia="Arial"/>
          <w:b/>
          <w:bCs/>
          <w:color w:val="000000" w:themeColor="text1"/>
          <w:sz w:val="28"/>
          <w:szCs w:val="28"/>
        </w:rPr>
        <w:t>6</w:t>
      </w:r>
      <w:r w:rsidRPr="00854C40">
        <w:rPr>
          <w:rFonts w:ascii="Arial" w:eastAsia="Arial" w:hAnsi="Arial" w:cs="Arial"/>
          <w:b/>
          <w:bCs/>
          <w:color w:val="000000" w:themeColor="text1"/>
          <w:sz w:val="28"/>
          <w:szCs w:val="28"/>
        </w:rPr>
        <w:t>. Conclusion and Recommendations</w:t>
      </w:r>
      <w:bookmarkEnd w:id="5"/>
    </w:p>
    <w:p w14:paraId="400C70AE" w14:textId="77777777" w:rsidR="00172927" w:rsidRPr="00172927" w:rsidRDefault="00172927" w:rsidP="00172927"/>
    <w:p w14:paraId="30AE1E79" w14:textId="2CAD2243" w:rsidR="00967DCF" w:rsidRPr="0080477B" w:rsidRDefault="00967DCF" w:rsidP="00967DCF">
      <w:pPr>
        <w:spacing w:line="360" w:lineRule="auto"/>
        <w:jc w:val="both"/>
        <w:rPr>
          <w:rFonts w:eastAsia="Times New Roman"/>
          <w:b/>
          <w:bCs/>
          <w:sz w:val="24"/>
          <w:szCs w:val="24"/>
        </w:rPr>
      </w:pPr>
      <w:r w:rsidRPr="0080477B">
        <w:rPr>
          <w:rFonts w:eastAsia="Times New Roman"/>
          <w:b/>
          <w:bCs/>
          <w:sz w:val="24"/>
          <w:szCs w:val="24"/>
        </w:rPr>
        <w:t>Conclusion</w:t>
      </w:r>
    </w:p>
    <w:p w14:paraId="04F5E040" w14:textId="77777777" w:rsidR="00034F5E" w:rsidRPr="008A0CE0" w:rsidRDefault="00034F5E" w:rsidP="00967DCF">
      <w:pPr>
        <w:spacing w:line="360" w:lineRule="auto"/>
        <w:jc w:val="both"/>
        <w:rPr>
          <w:rFonts w:eastAsia="Times New Roman"/>
          <w:b/>
          <w:bCs/>
        </w:rPr>
      </w:pPr>
    </w:p>
    <w:p w14:paraId="22D3E3AC" w14:textId="77777777" w:rsidR="00967DCF" w:rsidRDefault="00967DCF" w:rsidP="00967DCF">
      <w:pPr>
        <w:spacing w:line="360" w:lineRule="auto"/>
        <w:jc w:val="both"/>
        <w:rPr>
          <w:rFonts w:eastAsia="Times New Roman"/>
          <w:color w:val="000000"/>
          <w:highlight w:val="white"/>
        </w:rPr>
      </w:pPr>
      <w:r>
        <w:rPr>
          <w:rFonts w:eastAsia="Times New Roman"/>
          <w:highlight w:val="white"/>
        </w:rPr>
        <w:t xml:space="preserve">It can be concluded that </w:t>
      </w:r>
      <w:r>
        <w:rPr>
          <w:rFonts w:eastAsia="Times New Roman"/>
          <w:color w:val="000000"/>
          <w:highlight w:val="white"/>
        </w:rPr>
        <w:t>NHS Virtual Wards and Remote Patient Monitoring have transformed acute care by making it possible for selected patients to benefit from hospital-level care at their homes. As of March 2023, over 100,000 people have benefited from virtual ward care in England. There have been 7,653 beds created in virtual wards in England. Evidence shows benefits to patient experience, capacity in hospitals, continuity</w:t>
      </w:r>
      <w:r>
        <w:rPr>
          <w:rFonts w:eastAsia="Times New Roman"/>
          <w:highlight w:val="white"/>
        </w:rPr>
        <w:t>,</w:t>
      </w:r>
      <w:r>
        <w:rPr>
          <w:rFonts w:eastAsia="Times New Roman"/>
          <w:color w:val="000000"/>
          <w:highlight w:val="white"/>
        </w:rPr>
        <w:t xml:space="preserve"> and professional judgement. Workforce pressure, digital exclusion, technology, and inconsistencies across local services are the major limitations.</w:t>
      </w:r>
    </w:p>
    <w:p w14:paraId="35D1FD8D" w14:textId="0E46CB13" w:rsidR="00967DCF" w:rsidRDefault="00066843" w:rsidP="00967DCF">
      <w:pPr>
        <w:spacing w:line="360" w:lineRule="auto"/>
        <w:jc w:val="both"/>
        <w:rPr>
          <w:rFonts w:eastAsia="Times New Roman"/>
        </w:rPr>
      </w:pPr>
      <w:r>
        <w:rPr>
          <w:rFonts w:eastAsia="Times New Roman"/>
          <w:highlight w:val="white"/>
        </w:rPr>
        <w:t>This</w:t>
      </w:r>
      <w:r w:rsidR="00967DCF">
        <w:rPr>
          <w:rFonts w:eastAsia="Times New Roman"/>
          <w:highlight w:val="white"/>
        </w:rPr>
        <w:t xml:space="preserve"> innovation can help the NHS transition from hospital treatment to care nearer to home. NHS England reports that virtual wards are currently offered in all the Integrated Care Systems, but the pathways and models vary. Hence, its expansion needs proper patient selection, reliable technology, a capable workforce, and integration between care and health services.</w:t>
      </w:r>
    </w:p>
    <w:p w14:paraId="3EC1B0A0" w14:textId="77777777" w:rsidR="00034F5E" w:rsidRDefault="00034F5E" w:rsidP="00967DCF">
      <w:pPr>
        <w:spacing w:line="360" w:lineRule="auto"/>
        <w:jc w:val="both"/>
        <w:rPr>
          <w:rFonts w:eastAsia="Times New Roman"/>
          <w:b/>
          <w:bCs/>
          <w:i/>
          <w:iCs/>
        </w:rPr>
      </w:pPr>
    </w:p>
    <w:p w14:paraId="53F8C950" w14:textId="77777777" w:rsidR="00967DCF" w:rsidRPr="009056BE" w:rsidRDefault="00967DCF" w:rsidP="00967DCF">
      <w:pPr>
        <w:spacing w:line="360" w:lineRule="auto"/>
        <w:jc w:val="both"/>
        <w:rPr>
          <w:rFonts w:eastAsia="Times New Roman"/>
          <w:b/>
          <w:bCs/>
          <w:sz w:val="24"/>
          <w:szCs w:val="24"/>
        </w:rPr>
      </w:pPr>
      <w:r w:rsidRPr="009056BE">
        <w:rPr>
          <w:rFonts w:eastAsia="Times New Roman"/>
          <w:b/>
          <w:bCs/>
          <w:sz w:val="24"/>
          <w:szCs w:val="24"/>
        </w:rPr>
        <w:t>Key Recommendations for Future Practice</w:t>
      </w:r>
    </w:p>
    <w:p w14:paraId="4C097A7C" w14:textId="77777777" w:rsidR="00034F5E" w:rsidRPr="00854C40" w:rsidRDefault="00034F5E" w:rsidP="00967DCF">
      <w:pPr>
        <w:spacing w:line="360" w:lineRule="auto"/>
        <w:jc w:val="both"/>
        <w:rPr>
          <w:rFonts w:eastAsia="Times New Roman"/>
          <w:b/>
          <w:bCs/>
          <w:sz w:val="24"/>
          <w:szCs w:val="24"/>
        </w:rPr>
      </w:pPr>
    </w:p>
    <w:p w14:paraId="0A4FD9A8" w14:textId="77777777" w:rsidR="00967DCF" w:rsidRDefault="00967DCF" w:rsidP="00967DCF">
      <w:pPr>
        <w:spacing w:line="360" w:lineRule="auto"/>
        <w:jc w:val="both"/>
        <w:rPr>
          <w:rFonts w:eastAsia="Times New Roman"/>
        </w:rPr>
      </w:pPr>
      <w:r>
        <w:rPr>
          <w:rFonts w:eastAsia="Times New Roman"/>
        </w:rPr>
        <w:t>The Recommendations for future practice are as follows:</w:t>
      </w:r>
    </w:p>
    <w:p w14:paraId="345DC278" w14:textId="551D2165" w:rsidR="00967DCF" w:rsidRDefault="00967DCF" w:rsidP="00967DCF">
      <w:pPr>
        <w:numPr>
          <w:ilvl w:val="0"/>
          <w:numId w:val="1"/>
        </w:numPr>
        <w:spacing w:line="360" w:lineRule="auto"/>
        <w:jc w:val="both"/>
        <w:rPr>
          <w:rFonts w:eastAsia="Times New Roman"/>
          <w:color w:val="000000"/>
          <w:highlight w:val="white"/>
        </w:rPr>
      </w:pPr>
      <w:r>
        <w:rPr>
          <w:rFonts w:eastAsia="Times New Roman"/>
          <w:color w:val="000000"/>
          <w:highlight w:val="white"/>
        </w:rPr>
        <w:t xml:space="preserve">NHS </w:t>
      </w:r>
      <w:proofErr w:type="spellStart"/>
      <w:r>
        <w:rPr>
          <w:rFonts w:eastAsia="Times New Roman"/>
          <w:color w:val="000000"/>
          <w:highlight w:val="white"/>
        </w:rPr>
        <w:t>Organisations</w:t>
      </w:r>
      <w:proofErr w:type="spellEnd"/>
      <w:r>
        <w:rPr>
          <w:rFonts w:eastAsia="Times New Roman"/>
          <w:color w:val="000000"/>
          <w:highlight w:val="white"/>
        </w:rPr>
        <w:t xml:space="preserve"> need to invest in training for staff </w:t>
      </w:r>
      <w:r w:rsidR="005B74D5">
        <w:rPr>
          <w:rFonts w:eastAsia="Times New Roman"/>
          <w:color w:val="000000"/>
          <w:highlight w:val="white"/>
        </w:rPr>
        <w:t>in</w:t>
      </w:r>
      <w:r>
        <w:rPr>
          <w:rFonts w:eastAsia="Times New Roman"/>
          <w:color w:val="000000"/>
          <w:highlight w:val="white"/>
        </w:rPr>
        <w:t xml:space="preserve"> remote monitoring and digital technologies.</w:t>
      </w:r>
    </w:p>
    <w:p w14:paraId="0BFA5787" w14:textId="77777777" w:rsidR="00967DCF" w:rsidRDefault="00967DCF" w:rsidP="00967DCF">
      <w:pPr>
        <w:numPr>
          <w:ilvl w:val="0"/>
          <w:numId w:val="1"/>
        </w:numPr>
        <w:spacing w:line="360" w:lineRule="auto"/>
        <w:jc w:val="both"/>
        <w:rPr>
          <w:rFonts w:eastAsia="Times New Roman"/>
          <w:color w:val="000000"/>
          <w:highlight w:val="white"/>
        </w:rPr>
      </w:pPr>
      <w:r>
        <w:rPr>
          <w:rFonts w:eastAsia="Times New Roman"/>
          <w:color w:val="000000"/>
          <w:highlight w:val="white"/>
        </w:rPr>
        <w:t>Non-digital options need to be provided in virtual wards to avoid exclusion.</w:t>
      </w:r>
    </w:p>
    <w:p w14:paraId="1DFC9908" w14:textId="77777777" w:rsidR="00967DCF" w:rsidRDefault="00967DCF" w:rsidP="00967DCF">
      <w:pPr>
        <w:numPr>
          <w:ilvl w:val="0"/>
          <w:numId w:val="1"/>
        </w:numPr>
        <w:spacing w:line="360" w:lineRule="auto"/>
        <w:jc w:val="both"/>
        <w:rPr>
          <w:rFonts w:eastAsia="Times New Roman"/>
          <w:color w:val="000000"/>
          <w:highlight w:val="white"/>
        </w:rPr>
      </w:pPr>
      <w:r>
        <w:rPr>
          <w:rFonts w:eastAsia="Times New Roman"/>
          <w:color w:val="000000"/>
          <w:highlight w:val="white"/>
        </w:rPr>
        <w:t>Record-keeping and sharing of information through digital technologies should be improved.</w:t>
      </w:r>
    </w:p>
    <w:p w14:paraId="7E878A37" w14:textId="068EEE5D" w:rsidR="00967DCF" w:rsidRDefault="003B1EAA" w:rsidP="00967DCF">
      <w:pPr>
        <w:numPr>
          <w:ilvl w:val="0"/>
          <w:numId w:val="1"/>
        </w:numPr>
        <w:spacing w:line="360" w:lineRule="auto"/>
        <w:jc w:val="both"/>
        <w:rPr>
          <w:rFonts w:eastAsia="Times New Roman"/>
          <w:color w:val="000000"/>
          <w:highlight w:val="white"/>
        </w:rPr>
      </w:pPr>
      <w:r>
        <w:rPr>
          <w:rFonts w:eastAsia="Times New Roman"/>
          <w:color w:val="000000"/>
          <w:highlight w:val="white"/>
        </w:rPr>
        <w:t>Monitoring</w:t>
      </w:r>
      <w:r w:rsidR="00967DCF">
        <w:rPr>
          <w:rFonts w:eastAsia="Times New Roman"/>
          <w:color w:val="000000"/>
          <w:highlight w:val="white"/>
        </w:rPr>
        <w:t xml:space="preserve"> safety, patient outcomes, efficiency and equality should be undertaken.</w:t>
      </w:r>
    </w:p>
    <w:p w14:paraId="30CE56AB" w14:textId="77777777" w:rsidR="00967DCF" w:rsidRDefault="00967DCF" w:rsidP="00967DCF">
      <w:pPr>
        <w:spacing w:line="360" w:lineRule="auto"/>
        <w:jc w:val="both"/>
        <w:rPr>
          <w:rFonts w:eastAsia="Times New Roman"/>
          <w:b/>
          <w:bCs/>
        </w:rPr>
      </w:pPr>
      <w:r>
        <w:br w:type="page"/>
      </w:r>
    </w:p>
    <w:p w14:paraId="76DFAD2B" w14:textId="77777777" w:rsidR="00967DCF" w:rsidRDefault="00967DCF" w:rsidP="00967DCF">
      <w:pPr>
        <w:pStyle w:val="Heading1"/>
        <w:rPr>
          <w:rFonts w:eastAsia="Arial"/>
          <w:b/>
          <w:bCs/>
          <w:color w:val="000000" w:themeColor="text1"/>
          <w:sz w:val="28"/>
          <w:szCs w:val="28"/>
        </w:rPr>
      </w:pPr>
      <w:bookmarkStart w:id="6" w:name="_Toc241140348"/>
      <w:r w:rsidRPr="00854C40">
        <w:rPr>
          <w:rFonts w:eastAsia="Arial"/>
          <w:b/>
          <w:bCs/>
          <w:color w:val="000000" w:themeColor="text1"/>
          <w:sz w:val="28"/>
          <w:szCs w:val="28"/>
        </w:rPr>
        <w:lastRenderedPageBreak/>
        <w:t>Reference List</w:t>
      </w:r>
      <w:bookmarkEnd w:id="6"/>
    </w:p>
    <w:p w14:paraId="55EEC1B5" w14:textId="77777777" w:rsidR="00854C40" w:rsidRPr="00854C40" w:rsidRDefault="00854C40" w:rsidP="00854C40"/>
    <w:p w14:paraId="7E033CA9" w14:textId="77777777" w:rsidR="00967DCF" w:rsidRDefault="00967DCF" w:rsidP="00967DCF">
      <w:pPr>
        <w:spacing w:after="200" w:line="360" w:lineRule="auto"/>
        <w:jc w:val="both"/>
        <w:rPr>
          <w:rFonts w:eastAsia="Times New Roman"/>
        </w:rPr>
      </w:pPr>
      <w:r>
        <w:rPr>
          <w:rFonts w:eastAsia="Times New Roman"/>
        </w:rPr>
        <w:t xml:space="preserve">Abou Hashish, E.A. and Alnajjar, H. (2024). Digital proficiency: assessing knowledge, attitudes, and skills in digital transformation, health literacy, and artificial intelligence among university nursing students. </w:t>
      </w:r>
      <w:r>
        <w:rPr>
          <w:rFonts w:eastAsia="Times New Roman"/>
          <w:i/>
          <w:iCs/>
        </w:rPr>
        <w:t>BMC Medical Education</w:t>
      </w:r>
      <w:r>
        <w:rPr>
          <w:rFonts w:eastAsia="Times New Roman"/>
        </w:rPr>
        <w:t xml:space="preserve">, </w:t>
      </w:r>
      <w:r>
        <w:rPr>
          <w:rFonts w:eastAsia="Times New Roman"/>
          <w:i/>
          <w:iCs/>
        </w:rPr>
        <w:t>24</w:t>
      </w:r>
      <w:r>
        <w:rPr>
          <w:rFonts w:eastAsia="Times New Roman"/>
        </w:rPr>
        <w:t>(1), pp.508.  Available at: https://link.springer.com/article/10.1186/s12909-024-05482-3 [Accessed on: 24</w:t>
      </w:r>
      <w:r>
        <w:rPr>
          <w:rFonts w:eastAsia="Times New Roman"/>
          <w:vertAlign w:val="superscript"/>
        </w:rPr>
        <w:t>th</w:t>
      </w:r>
      <w:r>
        <w:rPr>
          <w:rFonts w:eastAsia="Times New Roman"/>
        </w:rPr>
        <w:t xml:space="preserve"> Sep 2026]</w:t>
      </w:r>
    </w:p>
    <w:p w14:paraId="5D3B0AEA" w14:textId="77777777" w:rsidR="00967DCF" w:rsidRDefault="00967DCF" w:rsidP="00967DCF">
      <w:pPr>
        <w:spacing w:after="200" w:line="360" w:lineRule="auto"/>
        <w:jc w:val="both"/>
        <w:rPr>
          <w:rFonts w:eastAsia="Times New Roman"/>
        </w:rPr>
      </w:pPr>
      <w:r>
        <w:rPr>
          <w:rFonts w:eastAsia="Times New Roman"/>
        </w:rPr>
        <w:t xml:space="preserve">Alotaibi, N., Wilson, C.B. and Traynor, M. (2025). Enhancing digital readiness and capability in healthcare: a systematic review of interventions, barriers, and facilitators. </w:t>
      </w:r>
      <w:r>
        <w:rPr>
          <w:rFonts w:eastAsia="Times New Roman"/>
          <w:i/>
          <w:iCs/>
        </w:rPr>
        <w:t>BMC Health Services Research</w:t>
      </w:r>
      <w:r>
        <w:rPr>
          <w:rFonts w:eastAsia="Times New Roman"/>
        </w:rPr>
        <w:t xml:space="preserve">, </w:t>
      </w:r>
      <w:r>
        <w:rPr>
          <w:rFonts w:eastAsia="Times New Roman"/>
          <w:i/>
          <w:iCs/>
        </w:rPr>
        <w:t>25</w:t>
      </w:r>
      <w:r>
        <w:rPr>
          <w:rFonts w:eastAsia="Times New Roman"/>
        </w:rPr>
        <w:t>(1), pp.500.  Available at: https://link.springer.com/article/10.1186/s12913-025-12663-3 [Accessed on: 24</w:t>
      </w:r>
      <w:r>
        <w:rPr>
          <w:rFonts w:eastAsia="Times New Roman"/>
          <w:vertAlign w:val="superscript"/>
        </w:rPr>
        <w:t>th</w:t>
      </w:r>
      <w:r>
        <w:rPr>
          <w:rFonts w:eastAsia="Times New Roman"/>
        </w:rPr>
        <w:t xml:space="preserve"> Sep 2026]</w:t>
      </w:r>
    </w:p>
    <w:p w14:paraId="3D1EA606" w14:textId="77777777" w:rsidR="00967DCF" w:rsidRDefault="00967DCF" w:rsidP="00967DCF">
      <w:pPr>
        <w:spacing w:after="200" w:line="360" w:lineRule="auto"/>
        <w:jc w:val="both"/>
        <w:rPr>
          <w:rFonts w:eastAsia="Times New Roman"/>
        </w:rPr>
      </w:pPr>
      <w:r>
        <w:rPr>
          <w:rFonts w:eastAsia="Times New Roman"/>
        </w:rPr>
        <w:t xml:space="preserve">Berardi, C., Antonini, M., Jordan, Z., </w:t>
      </w:r>
      <w:proofErr w:type="spellStart"/>
      <w:r>
        <w:rPr>
          <w:rFonts w:eastAsia="Times New Roman"/>
        </w:rPr>
        <w:t>Wechtler</w:t>
      </w:r>
      <w:proofErr w:type="spellEnd"/>
      <w:r>
        <w:rPr>
          <w:rFonts w:eastAsia="Times New Roman"/>
        </w:rPr>
        <w:t xml:space="preserve">, H., Paolucci, F. and </w:t>
      </w:r>
      <w:proofErr w:type="spellStart"/>
      <w:r>
        <w:rPr>
          <w:rFonts w:eastAsia="Times New Roman"/>
        </w:rPr>
        <w:t>Hinwood</w:t>
      </w:r>
      <w:proofErr w:type="spellEnd"/>
      <w:r>
        <w:rPr>
          <w:rFonts w:eastAsia="Times New Roman"/>
        </w:rPr>
        <w:t xml:space="preserve">, M. (2024). Barriers and facilitators to the implementation of digital technologies in mental health systems: a qualitative systematic review to inform a policy framework. </w:t>
      </w:r>
      <w:r>
        <w:rPr>
          <w:rFonts w:eastAsia="Times New Roman"/>
          <w:i/>
          <w:iCs/>
        </w:rPr>
        <w:t>BMC Health Services Research</w:t>
      </w:r>
      <w:r>
        <w:rPr>
          <w:rFonts w:eastAsia="Times New Roman"/>
        </w:rPr>
        <w:t xml:space="preserve">, </w:t>
      </w:r>
      <w:r>
        <w:rPr>
          <w:rFonts w:eastAsia="Times New Roman"/>
          <w:i/>
          <w:iCs/>
        </w:rPr>
        <w:t>24</w:t>
      </w:r>
      <w:r>
        <w:rPr>
          <w:rFonts w:eastAsia="Times New Roman"/>
        </w:rPr>
        <w:t>(1), pp.243.  Available at: https://link.springer.com/article/10.1186/s12913-023-10536-1 [Accessed on: 24</w:t>
      </w:r>
      <w:r>
        <w:rPr>
          <w:rFonts w:eastAsia="Times New Roman"/>
          <w:vertAlign w:val="superscript"/>
        </w:rPr>
        <w:t>th</w:t>
      </w:r>
      <w:r>
        <w:rPr>
          <w:rFonts w:eastAsia="Times New Roman"/>
        </w:rPr>
        <w:t xml:space="preserve"> Sep 2026]</w:t>
      </w:r>
    </w:p>
    <w:p w14:paraId="5BD4070D" w14:textId="77777777" w:rsidR="00967DCF" w:rsidRDefault="00967DCF" w:rsidP="00967DCF">
      <w:pPr>
        <w:spacing w:after="200" w:line="360" w:lineRule="auto"/>
        <w:jc w:val="both"/>
        <w:rPr>
          <w:rFonts w:eastAsia="Times New Roman"/>
        </w:rPr>
      </w:pPr>
      <w:r>
        <w:rPr>
          <w:rFonts w:eastAsia="Times New Roman"/>
        </w:rPr>
        <w:t xml:space="preserve">Borges do Nascimento, I.J., Abdulazeem, H., Vasanthan, L.T., Martinez, E.Z., Zucoloto, M.L., Østengaard, L., Azzopardi-Muscat, N., Zapata, T. and Novillo-Ortiz, D. (2023). Barriers and facilitators to </w:t>
      </w:r>
      <w:proofErr w:type="spellStart"/>
      <w:r>
        <w:rPr>
          <w:rFonts w:eastAsia="Times New Roman"/>
        </w:rPr>
        <w:t>utilising</w:t>
      </w:r>
      <w:proofErr w:type="spellEnd"/>
      <w:r>
        <w:rPr>
          <w:rFonts w:eastAsia="Times New Roman"/>
        </w:rPr>
        <w:t xml:space="preserve"> digital health technologies by healthcare professionals. </w:t>
      </w:r>
      <w:r>
        <w:rPr>
          <w:rFonts w:eastAsia="Times New Roman"/>
          <w:i/>
          <w:iCs/>
        </w:rPr>
        <w:t>NPJ Digital Medicine</w:t>
      </w:r>
      <w:r>
        <w:rPr>
          <w:rFonts w:eastAsia="Times New Roman"/>
        </w:rPr>
        <w:t xml:space="preserve">, </w:t>
      </w:r>
      <w:r>
        <w:rPr>
          <w:rFonts w:eastAsia="Times New Roman"/>
          <w:i/>
          <w:iCs/>
        </w:rPr>
        <w:t>6</w:t>
      </w:r>
      <w:r>
        <w:rPr>
          <w:rFonts w:eastAsia="Times New Roman"/>
        </w:rPr>
        <w:t>(1), pp.161.  Available at: https://www.nature.com/articles/s41746-023-00899-4 [Accessed on: 24</w:t>
      </w:r>
      <w:r>
        <w:rPr>
          <w:rFonts w:eastAsia="Times New Roman"/>
          <w:vertAlign w:val="superscript"/>
        </w:rPr>
        <w:t>th</w:t>
      </w:r>
      <w:r>
        <w:rPr>
          <w:rFonts w:eastAsia="Times New Roman"/>
        </w:rPr>
        <w:t xml:space="preserve"> Sep 2026]</w:t>
      </w:r>
    </w:p>
    <w:p w14:paraId="701F5383" w14:textId="77777777" w:rsidR="00967DCF" w:rsidRDefault="00967DCF" w:rsidP="00967DCF">
      <w:pPr>
        <w:spacing w:after="200" w:line="360" w:lineRule="auto"/>
        <w:jc w:val="both"/>
        <w:rPr>
          <w:rFonts w:eastAsia="Times New Roman"/>
        </w:rPr>
      </w:pPr>
      <w:r>
        <w:rPr>
          <w:rFonts w:eastAsia="Times New Roman"/>
        </w:rPr>
        <w:t xml:space="preserve">Cosa, M. and Torelli, R. (2024). Digital transformation and flexible performance management: A systematic literature review of the evolution of performance measurement systems. </w:t>
      </w:r>
      <w:r>
        <w:rPr>
          <w:rFonts w:eastAsia="Times New Roman"/>
          <w:i/>
          <w:iCs/>
        </w:rPr>
        <w:t>Global Journal of Flexible Systems Management</w:t>
      </w:r>
      <w:r>
        <w:rPr>
          <w:rFonts w:eastAsia="Times New Roman"/>
        </w:rPr>
        <w:t xml:space="preserve">, </w:t>
      </w:r>
      <w:r>
        <w:rPr>
          <w:rFonts w:eastAsia="Times New Roman"/>
          <w:i/>
          <w:iCs/>
        </w:rPr>
        <w:t>25</w:t>
      </w:r>
      <w:r>
        <w:rPr>
          <w:rFonts w:eastAsia="Times New Roman"/>
        </w:rPr>
        <w:t>(3), pp.445-466.  Available at: https://link.springer.com/article/10.1007/s40171-024-00409-9 [Accessed on: 24</w:t>
      </w:r>
      <w:r>
        <w:rPr>
          <w:rFonts w:eastAsia="Times New Roman"/>
          <w:vertAlign w:val="superscript"/>
        </w:rPr>
        <w:t>th</w:t>
      </w:r>
      <w:r>
        <w:rPr>
          <w:rFonts w:eastAsia="Times New Roman"/>
        </w:rPr>
        <w:t xml:space="preserve"> Sep 2026]</w:t>
      </w:r>
    </w:p>
    <w:p w14:paraId="7CD3C7F7" w14:textId="77777777" w:rsidR="00967DCF" w:rsidRDefault="00967DCF" w:rsidP="00967DCF">
      <w:pPr>
        <w:spacing w:after="200" w:line="360" w:lineRule="auto"/>
        <w:jc w:val="both"/>
        <w:rPr>
          <w:rFonts w:eastAsia="Times New Roman"/>
        </w:rPr>
      </w:pPr>
      <w:r>
        <w:rPr>
          <w:rFonts w:eastAsia="Times New Roman"/>
        </w:rPr>
        <w:t xml:space="preserve">Das, D.K. (2024). Exploring the symbiotic relationship between digital transformation, infrastructure, service delivery, and governance for smart sustainable cities. </w:t>
      </w:r>
      <w:r>
        <w:rPr>
          <w:rFonts w:eastAsia="Times New Roman"/>
          <w:i/>
          <w:iCs/>
        </w:rPr>
        <w:t>Smart Cities</w:t>
      </w:r>
      <w:r>
        <w:rPr>
          <w:rFonts w:eastAsia="Times New Roman"/>
        </w:rPr>
        <w:t xml:space="preserve">, </w:t>
      </w:r>
      <w:r>
        <w:rPr>
          <w:rFonts w:eastAsia="Times New Roman"/>
          <w:i/>
          <w:iCs/>
        </w:rPr>
        <w:t>7</w:t>
      </w:r>
      <w:r>
        <w:rPr>
          <w:rFonts w:eastAsia="Times New Roman"/>
        </w:rPr>
        <w:t>(2), pp.806-835.  Available at: https://www.mdpi.com/2624-6511/7/2/34 [Accessed on: 24</w:t>
      </w:r>
      <w:r>
        <w:rPr>
          <w:rFonts w:eastAsia="Times New Roman"/>
          <w:vertAlign w:val="superscript"/>
        </w:rPr>
        <w:t>th</w:t>
      </w:r>
      <w:r>
        <w:rPr>
          <w:rFonts w:eastAsia="Times New Roman"/>
        </w:rPr>
        <w:t xml:space="preserve"> Sep 2026]</w:t>
      </w:r>
    </w:p>
    <w:p w14:paraId="63AB46D7" w14:textId="77777777" w:rsidR="00967DCF" w:rsidRDefault="00967DCF" w:rsidP="00967DCF">
      <w:pPr>
        <w:spacing w:after="200" w:line="360" w:lineRule="auto"/>
        <w:jc w:val="both"/>
        <w:rPr>
          <w:rFonts w:eastAsia="Times New Roman"/>
        </w:rPr>
      </w:pPr>
      <w:proofErr w:type="spellStart"/>
      <w:r>
        <w:rPr>
          <w:rFonts w:eastAsia="Times New Roman"/>
        </w:rPr>
        <w:t>Gázquez</w:t>
      </w:r>
      <w:proofErr w:type="spellEnd"/>
      <w:r>
        <w:rPr>
          <w:rFonts w:eastAsia="Times New Roman"/>
        </w:rPr>
        <w:t xml:space="preserve">-García, J., Sánchez-Bocanegra, C.L. and Sevillano, J.L. (2025). AI in the health sector: systematic review of key skills for future health professionals. </w:t>
      </w:r>
      <w:r>
        <w:rPr>
          <w:rFonts w:eastAsia="Times New Roman"/>
          <w:i/>
          <w:iCs/>
        </w:rPr>
        <w:t>JMIR Medical Education</w:t>
      </w:r>
      <w:r>
        <w:rPr>
          <w:rFonts w:eastAsia="Times New Roman"/>
        </w:rPr>
        <w:t xml:space="preserve">, </w:t>
      </w:r>
      <w:r>
        <w:rPr>
          <w:rFonts w:eastAsia="Times New Roman"/>
          <w:i/>
          <w:iCs/>
        </w:rPr>
        <w:t>11</w:t>
      </w:r>
      <w:r>
        <w:rPr>
          <w:rFonts w:eastAsia="Times New Roman"/>
        </w:rPr>
        <w:t>(1), pp.58161.  Available at: https://mededu.jmir.org/2025/1/e58161/PD [Accessed on: 24</w:t>
      </w:r>
      <w:r>
        <w:rPr>
          <w:rFonts w:eastAsia="Times New Roman"/>
          <w:vertAlign w:val="superscript"/>
        </w:rPr>
        <w:t>th</w:t>
      </w:r>
      <w:r>
        <w:rPr>
          <w:rFonts w:eastAsia="Times New Roman"/>
        </w:rPr>
        <w:t xml:space="preserve"> Sep 2026]</w:t>
      </w:r>
    </w:p>
    <w:p w14:paraId="3CC9868A" w14:textId="77777777" w:rsidR="00967DCF" w:rsidRDefault="00967DCF" w:rsidP="00967DCF">
      <w:pPr>
        <w:spacing w:after="200" w:line="360" w:lineRule="auto"/>
        <w:jc w:val="both"/>
        <w:rPr>
          <w:rFonts w:eastAsia="Times New Roman"/>
        </w:rPr>
      </w:pPr>
      <w:r>
        <w:rPr>
          <w:rFonts w:eastAsia="Times New Roman"/>
        </w:rPr>
        <w:lastRenderedPageBreak/>
        <w:t xml:space="preserve">Holl, F., Kircher, J., Hertelendy, A.J., </w:t>
      </w:r>
      <w:proofErr w:type="spellStart"/>
      <w:r>
        <w:rPr>
          <w:rFonts w:eastAsia="Times New Roman"/>
        </w:rPr>
        <w:t>Sukums</w:t>
      </w:r>
      <w:proofErr w:type="spellEnd"/>
      <w:r>
        <w:rPr>
          <w:rFonts w:eastAsia="Times New Roman"/>
        </w:rPr>
        <w:t xml:space="preserve">, F. and Swoboda, W. (2024). Tanzania's and Germany's digital health strategies and their consistency with the World Health </w:t>
      </w:r>
      <w:proofErr w:type="spellStart"/>
      <w:r>
        <w:rPr>
          <w:rFonts w:eastAsia="Times New Roman"/>
        </w:rPr>
        <w:t>Organisation's</w:t>
      </w:r>
      <w:proofErr w:type="spellEnd"/>
      <w:r>
        <w:rPr>
          <w:rFonts w:eastAsia="Times New Roman"/>
        </w:rPr>
        <w:t xml:space="preserve"> global strategy on digital health 2020-2025: comparative policy analysis. </w:t>
      </w:r>
      <w:r>
        <w:rPr>
          <w:rFonts w:eastAsia="Times New Roman"/>
          <w:i/>
          <w:iCs/>
        </w:rPr>
        <w:t>Journal of Medical Internet Research</w:t>
      </w:r>
      <w:r>
        <w:rPr>
          <w:rFonts w:eastAsia="Times New Roman"/>
        </w:rPr>
        <w:t xml:space="preserve">, </w:t>
      </w:r>
      <w:r>
        <w:rPr>
          <w:rFonts w:eastAsia="Times New Roman"/>
          <w:i/>
          <w:iCs/>
        </w:rPr>
        <w:t>26</w:t>
      </w:r>
      <w:r>
        <w:rPr>
          <w:rFonts w:eastAsia="Times New Roman"/>
        </w:rPr>
        <w:t>, pp.52150.  Available at: https://www.jmir.org/2024/1/e52150/ [Accessed on: 24</w:t>
      </w:r>
      <w:r>
        <w:rPr>
          <w:rFonts w:eastAsia="Times New Roman"/>
          <w:vertAlign w:val="superscript"/>
        </w:rPr>
        <w:t>th</w:t>
      </w:r>
      <w:r>
        <w:rPr>
          <w:rFonts w:eastAsia="Times New Roman"/>
        </w:rPr>
        <w:t xml:space="preserve"> Sep 2026]</w:t>
      </w:r>
    </w:p>
    <w:p w14:paraId="1A3B2D35" w14:textId="77777777" w:rsidR="00967DCF" w:rsidRDefault="00967DCF" w:rsidP="00967DCF">
      <w:pPr>
        <w:spacing w:after="240" w:line="360" w:lineRule="auto"/>
        <w:jc w:val="both"/>
        <w:rPr>
          <w:rFonts w:eastAsia="Times New Roman"/>
        </w:rPr>
      </w:pPr>
      <w:proofErr w:type="spellStart"/>
      <w:r>
        <w:rPr>
          <w:rFonts w:eastAsia="Times New Roman"/>
        </w:rPr>
        <w:t>IDSLogic</w:t>
      </w:r>
      <w:proofErr w:type="spellEnd"/>
      <w:r>
        <w:rPr>
          <w:rFonts w:eastAsia="Times New Roman"/>
        </w:rPr>
        <w:t xml:space="preserve"> (2024). </w:t>
      </w:r>
      <w:r>
        <w:rPr>
          <w:rFonts w:eastAsia="Times New Roman"/>
          <w:i/>
          <w:iCs/>
        </w:rPr>
        <w:t>Managing medical equipment within virtual wards (including hospital at home)</w:t>
      </w:r>
      <w:r>
        <w:rPr>
          <w:rFonts w:eastAsia="Times New Roman"/>
        </w:rPr>
        <w:t>. [online] Ebme.co.uk. Available at: https://www.ebme.co.uk/articles/management/managing-medical-equipment-within-virtual-wards-including-hospital-at-home [Accessed on: 24</w:t>
      </w:r>
      <w:r>
        <w:rPr>
          <w:rFonts w:eastAsia="Times New Roman"/>
          <w:vertAlign w:val="superscript"/>
        </w:rPr>
        <w:t>th</w:t>
      </w:r>
      <w:r>
        <w:rPr>
          <w:rFonts w:eastAsia="Times New Roman"/>
        </w:rPr>
        <w:t xml:space="preserve"> Sep 2026].</w:t>
      </w:r>
    </w:p>
    <w:p w14:paraId="6B421242" w14:textId="77777777" w:rsidR="00967DCF" w:rsidRDefault="00967DCF" w:rsidP="00967DCF">
      <w:pPr>
        <w:spacing w:after="200" w:line="360" w:lineRule="auto"/>
        <w:jc w:val="both"/>
        <w:rPr>
          <w:rFonts w:eastAsia="Times New Roman"/>
        </w:rPr>
      </w:pPr>
      <w:r>
        <w:rPr>
          <w:rFonts w:eastAsia="Times New Roman"/>
        </w:rPr>
        <w:t xml:space="preserve">Irani, Z., Abril, R.M., Weerakkody, V., Omar, A. and Sivarajah, U. (2023). The impact of legacy systems on digital transformation in European public administration: Lessons learned from a multi-case analysis. </w:t>
      </w:r>
      <w:r>
        <w:rPr>
          <w:rFonts w:eastAsia="Times New Roman"/>
          <w:i/>
          <w:iCs/>
        </w:rPr>
        <w:t>Government Information Quarterly</w:t>
      </w:r>
      <w:r>
        <w:rPr>
          <w:rFonts w:eastAsia="Times New Roman"/>
        </w:rPr>
        <w:t xml:space="preserve">, </w:t>
      </w:r>
      <w:r>
        <w:rPr>
          <w:rFonts w:eastAsia="Times New Roman"/>
          <w:i/>
          <w:iCs/>
        </w:rPr>
        <w:t>40</w:t>
      </w:r>
      <w:r>
        <w:rPr>
          <w:rFonts w:eastAsia="Times New Roman"/>
        </w:rPr>
        <w:t>(1), pp.101-784.  Available at: https://pdfs.semanticscholar.org/b219/a90c3b2626a86611fd9940e182f3620aa691.pdf [Accessed on: 24</w:t>
      </w:r>
      <w:r>
        <w:rPr>
          <w:rFonts w:eastAsia="Times New Roman"/>
          <w:vertAlign w:val="superscript"/>
        </w:rPr>
        <w:t>th</w:t>
      </w:r>
      <w:r>
        <w:rPr>
          <w:rFonts w:eastAsia="Times New Roman"/>
        </w:rPr>
        <w:t xml:space="preserve"> Sep 2026]</w:t>
      </w:r>
    </w:p>
    <w:p w14:paraId="60C35D2B" w14:textId="774BA95C" w:rsidR="00967DCF" w:rsidRDefault="00967DCF" w:rsidP="00967DCF">
      <w:pPr>
        <w:spacing w:after="200" w:line="360" w:lineRule="auto"/>
        <w:jc w:val="both"/>
        <w:rPr>
          <w:rFonts w:eastAsia="Times New Roman"/>
        </w:rPr>
      </w:pPr>
      <w:r>
        <w:rPr>
          <w:rFonts w:eastAsia="Times New Roman"/>
        </w:rPr>
        <w:t xml:space="preserve">Iyanna, S., Kaur, P., </w:t>
      </w:r>
      <w:proofErr w:type="spellStart"/>
      <w:r>
        <w:rPr>
          <w:rFonts w:eastAsia="Times New Roman"/>
        </w:rPr>
        <w:t>Ractham</w:t>
      </w:r>
      <w:proofErr w:type="spellEnd"/>
      <w:r>
        <w:rPr>
          <w:rFonts w:eastAsia="Times New Roman"/>
        </w:rPr>
        <w:t>, P., Talwar, S. and Islam, A.N. (2022). Digital transformation of the healthcare sector. What is impeding adoption and continued usage of technology-driven innovations by end-</w:t>
      </w:r>
      <w:proofErr w:type="gramStart"/>
      <w:r>
        <w:rPr>
          <w:rFonts w:eastAsia="Times New Roman"/>
        </w:rPr>
        <w:t>users?.</w:t>
      </w:r>
      <w:proofErr w:type="gramEnd"/>
      <w:r>
        <w:rPr>
          <w:rFonts w:eastAsia="Times New Roman"/>
        </w:rPr>
        <w:t xml:space="preserve"> </w:t>
      </w:r>
      <w:r>
        <w:rPr>
          <w:rFonts w:eastAsia="Times New Roman"/>
          <w:i/>
          <w:iCs/>
        </w:rPr>
        <w:t>Journal of Business Research</w:t>
      </w:r>
      <w:r>
        <w:rPr>
          <w:rFonts w:eastAsia="Times New Roman"/>
        </w:rPr>
        <w:t xml:space="preserve">, </w:t>
      </w:r>
      <w:r>
        <w:rPr>
          <w:rFonts w:eastAsia="Times New Roman"/>
          <w:i/>
          <w:iCs/>
        </w:rPr>
        <w:t>153</w:t>
      </w:r>
      <w:r>
        <w:rPr>
          <w:rFonts w:eastAsia="Times New Roman"/>
        </w:rPr>
        <w:t>, pp.150-161.  Available at: https://www.sciencedirect.com/science/article/pii/S0148296322006907 [Accessed on: 24</w:t>
      </w:r>
      <w:r>
        <w:rPr>
          <w:rFonts w:eastAsia="Times New Roman"/>
          <w:vertAlign w:val="superscript"/>
        </w:rPr>
        <w:t>th</w:t>
      </w:r>
      <w:r>
        <w:rPr>
          <w:rFonts w:eastAsia="Times New Roman"/>
        </w:rPr>
        <w:t xml:space="preserve"> Sep 2026]</w:t>
      </w:r>
    </w:p>
    <w:p w14:paraId="41DA29BD" w14:textId="77777777" w:rsidR="00967DCF" w:rsidRDefault="00967DCF" w:rsidP="00967DCF">
      <w:pPr>
        <w:spacing w:after="200" w:line="360" w:lineRule="auto"/>
        <w:jc w:val="both"/>
        <w:rPr>
          <w:rFonts w:eastAsia="Times New Roman"/>
        </w:rPr>
      </w:pPr>
      <w:r>
        <w:rPr>
          <w:rFonts w:eastAsia="Times New Roman"/>
        </w:rPr>
        <w:t xml:space="preserve">Jarva, E., Oikarinen, A., Andersson, J., </w:t>
      </w:r>
      <w:proofErr w:type="spellStart"/>
      <w:r>
        <w:rPr>
          <w:rFonts w:eastAsia="Times New Roman"/>
        </w:rPr>
        <w:t>Tuomikoski</w:t>
      </w:r>
      <w:proofErr w:type="spellEnd"/>
      <w:r>
        <w:rPr>
          <w:rFonts w:eastAsia="Times New Roman"/>
        </w:rPr>
        <w:t xml:space="preserve">, A.M., Kääriäinen, M., Meriläinen, M. and Mikkonen, K. (2022). Healthcare professionals' perceptions of digital health competence: A qualitative descriptive study. </w:t>
      </w:r>
      <w:r>
        <w:rPr>
          <w:rFonts w:eastAsia="Times New Roman"/>
          <w:i/>
          <w:iCs/>
        </w:rPr>
        <w:t>Nursing Open</w:t>
      </w:r>
      <w:r>
        <w:rPr>
          <w:rFonts w:eastAsia="Times New Roman"/>
        </w:rPr>
        <w:t xml:space="preserve">, </w:t>
      </w:r>
      <w:r>
        <w:rPr>
          <w:rFonts w:eastAsia="Times New Roman"/>
          <w:i/>
          <w:iCs/>
        </w:rPr>
        <w:t>9</w:t>
      </w:r>
      <w:r>
        <w:rPr>
          <w:rFonts w:eastAsia="Times New Roman"/>
        </w:rPr>
        <w:t>(2), pp.1379-1393.  Available at: https://onlinelibrary.wiley.com/doi/abs/10.1002/nop2.1184 [Accessed on: 24</w:t>
      </w:r>
      <w:r>
        <w:rPr>
          <w:rFonts w:eastAsia="Times New Roman"/>
          <w:vertAlign w:val="superscript"/>
        </w:rPr>
        <w:t>th</w:t>
      </w:r>
      <w:r>
        <w:rPr>
          <w:rFonts w:eastAsia="Times New Roman"/>
        </w:rPr>
        <w:t xml:space="preserve"> Sep 2026]</w:t>
      </w:r>
    </w:p>
    <w:p w14:paraId="69801FCF" w14:textId="77777777" w:rsidR="00967DCF" w:rsidRDefault="00967DCF" w:rsidP="00967DCF">
      <w:pPr>
        <w:spacing w:after="200" w:line="360" w:lineRule="auto"/>
        <w:jc w:val="both"/>
        <w:rPr>
          <w:rFonts w:eastAsia="Times New Roman"/>
        </w:rPr>
      </w:pPr>
      <w:proofErr w:type="spellStart"/>
      <w:r>
        <w:rPr>
          <w:rFonts w:eastAsia="Times New Roman"/>
        </w:rPr>
        <w:t>Kaihlanen</w:t>
      </w:r>
      <w:proofErr w:type="spellEnd"/>
      <w:r>
        <w:rPr>
          <w:rFonts w:eastAsia="Times New Roman"/>
        </w:rPr>
        <w:t xml:space="preserve">, A.M., </w:t>
      </w:r>
      <w:proofErr w:type="spellStart"/>
      <w:r>
        <w:rPr>
          <w:rFonts w:eastAsia="Times New Roman"/>
        </w:rPr>
        <w:t>Kainiemi</w:t>
      </w:r>
      <w:proofErr w:type="spellEnd"/>
      <w:r>
        <w:rPr>
          <w:rFonts w:eastAsia="Times New Roman"/>
        </w:rPr>
        <w:t xml:space="preserve">, E., Virtanen, L., Hilama, P., Einola, S. and Heponiemi, T. (2025). Health and social care professionals’ expectations for e-leadership in the digital transformation: a qualitative study. </w:t>
      </w:r>
      <w:r>
        <w:rPr>
          <w:rFonts w:eastAsia="Times New Roman"/>
          <w:i/>
          <w:iCs/>
        </w:rPr>
        <w:t>BMC Health Services Research</w:t>
      </w:r>
      <w:r>
        <w:rPr>
          <w:rFonts w:eastAsia="Times New Roman"/>
        </w:rPr>
        <w:t xml:space="preserve">, </w:t>
      </w:r>
      <w:r>
        <w:rPr>
          <w:rFonts w:eastAsia="Times New Roman"/>
          <w:i/>
          <w:iCs/>
        </w:rPr>
        <w:t>25</w:t>
      </w:r>
      <w:r>
        <w:rPr>
          <w:rFonts w:eastAsia="Times New Roman"/>
        </w:rPr>
        <w:t>(1), pp.14-98.  Available at: https://link.springer.com/article/10.1186/s12913-025-13740-3 [Accessed on: 24</w:t>
      </w:r>
      <w:r>
        <w:rPr>
          <w:rFonts w:eastAsia="Times New Roman"/>
          <w:vertAlign w:val="superscript"/>
        </w:rPr>
        <w:t>th</w:t>
      </w:r>
      <w:r>
        <w:rPr>
          <w:rFonts w:eastAsia="Times New Roman"/>
        </w:rPr>
        <w:t xml:space="preserve"> Sep 2026]</w:t>
      </w:r>
    </w:p>
    <w:p w14:paraId="73513478" w14:textId="77777777" w:rsidR="00967DCF" w:rsidRDefault="00967DCF" w:rsidP="00967DCF">
      <w:pPr>
        <w:spacing w:after="200" w:line="360" w:lineRule="auto"/>
        <w:jc w:val="both"/>
        <w:rPr>
          <w:rFonts w:eastAsia="Times New Roman"/>
        </w:rPr>
      </w:pPr>
      <w:r>
        <w:rPr>
          <w:rFonts w:eastAsia="Times New Roman"/>
        </w:rPr>
        <w:t xml:space="preserve">Lee, C.H., Wang, C., Fan, X., Li, F. and Chen, C.H. (2023). Artificial intelligence-enabled digital transformation in elderly healthcare field: scoping review. </w:t>
      </w:r>
      <w:r>
        <w:rPr>
          <w:rFonts w:eastAsia="Times New Roman"/>
          <w:i/>
          <w:iCs/>
        </w:rPr>
        <w:t>Advanced Engineering Informatics</w:t>
      </w:r>
      <w:r>
        <w:rPr>
          <w:rFonts w:eastAsia="Times New Roman"/>
        </w:rPr>
        <w:t xml:space="preserve">, </w:t>
      </w:r>
      <w:r>
        <w:rPr>
          <w:rFonts w:eastAsia="Times New Roman"/>
          <w:i/>
          <w:iCs/>
        </w:rPr>
        <w:t>55</w:t>
      </w:r>
      <w:r>
        <w:rPr>
          <w:rFonts w:eastAsia="Times New Roman"/>
        </w:rPr>
        <w:t>, pp.101-874.  Available at: https://www.sciencedirect.com/science/article/pii/S1474034623000022 [Accessed on: 24</w:t>
      </w:r>
      <w:r>
        <w:rPr>
          <w:rFonts w:eastAsia="Times New Roman"/>
          <w:vertAlign w:val="superscript"/>
        </w:rPr>
        <w:t>th</w:t>
      </w:r>
      <w:r>
        <w:rPr>
          <w:rFonts w:eastAsia="Times New Roman"/>
        </w:rPr>
        <w:t xml:space="preserve"> Sep 2026]</w:t>
      </w:r>
    </w:p>
    <w:p w14:paraId="0D56CB7E" w14:textId="77777777" w:rsidR="00967DCF" w:rsidRDefault="00967DCF" w:rsidP="00967DCF">
      <w:pPr>
        <w:spacing w:after="200" w:line="360" w:lineRule="auto"/>
        <w:jc w:val="both"/>
        <w:rPr>
          <w:rFonts w:eastAsia="Times New Roman"/>
        </w:rPr>
      </w:pPr>
      <w:r>
        <w:rPr>
          <w:rFonts w:eastAsia="Times New Roman"/>
        </w:rPr>
        <w:lastRenderedPageBreak/>
        <w:t xml:space="preserve">Longhini, J., </w:t>
      </w:r>
      <w:proofErr w:type="spellStart"/>
      <w:r>
        <w:rPr>
          <w:rFonts w:eastAsia="Times New Roman"/>
        </w:rPr>
        <w:t>Rossettini</w:t>
      </w:r>
      <w:proofErr w:type="spellEnd"/>
      <w:r>
        <w:rPr>
          <w:rFonts w:eastAsia="Times New Roman"/>
        </w:rPr>
        <w:t xml:space="preserve">, G. and Palese, A. (2022). Digital health competencies among health care professionals: systematic review. </w:t>
      </w:r>
      <w:r>
        <w:rPr>
          <w:rFonts w:eastAsia="Times New Roman"/>
          <w:i/>
          <w:iCs/>
        </w:rPr>
        <w:t>Journal of Medical Internet Research</w:t>
      </w:r>
      <w:r>
        <w:rPr>
          <w:rFonts w:eastAsia="Times New Roman"/>
        </w:rPr>
        <w:t xml:space="preserve">, </w:t>
      </w:r>
      <w:r>
        <w:rPr>
          <w:rFonts w:eastAsia="Times New Roman"/>
          <w:i/>
          <w:iCs/>
        </w:rPr>
        <w:t>24</w:t>
      </w:r>
      <w:r>
        <w:rPr>
          <w:rFonts w:eastAsia="Times New Roman"/>
        </w:rPr>
        <w:t>(8), pp.36414.  Available at: https://www.jmir.org/2022/8/e36414/ [Accessed on: 24</w:t>
      </w:r>
      <w:r>
        <w:rPr>
          <w:rFonts w:eastAsia="Times New Roman"/>
          <w:vertAlign w:val="superscript"/>
        </w:rPr>
        <w:t>th</w:t>
      </w:r>
      <w:r>
        <w:rPr>
          <w:rFonts w:eastAsia="Times New Roman"/>
        </w:rPr>
        <w:t xml:space="preserve"> Sep 2026]</w:t>
      </w:r>
    </w:p>
    <w:p w14:paraId="55C969D4" w14:textId="77777777" w:rsidR="00967DCF" w:rsidRDefault="00967DCF" w:rsidP="00967DCF">
      <w:pPr>
        <w:spacing w:after="200" w:line="360" w:lineRule="auto"/>
        <w:jc w:val="both"/>
        <w:rPr>
          <w:rFonts w:eastAsia="Times New Roman"/>
        </w:rPr>
      </w:pPr>
      <w:proofErr w:type="spellStart"/>
      <w:r>
        <w:rPr>
          <w:rFonts w:eastAsia="Times New Roman"/>
        </w:rPr>
        <w:t>Ozalp</w:t>
      </w:r>
      <w:proofErr w:type="spellEnd"/>
      <w:r>
        <w:rPr>
          <w:rFonts w:eastAsia="Times New Roman"/>
        </w:rPr>
        <w:t xml:space="preserve">, H., Ozcan, P., </w:t>
      </w:r>
      <w:proofErr w:type="spellStart"/>
      <w:r>
        <w:rPr>
          <w:rFonts w:eastAsia="Times New Roman"/>
        </w:rPr>
        <w:t>Dinckol</w:t>
      </w:r>
      <w:proofErr w:type="spellEnd"/>
      <w:r>
        <w:rPr>
          <w:rFonts w:eastAsia="Times New Roman"/>
        </w:rPr>
        <w:t xml:space="preserve">, D., Zachariadis, M. and </w:t>
      </w:r>
      <w:proofErr w:type="spellStart"/>
      <w:r>
        <w:rPr>
          <w:rFonts w:eastAsia="Times New Roman"/>
        </w:rPr>
        <w:t>Gawer</w:t>
      </w:r>
      <w:proofErr w:type="spellEnd"/>
      <w:r>
        <w:rPr>
          <w:rFonts w:eastAsia="Times New Roman"/>
        </w:rPr>
        <w:t xml:space="preserve">, A. (2022). "Digital </w:t>
      </w:r>
      <w:proofErr w:type="spellStart"/>
      <w:r>
        <w:rPr>
          <w:rFonts w:eastAsia="Times New Roman"/>
        </w:rPr>
        <w:t>colonisation</w:t>
      </w:r>
      <w:proofErr w:type="spellEnd"/>
      <w:r>
        <w:rPr>
          <w:rFonts w:eastAsia="Times New Roman"/>
        </w:rPr>
        <w:t xml:space="preserve">" of highly regulated industries: an analysis of big tech platforms' entry into health care and education. </w:t>
      </w:r>
      <w:r>
        <w:rPr>
          <w:rFonts w:eastAsia="Times New Roman"/>
          <w:i/>
          <w:iCs/>
        </w:rPr>
        <w:t>California Management Review</w:t>
      </w:r>
      <w:r>
        <w:rPr>
          <w:rFonts w:eastAsia="Times New Roman"/>
        </w:rPr>
        <w:t xml:space="preserve">, </w:t>
      </w:r>
      <w:r>
        <w:rPr>
          <w:rFonts w:eastAsia="Times New Roman"/>
          <w:i/>
          <w:iCs/>
        </w:rPr>
        <w:t>64</w:t>
      </w:r>
      <w:r>
        <w:rPr>
          <w:rFonts w:eastAsia="Times New Roman"/>
        </w:rPr>
        <w:t>(4), pp.78-107.  Available at: https://journals.sagepub.com/doi/abs/10.1177/00081256221094307 [Accessed on: 24</w:t>
      </w:r>
      <w:r>
        <w:rPr>
          <w:rFonts w:eastAsia="Times New Roman"/>
          <w:vertAlign w:val="superscript"/>
        </w:rPr>
        <w:t>th</w:t>
      </w:r>
      <w:r>
        <w:rPr>
          <w:rFonts w:eastAsia="Times New Roman"/>
        </w:rPr>
        <w:t xml:space="preserve"> Sep 2026]</w:t>
      </w:r>
    </w:p>
    <w:p w14:paraId="2AEDC7AD" w14:textId="77777777" w:rsidR="00967DCF" w:rsidRDefault="00967DCF" w:rsidP="00967DCF">
      <w:pPr>
        <w:spacing w:after="200" w:line="360" w:lineRule="auto"/>
        <w:jc w:val="both"/>
        <w:rPr>
          <w:rFonts w:eastAsia="Times New Roman"/>
        </w:rPr>
      </w:pPr>
      <w:r>
        <w:rPr>
          <w:rFonts w:eastAsia="Times New Roman"/>
        </w:rPr>
        <w:t xml:space="preserve">Paul, J., Ueno, A., Dennis, C., </w:t>
      </w:r>
      <w:proofErr w:type="spellStart"/>
      <w:r>
        <w:rPr>
          <w:rFonts w:eastAsia="Times New Roman"/>
        </w:rPr>
        <w:t>Alamanos</w:t>
      </w:r>
      <w:proofErr w:type="spellEnd"/>
      <w:r>
        <w:rPr>
          <w:rFonts w:eastAsia="Times New Roman"/>
        </w:rPr>
        <w:t xml:space="preserve">, E., Curtis, L., </w:t>
      </w:r>
      <w:proofErr w:type="spellStart"/>
      <w:r>
        <w:rPr>
          <w:rFonts w:eastAsia="Times New Roman"/>
        </w:rPr>
        <w:t>Foroudi</w:t>
      </w:r>
      <w:proofErr w:type="spellEnd"/>
      <w:r>
        <w:rPr>
          <w:rFonts w:eastAsia="Times New Roman"/>
        </w:rPr>
        <w:t xml:space="preserve">, P., Kacprzak, A., Kunz, W.H., Liu, J., Marvi, R. and Nair, S.L.S. (2024). Digital transformation: A multidisciplinary perspective and future research agenda. </w:t>
      </w:r>
      <w:r>
        <w:rPr>
          <w:rFonts w:eastAsia="Times New Roman"/>
          <w:i/>
          <w:iCs/>
        </w:rPr>
        <w:t>International Journal of Consumer Studies</w:t>
      </w:r>
      <w:r>
        <w:rPr>
          <w:rFonts w:eastAsia="Times New Roman"/>
        </w:rPr>
        <w:t xml:space="preserve">, </w:t>
      </w:r>
      <w:r>
        <w:rPr>
          <w:rFonts w:eastAsia="Times New Roman"/>
          <w:i/>
          <w:iCs/>
        </w:rPr>
        <w:t>48</w:t>
      </w:r>
      <w:r>
        <w:rPr>
          <w:rFonts w:eastAsia="Times New Roman"/>
        </w:rPr>
        <w:t>(2), pp.13015.  Available at: https://onlinelibrary.wiley.com/doi/abs/10.1111/ijcs.13015 [Accessed on: 24</w:t>
      </w:r>
      <w:r>
        <w:rPr>
          <w:rFonts w:eastAsia="Times New Roman"/>
          <w:vertAlign w:val="superscript"/>
        </w:rPr>
        <w:t>th</w:t>
      </w:r>
      <w:r>
        <w:rPr>
          <w:rFonts w:eastAsia="Times New Roman"/>
        </w:rPr>
        <w:t xml:space="preserve"> Sep 2026]</w:t>
      </w:r>
    </w:p>
    <w:p w14:paraId="7F1213A2" w14:textId="77777777" w:rsidR="00967DCF" w:rsidRDefault="00967DCF" w:rsidP="00967DCF">
      <w:pPr>
        <w:spacing w:after="200" w:line="360" w:lineRule="auto"/>
        <w:jc w:val="both"/>
        <w:rPr>
          <w:rFonts w:eastAsia="Times New Roman"/>
        </w:rPr>
      </w:pPr>
      <w:proofErr w:type="spellStart"/>
      <w:r>
        <w:rPr>
          <w:rFonts w:eastAsia="Times New Roman"/>
        </w:rPr>
        <w:t>Picón</w:t>
      </w:r>
      <w:proofErr w:type="spellEnd"/>
      <w:r>
        <w:rPr>
          <w:rFonts w:eastAsia="Times New Roman"/>
        </w:rPr>
        <w:t xml:space="preserve">-Jaimes, Y.A. (2024). Innovation and digital transformation in health education: opportunities to drive technological development in the training of future professionals. </w:t>
      </w:r>
      <w:r>
        <w:rPr>
          <w:rFonts w:eastAsia="Times New Roman"/>
          <w:i/>
          <w:iCs/>
        </w:rPr>
        <w:t xml:space="preserve">Inge </w:t>
      </w:r>
      <w:proofErr w:type="spellStart"/>
      <w:r>
        <w:rPr>
          <w:rFonts w:eastAsia="Times New Roman"/>
          <w:i/>
          <w:iCs/>
        </w:rPr>
        <w:t>CuC</w:t>
      </w:r>
      <w:proofErr w:type="spellEnd"/>
      <w:r>
        <w:rPr>
          <w:rFonts w:eastAsia="Times New Roman"/>
        </w:rPr>
        <w:t xml:space="preserve">, </w:t>
      </w:r>
      <w:r>
        <w:rPr>
          <w:rFonts w:eastAsia="Times New Roman"/>
          <w:i/>
          <w:iCs/>
        </w:rPr>
        <w:t>20</w:t>
      </w:r>
      <w:r>
        <w:rPr>
          <w:rFonts w:eastAsia="Times New Roman"/>
        </w:rPr>
        <w:t>(2), pp.99-105.  Available at: https://revistascientificas.cuc.edu.co/ingecuc/article/view/6193 [Accessed on: 24</w:t>
      </w:r>
      <w:r>
        <w:rPr>
          <w:rFonts w:eastAsia="Times New Roman"/>
          <w:vertAlign w:val="superscript"/>
        </w:rPr>
        <w:t>th</w:t>
      </w:r>
      <w:r>
        <w:rPr>
          <w:rFonts w:eastAsia="Times New Roman"/>
        </w:rPr>
        <w:t xml:space="preserve"> Sep 2026]</w:t>
      </w:r>
    </w:p>
    <w:p w14:paraId="73881B3E" w14:textId="77777777" w:rsidR="00967DCF" w:rsidRDefault="00967DCF" w:rsidP="00967DCF">
      <w:pPr>
        <w:spacing w:after="200" w:line="360" w:lineRule="auto"/>
        <w:jc w:val="both"/>
        <w:rPr>
          <w:rFonts w:eastAsia="Times New Roman"/>
        </w:rPr>
      </w:pPr>
      <w:r>
        <w:rPr>
          <w:rFonts w:eastAsia="Times New Roman"/>
        </w:rPr>
        <w:t xml:space="preserve">Russell, R.G., Lovett Novak, L., Patel, M., Garvey, K.V., Craig, K.J.T., Jackson, G.P., Moore, D. and Miller, B.M. (2023). Competencies for the use of artificial intelligence–based tools by health care professionals. </w:t>
      </w:r>
      <w:r>
        <w:rPr>
          <w:rFonts w:eastAsia="Times New Roman"/>
          <w:i/>
          <w:iCs/>
        </w:rPr>
        <w:t>Academic Medicine</w:t>
      </w:r>
      <w:r>
        <w:rPr>
          <w:rFonts w:eastAsia="Times New Roman"/>
        </w:rPr>
        <w:t xml:space="preserve">, </w:t>
      </w:r>
      <w:r>
        <w:rPr>
          <w:rFonts w:eastAsia="Times New Roman"/>
          <w:i/>
          <w:iCs/>
        </w:rPr>
        <w:t>98</w:t>
      </w:r>
      <w:r>
        <w:rPr>
          <w:rFonts w:eastAsia="Times New Roman"/>
        </w:rPr>
        <w:t>(3), pp.348-356.  Available at: https://academic.oup.com/academicmedicine/article-abstract/98/3/348/8344600 [Accessed on: 24</w:t>
      </w:r>
      <w:r>
        <w:rPr>
          <w:rFonts w:eastAsia="Times New Roman"/>
          <w:vertAlign w:val="superscript"/>
        </w:rPr>
        <w:t>th</w:t>
      </w:r>
      <w:r>
        <w:rPr>
          <w:rFonts w:eastAsia="Times New Roman"/>
        </w:rPr>
        <w:t xml:space="preserve"> Sep 2026]</w:t>
      </w:r>
    </w:p>
    <w:p w14:paraId="478A2138" w14:textId="77777777" w:rsidR="00967DCF" w:rsidRDefault="00967DCF" w:rsidP="00967DCF">
      <w:pPr>
        <w:spacing w:after="200" w:line="360" w:lineRule="auto"/>
        <w:jc w:val="both"/>
        <w:rPr>
          <w:rFonts w:eastAsia="Times New Roman"/>
        </w:rPr>
      </w:pPr>
      <w:r>
        <w:rPr>
          <w:rFonts w:eastAsia="Times New Roman"/>
        </w:rPr>
        <w:t xml:space="preserve">Saeed, S., Altamimi, S.A., </w:t>
      </w:r>
      <w:proofErr w:type="spellStart"/>
      <w:r>
        <w:rPr>
          <w:rFonts w:eastAsia="Times New Roman"/>
        </w:rPr>
        <w:t>Alkayyal</w:t>
      </w:r>
      <w:proofErr w:type="spellEnd"/>
      <w:r>
        <w:rPr>
          <w:rFonts w:eastAsia="Times New Roman"/>
        </w:rPr>
        <w:t xml:space="preserve">, N.A., Alshehri, E. and </w:t>
      </w:r>
      <w:proofErr w:type="spellStart"/>
      <w:r>
        <w:rPr>
          <w:rFonts w:eastAsia="Times New Roman"/>
        </w:rPr>
        <w:t>Alabbad</w:t>
      </w:r>
      <w:proofErr w:type="spellEnd"/>
      <w:r>
        <w:rPr>
          <w:rFonts w:eastAsia="Times New Roman"/>
        </w:rPr>
        <w:t xml:space="preserve">, D.A. (2023). Digital transformation and cybersecurity challenges for business resilience: Issues and recommendations. </w:t>
      </w:r>
      <w:r>
        <w:rPr>
          <w:rFonts w:eastAsia="Times New Roman"/>
          <w:i/>
          <w:iCs/>
        </w:rPr>
        <w:t>Sensors</w:t>
      </w:r>
      <w:r>
        <w:rPr>
          <w:rFonts w:eastAsia="Times New Roman"/>
        </w:rPr>
        <w:t xml:space="preserve">, </w:t>
      </w:r>
      <w:r>
        <w:rPr>
          <w:rFonts w:eastAsia="Times New Roman"/>
          <w:i/>
          <w:iCs/>
        </w:rPr>
        <w:t>23</w:t>
      </w:r>
      <w:r>
        <w:rPr>
          <w:rFonts w:eastAsia="Times New Roman"/>
        </w:rPr>
        <w:t>(15), pp.6666.  Available at: https://www.mdpi.com/1424-8220/23/15/6666 [Accessed on: 24</w:t>
      </w:r>
      <w:r>
        <w:rPr>
          <w:rFonts w:eastAsia="Times New Roman"/>
          <w:vertAlign w:val="superscript"/>
        </w:rPr>
        <w:t>th</w:t>
      </w:r>
      <w:r>
        <w:rPr>
          <w:rFonts w:eastAsia="Times New Roman"/>
        </w:rPr>
        <w:t xml:space="preserve"> Sep 2026]</w:t>
      </w:r>
    </w:p>
    <w:p w14:paraId="19293963" w14:textId="77777777" w:rsidR="00967DCF" w:rsidRDefault="00967DCF" w:rsidP="00967DCF">
      <w:pPr>
        <w:spacing w:after="200" w:line="360" w:lineRule="auto"/>
        <w:jc w:val="both"/>
        <w:rPr>
          <w:rFonts w:eastAsia="Times New Roman"/>
        </w:rPr>
      </w:pPr>
      <w:proofErr w:type="spellStart"/>
      <w:r>
        <w:rPr>
          <w:rFonts w:eastAsia="Times New Roman"/>
        </w:rPr>
        <w:t>Stoumpos</w:t>
      </w:r>
      <w:proofErr w:type="spellEnd"/>
      <w:r>
        <w:rPr>
          <w:rFonts w:eastAsia="Times New Roman"/>
        </w:rPr>
        <w:t xml:space="preserve">, A.I., Kitsios, F. and </w:t>
      </w:r>
      <w:proofErr w:type="spellStart"/>
      <w:r>
        <w:rPr>
          <w:rFonts w:eastAsia="Times New Roman"/>
        </w:rPr>
        <w:t>Talias</w:t>
      </w:r>
      <w:proofErr w:type="spellEnd"/>
      <w:r>
        <w:rPr>
          <w:rFonts w:eastAsia="Times New Roman"/>
        </w:rPr>
        <w:t xml:space="preserve">, M.A. (2023). Digital transformation in healthcare: technology acceptance and its applications. </w:t>
      </w:r>
      <w:r>
        <w:rPr>
          <w:rFonts w:eastAsia="Times New Roman"/>
          <w:i/>
          <w:iCs/>
        </w:rPr>
        <w:t>International Journal of Environmental Research and Public Health</w:t>
      </w:r>
      <w:r>
        <w:rPr>
          <w:rFonts w:eastAsia="Times New Roman"/>
        </w:rPr>
        <w:t xml:space="preserve">, </w:t>
      </w:r>
      <w:r>
        <w:rPr>
          <w:rFonts w:eastAsia="Times New Roman"/>
          <w:i/>
          <w:iCs/>
        </w:rPr>
        <w:t>20</w:t>
      </w:r>
      <w:r>
        <w:rPr>
          <w:rFonts w:eastAsia="Times New Roman"/>
        </w:rPr>
        <w:t>(4), pp.3407.  Available at: https://www.mdpi.com/1660-4601/20/4/3407 [Accessed on: 24</w:t>
      </w:r>
      <w:r>
        <w:rPr>
          <w:rFonts w:eastAsia="Times New Roman"/>
          <w:vertAlign w:val="superscript"/>
        </w:rPr>
        <w:t>th</w:t>
      </w:r>
      <w:r>
        <w:rPr>
          <w:rFonts w:eastAsia="Times New Roman"/>
        </w:rPr>
        <w:t xml:space="preserve"> Sep 2026]</w:t>
      </w:r>
    </w:p>
    <w:p w14:paraId="5D8B4ED9" w14:textId="77777777" w:rsidR="00967DCF" w:rsidRDefault="00967DCF" w:rsidP="00967DCF">
      <w:pPr>
        <w:spacing w:after="200" w:line="360" w:lineRule="auto"/>
        <w:jc w:val="both"/>
        <w:rPr>
          <w:rFonts w:eastAsia="Times New Roman"/>
        </w:rPr>
      </w:pPr>
      <w:r>
        <w:rPr>
          <w:rFonts w:eastAsia="Times New Roman"/>
        </w:rPr>
        <w:t xml:space="preserve">Tan, M.T.F., Li, M.Y., Lim, F.J.S., </w:t>
      </w:r>
      <w:proofErr w:type="spellStart"/>
      <w:r>
        <w:rPr>
          <w:rFonts w:eastAsia="Times New Roman"/>
        </w:rPr>
        <w:t>Gunasekeran</w:t>
      </w:r>
      <w:proofErr w:type="spellEnd"/>
      <w:r>
        <w:rPr>
          <w:rFonts w:eastAsia="Times New Roman"/>
        </w:rPr>
        <w:t xml:space="preserve">, M.D.V., Teo, M.Z.L. and Ng, F.W.Y. (2022). Metaverse and virtual health care in ophthalmology: Opportunities and challenges. </w:t>
      </w:r>
      <w:r>
        <w:rPr>
          <w:rFonts w:eastAsia="Times New Roman"/>
          <w:i/>
          <w:iCs/>
        </w:rPr>
        <w:t>Asia-Pacific Journal of Ophthalmology</w:t>
      </w:r>
      <w:r>
        <w:rPr>
          <w:rFonts w:eastAsia="Times New Roman"/>
        </w:rPr>
        <w:t xml:space="preserve">, </w:t>
      </w:r>
      <w:r>
        <w:rPr>
          <w:rFonts w:eastAsia="Times New Roman"/>
          <w:i/>
          <w:iCs/>
        </w:rPr>
        <w:t>11</w:t>
      </w:r>
      <w:r>
        <w:rPr>
          <w:rFonts w:eastAsia="Times New Roman"/>
        </w:rPr>
        <w:t xml:space="preserve">(3), pp.237-246.  Available at: </w:t>
      </w:r>
      <w:r>
        <w:rPr>
          <w:rFonts w:eastAsia="Times New Roman"/>
        </w:rPr>
        <w:lastRenderedPageBreak/>
        <w:t>https://www.sciencedirect.com/science/article/pii/S2162098923007065 [Accessed on: 24</w:t>
      </w:r>
      <w:r>
        <w:rPr>
          <w:rFonts w:eastAsia="Times New Roman"/>
          <w:vertAlign w:val="superscript"/>
        </w:rPr>
        <w:t>th</w:t>
      </w:r>
      <w:r>
        <w:rPr>
          <w:rFonts w:eastAsia="Times New Roman"/>
        </w:rPr>
        <w:t xml:space="preserve"> Sep 2026]</w:t>
      </w:r>
    </w:p>
    <w:p w14:paraId="2FC5C8A2" w14:textId="445CCA66" w:rsidR="006C0E3C" w:rsidRDefault="00967DCF" w:rsidP="00967DCF">
      <w:r>
        <w:rPr>
          <w:rFonts w:eastAsia="Times New Roman"/>
        </w:rPr>
        <w:t xml:space="preserve">van Kessel, R., </w:t>
      </w:r>
      <w:proofErr w:type="spellStart"/>
      <w:r>
        <w:rPr>
          <w:rFonts w:eastAsia="Times New Roman"/>
        </w:rPr>
        <w:t>Hrzic</w:t>
      </w:r>
      <w:proofErr w:type="spellEnd"/>
      <w:r>
        <w:rPr>
          <w:rFonts w:eastAsia="Times New Roman"/>
        </w:rPr>
        <w:t xml:space="preserve">, R., O'Nuallain, E., Weir, E., Wong, B.L.H., Anderson, M., Baron-Cohen, S. and </w:t>
      </w:r>
      <w:proofErr w:type="spellStart"/>
      <w:r>
        <w:rPr>
          <w:rFonts w:eastAsia="Times New Roman"/>
        </w:rPr>
        <w:t>Mossialos</w:t>
      </w:r>
      <w:proofErr w:type="spellEnd"/>
      <w:r>
        <w:rPr>
          <w:rFonts w:eastAsia="Times New Roman"/>
        </w:rPr>
        <w:t xml:space="preserve">, E. (2022). Digital health paradox: </w:t>
      </w:r>
      <w:proofErr w:type="gramStart"/>
      <w:r>
        <w:rPr>
          <w:rFonts w:eastAsia="Times New Roman"/>
        </w:rPr>
        <w:t>international policy</w:t>
      </w:r>
      <w:proofErr w:type="gramEnd"/>
      <w:r>
        <w:rPr>
          <w:rFonts w:eastAsia="Times New Roman"/>
        </w:rPr>
        <w:t xml:space="preserve"> perspectives to address increased health inequalities for people living with disabilities. </w:t>
      </w:r>
      <w:r>
        <w:rPr>
          <w:rFonts w:eastAsia="Times New Roman"/>
          <w:i/>
          <w:iCs/>
        </w:rPr>
        <w:t>Journal of Medical Internet Research</w:t>
      </w:r>
      <w:r>
        <w:rPr>
          <w:rFonts w:eastAsia="Times New Roman"/>
        </w:rPr>
        <w:t xml:space="preserve">, </w:t>
      </w:r>
      <w:r>
        <w:rPr>
          <w:rFonts w:eastAsia="Times New Roman"/>
          <w:i/>
          <w:iCs/>
        </w:rPr>
        <w:t>24</w:t>
      </w:r>
      <w:r>
        <w:rPr>
          <w:rFonts w:eastAsia="Times New Roman"/>
        </w:rPr>
        <w:t>(2), pp.33819.  Available at: https://www.jmir.org/2022/2/e33819/ [Accessed on: 24</w:t>
      </w:r>
      <w:r>
        <w:rPr>
          <w:rFonts w:eastAsia="Times New Roman"/>
          <w:vertAlign w:val="superscript"/>
        </w:rPr>
        <w:t>th</w:t>
      </w:r>
      <w:r>
        <w:rPr>
          <w:rFonts w:eastAsia="Times New Roman"/>
        </w:rPr>
        <w:t xml:space="preserve"> Sep 2026</w:t>
      </w:r>
    </w:p>
    <w:p w14:paraId="6215655B" w14:textId="77777777" w:rsidR="00D01D97" w:rsidRDefault="00D01D97"/>
    <w:sectPr w:rsidR="00D01D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32AC1"/>
    <w:multiLevelType w:val="hybridMultilevel"/>
    <w:tmpl w:val="8B247490"/>
    <w:lvl w:ilvl="0" w:tplc="25745C78">
      <w:start w:val="1"/>
      <w:numFmt w:val="bullet"/>
      <w:lvlText w:val=""/>
      <w:lvlJc w:val="left"/>
      <w:pPr>
        <w:ind w:left="644" w:hanging="360"/>
      </w:pPr>
      <w:rPr>
        <w:rFonts w:ascii="Wingdings" w:hAnsi="Wingdings" w:hint="default"/>
        <w:b/>
        <w:bCs/>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1" w15:restartNumberingAfterBreak="0">
    <w:nsid w:val="11A63684"/>
    <w:multiLevelType w:val="hybridMultilevel"/>
    <w:tmpl w:val="C49880AC"/>
    <w:lvl w:ilvl="0" w:tplc="A802DD6A">
      <w:start w:val="1"/>
      <w:numFmt w:val="bullet"/>
      <w:lvlText w:val=""/>
      <w:lvlJc w:val="left"/>
      <w:pPr>
        <w:ind w:left="786" w:hanging="360"/>
      </w:pPr>
      <w:rPr>
        <w:rFonts w:ascii="Wingdings" w:hAnsi="Wingdings" w:hint="default"/>
        <w:b/>
        <w:bCs/>
        <w:color w:val="000000" w:themeColor="text1"/>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2" w15:restartNumberingAfterBreak="0">
    <w:nsid w:val="2B3307C4"/>
    <w:multiLevelType w:val="hybridMultilevel"/>
    <w:tmpl w:val="A10A8E4A"/>
    <w:lvl w:ilvl="0" w:tplc="0809000B">
      <w:start w:val="1"/>
      <w:numFmt w:val="bullet"/>
      <w:lvlText w:val=""/>
      <w:lvlJc w:val="left"/>
      <w:pPr>
        <w:ind w:left="792" w:hanging="360"/>
      </w:pPr>
      <w:rPr>
        <w:rFonts w:ascii="Wingdings" w:hAnsi="Wingdings"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3" w15:restartNumberingAfterBreak="0">
    <w:nsid w:val="2E9307B0"/>
    <w:multiLevelType w:val="hybridMultilevel"/>
    <w:tmpl w:val="9F24BD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FD21AD6"/>
    <w:multiLevelType w:val="hybridMultilevel"/>
    <w:tmpl w:val="8B2EFA56"/>
    <w:lvl w:ilvl="0" w:tplc="9BD0F132">
      <w:start w:val="1"/>
      <w:numFmt w:val="bullet"/>
      <w:lvlText w:val="●"/>
      <w:lvlJc w:val="left"/>
      <w:pPr>
        <w:ind w:left="720" w:hanging="360"/>
      </w:pPr>
      <w:rPr>
        <w:strike w:val="0"/>
        <w:dstrike w:val="0"/>
        <w:u w:val="none"/>
        <w:effect w:val="none"/>
      </w:rPr>
    </w:lvl>
    <w:lvl w:ilvl="1" w:tplc="A9DCCF84">
      <w:start w:val="1"/>
      <w:numFmt w:val="bullet"/>
      <w:lvlText w:val="○"/>
      <w:lvlJc w:val="left"/>
      <w:pPr>
        <w:ind w:left="1440" w:hanging="360"/>
      </w:pPr>
      <w:rPr>
        <w:strike w:val="0"/>
        <w:dstrike w:val="0"/>
        <w:u w:val="none"/>
        <w:effect w:val="none"/>
      </w:rPr>
    </w:lvl>
    <w:lvl w:ilvl="2" w:tplc="A440DF22">
      <w:start w:val="1"/>
      <w:numFmt w:val="bullet"/>
      <w:lvlText w:val="■"/>
      <w:lvlJc w:val="left"/>
      <w:pPr>
        <w:ind w:left="2160" w:hanging="360"/>
      </w:pPr>
      <w:rPr>
        <w:strike w:val="0"/>
        <w:dstrike w:val="0"/>
        <w:u w:val="none"/>
        <w:effect w:val="none"/>
      </w:rPr>
    </w:lvl>
    <w:lvl w:ilvl="3" w:tplc="CCC2B63C">
      <w:start w:val="1"/>
      <w:numFmt w:val="bullet"/>
      <w:lvlText w:val="●"/>
      <w:lvlJc w:val="left"/>
      <w:pPr>
        <w:ind w:left="2880" w:hanging="360"/>
      </w:pPr>
      <w:rPr>
        <w:strike w:val="0"/>
        <w:dstrike w:val="0"/>
        <w:u w:val="none"/>
        <w:effect w:val="none"/>
      </w:rPr>
    </w:lvl>
    <w:lvl w:ilvl="4" w:tplc="8CBA2654">
      <w:start w:val="1"/>
      <w:numFmt w:val="bullet"/>
      <w:lvlText w:val="○"/>
      <w:lvlJc w:val="left"/>
      <w:pPr>
        <w:ind w:left="3600" w:hanging="360"/>
      </w:pPr>
      <w:rPr>
        <w:strike w:val="0"/>
        <w:dstrike w:val="0"/>
        <w:u w:val="none"/>
        <w:effect w:val="none"/>
      </w:rPr>
    </w:lvl>
    <w:lvl w:ilvl="5" w:tplc="D8A4A246">
      <w:start w:val="1"/>
      <w:numFmt w:val="bullet"/>
      <w:lvlText w:val="■"/>
      <w:lvlJc w:val="left"/>
      <w:pPr>
        <w:ind w:left="4320" w:hanging="360"/>
      </w:pPr>
      <w:rPr>
        <w:strike w:val="0"/>
        <w:dstrike w:val="0"/>
        <w:u w:val="none"/>
        <w:effect w:val="none"/>
      </w:rPr>
    </w:lvl>
    <w:lvl w:ilvl="6" w:tplc="BE7AE89A">
      <w:start w:val="1"/>
      <w:numFmt w:val="bullet"/>
      <w:lvlText w:val="●"/>
      <w:lvlJc w:val="left"/>
      <w:pPr>
        <w:ind w:left="5040" w:hanging="360"/>
      </w:pPr>
      <w:rPr>
        <w:strike w:val="0"/>
        <w:dstrike w:val="0"/>
        <w:u w:val="none"/>
        <w:effect w:val="none"/>
      </w:rPr>
    </w:lvl>
    <w:lvl w:ilvl="7" w:tplc="05028A96">
      <w:start w:val="1"/>
      <w:numFmt w:val="bullet"/>
      <w:lvlText w:val="○"/>
      <w:lvlJc w:val="left"/>
      <w:pPr>
        <w:ind w:left="5760" w:hanging="360"/>
      </w:pPr>
      <w:rPr>
        <w:strike w:val="0"/>
        <w:dstrike w:val="0"/>
        <w:u w:val="none"/>
        <w:effect w:val="none"/>
      </w:rPr>
    </w:lvl>
    <w:lvl w:ilvl="8" w:tplc="016866EA">
      <w:start w:val="1"/>
      <w:numFmt w:val="bullet"/>
      <w:lvlText w:val="■"/>
      <w:lvlJc w:val="left"/>
      <w:pPr>
        <w:ind w:left="6480" w:hanging="360"/>
      </w:pPr>
      <w:rPr>
        <w:strike w:val="0"/>
        <w:dstrike w:val="0"/>
        <w:u w:val="none"/>
        <w:effect w:val="none"/>
      </w:rPr>
    </w:lvl>
  </w:abstractNum>
  <w:abstractNum w:abstractNumId="5" w15:restartNumberingAfterBreak="0">
    <w:nsid w:val="75A20CC6"/>
    <w:multiLevelType w:val="hybridMultilevel"/>
    <w:tmpl w:val="290648CA"/>
    <w:lvl w:ilvl="0" w:tplc="F6106AB0">
      <w:start w:val="1"/>
      <w:numFmt w:val="bullet"/>
      <w:lvlText w:val=""/>
      <w:lvlJc w:val="left"/>
      <w:pPr>
        <w:ind w:left="786" w:hanging="360"/>
      </w:pPr>
      <w:rPr>
        <w:rFonts w:ascii="Wingdings" w:hAnsi="Wingdings" w:hint="default"/>
        <w:color w:val="000000" w:themeColor="text1"/>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num w:numId="1" w16cid:durableId="543299541">
    <w:abstractNumId w:val="4"/>
  </w:num>
  <w:num w:numId="2" w16cid:durableId="1746684828">
    <w:abstractNumId w:val="3"/>
  </w:num>
  <w:num w:numId="3" w16cid:durableId="1695184559">
    <w:abstractNumId w:val="5"/>
  </w:num>
  <w:num w:numId="4" w16cid:durableId="1837767324">
    <w:abstractNumId w:val="1"/>
  </w:num>
  <w:num w:numId="5" w16cid:durableId="120196883">
    <w:abstractNumId w:val="0"/>
  </w:num>
  <w:num w:numId="6" w16cid:durableId="7840834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7DCF"/>
    <w:rsid w:val="00023156"/>
    <w:rsid w:val="00034F5E"/>
    <w:rsid w:val="00066843"/>
    <w:rsid w:val="00077F8E"/>
    <w:rsid w:val="0008119E"/>
    <w:rsid w:val="000A07C6"/>
    <w:rsid w:val="00137C97"/>
    <w:rsid w:val="00172927"/>
    <w:rsid w:val="00176F05"/>
    <w:rsid w:val="001A0C54"/>
    <w:rsid w:val="001B406D"/>
    <w:rsid w:val="001C48CD"/>
    <w:rsid w:val="001C721E"/>
    <w:rsid w:val="001F1BD5"/>
    <w:rsid w:val="001F65BE"/>
    <w:rsid w:val="00241431"/>
    <w:rsid w:val="00242D12"/>
    <w:rsid w:val="00244DE9"/>
    <w:rsid w:val="002646AA"/>
    <w:rsid w:val="002967DA"/>
    <w:rsid w:val="002C5301"/>
    <w:rsid w:val="002C6C3D"/>
    <w:rsid w:val="002E0DFA"/>
    <w:rsid w:val="003751D3"/>
    <w:rsid w:val="00391805"/>
    <w:rsid w:val="003A30D9"/>
    <w:rsid w:val="003B1EAA"/>
    <w:rsid w:val="003D091A"/>
    <w:rsid w:val="003F1E39"/>
    <w:rsid w:val="00412B1F"/>
    <w:rsid w:val="004138AB"/>
    <w:rsid w:val="00464938"/>
    <w:rsid w:val="00477B6C"/>
    <w:rsid w:val="0048547B"/>
    <w:rsid w:val="00495A44"/>
    <w:rsid w:val="00496CF7"/>
    <w:rsid w:val="00536CF1"/>
    <w:rsid w:val="00553106"/>
    <w:rsid w:val="00596B47"/>
    <w:rsid w:val="005B2E91"/>
    <w:rsid w:val="005B74D5"/>
    <w:rsid w:val="005C1D6C"/>
    <w:rsid w:val="005D4336"/>
    <w:rsid w:val="005E19F7"/>
    <w:rsid w:val="00616F6A"/>
    <w:rsid w:val="00677F35"/>
    <w:rsid w:val="006802A6"/>
    <w:rsid w:val="006A2A50"/>
    <w:rsid w:val="006C0E3C"/>
    <w:rsid w:val="006D1376"/>
    <w:rsid w:val="006E6878"/>
    <w:rsid w:val="0070255B"/>
    <w:rsid w:val="00713E9F"/>
    <w:rsid w:val="007376A4"/>
    <w:rsid w:val="0074023F"/>
    <w:rsid w:val="007454BC"/>
    <w:rsid w:val="007968AB"/>
    <w:rsid w:val="007C1CD7"/>
    <w:rsid w:val="007F2D45"/>
    <w:rsid w:val="0080477B"/>
    <w:rsid w:val="00820B5C"/>
    <w:rsid w:val="00854C40"/>
    <w:rsid w:val="008566F0"/>
    <w:rsid w:val="008674AD"/>
    <w:rsid w:val="00876555"/>
    <w:rsid w:val="00877509"/>
    <w:rsid w:val="00892BE2"/>
    <w:rsid w:val="008A0CE0"/>
    <w:rsid w:val="008E490C"/>
    <w:rsid w:val="008E7110"/>
    <w:rsid w:val="008F0F6F"/>
    <w:rsid w:val="009014C7"/>
    <w:rsid w:val="009056BE"/>
    <w:rsid w:val="00913274"/>
    <w:rsid w:val="00935561"/>
    <w:rsid w:val="00935D37"/>
    <w:rsid w:val="00956EAA"/>
    <w:rsid w:val="00967DCF"/>
    <w:rsid w:val="00996A5F"/>
    <w:rsid w:val="009F0840"/>
    <w:rsid w:val="00A04C00"/>
    <w:rsid w:val="00A2328E"/>
    <w:rsid w:val="00A316F7"/>
    <w:rsid w:val="00A3561B"/>
    <w:rsid w:val="00AB2B3E"/>
    <w:rsid w:val="00AB5B7A"/>
    <w:rsid w:val="00AB5E1A"/>
    <w:rsid w:val="00AC16B6"/>
    <w:rsid w:val="00B00C64"/>
    <w:rsid w:val="00B245B4"/>
    <w:rsid w:val="00B24B72"/>
    <w:rsid w:val="00B65996"/>
    <w:rsid w:val="00B90F9F"/>
    <w:rsid w:val="00BC6CCC"/>
    <w:rsid w:val="00BE14EF"/>
    <w:rsid w:val="00C22046"/>
    <w:rsid w:val="00C31519"/>
    <w:rsid w:val="00C525F1"/>
    <w:rsid w:val="00D01D97"/>
    <w:rsid w:val="00D067D0"/>
    <w:rsid w:val="00D21A79"/>
    <w:rsid w:val="00D56778"/>
    <w:rsid w:val="00D856FA"/>
    <w:rsid w:val="00D862BA"/>
    <w:rsid w:val="00DB1B8B"/>
    <w:rsid w:val="00DC69A0"/>
    <w:rsid w:val="00DC6BCB"/>
    <w:rsid w:val="00DD3DE1"/>
    <w:rsid w:val="00DD7746"/>
    <w:rsid w:val="00E07C58"/>
    <w:rsid w:val="00E11EB6"/>
    <w:rsid w:val="00E200D6"/>
    <w:rsid w:val="00E562B0"/>
    <w:rsid w:val="00E625EC"/>
    <w:rsid w:val="00E7402D"/>
    <w:rsid w:val="00E90636"/>
    <w:rsid w:val="00EA1A4D"/>
    <w:rsid w:val="00ED2321"/>
    <w:rsid w:val="00ED39E5"/>
    <w:rsid w:val="00F2594D"/>
    <w:rsid w:val="00F41453"/>
    <w:rsid w:val="00F73A75"/>
    <w:rsid w:val="00F84905"/>
    <w:rsid w:val="00FB12C5"/>
    <w:rsid w:val="00FD0D57"/>
    <w:rsid w:val="00FE12E6"/>
    <w:rsid w:val="00FE41CF"/>
    <w:rsid w:val="00FF16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EBAEA1"/>
  <w15:chartTrackingRefBased/>
  <w15:docId w15:val="{9BD67384-A016-462C-9FD8-8080EE1D9F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7DCF"/>
    <w:pPr>
      <w:spacing w:after="0" w:line="276" w:lineRule="auto"/>
    </w:pPr>
    <w:rPr>
      <w:rFonts w:ascii="Arial" w:eastAsia="Arial" w:hAnsi="Arial" w:cs="Arial"/>
      <w:kern w:val="0"/>
      <w:lang w:val="en"/>
      <w14:ligatures w14:val="none"/>
    </w:rPr>
  </w:style>
  <w:style w:type="paragraph" w:styleId="Heading1">
    <w:name w:val="heading 1"/>
    <w:basedOn w:val="Normal"/>
    <w:next w:val="Normal"/>
    <w:link w:val="Heading1Char"/>
    <w:qFormat/>
    <w:rsid w:val="00967D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67D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7D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7D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7D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7DC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7DC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7DC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7DC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967D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67D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7D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7D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7D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7D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7D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7D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7DCF"/>
    <w:rPr>
      <w:rFonts w:eastAsiaTheme="majorEastAsia" w:cstheme="majorBidi"/>
      <w:color w:val="272727" w:themeColor="text1" w:themeTint="D8"/>
    </w:rPr>
  </w:style>
  <w:style w:type="paragraph" w:styleId="Title">
    <w:name w:val="Title"/>
    <w:basedOn w:val="Normal"/>
    <w:next w:val="Normal"/>
    <w:link w:val="TitleChar"/>
    <w:uiPriority w:val="10"/>
    <w:qFormat/>
    <w:rsid w:val="00967D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7D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7D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7D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7DCF"/>
    <w:pPr>
      <w:spacing w:before="160"/>
      <w:jc w:val="center"/>
    </w:pPr>
    <w:rPr>
      <w:i/>
      <w:iCs/>
      <w:color w:val="404040" w:themeColor="text1" w:themeTint="BF"/>
    </w:rPr>
  </w:style>
  <w:style w:type="character" w:customStyle="1" w:styleId="QuoteChar">
    <w:name w:val="Quote Char"/>
    <w:basedOn w:val="DefaultParagraphFont"/>
    <w:link w:val="Quote"/>
    <w:uiPriority w:val="29"/>
    <w:rsid w:val="00967DCF"/>
    <w:rPr>
      <w:i/>
      <w:iCs/>
      <w:color w:val="404040" w:themeColor="text1" w:themeTint="BF"/>
    </w:rPr>
  </w:style>
  <w:style w:type="paragraph" w:styleId="ListParagraph">
    <w:name w:val="List Paragraph"/>
    <w:basedOn w:val="Normal"/>
    <w:uiPriority w:val="34"/>
    <w:qFormat/>
    <w:rsid w:val="00967DCF"/>
    <w:pPr>
      <w:ind w:left="720"/>
      <w:contextualSpacing/>
    </w:pPr>
  </w:style>
  <w:style w:type="character" w:styleId="IntenseEmphasis">
    <w:name w:val="Intense Emphasis"/>
    <w:basedOn w:val="DefaultParagraphFont"/>
    <w:uiPriority w:val="21"/>
    <w:qFormat/>
    <w:rsid w:val="00967DCF"/>
    <w:rPr>
      <w:i/>
      <w:iCs/>
      <w:color w:val="0F4761" w:themeColor="accent1" w:themeShade="BF"/>
    </w:rPr>
  </w:style>
  <w:style w:type="paragraph" w:styleId="IntenseQuote">
    <w:name w:val="Intense Quote"/>
    <w:basedOn w:val="Normal"/>
    <w:next w:val="Normal"/>
    <w:link w:val="IntenseQuoteChar"/>
    <w:uiPriority w:val="30"/>
    <w:qFormat/>
    <w:rsid w:val="00967D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7DCF"/>
    <w:rPr>
      <w:i/>
      <w:iCs/>
      <w:color w:val="0F4761" w:themeColor="accent1" w:themeShade="BF"/>
    </w:rPr>
  </w:style>
  <w:style w:type="character" w:styleId="IntenseReference">
    <w:name w:val="Intense Reference"/>
    <w:basedOn w:val="DefaultParagraphFont"/>
    <w:uiPriority w:val="32"/>
    <w:qFormat/>
    <w:rsid w:val="00967DCF"/>
    <w:rPr>
      <w:b/>
      <w:bCs/>
      <w:smallCaps/>
      <w:color w:val="0F4761" w:themeColor="accent1" w:themeShade="BF"/>
      <w:spacing w:val="5"/>
    </w:rPr>
  </w:style>
  <w:style w:type="character" w:styleId="Hyperlink">
    <w:name w:val="Hyperlink"/>
    <w:basedOn w:val="DefaultParagraphFont"/>
    <w:uiPriority w:val="99"/>
    <w:semiHidden/>
    <w:unhideWhenUsed/>
    <w:rsid w:val="00967DCF"/>
    <w:rPr>
      <w:color w:val="467886" w:themeColor="hyperlink"/>
      <w:u w:val="single"/>
    </w:rPr>
  </w:style>
  <w:style w:type="paragraph" w:styleId="TOC1">
    <w:name w:val="toc 1"/>
    <w:basedOn w:val="Normal"/>
    <w:next w:val="Normal"/>
    <w:autoRedefine/>
    <w:uiPriority w:val="39"/>
    <w:semiHidden/>
    <w:unhideWhenUsed/>
    <w:rsid w:val="00967DCF"/>
    <w:pPr>
      <w:spacing w:after="100"/>
    </w:pPr>
  </w:style>
  <w:style w:type="paragraph" w:styleId="TOCHeading">
    <w:name w:val="TOC Heading"/>
    <w:basedOn w:val="Heading1"/>
    <w:next w:val="Normal"/>
    <w:uiPriority w:val="39"/>
    <w:semiHidden/>
    <w:unhideWhenUsed/>
    <w:qFormat/>
    <w:rsid w:val="00967DCF"/>
    <w:pPr>
      <w:spacing w:before="240" w:after="0" w:line="256" w:lineRule="auto"/>
      <w:outlineLvl w:val="9"/>
    </w:pPr>
    <w:rPr>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kad_i\Downloads\Kouadio%20Affoue%20Denise%20BMHP6026%20Digital%20Transformation%20in%20the%20Health%20and%20Care%20Professions%20,%20Component%201%20_%20Written%20Report.docx" TargetMode="External"/><Relationship Id="rId13" Type="http://schemas.openxmlformats.org/officeDocument/2006/relationships/hyperlink" Target="file:///C:\Users\kad_i\Downloads\Kouadio%20Affoue%20Denise%20BMHP6026%20Digital%20Transformation%20in%20the%20Health%20and%20Care%20Professions%20,%20Component%201%20_%20Written%20Report.docx" TargetMode="External"/><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openxmlformats.org/officeDocument/2006/relationships/hyperlink" Target="file:///C:\Users\kad_i\Downloads\Kouadio%20Affoue%20Denise%20BMHP6026%20Digital%20Transformation%20in%20the%20Health%20and%20Care%20Professions%20,%20Component%201%20_%20Written%20Report.docx"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file:///C:\Users\kad_i\Downloads\Kouadio%20Affoue%20Denise%20BMHP6026%20Digital%20Transformation%20in%20the%20Health%20and%20Care%20Professions%20,%20Component%201%20_%20Written%20Report.docx" TargetMode="Externa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hyperlink" Target="file:///C:\Users\kad_i\Downloads\Kouadio%20Affoue%20Denise%20BMHP6026%20Digital%20Transformation%20in%20the%20Health%20and%20Care%20Professions%20,%20Component%201%20_%20Written%20Report.docx" TargetMode="External"/><Relationship Id="rId4" Type="http://schemas.openxmlformats.org/officeDocument/2006/relationships/settings" Target="settings.xml"/><Relationship Id="rId9" Type="http://schemas.openxmlformats.org/officeDocument/2006/relationships/hyperlink" Target="file:///C:\Users\kad_i\Downloads\Kouadio%20Affoue%20Denise%20BMHP6026%20Digital%20Transformation%20in%20the%20Health%20and%20Care%20Professions%20,%20Component%201%20_%20Written%20Report.docx" TargetMode="External"/><Relationship Id="rId14" Type="http://schemas.openxmlformats.org/officeDocument/2006/relationships/hyperlink" Target="file:///C:\Users\kad_i\Downloads\Kouadio%20Affoue%20Denise%20BMHP6026%20Digital%20Transformation%20in%20the%20Health%20and%20Care%20Professions%20,%20Component%201%20_%20Written%20Report.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F5AB23-20A1-4DB6-932C-81B4B9EFA2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338</TotalTime>
  <Pages>14</Pages>
  <Words>3747</Words>
  <Characters>21363</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Affoue Denise Kouadio (2412968)</dc:creator>
  <cp:keywords/>
  <dc:description/>
  <cp:lastModifiedBy>Affoue Denise Kouadio (2412968)</cp:lastModifiedBy>
  <cp:revision>55</cp:revision>
  <dcterms:created xsi:type="dcterms:W3CDTF">2026-10-17T14:05:00Z</dcterms:created>
  <dcterms:modified xsi:type="dcterms:W3CDTF">2026-10-18T21:28:00Z</dcterms:modified>
</cp:coreProperties>
</file>