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72DB29" w14:textId="77777777" w:rsidR="00965CEE" w:rsidRDefault="00723CC8"/>
    <w:p w14:paraId="0D4E98C0" w14:textId="77777777" w:rsidR="00924F46" w:rsidRDefault="00924F46"/>
    <w:p w14:paraId="1B46C41C" w14:textId="77777777" w:rsidR="00924F46" w:rsidRDefault="00924F46">
      <w:r>
        <w:t>Outside looking in; Inside looking out: the place of perfection in utopian and dystopian texts continued.</w:t>
      </w:r>
    </w:p>
    <w:p w14:paraId="04DE2F28" w14:textId="77777777" w:rsidR="00924F46" w:rsidRDefault="00924F46"/>
    <w:p w14:paraId="5AC3C1DC" w14:textId="77777777" w:rsidR="006F3B88" w:rsidRDefault="00A62D06">
      <w:r>
        <w:t xml:space="preserve">If the notion of Utopia began out of the necessity to stabilise through addressing the instabilities of an ever- changing world, however with reference to my last essay on this topic it can be noted that Utopian texts take away the individual from society, discouraging innovation and encouraging a stagnant and uncreative way of living, as can be seen in </w:t>
      </w:r>
      <w:r>
        <w:rPr>
          <w:i/>
          <w:iCs/>
        </w:rPr>
        <w:t xml:space="preserve">Brave New World </w:t>
      </w:r>
      <w:r>
        <w:t xml:space="preserve">(1932) by Aldous Huxley (one of the texts used in my previous essay.) The utopia present in Huxley’s new world could be seen as dystopian to those born into the ‘underdog’ lower categories. </w:t>
      </w:r>
      <w:proofErr w:type="spellStart"/>
      <w:r>
        <w:rPr>
          <w:i/>
          <w:iCs/>
        </w:rPr>
        <w:t>Herland</w:t>
      </w:r>
      <w:proofErr w:type="spellEnd"/>
      <w:r>
        <w:t xml:space="preserve"> (1915) by Charlotte Perkins Gilman, the other primary text of my previous essay, </w:t>
      </w:r>
      <w:r w:rsidR="00E168C7">
        <w:t>as noted ‘there does remain a problem in all utopian constructions from which even Gilman’s does not seem to rescue’</w:t>
      </w:r>
      <w:r w:rsidR="00E168C7">
        <w:rPr>
          <w:rStyle w:val="FootnoteReference"/>
        </w:rPr>
        <w:footnoteReference w:id="1"/>
      </w:r>
      <w:r w:rsidR="0047328A">
        <w:t xml:space="preserve"> The deep set laws of the community are never reassessed, only ever the surface rules, which suggests a strong sense of control over the all women community, thus this community may not be seen as Utopi</w:t>
      </w:r>
      <w:r w:rsidR="009673F4">
        <w:t>a</w:t>
      </w:r>
      <w:r w:rsidR="0047328A">
        <w:t xml:space="preserve">n to all of the women inhabitants. Furthermore, from the viewpoint of men such as Terry, this way of living is a nightmare, being in a land where there is no concept of </w:t>
      </w:r>
      <w:r w:rsidR="0047328A">
        <w:rPr>
          <w:i/>
          <w:iCs/>
        </w:rPr>
        <w:t xml:space="preserve">wife </w:t>
      </w:r>
      <w:r w:rsidR="0047328A">
        <w:t xml:space="preserve">or </w:t>
      </w:r>
      <w:r w:rsidR="0047328A">
        <w:rPr>
          <w:i/>
          <w:iCs/>
        </w:rPr>
        <w:t xml:space="preserve">home. </w:t>
      </w:r>
      <w:r w:rsidR="0047328A">
        <w:t xml:space="preserve">In both texts also it can be seen that in order to reach a state of Utopia, maintaining control and order is highly important, so much so that Bentham’s panopticon style regiment of ‘always being watched’ is adopted to </w:t>
      </w:r>
      <w:r w:rsidR="006F3B88">
        <w:t xml:space="preserve">ensure such control be maintained. </w:t>
      </w:r>
    </w:p>
    <w:p w14:paraId="22F0F4D5" w14:textId="77777777" w:rsidR="006F3B88" w:rsidRDefault="006F3B88"/>
    <w:p w14:paraId="10ED560A" w14:textId="77777777" w:rsidR="006F3B88" w:rsidRDefault="006F3B88">
      <w:r>
        <w:t xml:space="preserve">The overall argument of my previous essay stated that it seemed dependant on who’s viewpoint is explored as to whether the text can be seen as Utopian or Dystopian. This essay seeks to further explore this theory in context of Thomas More’s </w:t>
      </w:r>
      <w:r>
        <w:rPr>
          <w:i/>
          <w:iCs/>
        </w:rPr>
        <w:t>Utopia</w:t>
      </w:r>
      <w:r>
        <w:t xml:space="preserve"> (1516) and Margaret Atwood’s </w:t>
      </w:r>
      <w:r>
        <w:rPr>
          <w:i/>
          <w:iCs/>
        </w:rPr>
        <w:t xml:space="preserve">The Handmaid’s Tale </w:t>
      </w:r>
      <w:r>
        <w:t xml:space="preserve">(1996). I have chosen these particular texts as I believe that </w:t>
      </w:r>
      <w:r w:rsidR="009A397A">
        <w:t>going further back</w:t>
      </w:r>
      <w:r>
        <w:t xml:space="preserve"> in time to explore the origin of the Utopian </w:t>
      </w:r>
      <w:r w:rsidR="009A397A">
        <w:t xml:space="preserve">textual </w:t>
      </w:r>
      <w:r>
        <w:t xml:space="preserve">trend in More’s satiric fictional text and Atwood’s sci-fi, </w:t>
      </w:r>
      <w:r w:rsidR="009A397A">
        <w:t xml:space="preserve">and </w:t>
      </w:r>
      <w:r>
        <w:t xml:space="preserve">recreation of a world </w:t>
      </w:r>
      <w:r w:rsidR="009A397A">
        <w:t xml:space="preserve">that begins as </w:t>
      </w:r>
      <w:r>
        <w:t>more familiar to us</w:t>
      </w:r>
      <w:r w:rsidR="009A397A">
        <w:t xml:space="preserve"> will be best aid in </w:t>
      </w:r>
      <w:r>
        <w:t>further substantiat</w:t>
      </w:r>
      <w:r w:rsidR="009A397A">
        <w:t xml:space="preserve">ing </w:t>
      </w:r>
      <w:r>
        <w:t xml:space="preserve">my argument.  </w:t>
      </w:r>
    </w:p>
    <w:p w14:paraId="7C0A7C1F" w14:textId="77777777" w:rsidR="00CD74F1" w:rsidRDefault="00CD74F1"/>
    <w:p w14:paraId="39489DD5" w14:textId="77777777" w:rsidR="00733331" w:rsidRDefault="00CD74F1" w:rsidP="00D04B1A">
      <w:r>
        <w:rPr>
          <w:i/>
          <w:iCs/>
        </w:rPr>
        <w:t>Utopia</w:t>
      </w:r>
      <w:r>
        <w:t xml:space="preserve"> was first published in 1516, however the utopian dream was hardly a new concept. As argued by Chris Ferns the ‘urge to dream or speculate about a more perfect social order’</w:t>
      </w:r>
      <w:r>
        <w:rPr>
          <w:rStyle w:val="FootnoteReference"/>
        </w:rPr>
        <w:footnoteReference w:id="2"/>
      </w:r>
      <w:r>
        <w:t xml:space="preserve"> dates back beyond the ages of Plato.</w:t>
      </w:r>
      <w:r w:rsidR="00EF514A">
        <w:t xml:space="preserve"> More’s </w:t>
      </w:r>
      <w:r w:rsidR="006F1ED3">
        <w:t xml:space="preserve">creation of Utopia was not to be offered as a blueprint but as a vision of a society that makes sense, created free of </w:t>
      </w:r>
      <w:r w:rsidR="008C7620">
        <w:t xml:space="preserve">only </w:t>
      </w:r>
      <w:r w:rsidR="006F1ED3">
        <w:t>human</w:t>
      </w:r>
      <w:r w:rsidR="008C7620">
        <w:t xml:space="preserve"> </w:t>
      </w:r>
      <w:r w:rsidR="006F1ED3">
        <w:t>‘reason’ this, as Fern moves forward to argue is why ‘Utopia’ has passed into the language as a word signifying a fundamental cultural concept.’</w:t>
      </w:r>
      <w:r w:rsidR="006F1ED3">
        <w:rPr>
          <w:rStyle w:val="FootnoteReference"/>
        </w:rPr>
        <w:footnoteReference w:id="3"/>
      </w:r>
      <w:r w:rsidR="008C7620">
        <w:t xml:space="preserve"> </w:t>
      </w:r>
      <w:r w:rsidR="00711912">
        <w:t>In the text’s historical context, it was w</w:t>
      </w:r>
      <w:r w:rsidR="008C7620">
        <w:t>ritten in light of</w:t>
      </w:r>
      <w:r w:rsidR="00711912">
        <w:t xml:space="preserve"> the</w:t>
      </w:r>
      <w:r w:rsidR="008C7620">
        <w:t xml:space="preserve"> discovery of the New World, with exploration and travel increasingly of interest</w:t>
      </w:r>
      <w:r w:rsidR="00711912">
        <w:t xml:space="preserve"> and in a </w:t>
      </w:r>
      <w:r w:rsidR="008C7620">
        <w:t xml:space="preserve">period of religious </w:t>
      </w:r>
      <w:r w:rsidR="00711912">
        <w:t xml:space="preserve">and governmental </w:t>
      </w:r>
      <w:r w:rsidR="008C7620">
        <w:t xml:space="preserve">reform, formed </w:t>
      </w:r>
      <w:r w:rsidR="00711912">
        <w:t xml:space="preserve">through the emerging hope </w:t>
      </w:r>
      <w:r w:rsidR="008C7620">
        <w:t>of ‘the recovery of lost purity’</w:t>
      </w:r>
      <w:r w:rsidR="008C7620">
        <w:rPr>
          <w:rStyle w:val="FootnoteReference"/>
        </w:rPr>
        <w:footnoteReference w:id="4"/>
      </w:r>
      <w:r w:rsidR="00B048DC">
        <w:t xml:space="preserve"> </w:t>
      </w:r>
      <w:r w:rsidR="00733331">
        <w:t xml:space="preserve">The many multiple wars that took place in the 1400’s saw Genoese refugees flee west (from the Adriatic Venetian sea power) and brought with them Greek scholar with them ‘documents previously known in Europe, or at least known only in </w:t>
      </w:r>
    </w:p>
    <w:p w14:paraId="31DBD5DD" w14:textId="77777777" w:rsidR="00733331" w:rsidRDefault="00733331" w:rsidP="00D04B1A"/>
    <w:p w14:paraId="59A83ED3" w14:textId="77777777" w:rsidR="00780913" w:rsidRDefault="00733331" w:rsidP="00D04B1A">
      <w:r>
        <w:t>translations of translations and providing a new impetus to learning eagerly taken up by the nascent humanist movement.’</w:t>
      </w:r>
      <w:r>
        <w:rPr>
          <w:rStyle w:val="FootnoteReference"/>
        </w:rPr>
        <w:footnoteReference w:id="5"/>
      </w:r>
    </w:p>
    <w:p w14:paraId="267EFFB1" w14:textId="77777777" w:rsidR="00780913" w:rsidRDefault="00780913" w:rsidP="00D04B1A"/>
    <w:p w14:paraId="7123F760" w14:textId="77777777" w:rsidR="003A5253" w:rsidRPr="00733331" w:rsidRDefault="00733331" w:rsidP="00D04B1A">
      <w:r>
        <w:t xml:space="preserve"> </w:t>
      </w:r>
      <w:r w:rsidR="00D04B1A" w:rsidRPr="00D04B1A">
        <w:t>Utopia</w:t>
      </w:r>
      <w:r w:rsidR="00D04B1A">
        <w:t xml:space="preserve"> is written in form of a report by an individual upon their return from not one distant society but from many</w:t>
      </w:r>
      <w:r w:rsidR="00E46ADE">
        <w:t>, as many of the form tended to do</w:t>
      </w:r>
      <w:r w:rsidR="00D04B1A">
        <w:t xml:space="preserve">. </w:t>
      </w:r>
      <w:r w:rsidR="00B048DC" w:rsidRPr="00D04B1A">
        <w:t>More</w:t>
      </w:r>
      <w:r w:rsidR="00B048DC">
        <w:t xml:space="preserve"> does not only offer a world better than the one he occupied, he does more than this, as we see the first part of the book is preoccupied with the expose of contemporary corruption.</w:t>
      </w:r>
      <w:r w:rsidR="00D54256">
        <w:t xml:space="preserve"> An example of this is when More makes recommendations to Raphael of what he should now do with his time, perhaps counsel a King with his great knowledge, to which Raphael</w:t>
      </w:r>
      <w:r w:rsidR="005F11E5">
        <w:t xml:space="preserve"> </w:t>
      </w:r>
      <w:proofErr w:type="spellStart"/>
      <w:r w:rsidR="005F11E5">
        <w:t>Hythloday</w:t>
      </w:r>
      <w:proofErr w:type="spellEnd"/>
      <w:r w:rsidR="00D54256">
        <w:t xml:space="preserve"> </w:t>
      </w:r>
      <w:r w:rsidR="00D1306E">
        <w:t xml:space="preserve">rebuffs with the </w:t>
      </w:r>
      <w:r w:rsidR="00362DB4">
        <w:t>explanation ‘</w:t>
      </w:r>
      <w:r w:rsidR="00D1306E">
        <w:t xml:space="preserve">For </w:t>
      </w:r>
      <w:r w:rsidR="00D1306E" w:rsidRPr="00D04B1A">
        <w:rPr>
          <w:rFonts w:cstheme="minorHAnsi"/>
        </w:rPr>
        <w:t>most princes apply themselves more to affairs of war than to the useful arts of peace; and in these I neither have any knowledge, nor do I much desire it…’</w:t>
      </w:r>
      <w:r w:rsidR="00D1306E" w:rsidRPr="00D04B1A">
        <w:rPr>
          <w:rStyle w:val="FootnoteReference"/>
          <w:rFonts w:cstheme="minorHAnsi"/>
        </w:rPr>
        <w:footnoteReference w:id="6"/>
      </w:r>
      <w:r w:rsidR="00362DB4" w:rsidRPr="00D04B1A">
        <w:rPr>
          <w:rFonts w:cstheme="minorHAnsi"/>
        </w:rPr>
        <w:t xml:space="preserve"> His speech continues as he describes the many reasons of why he would not council Kings or be a part of the court, in doing so the exposes the corruption within powerhouses. </w:t>
      </w:r>
      <w:r w:rsidR="005F11E5" w:rsidRPr="00D04B1A">
        <w:rPr>
          <w:rFonts w:cstheme="minorHAnsi"/>
        </w:rPr>
        <w:t xml:space="preserve">Through the many examples </w:t>
      </w:r>
      <w:proofErr w:type="spellStart"/>
      <w:r w:rsidR="005F11E5" w:rsidRPr="00D04B1A">
        <w:rPr>
          <w:rFonts w:cstheme="minorHAnsi"/>
        </w:rPr>
        <w:t>Hythloday</w:t>
      </w:r>
      <w:proofErr w:type="spellEnd"/>
      <w:r w:rsidR="005F11E5" w:rsidRPr="00D04B1A">
        <w:rPr>
          <w:rFonts w:cstheme="minorHAnsi"/>
        </w:rPr>
        <w:t xml:space="preserve"> makes</w:t>
      </w:r>
      <w:r w:rsidR="005D30EF" w:rsidRPr="00D04B1A">
        <w:rPr>
          <w:rFonts w:cstheme="minorHAnsi"/>
        </w:rPr>
        <w:t>, of all the things he has seen and critiques he is making of the many societies. From punishment of ‘vagabonds’ to ‘how the Venetians, and after them the rest of Italy, may be subdued; and then how Flanders, Brabant, and all Burgundy, and some other kingdoms which he has swallowed already in his designs, may be added to his empire?’</w:t>
      </w:r>
      <w:r w:rsidR="005D30EF" w:rsidRPr="00D04B1A">
        <w:rPr>
          <w:rStyle w:val="FootnoteReference"/>
          <w:rFonts w:cstheme="minorHAnsi"/>
        </w:rPr>
        <w:footnoteReference w:id="7"/>
      </w:r>
      <w:r w:rsidR="00AA1E08" w:rsidRPr="00D04B1A">
        <w:rPr>
          <w:rFonts w:cstheme="minorHAnsi"/>
        </w:rPr>
        <w:t xml:space="preserve">. </w:t>
      </w:r>
      <w:proofErr w:type="spellStart"/>
      <w:r w:rsidR="00AA1E08" w:rsidRPr="00D04B1A">
        <w:rPr>
          <w:rFonts w:cstheme="minorHAnsi"/>
        </w:rPr>
        <w:t>Hythloday</w:t>
      </w:r>
      <w:proofErr w:type="spellEnd"/>
      <w:r w:rsidR="00AA1E08" w:rsidRPr="00D04B1A">
        <w:rPr>
          <w:rFonts w:cstheme="minorHAnsi"/>
        </w:rPr>
        <w:t xml:space="preserve"> introduces the main problem of society toward the end of the first book, he declares ‘I am persuaded that till property is taken away, there can be no equitable or just distribution of things, not can the world be happily governed for as long as that is maintained.’</w:t>
      </w:r>
      <w:r w:rsidR="00AA1E08" w:rsidRPr="00D04B1A">
        <w:rPr>
          <w:rStyle w:val="FootnoteReference"/>
          <w:rFonts w:cstheme="minorHAnsi"/>
        </w:rPr>
        <w:footnoteReference w:id="8"/>
      </w:r>
      <w:r w:rsidR="000D5BD3" w:rsidRPr="00D04B1A">
        <w:rPr>
          <w:rFonts w:cstheme="minorHAnsi"/>
        </w:rPr>
        <w:t xml:space="preserve"> </w:t>
      </w:r>
    </w:p>
    <w:p w14:paraId="0BD6020F" w14:textId="77777777" w:rsidR="003A5253" w:rsidRDefault="003A5253" w:rsidP="00D04B1A">
      <w:pPr>
        <w:rPr>
          <w:rFonts w:cstheme="minorHAnsi"/>
        </w:rPr>
      </w:pPr>
    </w:p>
    <w:p w14:paraId="2C19A762" w14:textId="77777777" w:rsidR="00950D34" w:rsidRDefault="000D5BD3" w:rsidP="00D04B1A">
      <w:pPr>
        <w:rPr>
          <w:rFonts w:cstheme="minorHAnsi"/>
        </w:rPr>
      </w:pPr>
      <w:r w:rsidRPr="00D04B1A">
        <w:rPr>
          <w:rFonts w:cstheme="minorHAnsi"/>
        </w:rPr>
        <w:t>It is in book two we encounter, in great detail, the Island of Utopia.</w:t>
      </w:r>
      <w:r w:rsidR="003A5253">
        <w:rPr>
          <w:rFonts w:cstheme="minorHAnsi"/>
        </w:rPr>
        <w:t xml:space="preserve"> For the purpose of this essay it is the policies of the Utopians Island that are of interest. </w:t>
      </w:r>
      <w:r w:rsidR="00E527CB">
        <w:rPr>
          <w:rFonts w:cstheme="minorHAnsi"/>
        </w:rPr>
        <w:t xml:space="preserve">The island is made up of </w:t>
      </w:r>
      <w:r w:rsidR="002F586B">
        <w:rPr>
          <w:rFonts w:cstheme="minorHAnsi"/>
        </w:rPr>
        <w:t>fifty-four</w:t>
      </w:r>
      <w:r w:rsidR="00E527CB">
        <w:rPr>
          <w:rFonts w:cstheme="minorHAnsi"/>
        </w:rPr>
        <w:t xml:space="preserve"> cities, </w:t>
      </w:r>
      <w:proofErr w:type="spellStart"/>
      <w:r w:rsidR="00E527CB">
        <w:rPr>
          <w:rFonts w:cstheme="minorHAnsi"/>
        </w:rPr>
        <w:t>Hythloday</w:t>
      </w:r>
      <w:proofErr w:type="spellEnd"/>
      <w:r w:rsidR="00E527CB">
        <w:rPr>
          <w:rFonts w:cstheme="minorHAnsi"/>
        </w:rPr>
        <w:t xml:space="preserve"> states that they are ‘all large and well built, the manners, customs and laws of which are all the same’</w:t>
      </w:r>
      <w:r w:rsidR="00E527CB">
        <w:rPr>
          <w:rStyle w:val="FootnoteReference"/>
          <w:rFonts w:cstheme="minorHAnsi"/>
        </w:rPr>
        <w:footnoteReference w:id="9"/>
      </w:r>
      <w:r w:rsidR="002F586B">
        <w:rPr>
          <w:rFonts w:cstheme="minorHAnsi"/>
        </w:rPr>
        <w:t xml:space="preserve"> there is an implication that uniformity aids in retaining the harmony of the cities. In order to keep harmony, a senator from each city meet once a year in order to discuss any concerns that arise, we learn that a primary concern is agriculture. </w:t>
      </w:r>
      <w:proofErr w:type="spellStart"/>
      <w:r w:rsidR="002F586B">
        <w:rPr>
          <w:rFonts w:cstheme="minorHAnsi"/>
        </w:rPr>
        <w:t>Hythloday</w:t>
      </w:r>
      <w:proofErr w:type="spellEnd"/>
      <w:r w:rsidR="002F586B">
        <w:rPr>
          <w:rFonts w:cstheme="minorHAnsi"/>
        </w:rPr>
        <w:t xml:space="preserve"> informs More and Giles that ‘They have built over all the country, farmhouses for husbandmen, which are well contrived, and furnished with all things necessary for country </w:t>
      </w:r>
      <w:proofErr w:type="spellStart"/>
      <w:r w:rsidR="002F586B">
        <w:rPr>
          <w:rFonts w:cstheme="minorHAnsi"/>
        </w:rPr>
        <w:t>labor</w:t>
      </w:r>
      <w:proofErr w:type="spellEnd"/>
      <w:r w:rsidR="002F586B">
        <w:rPr>
          <w:rFonts w:cstheme="minorHAnsi"/>
        </w:rPr>
        <w:t>.’</w:t>
      </w:r>
      <w:r w:rsidR="002F586B">
        <w:rPr>
          <w:rStyle w:val="FootnoteReference"/>
          <w:rFonts w:cstheme="minorHAnsi"/>
        </w:rPr>
        <w:footnoteReference w:id="10"/>
      </w:r>
      <w:r w:rsidR="002F586B">
        <w:rPr>
          <w:rFonts w:cstheme="minorHAnsi"/>
        </w:rPr>
        <w:t xml:space="preserve"> The inhabitants of the farms are city dwellers that take it in turn to live there and work their share of the agriculture. </w:t>
      </w:r>
      <w:r w:rsidR="00A3023C">
        <w:rPr>
          <w:rFonts w:cstheme="minorHAnsi"/>
        </w:rPr>
        <w:t xml:space="preserve">The policies of the Island are told one by one to the men throughout the most part of this book. </w:t>
      </w:r>
      <w:r w:rsidR="00D012B3">
        <w:rPr>
          <w:rFonts w:cstheme="minorHAnsi"/>
        </w:rPr>
        <w:t>In the telling of these policies I argue that it is the slaves that may see the Island as something other than Utopia, for example, a slave can be made of ‘any man [that] goes out of the city to which he belongs without leave, and is found rambling without a passport, [he] is severely treated, he is punished as a fugitive, and sent home disgracefully, and if he falls again into the like fault is condemned to slavery.’</w:t>
      </w:r>
      <w:r w:rsidR="00D012B3">
        <w:rPr>
          <w:rStyle w:val="FootnoteReference"/>
          <w:rFonts w:cstheme="minorHAnsi"/>
        </w:rPr>
        <w:footnoteReference w:id="11"/>
      </w:r>
      <w:r w:rsidR="00950D34">
        <w:rPr>
          <w:rFonts w:cstheme="minorHAnsi"/>
        </w:rPr>
        <w:t xml:space="preserve"> In order for a person to visit a friend outside of their designated </w:t>
      </w:r>
    </w:p>
    <w:p w14:paraId="6F371B56" w14:textId="77777777" w:rsidR="00950D34" w:rsidRDefault="00950D34" w:rsidP="00D04B1A">
      <w:pPr>
        <w:rPr>
          <w:rFonts w:cstheme="minorHAnsi"/>
        </w:rPr>
      </w:pPr>
    </w:p>
    <w:p w14:paraId="3020B00C" w14:textId="77777777" w:rsidR="00950D34" w:rsidRDefault="00950D34" w:rsidP="00D04B1A">
      <w:pPr>
        <w:rPr>
          <w:rFonts w:cstheme="minorHAnsi"/>
        </w:rPr>
      </w:pPr>
    </w:p>
    <w:p w14:paraId="710E954C" w14:textId="77777777" w:rsidR="00950D34" w:rsidRDefault="00950D34" w:rsidP="00D04B1A">
      <w:pPr>
        <w:rPr>
          <w:rFonts w:cstheme="minorHAnsi"/>
        </w:rPr>
      </w:pPr>
    </w:p>
    <w:p w14:paraId="578275C0" w14:textId="77777777" w:rsidR="00AA1E08" w:rsidRDefault="00950D34" w:rsidP="00D01F85">
      <w:pPr>
        <w:rPr>
          <w:rFonts w:cstheme="minorHAnsi"/>
        </w:rPr>
      </w:pPr>
      <w:r>
        <w:rPr>
          <w:rFonts w:cstheme="minorHAnsi"/>
        </w:rPr>
        <w:t>city they must have permission to do so, this example alone displays the strict policies that must operate in a Utopia in order to keep harmony and thus demonstrates that to everyone the policies may not be Utopian.</w:t>
      </w:r>
      <w:r w:rsidR="00D01F85">
        <w:rPr>
          <w:rFonts w:cstheme="minorHAnsi"/>
        </w:rPr>
        <w:t xml:space="preserve"> To More, the Utopian Island did not seem utopian as such to him, he tells the reader that ‘many things occurred to me, both concerning the manners and laws of that people, that seemed very well absurd.’</w:t>
      </w:r>
      <w:r w:rsidR="00D01F85">
        <w:rPr>
          <w:rStyle w:val="FootnoteReference"/>
          <w:rFonts w:cstheme="minorHAnsi"/>
        </w:rPr>
        <w:footnoteReference w:id="12"/>
      </w:r>
      <w:r w:rsidR="00D01F85">
        <w:rPr>
          <w:rFonts w:cstheme="minorHAnsi"/>
        </w:rPr>
        <w:t xml:space="preserve"> Thus I come to my conclusion of More’s text in relation to my argument that of</w:t>
      </w:r>
      <w:r w:rsidR="00AA1E08" w:rsidRPr="00AA1E08">
        <w:rPr>
          <w:rFonts w:cstheme="minorHAnsi"/>
        </w:rPr>
        <w:t xml:space="preserve"> all the places </w:t>
      </w:r>
      <w:proofErr w:type="spellStart"/>
      <w:r w:rsidR="00D01F85">
        <w:rPr>
          <w:rFonts w:cstheme="minorHAnsi"/>
        </w:rPr>
        <w:t>Hythloday</w:t>
      </w:r>
      <w:proofErr w:type="spellEnd"/>
      <w:r w:rsidR="00D01F85">
        <w:rPr>
          <w:rFonts w:cstheme="minorHAnsi"/>
        </w:rPr>
        <w:t xml:space="preserve"> has </w:t>
      </w:r>
      <w:r w:rsidR="00AA1E08" w:rsidRPr="00AA1E08">
        <w:rPr>
          <w:rFonts w:cstheme="minorHAnsi"/>
        </w:rPr>
        <w:t>travelled to</w:t>
      </w:r>
      <w:r w:rsidR="00D01F85">
        <w:rPr>
          <w:rFonts w:cstheme="minorHAnsi"/>
        </w:rPr>
        <w:t>,</w:t>
      </w:r>
      <w:r w:rsidR="00AA1E08" w:rsidRPr="00AA1E08">
        <w:rPr>
          <w:rFonts w:cstheme="minorHAnsi"/>
        </w:rPr>
        <w:t xml:space="preserve"> and policies he has encountered </w:t>
      </w:r>
      <w:r w:rsidR="00AA1E08">
        <w:rPr>
          <w:rFonts w:cstheme="minorHAnsi"/>
        </w:rPr>
        <w:t>to an outsider</w:t>
      </w:r>
      <w:r w:rsidR="007205AF">
        <w:rPr>
          <w:rFonts w:cstheme="minorHAnsi"/>
        </w:rPr>
        <w:t xml:space="preserve">, the land </w:t>
      </w:r>
      <w:r w:rsidR="002F23A5">
        <w:rPr>
          <w:rFonts w:cstheme="minorHAnsi"/>
        </w:rPr>
        <w:t xml:space="preserve">that </w:t>
      </w:r>
      <w:r w:rsidR="007205AF">
        <w:rPr>
          <w:rFonts w:cstheme="minorHAnsi"/>
        </w:rPr>
        <w:t>is</w:t>
      </w:r>
      <w:r w:rsidR="002F23A5">
        <w:rPr>
          <w:rFonts w:cstheme="minorHAnsi"/>
        </w:rPr>
        <w:t xml:space="preserve"> not their own, will appear absurd.</w:t>
      </w:r>
      <w:r w:rsidR="00D01F85">
        <w:rPr>
          <w:rFonts w:cstheme="minorHAnsi"/>
        </w:rPr>
        <w:t xml:space="preserve"> Even though the policies seem to eliminate the need for competition while creating an environment where everyone survives, enjoys and lives harmoniously, this can only be achieved through strict conformity and sticking to the policies put forth (even though they are in the interest of the people.) This Utopia itself could be seen as totalitarian if More and Giles were sent to live there after living their lives in a Westernised culture.</w:t>
      </w:r>
      <w:r w:rsidR="001436E1">
        <w:rPr>
          <w:rFonts w:cstheme="minorHAnsi"/>
        </w:rPr>
        <w:t xml:space="preserve"> </w:t>
      </w:r>
    </w:p>
    <w:p w14:paraId="42EC2B61" w14:textId="77777777" w:rsidR="000F18C6" w:rsidRDefault="000F18C6" w:rsidP="00D01F85">
      <w:pPr>
        <w:rPr>
          <w:rFonts w:cstheme="minorHAnsi"/>
        </w:rPr>
      </w:pPr>
    </w:p>
    <w:p w14:paraId="41C36CE4" w14:textId="1E55E213" w:rsidR="00F3775B" w:rsidRDefault="00792934" w:rsidP="00D01F85">
      <w:pPr>
        <w:rPr>
          <w:rFonts w:cstheme="minorHAnsi"/>
        </w:rPr>
      </w:pPr>
      <w:r>
        <w:rPr>
          <w:rFonts w:cstheme="minorHAnsi"/>
        </w:rPr>
        <w:t xml:space="preserve">Atwood’s </w:t>
      </w:r>
      <w:r>
        <w:rPr>
          <w:rFonts w:cstheme="minorHAnsi"/>
          <w:i/>
          <w:iCs/>
        </w:rPr>
        <w:t>Handmaid’s Tale</w:t>
      </w:r>
      <w:r>
        <w:rPr>
          <w:rFonts w:cstheme="minorHAnsi"/>
        </w:rPr>
        <w:t xml:space="preserve"> written in 1996</w:t>
      </w:r>
      <w:r w:rsidR="00032FDF">
        <w:rPr>
          <w:rFonts w:cstheme="minorHAnsi"/>
        </w:rPr>
        <w:t xml:space="preserve"> </w:t>
      </w:r>
      <w:r w:rsidR="00D2703A">
        <w:rPr>
          <w:rFonts w:cstheme="minorHAnsi"/>
        </w:rPr>
        <w:t>is a novel based in</w:t>
      </w:r>
      <w:r w:rsidR="00032FDF">
        <w:rPr>
          <w:rFonts w:cstheme="minorHAnsi"/>
        </w:rPr>
        <w:t xml:space="preserve"> history, unlike other dystopian texts which normally take place in an alternative reality. This novel consists of real structures from different places, it is a dystopia made from parts of our own reality woven together to create a re written history. </w:t>
      </w:r>
      <w:r w:rsidR="00242738">
        <w:rPr>
          <w:rFonts w:cstheme="minorHAnsi"/>
        </w:rPr>
        <w:t xml:space="preserve">The </w:t>
      </w:r>
      <w:r w:rsidR="00242738">
        <w:rPr>
          <w:rFonts w:cstheme="minorHAnsi"/>
          <w:i/>
          <w:iCs/>
        </w:rPr>
        <w:t>Handmaid’s Tale</w:t>
      </w:r>
      <w:r w:rsidR="00242738">
        <w:rPr>
          <w:rFonts w:cstheme="minorHAnsi"/>
        </w:rPr>
        <w:t xml:space="preserve"> was written in a period of heightened religion that threatened to shadow the steps forward women have taken up until the 1980’s, however, it was also written in a period where Margret Thatcher had become Prime </w:t>
      </w:r>
      <w:r w:rsidR="00F3775B">
        <w:rPr>
          <w:rFonts w:cstheme="minorHAnsi"/>
        </w:rPr>
        <w:t>Minister</w:t>
      </w:r>
      <w:r w:rsidR="00242738">
        <w:rPr>
          <w:rFonts w:cstheme="minorHAnsi"/>
        </w:rPr>
        <w:t xml:space="preserve"> in Britain and Ronald Raegan’s elections in the United States.</w:t>
      </w:r>
      <w:r w:rsidR="00C765D2">
        <w:rPr>
          <w:rFonts w:cstheme="minorHAnsi"/>
        </w:rPr>
        <w:t xml:space="preserve"> Thus, this novel can be seen to demonstrate a highly feminist vision of dystopia. </w:t>
      </w:r>
      <w:r w:rsidR="00F3775B">
        <w:rPr>
          <w:rFonts w:cstheme="minorHAnsi"/>
        </w:rPr>
        <w:t xml:space="preserve">The novel provides the reader with a decline in women’s birth rates and a growing fear of nuclear weapons and environmental damage to the planet, all real concerns of the author and of people at the time of the books release and writing. </w:t>
      </w:r>
    </w:p>
    <w:p w14:paraId="7063CFCB" w14:textId="41602333" w:rsidR="00F3775B" w:rsidRDefault="00F3775B" w:rsidP="00D01F85">
      <w:pPr>
        <w:rPr>
          <w:rFonts w:cstheme="minorHAnsi"/>
        </w:rPr>
      </w:pPr>
    </w:p>
    <w:p w14:paraId="7CD5C6F3" w14:textId="77777777" w:rsidR="003B2D2C" w:rsidRDefault="003B2D2C" w:rsidP="00D01F85">
      <w:pPr>
        <w:rPr>
          <w:rFonts w:cstheme="minorHAnsi"/>
        </w:rPr>
      </w:pPr>
      <w:r>
        <w:rPr>
          <w:rFonts w:cstheme="minorHAnsi"/>
        </w:rPr>
        <w:t xml:space="preserve">Gilead is a religious faction that has seized control in light of a staggering decline in fertility, their goal orbits around the control of reproduction, women in Gilead are controlled, they are, as previously stated not allowed to work, they also are not allowed to own property, cannot vote, neither can women such as Offred, the handmaid’s that is to say, read or write or do anything that could allow them to be anything other than passive or do anything that could induce notions of </w:t>
      </w:r>
      <w:proofErr w:type="spellStart"/>
      <w:r>
        <w:rPr>
          <w:rFonts w:cstheme="minorHAnsi"/>
        </w:rPr>
        <w:t>independence.</w:t>
      </w:r>
      <w:r w:rsidR="00F3775B">
        <w:rPr>
          <w:rFonts w:cstheme="minorHAnsi"/>
        </w:rPr>
        <w:t>It</w:t>
      </w:r>
      <w:proofErr w:type="spellEnd"/>
      <w:r w:rsidR="00F3775B">
        <w:rPr>
          <w:rFonts w:cstheme="minorHAnsi"/>
        </w:rPr>
        <w:t xml:space="preserve"> </w:t>
      </w:r>
      <w:r w:rsidR="00C765D2">
        <w:rPr>
          <w:rFonts w:cstheme="minorHAnsi"/>
        </w:rPr>
        <w:t xml:space="preserve">is fair to say that from the position of any woman in the novel they would not look on Gilead as a Utopia. The women that are still fertile have no freedom, no jobs, no money, no life other than to provide the commanders families with babies. The women that cannot reproduce (ones not married to commanders) also have no freedom and no jobs and live to serve the houses of the commanders, or they are sent out of Gilead to clean toxic waste, however they neither have freedom. The commanders’ </w:t>
      </w:r>
      <w:r w:rsidR="00F3775B">
        <w:rPr>
          <w:rFonts w:cstheme="minorHAnsi"/>
        </w:rPr>
        <w:t>wives</w:t>
      </w:r>
      <w:r w:rsidR="00C765D2">
        <w:rPr>
          <w:rFonts w:cstheme="minorHAnsi"/>
        </w:rPr>
        <w:t xml:space="preserve"> also could not possibly look on their existence as utopian, they cannot bare their own children and must find ways to accept that the women that can must live with them and sleep with their husbands for purpose of </w:t>
      </w:r>
      <w:r w:rsidR="00F37215">
        <w:rPr>
          <w:rFonts w:cstheme="minorHAnsi"/>
        </w:rPr>
        <w:t>reproduction</w:t>
      </w:r>
      <w:r w:rsidR="00C765D2">
        <w:rPr>
          <w:rFonts w:cstheme="minorHAnsi"/>
        </w:rPr>
        <w:t>.</w:t>
      </w:r>
      <w:r w:rsidR="006374DC">
        <w:rPr>
          <w:rFonts w:cstheme="minorHAnsi"/>
        </w:rPr>
        <w:t xml:space="preserve"> Not even the commanders’ wives are able to work in the totalitarian state of Gilead, they did however have more leisure than </w:t>
      </w:r>
      <w:r w:rsidR="006374DC">
        <w:rPr>
          <w:rFonts w:cstheme="minorHAnsi"/>
        </w:rPr>
        <w:lastRenderedPageBreak/>
        <w:t>the other women, for example Offred writes in her diary ‘…I envy the commanders wife her knitting. It’s good to have small goals that can be easily attained.’</w:t>
      </w:r>
      <w:r w:rsidR="006374DC">
        <w:rPr>
          <w:rStyle w:val="FootnoteReference"/>
          <w:rFonts w:cstheme="minorHAnsi"/>
        </w:rPr>
        <w:footnoteReference w:id="13"/>
      </w:r>
      <w:r w:rsidR="00356D35">
        <w:rPr>
          <w:rFonts w:cstheme="minorHAnsi"/>
        </w:rPr>
        <w:t xml:space="preserve"> The state </w:t>
      </w:r>
      <w:r w:rsidR="006374DC">
        <w:rPr>
          <w:rFonts w:cstheme="minorHAnsi"/>
        </w:rPr>
        <w:t xml:space="preserve">is always </w:t>
      </w:r>
    </w:p>
    <w:p w14:paraId="63CF4D41" w14:textId="77777777" w:rsidR="003B2D2C" w:rsidRDefault="003B2D2C" w:rsidP="00D01F85">
      <w:pPr>
        <w:rPr>
          <w:rFonts w:cstheme="minorHAnsi"/>
        </w:rPr>
      </w:pPr>
    </w:p>
    <w:p w14:paraId="2962236D" w14:textId="77777777" w:rsidR="003B2D2C" w:rsidRDefault="003B2D2C" w:rsidP="00D01F85">
      <w:pPr>
        <w:rPr>
          <w:rFonts w:cstheme="minorHAnsi"/>
        </w:rPr>
      </w:pPr>
    </w:p>
    <w:p w14:paraId="2CC067EC" w14:textId="77777777" w:rsidR="000C07C2" w:rsidRDefault="006374DC" w:rsidP="00D01F85">
      <w:pPr>
        <w:rPr>
          <w:rFonts w:cstheme="minorHAnsi"/>
        </w:rPr>
      </w:pPr>
      <w:r>
        <w:rPr>
          <w:rFonts w:cstheme="minorHAnsi"/>
        </w:rPr>
        <w:t xml:space="preserve">watching, there is not much hope of rebellion or of getting back to what once was, </w:t>
      </w:r>
      <w:r w:rsidR="00356D35">
        <w:rPr>
          <w:rFonts w:cstheme="minorHAnsi"/>
        </w:rPr>
        <w:t>Offred writes about Nick, a lower level male in Gilead ‘Perhaps he’s an eye’</w:t>
      </w:r>
      <w:r w:rsidR="00356D35">
        <w:rPr>
          <w:rStyle w:val="FootnoteReference"/>
          <w:rFonts w:cstheme="minorHAnsi"/>
        </w:rPr>
        <w:footnoteReference w:id="14"/>
      </w:r>
      <w:r w:rsidR="00983F3C">
        <w:rPr>
          <w:rFonts w:cstheme="minorHAnsi"/>
        </w:rPr>
        <w:t xml:space="preserve"> and that he is testing her to see if she is faithful to the rules of the new state. </w:t>
      </w:r>
      <w:r w:rsidR="002D7C23">
        <w:rPr>
          <w:rFonts w:cstheme="minorHAnsi"/>
        </w:rPr>
        <w:t xml:space="preserve">The men in Gilead have a little more freedom, or so it may appear at first, however, this is not strictly the case, lower level men are also given jobs to do, generally serving commanders’ households also, they are also issued women, though Offred tells us at the beginning that Nick, of her </w:t>
      </w:r>
      <w:r w:rsidR="002D265A">
        <w:rPr>
          <w:rFonts w:cstheme="minorHAnsi"/>
        </w:rPr>
        <w:t>commanders’</w:t>
      </w:r>
      <w:r w:rsidR="002D7C23">
        <w:rPr>
          <w:rFonts w:cstheme="minorHAnsi"/>
        </w:rPr>
        <w:t xml:space="preserve"> household, has not yet been issued a woman, she wonders if perhaps he doesn’t have good connections. </w:t>
      </w:r>
      <w:r w:rsidR="002D265A">
        <w:rPr>
          <w:rFonts w:cstheme="minorHAnsi"/>
        </w:rPr>
        <w:t>Other lower level men such as the Guardians are also permitted women, they when we are first introduced to them, through Offred, we learn that they are quite young and have not yet been permitted to touch a woman, Offred takes power in her body at this moment, knowing they watch her and Ofglen walking</w:t>
      </w:r>
      <w:r w:rsidR="00704E07">
        <w:rPr>
          <w:rFonts w:cstheme="minorHAnsi"/>
        </w:rPr>
        <w:t>, she writes ‘I enjoy the power, power of a dog bone, passive but there.’</w:t>
      </w:r>
      <w:r w:rsidR="00A55BB1">
        <w:rPr>
          <w:rStyle w:val="FootnoteReference"/>
          <w:rFonts w:cstheme="minorHAnsi"/>
        </w:rPr>
        <w:footnoteReference w:id="15"/>
      </w:r>
      <w:r w:rsidR="003B2D2C">
        <w:rPr>
          <w:rFonts w:cstheme="minorHAnsi"/>
        </w:rPr>
        <w:t xml:space="preserve"> </w:t>
      </w:r>
      <w:r w:rsidR="00A760E9">
        <w:rPr>
          <w:rFonts w:cstheme="minorHAnsi"/>
        </w:rPr>
        <w:t>Women’s’ bodies are the main source of control within Gilead.</w:t>
      </w:r>
      <w:r w:rsidR="00740E5F">
        <w:rPr>
          <w:rFonts w:cstheme="minorHAnsi"/>
        </w:rPr>
        <w:t xml:space="preserve"> </w:t>
      </w:r>
      <w:r w:rsidR="00ED369E">
        <w:rPr>
          <w:rFonts w:cstheme="minorHAnsi"/>
        </w:rPr>
        <w:t xml:space="preserve">The past catches up with some of the present men in the state of Gilead which also can be seen as a way in which higher level males also would not be able to look on Gilead as a utopian state from any angle. </w:t>
      </w:r>
      <w:r w:rsidR="000C07C2">
        <w:rPr>
          <w:rFonts w:cstheme="minorHAnsi"/>
        </w:rPr>
        <w:t>Doctors that were found to have given abortions in the previous state of the world, when it was legal to perform such procedures, were hanged and displayed for all to see, Offred and Ofglen come across such men on one of their daily walks, she tells the reader;</w:t>
      </w:r>
    </w:p>
    <w:p w14:paraId="7948FFE7" w14:textId="0A606E15" w:rsidR="000F18C6" w:rsidRDefault="000C07C2" w:rsidP="00D01F85">
      <w:pPr>
        <w:rPr>
          <w:rFonts w:cstheme="minorHAnsi"/>
        </w:rPr>
      </w:pPr>
      <w:r>
        <w:rPr>
          <w:rFonts w:cstheme="minorHAnsi"/>
        </w:rPr>
        <w:t xml:space="preserve">    These men we’ve been told, are like war criminals. It’s no excuse that what they did was legal at the time: their crimes are retroactive. They have committed atrocities, and must be made into example, for the rest. Though this is hardly needed. No woman in her right mind, these days, would seek to prevent a birth…</w:t>
      </w:r>
      <w:r>
        <w:rPr>
          <w:rStyle w:val="FootnoteReference"/>
          <w:rFonts w:cstheme="minorHAnsi"/>
        </w:rPr>
        <w:footnoteReference w:id="16"/>
      </w:r>
      <w:r w:rsidR="00632FFA">
        <w:rPr>
          <w:rFonts w:cstheme="minorHAnsi"/>
        </w:rPr>
        <w:t xml:space="preserve"> </w:t>
      </w:r>
    </w:p>
    <w:p w14:paraId="306BD301" w14:textId="1B617779" w:rsidR="00805FF2" w:rsidRDefault="00805FF2" w:rsidP="00D01F85">
      <w:pPr>
        <w:rPr>
          <w:rFonts w:cstheme="minorHAnsi"/>
        </w:rPr>
      </w:pPr>
      <w:r>
        <w:rPr>
          <w:rFonts w:cstheme="minorHAnsi"/>
        </w:rPr>
        <w:t xml:space="preserve">From an outsider point of view with Gilead, as with the inside point of view from the people that live within the totalitarian state see it as a dystopia, even with the small amount of complacency the women gain through the only slight amounts of power they reclaim. Offred reclaims a small amount of power through her relationship with Nick, Serena Joy reclaims a small amount of power through tyrannical acts against Offred, these can be seen to grant them some complacency in a world so different from the one they once knew. However, perhaps the inner most circle of the faction of Gilead see their state as Utopian, their religious beliefs along with the control they have gained can be seen as saving human kind, and cleansing the world of sin in order to rebuild. There are not any others inside or outside of Gilead that see the state as anything other than dystopian, even with the slight bit of complacency they may feel. There are said to be women’s movements in Britain to rebel against this totalitarian state. </w:t>
      </w:r>
    </w:p>
    <w:p w14:paraId="53D3210B" w14:textId="439B77A0" w:rsidR="001F3E57" w:rsidRDefault="001F3E57" w:rsidP="00D01F85">
      <w:pPr>
        <w:rPr>
          <w:rFonts w:cstheme="minorHAnsi"/>
        </w:rPr>
      </w:pPr>
    </w:p>
    <w:p w14:paraId="5CC4D673" w14:textId="50D30B57" w:rsidR="00DE1B5E" w:rsidRDefault="009E4399" w:rsidP="00DE1B5E">
      <w:pPr>
        <w:rPr>
          <w:rFonts w:cstheme="minorHAnsi"/>
        </w:rPr>
      </w:pPr>
      <w:r>
        <w:rPr>
          <w:rFonts w:cstheme="minorHAnsi"/>
        </w:rPr>
        <w:t>As</w:t>
      </w:r>
      <w:r w:rsidR="00975C54">
        <w:rPr>
          <w:rFonts w:cstheme="minorHAnsi"/>
        </w:rPr>
        <w:t xml:space="preserve"> with my previous essay, I argue that dependant on the viewpoint of a person, outside looking in or inside looking out can reflect how one sees a world, be that utopian or dystopian. </w:t>
      </w:r>
    </w:p>
    <w:p w14:paraId="217A35B3" w14:textId="77777777" w:rsidR="00E8664E" w:rsidRDefault="00E8664E" w:rsidP="00D01F85">
      <w:pPr>
        <w:rPr>
          <w:rFonts w:cstheme="minorHAnsi"/>
        </w:rPr>
      </w:pPr>
    </w:p>
    <w:p w14:paraId="6751450C" w14:textId="77777777" w:rsidR="00E8664E" w:rsidRDefault="00E8664E" w:rsidP="00D01F85">
      <w:pPr>
        <w:rPr>
          <w:rFonts w:cstheme="minorHAnsi"/>
        </w:rPr>
      </w:pPr>
    </w:p>
    <w:p w14:paraId="6F567480" w14:textId="587FEF1A" w:rsidR="00975C54" w:rsidRDefault="009E4399" w:rsidP="00D01F85">
      <w:pPr>
        <w:rPr>
          <w:rFonts w:cstheme="minorHAnsi"/>
        </w:rPr>
      </w:pPr>
      <w:r>
        <w:rPr>
          <w:rFonts w:cstheme="minorHAnsi"/>
        </w:rPr>
        <w:t>My</w:t>
      </w:r>
      <w:r w:rsidR="00DE1B5E">
        <w:rPr>
          <w:rFonts w:cstheme="minorHAnsi"/>
        </w:rPr>
        <w:t xml:space="preserve"> argument can be seen as extended, through exploring places of perception in </w:t>
      </w:r>
      <w:r w:rsidR="00DE1B5E">
        <w:rPr>
          <w:rFonts w:cstheme="minorHAnsi"/>
          <w:i/>
          <w:iCs/>
        </w:rPr>
        <w:t xml:space="preserve">The Handmaid’s Tale </w:t>
      </w:r>
      <w:r w:rsidR="00DE1B5E">
        <w:rPr>
          <w:rFonts w:cstheme="minorHAnsi"/>
        </w:rPr>
        <w:t>that a state</w:t>
      </w:r>
      <w:r w:rsidR="00DE1B5E">
        <w:rPr>
          <w:rFonts w:cstheme="minorHAnsi"/>
        </w:rPr>
        <w:t>,</w:t>
      </w:r>
      <w:r w:rsidR="00DE1B5E">
        <w:rPr>
          <w:rFonts w:cstheme="minorHAnsi"/>
        </w:rPr>
        <w:t xml:space="preserve"> or </w:t>
      </w:r>
      <w:r w:rsidR="00DE1B5E">
        <w:rPr>
          <w:rFonts w:cstheme="minorHAnsi"/>
        </w:rPr>
        <w:t xml:space="preserve">a </w:t>
      </w:r>
      <w:r w:rsidR="00DE1B5E">
        <w:rPr>
          <w:rFonts w:cstheme="minorHAnsi"/>
        </w:rPr>
        <w:t>place can be seen as absurd as it is not like the world you are used to. As Offred notes in her diary, ‘Ordinary, said Aunt Lydia, is what you are used to. This may not seem ordinary to you now, but after time it will. It will become ordinary.’</w:t>
      </w:r>
      <w:r w:rsidR="00DE1B5E">
        <w:rPr>
          <w:rStyle w:val="FootnoteReference"/>
          <w:rFonts w:cstheme="minorHAnsi"/>
        </w:rPr>
        <w:footnoteReference w:id="17"/>
      </w:r>
      <w:r w:rsidR="00DE1B5E">
        <w:rPr>
          <w:rFonts w:cstheme="minorHAnsi"/>
        </w:rPr>
        <w:t xml:space="preserve"> However, the state can never be ordinary to Offred</w:t>
      </w:r>
      <w:r w:rsidR="00323A66">
        <w:rPr>
          <w:rFonts w:cstheme="minorHAnsi"/>
        </w:rPr>
        <w:t>, or Ofglen for example, they are so used to a state of independence in their previous lives, that no matter how hard they try or as complacent as they may grow through their small regains of, albeit secret, power of rebellion</w:t>
      </w:r>
      <w:r w:rsidR="00E8664E">
        <w:rPr>
          <w:rFonts w:cstheme="minorHAnsi"/>
        </w:rPr>
        <w:t xml:space="preserve"> (be it through her writing or her relationship with Nick)</w:t>
      </w:r>
      <w:r w:rsidR="00323A66">
        <w:rPr>
          <w:rFonts w:cstheme="minorHAnsi"/>
        </w:rPr>
        <w:t xml:space="preserve">, </w:t>
      </w:r>
      <w:r w:rsidR="00E8664E">
        <w:rPr>
          <w:rFonts w:cstheme="minorHAnsi"/>
        </w:rPr>
        <w:t xml:space="preserve">she </w:t>
      </w:r>
      <w:r w:rsidR="00323A66">
        <w:rPr>
          <w:rFonts w:cstheme="minorHAnsi"/>
        </w:rPr>
        <w:t>cannot and will not ever see their current world as anything but nightmarish.</w:t>
      </w:r>
      <w:r w:rsidR="0055262E">
        <w:rPr>
          <w:rFonts w:cstheme="minorHAnsi"/>
        </w:rPr>
        <w:t xml:space="preserve"> This can be seen in Offred when she speaks of her escape, not knowing if it is a real escape or not ‘But I [Offred] snatch at it. It’s all I’m left with.’</w:t>
      </w:r>
      <w:r w:rsidR="0055262E">
        <w:rPr>
          <w:rStyle w:val="FootnoteReference"/>
          <w:rFonts w:cstheme="minorHAnsi"/>
        </w:rPr>
        <w:footnoteReference w:id="18"/>
      </w:r>
    </w:p>
    <w:p w14:paraId="2396700E" w14:textId="04AEEDE0" w:rsidR="00F43985" w:rsidRPr="00F43985" w:rsidRDefault="002B3CFB" w:rsidP="00DE1B5E">
      <w:pPr>
        <w:rPr>
          <w:rFonts w:cstheme="minorHAnsi"/>
        </w:rPr>
      </w:pPr>
      <w:r>
        <w:rPr>
          <w:rFonts w:cstheme="minorHAnsi"/>
        </w:rPr>
        <w:t xml:space="preserve">In conclusion, </w:t>
      </w:r>
      <w:proofErr w:type="gramStart"/>
      <w:r w:rsidR="00DE1B5E">
        <w:rPr>
          <w:rFonts w:cstheme="minorHAnsi"/>
        </w:rPr>
        <w:t>More’s</w:t>
      </w:r>
      <w:proofErr w:type="gramEnd"/>
      <w:r w:rsidR="00DE1B5E">
        <w:rPr>
          <w:rFonts w:cstheme="minorHAnsi"/>
        </w:rPr>
        <w:t xml:space="preserve"> text of utopia displays also that of all the places a person can travel, no matter how perfect the policies may be to ensure harmony, it will look absurd to an outsider as it is not something they are used to.</w:t>
      </w:r>
      <w:r>
        <w:rPr>
          <w:rFonts w:cstheme="minorHAnsi"/>
        </w:rPr>
        <w:t xml:space="preserve"> Furthermore, utopian or dystopian the level of control that must be adhered to in order to attempt conformity only goes to strengthen the argument that perhaps there is no utopia to be had, control takes away individuality, as seen is More’s text, thus if there is no individual, there can be said to be no freedom and without freedom can any state be seen as utopian, if it is not utopian to everyone. One person’</w:t>
      </w:r>
      <w:bookmarkStart w:id="0" w:name="_GoBack"/>
      <w:bookmarkEnd w:id="0"/>
      <w:r>
        <w:rPr>
          <w:rFonts w:cstheme="minorHAnsi"/>
        </w:rPr>
        <w:t>s utopia can be another’s dystopia and the same in reverse</w:t>
      </w:r>
    </w:p>
    <w:p w14:paraId="366CD165" w14:textId="07A9E663" w:rsidR="00F43985" w:rsidRPr="00F43985" w:rsidRDefault="00F43985" w:rsidP="00F43985">
      <w:pPr>
        <w:rPr>
          <w:rFonts w:cstheme="minorHAnsi"/>
        </w:rPr>
      </w:pPr>
    </w:p>
    <w:p w14:paraId="1BF81D83" w14:textId="1890F140" w:rsidR="00F43985" w:rsidRPr="00F43985" w:rsidRDefault="00F43985" w:rsidP="00F43985">
      <w:pPr>
        <w:rPr>
          <w:rFonts w:cstheme="minorHAnsi"/>
        </w:rPr>
      </w:pPr>
    </w:p>
    <w:p w14:paraId="0B83E2BE" w14:textId="5D9E593B" w:rsidR="00F43985" w:rsidRDefault="00F43985" w:rsidP="00F43985">
      <w:pPr>
        <w:rPr>
          <w:rFonts w:cstheme="minorHAnsi"/>
        </w:rPr>
      </w:pPr>
    </w:p>
    <w:p w14:paraId="1ED20DD8" w14:textId="67513F49" w:rsidR="00F43985" w:rsidRDefault="00F43985" w:rsidP="00F43985">
      <w:pPr>
        <w:rPr>
          <w:rFonts w:cstheme="minorHAnsi"/>
        </w:rPr>
      </w:pPr>
      <w:r>
        <w:rPr>
          <w:rFonts w:cstheme="minorHAnsi"/>
        </w:rPr>
        <w:t>Bibliography</w:t>
      </w:r>
    </w:p>
    <w:p w14:paraId="32F5B66D" w14:textId="45AA4314" w:rsidR="00F43985" w:rsidRDefault="00F43985" w:rsidP="00F43985">
      <w:pPr>
        <w:rPr>
          <w:rFonts w:cstheme="minorHAnsi"/>
        </w:rPr>
      </w:pPr>
    </w:p>
    <w:p w14:paraId="2FDC2325" w14:textId="2B3D03DB" w:rsidR="00F43985" w:rsidRDefault="00F43985" w:rsidP="00F43985">
      <w:pPr>
        <w:rPr>
          <w:rFonts w:cstheme="minorHAnsi"/>
        </w:rPr>
      </w:pPr>
      <w:r>
        <w:t xml:space="preserve">Chris, Ferns, </w:t>
      </w:r>
      <w:r>
        <w:rPr>
          <w:i/>
          <w:iCs/>
        </w:rPr>
        <w:t>Narrating Utopia: Ideology, Gender, Form in Utopian Literature.</w:t>
      </w:r>
      <w:r>
        <w:t xml:space="preserve"> (Liverpool: Liverpool University Press, 1999)</w:t>
      </w:r>
    </w:p>
    <w:p w14:paraId="7CA2A2E0" w14:textId="3857E031" w:rsidR="00F43985" w:rsidRDefault="00F43985" w:rsidP="00F43985">
      <w:r>
        <w:t>Kim Johnson-Bogart, ‘The Utopian imagination of Charlotte Perkins-Gilman: Reconstructing of meaning in ‘</w:t>
      </w:r>
      <w:proofErr w:type="spellStart"/>
      <w:r>
        <w:t>Herland</w:t>
      </w:r>
      <w:proofErr w:type="spellEnd"/>
      <w:r>
        <w:t xml:space="preserve">’, </w:t>
      </w:r>
      <w:r>
        <w:rPr>
          <w:i/>
          <w:iCs/>
        </w:rPr>
        <w:t xml:space="preserve">Pacific Coast Philology, </w:t>
      </w:r>
      <w:r>
        <w:t>Vol 27 (Sept 1992) pp 85-92</w:t>
      </w:r>
    </w:p>
    <w:p w14:paraId="34F574DB" w14:textId="1740C6F3" w:rsidR="002E343E" w:rsidRPr="002E343E" w:rsidRDefault="002E343E" w:rsidP="002E343E">
      <w:pPr>
        <w:rPr>
          <w:rFonts w:cstheme="minorHAnsi"/>
        </w:rPr>
      </w:pPr>
      <w:r>
        <w:t xml:space="preserve">Margret Attwood, </w:t>
      </w:r>
      <w:r>
        <w:rPr>
          <w:i/>
          <w:iCs/>
        </w:rPr>
        <w:t>The Handmaid’s Tale</w:t>
      </w:r>
      <w:r>
        <w:t xml:space="preserve"> (London; Penguin Random House Vintage, 2017)</w:t>
      </w:r>
    </w:p>
    <w:p w14:paraId="7FC71B55" w14:textId="53DBDE8C" w:rsidR="00F43985" w:rsidRPr="00F43985" w:rsidRDefault="00F43985" w:rsidP="00F43985">
      <w:pPr>
        <w:pStyle w:val="FootnoteText"/>
        <w:rPr>
          <w:sz w:val="24"/>
          <w:szCs w:val="24"/>
        </w:rPr>
      </w:pPr>
      <w:r w:rsidRPr="00F43985">
        <w:rPr>
          <w:sz w:val="24"/>
          <w:szCs w:val="24"/>
        </w:rPr>
        <w:t>Paul, Kincaid, ‘</w:t>
      </w:r>
      <w:r w:rsidRPr="00F43985">
        <w:rPr>
          <w:i/>
          <w:iCs/>
          <w:sz w:val="24"/>
          <w:szCs w:val="24"/>
        </w:rPr>
        <w:t xml:space="preserve">Utopia </w:t>
      </w:r>
      <w:r w:rsidRPr="00F43985">
        <w:rPr>
          <w:sz w:val="24"/>
          <w:szCs w:val="24"/>
        </w:rPr>
        <w:t xml:space="preserve">in Context’, </w:t>
      </w:r>
      <w:r w:rsidRPr="00F43985">
        <w:rPr>
          <w:i/>
          <w:iCs/>
          <w:sz w:val="24"/>
          <w:szCs w:val="24"/>
        </w:rPr>
        <w:t xml:space="preserve">Foundation </w:t>
      </w:r>
      <w:r w:rsidRPr="00F43985">
        <w:rPr>
          <w:sz w:val="24"/>
          <w:szCs w:val="24"/>
        </w:rPr>
        <w:t xml:space="preserve">124 (2016) </w:t>
      </w:r>
    </w:p>
    <w:p w14:paraId="14708FE8" w14:textId="0F6DDA5D" w:rsidR="00F43985" w:rsidRPr="00F43985" w:rsidRDefault="00F43985" w:rsidP="00F43985">
      <w:pPr>
        <w:pStyle w:val="FootnoteText"/>
        <w:rPr>
          <w:sz w:val="24"/>
          <w:szCs w:val="24"/>
        </w:rPr>
      </w:pPr>
      <w:r w:rsidRPr="00F43985">
        <w:rPr>
          <w:sz w:val="24"/>
          <w:szCs w:val="24"/>
        </w:rPr>
        <w:t xml:space="preserve">Thomas, More, </w:t>
      </w:r>
      <w:r w:rsidRPr="00F43985">
        <w:rPr>
          <w:i/>
          <w:iCs/>
          <w:sz w:val="24"/>
          <w:szCs w:val="24"/>
        </w:rPr>
        <w:t xml:space="preserve">Utopia </w:t>
      </w:r>
      <w:r w:rsidRPr="00F43985">
        <w:rPr>
          <w:sz w:val="24"/>
          <w:szCs w:val="24"/>
        </w:rPr>
        <w:t>(</w:t>
      </w:r>
      <w:r w:rsidR="0027351C">
        <w:rPr>
          <w:sz w:val="24"/>
          <w:szCs w:val="24"/>
        </w:rPr>
        <w:t>1518</w:t>
      </w:r>
      <w:r w:rsidRPr="00F43985">
        <w:rPr>
          <w:sz w:val="24"/>
          <w:szCs w:val="24"/>
        </w:rPr>
        <w:t xml:space="preserve">) </w:t>
      </w:r>
      <w:hyperlink r:id="rId7" w:history="1">
        <w:r w:rsidR="0027351C" w:rsidRPr="00703E28">
          <w:rPr>
            <w:rStyle w:val="Hyperlink"/>
            <w:sz w:val="24"/>
            <w:szCs w:val="24"/>
          </w:rPr>
          <w:t>http://theopenutopia.org/wp-content/uploads/2012/09/Open-Utopia-fifth-poofs-facing-amended.pdf</w:t>
        </w:r>
      </w:hyperlink>
      <w:r w:rsidR="0027351C">
        <w:rPr>
          <w:sz w:val="24"/>
          <w:szCs w:val="24"/>
        </w:rPr>
        <w:t xml:space="preserve"> (accessed 11/6/19)</w:t>
      </w:r>
    </w:p>
    <w:sectPr w:rsidR="00F43985" w:rsidRPr="00F43985" w:rsidSect="002D659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DF86CD" w14:textId="77777777" w:rsidR="00723CC8" w:rsidRDefault="00723CC8" w:rsidP="00E168C7">
      <w:r>
        <w:separator/>
      </w:r>
    </w:p>
  </w:endnote>
  <w:endnote w:type="continuationSeparator" w:id="0">
    <w:p w14:paraId="73DEA508" w14:textId="77777777" w:rsidR="00723CC8" w:rsidRDefault="00723CC8" w:rsidP="00E16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0DB545" w14:textId="77777777" w:rsidR="00723CC8" w:rsidRDefault="00723CC8" w:rsidP="00E168C7">
      <w:r>
        <w:separator/>
      </w:r>
    </w:p>
  </w:footnote>
  <w:footnote w:type="continuationSeparator" w:id="0">
    <w:p w14:paraId="2F19B53F" w14:textId="77777777" w:rsidR="00723CC8" w:rsidRDefault="00723CC8" w:rsidP="00E168C7">
      <w:r>
        <w:continuationSeparator/>
      </w:r>
    </w:p>
  </w:footnote>
  <w:footnote w:id="1">
    <w:p w14:paraId="2760C94B" w14:textId="77777777" w:rsidR="00E168C7" w:rsidRPr="00E168C7" w:rsidRDefault="00E168C7">
      <w:pPr>
        <w:pStyle w:val="FootnoteText"/>
      </w:pPr>
      <w:r>
        <w:rPr>
          <w:rStyle w:val="FootnoteReference"/>
        </w:rPr>
        <w:footnoteRef/>
      </w:r>
      <w:r>
        <w:t xml:space="preserve"> Kim Johnson-Bogart, ‘The Utopian imagination of Charlotte Perkins-Gilman: Reconstructing of meaning in ‘</w:t>
      </w:r>
      <w:proofErr w:type="spellStart"/>
      <w:r>
        <w:t>Herland</w:t>
      </w:r>
      <w:proofErr w:type="spellEnd"/>
      <w:r>
        <w:t xml:space="preserve">’, </w:t>
      </w:r>
      <w:r>
        <w:rPr>
          <w:i/>
          <w:iCs/>
        </w:rPr>
        <w:t xml:space="preserve">Pacific Coast Philology, </w:t>
      </w:r>
      <w:r>
        <w:t>Vol 27 (Sept 1992) pp 85-92, p 89</w:t>
      </w:r>
    </w:p>
  </w:footnote>
  <w:footnote w:id="2">
    <w:p w14:paraId="47170BC0" w14:textId="77777777" w:rsidR="00CD74F1" w:rsidRPr="00CD74F1" w:rsidRDefault="00CD74F1">
      <w:pPr>
        <w:pStyle w:val="FootnoteText"/>
      </w:pPr>
      <w:r>
        <w:rPr>
          <w:rStyle w:val="FootnoteReference"/>
        </w:rPr>
        <w:footnoteRef/>
      </w:r>
      <w:r>
        <w:t xml:space="preserve"> Chris, Ferns, </w:t>
      </w:r>
      <w:r>
        <w:rPr>
          <w:i/>
          <w:iCs/>
        </w:rPr>
        <w:t>Narrating Utopia: Ideology, Gender, Form in Utopian Literature.</w:t>
      </w:r>
      <w:r>
        <w:t xml:space="preserve"> (Liverpool: Liverpool University Press, 1999) p 32</w:t>
      </w:r>
    </w:p>
  </w:footnote>
  <w:footnote w:id="3">
    <w:p w14:paraId="5A2AA5DB" w14:textId="77777777" w:rsidR="006F1ED3" w:rsidRDefault="006F1ED3">
      <w:pPr>
        <w:pStyle w:val="FootnoteText"/>
      </w:pPr>
      <w:r>
        <w:rPr>
          <w:rStyle w:val="FootnoteReference"/>
        </w:rPr>
        <w:footnoteRef/>
      </w:r>
      <w:r>
        <w:t xml:space="preserve"> Ferns, p 32</w:t>
      </w:r>
    </w:p>
  </w:footnote>
  <w:footnote w:id="4">
    <w:p w14:paraId="3129ABFC" w14:textId="77777777" w:rsidR="008C7620" w:rsidRDefault="008C7620">
      <w:pPr>
        <w:pStyle w:val="FootnoteText"/>
      </w:pPr>
      <w:r>
        <w:rPr>
          <w:rStyle w:val="FootnoteReference"/>
        </w:rPr>
        <w:footnoteRef/>
      </w:r>
      <w:r>
        <w:t xml:space="preserve"> Ferns, p 35</w:t>
      </w:r>
    </w:p>
  </w:footnote>
  <w:footnote w:id="5">
    <w:p w14:paraId="26B7ABD4" w14:textId="77777777" w:rsidR="00733331" w:rsidRPr="00733331" w:rsidRDefault="00733331">
      <w:pPr>
        <w:pStyle w:val="FootnoteText"/>
      </w:pPr>
      <w:r>
        <w:rPr>
          <w:rStyle w:val="FootnoteReference"/>
        </w:rPr>
        <w:footnoteRef/>
      </w:r>
      <w:r>
        <w:t xml:space="preserve"> Paul, Kincaid, ‘</w:t>
      </w:r>
      <w:r>
        <w:rPr>
          <w:i/>
          <w:iCs/>
        </w:rPr>
        <w:t xml:space="preserve">Utopia </w:t>
      </w:r>
      <w:r>
        <w:t xml:space="preserve">in Context’, </w:t>
      </w:r>
      <w:r>
        <w:rPr>
          <w:i/>
          <w:iCs/>
        </w:rPr>
        <w:t xml:space="preserve">Foundation </w:t>
      </w:r>
      <w:r>
        <w:t>124 (2016) p 6-7</w:t>
      </w:r>
    </w:p>
  </w:footnote>
  <w:footnote w:id="6">
    <w:p w14:paraId="6F47B037" w14:textId="0D87FDE7" w:rsidR="00D1306E" w:rsidRPr="00D1306E" w:rsidRDefault="00D1306E">
      <w:pPr>
        <w:pStyle w:val="FootnoteText"/>
      </w:pPr>
      <w:r>
        <w:rPr>
          <w:rStyle w:val="FootnoteReference"/>
        </w:rPr>
        <w:footnoteRef/>
      </w:r>
      <w:r>
        <w:t xml:space="preserve"> Thomas, More, </w:t>
      </w:r>
      <w:r>
        <w:rPr>
          <w:i/>
          <w:iCs/>
        </w:rPr>
        <w:t xml:space="preserve">Utopia </w:t>
      </w:r>
      <w:r>
        <w:t xml:space="preserve">( </w:t>
      </w:r>
      <w:r w:rsidR="0027351C">
        <w:t>1518</w:t>
      </w:r>
      <w:r>
        <w:t>) p 38</w:t>
      </w:r>
      <w:r w:rsidR="0027351C">
        <w:t xml:space="preserve"> </w:t>
      </w:r>
      <w:hyperlink r:id="rId1" w:history="1">
        <w:r w:rsidR="0027351C" w:rsidRPr="00703E28">
          <w:rPr>
            <w:rStyle w:val="Hyperlink"/>
          </w:rPr>
          <w:t>http://theopenutopia.org/wp-content/uploads/2012/09/Open-Utopia-fifth-poofs-facing-amended.pdf</w:t>
        </w:r>
      </w:hyperlink>
      <w:r w:rsidR="0027351C">
        <w:t xml:space="preserve"> (accessed 11/06/19)</w:t>
      </w:r>
    </w:p>
  </w:footnote>
  <w:footnote w:id="7">
    <w:p w14:paraId="2C4023C5" w14:textId="77777777" w:rsidR="005D30EF" w:rsidRDefault="005D30EF">
      <w:pPr>
        <w:pStyle w:val="FootnoteText"/>
      </w:pPr>
      <w:r>
        <w:rPr>
          <w:rStyle w:val="FootnoteReference"/>
        </w:rPr>
        <w:footnoteRef/>
      </w:r>
      <w:r>
        <w:t xml:space="preserve"> More, p61</w:t>
      </w:r>
    </w:p>
  </w:footnote>
  <w:footnote w:id="8">
    <w:p w14:paraId="33A904B9" w14:textId="77777777" w:rsidR="00AA1E08" w:rsidRDefault="00AA1E08">
      <w:pPr>
        <w:pStyle w:val="FootnoteText"/>
      </w:pPr>
      <w:r>
        <w:rPr>
          <w:rStyle w:val="FootnoteReference"/>
        </w:rPr>
        <w:footnoteRef/>
      </w:r>
      <w:r>
        <w:t xml:space="preserve"> More, p 75</w:t>
      </w:r>
    </w:p>
  </w:footnote>
  <w:footnote w:id="9">
    <w:p w14:paraId="762703F9" w14:textId="77777777" w:rsidR="00E527CB" w:rsidRDefault="00E527CB">
      <w:pPr>
        <w:pStyle w:val="FootnoteText"/>
      </w:pPr>
      <w:r>
        <w:rPr>
          <w:rStyle w:val="FootnoteReference"/>
        </w:rPr>
        <w:footnoteRef/>
      </w:r>
      <w:r>
        <w:t xml:space="preserve"> More, p 84</w:t>
      </w:r>
    </w:p>
  </w:footnote>
  <w:footnote w:id="10">
    <w:p w14:paraId="51D04E55" w14:textId="77777777" w:rsidR="002F586B" w:rsidRDefault="002F586B">
      <w:pPr>
        <w:pStyle w:val="FootnoteText"/>
      </w:pPr>
      <w:r>
        <w:rPr>
          <w:rStyle w:val="FootnoteReference"/>
        </w:rPr>
        <w:footnoteRef/>
      </w:r>
      <w:r>
        <w:t xml:space="preserve"> More, p 85</w:t>
      </w:r>
    </w:p>
  </w:footnote>
  <w:footnote w:id="11">
    <w:p w14:paraId="3F59FBDB" w14:textId="77777777" w:rsidR="00D012B3" w:rsidRDefault="00D012B3">
      <w:pPr>
        <w:pStyle w:val="FootnoteText"/>
      </w:pPr>
      <w:r>
        <w:rPr>
          <w:rStyle w:val="FootnoteReference"/>
        </w:rPr>
        <w:footnoteRef/>
      </w:r>
      <w:r>
        <w:t xml:space="preserve"> More, p 109</w:t>
      </w:r>
    </w:p>
  </w:footnote>
  <w:footnote w:id="12">
    <w:p w14:paraId="7A1FC663" w14:textId="77777777" w:rsidR="00D01F85" w:rsidRDefault="00D01F85">
      <w:pPr>
        <w:pStyle w:val="FootnoteText"/>
      </w:pPr>
      <w:r>
        <w:rPr>
          <w:rStyle w:val="FootnoteReference"/>
        </w:rPr>
        <w:footnoteRef/>
      </w:r>
      <w:r>
        <w:t xml:space="preserve"> More, 190</w:t>
      </w:r>
    </w:p>
  </w:footnote>
  <w:footnote w:id="13">
    <w:p w14:paraId="1CFEBFEF" w14:textId="459BC921" w:rsidR="006374DC" w:rsidRPr="006374DC" w:rsidRDefault="006374DC">
      <w:pPr>
        <w:pStyle w:val="FootnoteText"/>
      </w:pPr>
      <w:r>
        <w:rPr>
          <w:rStyle w:val="FootnoteReference"/>
        </w:rPr>
        <w:footnoteRef/>
      </w:r>
      <w:r>
        <w:t xml:space="preserve"> Margret Attwood, </w:t>
      </w:r>
      <w:r>
        <w:rPr>
          <w:i/>
          <w:iCs/>
        </w:rPr>
        <w:t>The Handmaid’s Tale</w:t>
      </w:r>
      <w:r>
        <w:t xml:space="preserve"> (London; Penguin Random House</w:t>
      </w:r>
      <w:r w:rsidR="00215B1F">
        <w:t xml:space="preserve"> Vintage, 2017) p 23.</w:t>
      </w:r>
    </w:p>
  </w:footnote>
  <w:footnote w:id="14">
    <w:p w14:paraId="339FCF3C" w14:textId="2B5BE713" w:rsidR="00356D35" w:rsidRDefault="00356D35">
      <w:pPr>
        <w:pStyle w:val="FootnoteText"/>
      </w:pPr>
      <w:r>
        <w:rPr>
          <w:rStyle w:val="FootnoteReference"/>
        </w:rPr>
        <w:footnoteRef/>
      </w:r>
      <w:r>
        <w:t xml:space="preserve"> Attwood, p 28</w:t>
      </w:r>
    </w:p>
  </w:footnote>
  <w:footnote w:id="15">
    <w:p w14:paraId="3B181165" w14:textId="1871014D" w:rsidR="00A55BB1" w:rsidRDefault="00A55BB1">
      <w:pPr>
        <w:pStyle w:val="FootnoteText"/>
      </w:pPr>
      <w:r>
        <w:rPr>
          <w:rStyle w:val="FootnoteReference"/>
        </w:rPr>
        <w:footnoteRef/>
      </w:r>
      <w:r>
        <w:t xml:space="preserve"> Attwood, p 32</w:t>
      </w:r>
    </w:p>
  </w:footnote>
  <w:footnote w:id="16">
    <w:p w14:paraId="71E9CD5C" w14:textId="6B1C0958" w:rsidR="000C07C2" w:rsidRDefault="000C07C2">
      <w:pPr>
        <w:pStyle w:val="FootnoteText"/>
      </w:pPr>
      <w:r>
        <w:rPr>
          <w:rStyle w:val="FootnoteReference"/>
        </w:rPr>
        <w:footnoteRef/>
      </w:r>
      <w:r>
        <w:t xml:space="preserve"> Attwood, p 43</w:t>
      </w:r>
    </w:p>
  </w:footnote>
  <w:footnote w:id="17">
    <w:p w14:paraId="32F14CF8" w14:textId="77777777" w:rsidR="00DE1B5E" w:rsidRDefault="00DE1B5E" w:rsidP="00DE1B5E">
      <w:pPr>
        <w:pStyle w:val="FootnoteText"/>
      </w:pPr>
      <w:r>
        <w:rPr>
          <w:rStyle w:val="FootnoteReference"/>
        </w:rPr>
        <w:footnoteRef/>
      </w:r>
      <w:r>
        <w:t xml:space="preserve"> Attwood, p 43</w:t>
      </w:r>
    </w:p>
  </w:footnote>
  <w:footnote w:id="18">
    <w:p w14:paraId="583F75B3" w14:textId="1607C9F4" w:rsidR="0055262E" w:rsidRDefault="0055262E">
      <w:pPr>
        <w:pStyle w:val="FootnoteText"/>
      </w:pPr>
      <w:r>
        <w:rPr>
          <w:rStyle w:val="FootnoteReference"/>
        </w:rPr>
        <w:footnoteRef/>
      </w:r>
      <w:r>
        <w:t xml:space="preserve"> Atwood, p 306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F46"/>
    <w:rsid w:val="00032FDF"/>
    <w:rsid w:val="000A4067"/>
    <w:rsid w:val="000C07C2"/>
    <w:rsid w:val="000C0FD9"/>
    <w:rsid w:val="000D5BD3"/>
    <w:rsid w:val="000F18C6"/>
    <w:rsid w:val="00135C2E"/>
    <w:rsid w:val="00137F67"/>
    <w:rsid w:val="001436E1"/>
    <w:rsid w:val="001F3E57"/>
    <w:rsid w:val="00215B1F"/>
    <w:rsid w:val="00223897"/>
    <w:rsid w:val="00242738"/>
    <w:rsid w:val="002470AD"/>
    <w:rsid w:val="0027351C"/>
    <w:rsid w:val="0028447A"/>
    <w:rsid w:val="002B3CFB"/>
    <w:rsid w:val="002D1F54"/>
    <w:rsid w:val="002D265A"/>
    <w:rsid w:val="002D6592"/>
    <w:rsid w:val="002D7C23"/>
    <w:rsid w:val="002E343E"/>
    <w:rsid w:val="002F23A5"/>
    <w:rsid w:val="002F586B"/>
    <w:rsid w:val="00323A66"/>
    <w:rsid w:val="00356D35"/>
    <w:rsid w:val="00362DB4"/>
    <w:rsid w:val="003A2FE3"/>
    <w:rsid w:val="003A5253"/>
    <w:rsid w:val="003B2D2C"/>
    <w:rsid w:val="0047328A"/>
    <w:rsid w:val="00535868"/>
    <w:rsid w:val="0055262E"/>
    <w:rsid w:val="005D30EF"/>
    <w:rsid w:val="005E5274"/>
    <w:rsid w:val="005F11E5"/>
    <w:rsid w:val="00603A0B"/>
    <w:rsid w:val="00632FFA"/>
    <w:rsid w:val="006374DC"/>
    <w:rsid w:val="006F1ED3"/>
    <w:rsid w:val="006F3B88"/>
    <w:rsid w:val="00704E07"/>
    <w:rsid w:val="00711912"/>
    <w:rsid w:val="007205AF"/>
    <w:rsid w:val="00723CC8"/>
    <w:rsid w:val="00733331"/>
    <w:rsid w:val="00740E5F"/>
    <w:rsid w:val="00780913"/>
    <w:rsid w:val="00792934"/>
    <w:rsid w:val="00805FF2"/>
    <w:rsid w:val="008C7620"/>
    <w:rsid w:val="00924F46"/>
    <w:rsid w:val="00950D34"/>
    <w:rsid w:val="009673F4"/>
    <w:rsid w:val="00975C54"/>
    <w:rsid w:val="00983F3C"/>
    <w:rsid w:val="009A397A"/>
    <w:rsid w:val="009C2BFA"/>
    <w:rsid w:val="009D4B41"/>
    <w:rsid w:val="009E4399"/>
    <w:rsid w:val="00A3023C"/>
    <w:rsid w:val="00A471F5"/>
    <w:rsid w:val="00A55BB1"/>
    <w:rsid w:val="00A62D06"/>
    <w:rsid w:val="00A760E9"/>
    <w:rsid w:val="00AA1E08"/>
    <w:rsid w:val="00AE5EC5"/>
    <w:rsid w:val="00B048DC"/>
    <w:rsid w:val="00BF7EFC"/>
    <w:rsid w:val="00C765D2"/>
    <w:rsid w:val="00C8043F"/>
    <w:rsid w:val="00CD74F1"/>
    <w:rsid w:val="00D012B3"/>
    <w:rsid w:val="00D01F85"/>
    <w:rsid w:val="00D04B1A"/>
    <w:rsid w:val="00D1306E"/>
    <w:rsid w:val="00D2703A"/>
    <w:rsid w:val="00D54256"/>
    <w:rsid w:val="00DE1B5E"/>
    <w:rsid w:val="00DF6F9A"/>
    <w:rsid w:val="00E168C7"/>
    <w:rsid w:val="00E46ADE"/>
    <w:rsid w:val="00E527CB"/>
    <w:rsid w:val="00E8664E"/>
    <w:rsid w:val="00ED369E"/>
    <w:rsid w:val="00EF514A"/>
    <w:rsid w:val="00F347E0"/>
    <w:rsid w:val="00F37215"/>
    <w:rsid w:val="00F3775B"/>
    <w:rsid w:val="00F43985"/>
    <w:rsid w:val="00F772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96952"/>
  <w14:defaultImageDpi w14:val="32767"/>
  <w15:chartTrackingRefBased/>
  <w15:docId w15:val="{A29F37A9-003D-AB40-B97D-0AC046F23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168C7"/>
    <w:rPr>
      <w:sz w:val="20"/>
      <w:szCs w:val="20"/>
    </w:rPr>
  </w:style>
  <w:style w:type="character" w:customStyle="1" w:styleId="FootnoteTextChar">
    <w:name w:val="Footnote Text Char"/>
    <w:basedOn w:val="DefaultParagraphFont"/>
    <w:link w:val="FootnoteText"/>
    <w:uiPriority w:val="99"/>
    <w:semiHidden/>
    <w:rsid w:val="00E168C7"/>
    <w:rPr>
      <w:sz w:val="20"/>
      <w:szCs w:val="20"/>
    </w:rPr>
  </w:style>
  <w:style w:type="character" w:styleId="FootnoteReference">
    <w:name w:val="footnote reference"/>
    <w:basedOn w:val="DefaultParagraphFont"/>
    <w:uiPriority w:val="99"/>
    <w:semiHidden/>
    <w:unhideWhenUsed/>
    <w:rsid w:val="00E168C7"/>
    <w:rPr>
      <w:vertAlign w:val="superscript"/>
    </w:rPr>
  </w:style>
  <w:style w:type="paragraph" w:styleId="NormalWeb">
    <w:name w:val="Normal (Web)"/>
    <w:basedOn w:val="Normal"/>
    <w:uiPriority w:val="99"/>
    <w:unhideWhenUsed/>
    <w:rsid w:val="005D30EF"/>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27351C"/>
    <w:rPr>
      <w:color w:val="0563C1" w:themeColor="hyperlink"/>
      <w:u w:val="single"/>
    </w:rPr>
  </w:style>
  <w:style w:type="character" w:styleId="UnresolvedMention">
    <w:name w:val="Unresolved Mention"/>
    <w:basedOn w:val="DefaultParagraphFont"/>
    <w:uiPriority w:val="99"/>
    <w:rsid w:val="002735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215601">
      <w:bodyDiv w:val="1"/>
      <w:marLeft w:val="0"/>
      <w:marRight w:val="0"/>
      <w:marTop w:val="0"/>
      <w:marBottom w:val="0"/>
      <w:divBdr>
        <w:top w:val="none" w:sz="0" w:space="0" w:color="auto"/>
        <w:left w:val="none" w:sz="0" w:space="0" w:color="auto"/>
        <w:bottom w:val="none" w:sz="0" w:space="0" w:color="auto"/>
        <w:right w:val="none" w:sz="0" w:space="0" w:color="auto"/>
      </w:divBdr>
      <w:divsChild>
        <w:div w:id="672143779">
          <w:marLeft w:val="0"/>
          <w:marRight w:val="0"/>
          <w:marTop w:val="0"/>
          <w:marBottom w:val="0"/>
          <w:divBdr>
            <w:top w:val="none" w:sz="0" w:space="0" w:color="auto"/>
            <w:left w:val="none" w:sz="0" w:space="0" w:color="auto"/>
            <w:bottom w:val="none" w:sz="0" w:space="0" w:color="auto"/>
            <w:right w:val="none" w:sz="0" w:space="0" w:color="auto"/>
          </w:divBdr>
          <w:divsChild>
            <w:div w:id="88503665">
              <w:marLeft w:val="0"/>
              <w:marRight w:val="0"/>
              <w:marTop w:val="0"/>
              <w:marBottom w:val="0"/>
              <w:divBdr>
                <w:top w:val="none" w:sz="0" w:space="0" w:color="auto"/>
                <w:left w:val="none" w:sz="0" w:space="0" w:color="auto"/>
                <w:bottom w:val="none" w:sz="0" w:space="0" w:color="auto"/>
                <w:right w:val="none" w:sz="0" w:space="0" w:color="auto"/>
              </w:divBdr>
              <w:divsChild>
                <w:div w:id="183672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theopenutopia.org/wp-content/uploads/2012/09/Open-Utopia-fifth-poofs-facing-amended.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theopenutopia.org/wp-content/uploads/2012/09/Open-Utopia-fifth-poofs-facing-amend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70D1DE-01F0-9A40-B5B5-46BEFACC7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5</Pages>
  <Words>2280</Words>
  <Characters>13000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Barry Owen Smith</dc:creator>
  <cp:keywords/>
  <dc:description/>
  <cp:lastModifiedBy>Barry Owen Smith</cp:lastModifiedBy>
  <cp:revision>97</cp:revision>
  <dcterms:created xsi:type="dcterms:W3CDTF">2019-06-10T12:00:00Z</dcterms:created>
  <dcterms:modified xsi:type="dcterms:W3CDTF">2019-06-12T06:22:00Z</dcterms:modified>
</cp:coreProperties>
</file>