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F86CC7" w14:textId="77777777" w:rsidR="00F9070C" w:rsidRPr="00F9070C" w:rsidRDefault="00F9070C" w:rsidP="00F9070C">
      <w:pPr>
        <w:rPr>
          <w:b/>
          <w:bCs/>
        </w:rPr>
      </w:pPr>
      <w:r w:rsidRPr="00F9070C">
        <w:rPr>
          <w:b/>
          <w:bCs/>
        </w:rPr>
        <w:t>Assignment Plan – LCBB4012: Academic Skills</w:t>
      </w:r>
    </w:p>
    <w:p w14:paraId="4CBE90CD" w14:textId="77777777" w:rsidR="00262C51" w:rsidRDefault="00F9070C" w:rsidP="00F9070C">
      <w:pPr>
        <w:rPr>
          <w:b/>
          <w:bCs/>
        </w:rPr>
      </w:pPr>
      <w:r w:rsidRPr="00F9070C">
        <w:rPr>
          <w:b/>
          <w:bCs/>
        </w:rPr>
        <w:t xml:space="preserve">Component 2: Group Written Report </w:t>
      </w:r>
    </w:p>
    <w:p w14:paraId="10DE1058" w14:textId="77777777" w:rsidR="00262C51" w:rsidRPr="00262C51" w:rsidRDefault="00262C51" w:rsidP="00262C51">
      <w:pPr>
        <w:rPr>
          <w:b/>
          <w:bCs/>
        </w:rPr>
      </w:pPr>
      <w:r w:rsidRPr="00262C51">
        <w:rPr>
          <w:b/>
          <w:bCs/>
        </w:rPr>
        <w:t>Group Members:</w:t>
      </w:r>
    </w:p>
    <w:p w14:paraId="636FEF18" w14:textId="3832D339" w:rsidR="00262C51" w:rsidRDefault="00262C51" w:rsidP="00262C51">
      <w:r>
        <w:t>Viorel-Sorin Mihai 2513663</w:t>
      </w:r>
    </w:p>
    <w:p w14:paraId="5834567E" w14:textId="77777777" w:rsidR="00262C51" w:rsidRDefault="00262C51" w:rsidP="00262C51">
      <w:r>
        <w:t>Alexandra-Mihaela Alexe 2513664</w:t>
      </w:r>
    </w:p>
    <w:p w14:paraId="6AE6F364" w14:textId="77777777" w:rsidR="00262C51" w:rsidRDefault="00262C51" w:rsidP="00262C51">
      <w:r>
        <w:t>Florentina Dinu 2512902</w:t>
      </w:r>
    </w:p>
    <w:p w14:paraId="3971DAF2" w14:textId="39143871" w:rsidR="00F9070C" w:rsidRDefault="00262C51" w:rsidP="00262C51">
      <w:pPr>
        <w:rPr>
          <w:b/>
          <w:bCs/>
        </w:rPr>
      </w:pPr>
      <w:r>
        <w:t>Nicușor-Ionuț Mihai 2514112</w:t>
      </w:r>
      <w:r w:rsidR="00F9070C" w:rsidRPr="00F9070C">
        <w:br/>
      </w:r>
      <w:r w:rsidR="00F9070C" w:rsidRPr="00F9070C">
        <w:br/>
      </w:r>
    </w:p>
    <w:p w14:paraId="23BEEDC0" w14:textId="77777777" w:rsidR="00F9070C" w:rsidRDefault="00F9070C" w:rsidP="00F9070C">
      <w:pPr>
        <w:rPr>
          <w:b/>
          <w:bCs/>
        </w:rPr>
      </w:pPr>
    </w:p>
    <w:p w14:paraId="7BFA55D9" w14:textId="77777777" w:rsidR="00F9070C" w:rsidRDefault="00F9070C" w:rsidP="00F9070C">
      <w:pPr>
        <w:rPr>
          <w:b/>
          <w:bCs/>
        </w:rPr>
      </w:pPr>
    </w:p>
    <w:p w14:paraId="4F80BA91" w14:textId="77777777" w:rsidR="00F9070C" w:rsidRDefault="00F9070C" w:rsidP="00F9070C">
      <w:pPr>
        <w:rPr>
          <w:b/>
          <w:bCs/>
        </w:rPr>
      </w:pPr>
    </w:p>
    <w:p w14:paraId="56AFE93B" w14:textId="77777777" w:rsidR="00F9070C" w:rsidRDefault="00F9070C" w:rsidP="00F9070C">
      <w:pPr>
        <w:rPr>
          <w:b/>
          <w:bCs/>
        </w:rPr>
      </w:pPr>
    </w:p>
    <w:p w14:paraId="74A8BBD3" w14:textId="77777777" w:rsidR="00F9070C" w:rsidRDefault="00F9070C" w:rsidP="00F9070C">
      <w:pPr>
        <w:rPr>
          <w:b/>
          <w:bCs/>
        </w:rPr>
      </w:pPr>
    </w:p>
    <w:p w14:paraId="49B9F85F" w14:textId="77777777" w:rsidR="00F9070C" w:rsidRDefault="00F9070C" w:rsidP="00F9070C">
      <w:pPr>
        <w:rPr>
          <w:b/>
          <w:bCs/>
        </w:rPr>
      </w:pPr>
    </w:p>
    <w:p w14:paraId="3070A2F2" w14:textId="77777777" w:rsidR="00F9070C" w:rsidRDefault="00F9070C" w:rsidP="00F9070C">
      <w:pPr>
        <w:rPr>
          <w:b/>
          <w:bCs/>
        </w:rPr>
      </w:pPr>
    </w:p>
    <w:p w14:paraId="533EC575" w14:textId="77777777" w:rsidR="00F9070C" w:rsidRDefault="00F9070C" w:rsidP="00F9070C">
      <w:pPr>
        <w:rPr>
          <w:b/>
          <w:bCs/>
        </w:rPr>
      </w:pPr>
    </w:p>
    <w:p w14:paraId="29602680" w14:textId="77777777" w:rsidR="00F9070C" w:rsidRDefault="00F9070C" w:rsidP="00F9070C">
      <w:pPr>
        <w:rPr>
          <w:b/>
          <w:bCs/>
        </w:rPr>
      </w:pPr>
    </w:p>
    <w:p w14:paraId="075671DA" w14:textId="77777777" w:rsidR="00F9070C" w:rsidRDefault="00F9070C" w:rsidP="00F9070C">
      <w:pPr>
        <w:rPr>
          <w:b/>
          <w:bCs/>
        </w:rPr>
      </w:pPr>
    </w:p>
    <w:p w14:paraId="1C2BDCC7" w14:textId="77777777" w:rsidR="00F9070C" w:rsidRDefault="00F9070C" w:rsidP="00F9070C">
      <w:pPr>
        <w:rPr>
          <w:b/>
          <w:bCs/>
        </w:rPr>
      </w:pPr>
    </w:p>
    <w:p w14:paraId="6DA39F52" w14:textId="77777777" w:rsidR="00F9070C" w:rsidRDefault="00F9070C" w:rsidP="00F9070C">
      <w:pPr>
        <w:rPr>
          <w:b/>
          <w:bCs/>
        </w:rPr>
      </w:pPr>
    </w:p>
    <w:p w14:paraId="3689443B" w14:textId="77777777" w:rsidR="00F9070C" w:rsidRDefault="00F9070C" w:rsidP="00F9070C">
      <w:pPr>
        <w:rPr>
          <w:b/>
          <w:bCs/>
        </w:rPr>
      </w:pPr>
    </w:p>
    <w:p w14:paraId="0B594CB9" w14:textId="77777777" w:rsidR="00F9070C" w:rsidRDefault="00F9070C" w:rsidP="00F9070C">
      <w:pPr>
        <w:rPr>
          <w:b/>
          <w:bCs/>
        </w:rPr>
      </w:pPr>
    </w:p>
    <w:p w14:paraId="035ED004" w14:textId="77777777" w:rsidR="00F9070C" w:rsidRDefault="00F9070C" w:rsidP="00F9070C">
      <w:pPr>
        <w:rPr>
          <w:b/>
          <w:bCs/>
        </w:rPr>
      </w:pPr>
    </w:p>
    <w:p w14:paraId="3F0ED3F5" w14:textId="77777777" w:rsidR="00F9070C" w:rsidRDefault="00F9070C" w:rsidP="00F9070C">
      <w:pPr>
        <w:rPr>
          <w:b/>
          <w:bCs/>
        </w:rPr>
      </w:pPr>
    </w:p>
    <w:p w14:paraId="3A4C5BE1" w14:textId="77777777" w:rsidR="00F9070C" w:rsidRDefault="00F9070C" w:rsidP="00F9070C">
      <w:pPr>
        <w:rPr>
          <w:b/>
          <w:bCs/>
        </w:rPr>
      </w:pPr>
    </w:p>
    <w:p w14:paraId="70820ABE" w14:textId="77777777" w:rsidR="00F9070C" w:rsidRDefault="00F9070C" w:rsidP="00F9070C">
      <w:pPr>
        <w:rPr>
          <w:b/>
          <w:bCs/>
        </w:rPr>
      </w:pPr>
    </w:p>
    <w:p w14:paraId="6D731F02" w14:textId="77777777" w:rsidR="00F9070C" w:rsidRDefault="00F9070C" w:rsidP="00F9070C">
      <w:pPr>
        <w:rPr>
          <w:b/>
          <w:bCs/>
        </w:rPr>
      </w:pPr>
    </w:p>
    <w:p w14:paraId="718E88F0" w14:textId="77777777" w:rsidR="00F9070C" w:rsidRDefault="00F9070C" w:rsidP="00F9070C">
      <w:pPr>
        <w:rPr>
          <w:b/>
          <w:bCs/>
        </w:rPr>
      </w:pPr>
    </w:p>
    <w:p w14:paraId="2654E25A" w14:textId="77777777" w:rsidR="00F9070C" w:rsidRDefault="00F9070C" w:rsidP="00F9070C">
      <w:pPr>
        <w:rPr>
          <w:b/>
          <w:bCs/>
        </w:rPr>
      </w:pPr>
    </w:p>
    <w:p w14:paraId="3AA04FDA" w14:textId="77777777" w:rsidR="00F9070C" w:rsidRDefault="00F9070C" w:rsidP="00F9070C">
      <w:pPr>
        <w:rPr>
          <w:b/>
          <w:bCs/>
        </w:rPr>
      </w:pPr>
    </w:p>
    <w:sdt>
      <w:sdtPr>
        <w:rPr>
          <w:rFonts w:asciiTheme="minorHAnsi" w:eastAsiaTheme="minorHAnsi" w:hAnsiTheme="minorHAnsi" w:cstheme="minorBidi"/>
          <w:color w:val="auto"/>
          <w:kern w:val="2"/>
          <w:sz w:val="22"/>
          <w:szCs w:val="22"/>
          <w:lang w:eastAsia="en-US"/>
          <w14:ligatures w14:val="standardContextual"/>
        </w:rPr>
        <w:id w:val="737130207"/>
        <w:docPartObj>
          <w:docPartGallery w:val="Table of Contents"/>
          <w:docPartUnique/>
        </w:docPartObj>
      </w:sdtPr>
      <w:sdtEndPr>
        <w:rPr>
          <w:b/>
          <w:bCs/>
        </w:rPr>
      </w:sdtEndPr>
      <w:sdtContent>
        <w:p w14:paraId="025D8AC6" w14:textId="53A25730" w:rsidR="00B42087" w:rsidRDefault="00B42087">
          <w:pPr>
            <w:pStyle w:val="Titlucuprins"/>
          </w:pPr>
          <w:r>
            <w:t>Contents</w:t>
          </w:r>
        </w:p>
        <w:p w14:paraId="170FE2C5" w14:textId="4061076C" w:rsidR="00B42087" w:rsidRDefault="00B42087">
          <w:pPr>
            <w:pStyle w:val="Cuprins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894783" w:history="1">
            <w:r w:rsidRPr="003741B9">
              <w:rPr>
                <w:rStyle w:val="Hyperlink"/>
                <w:noProof/>
              </w:rPr>
              <w:t>Introduction</w:t>
            </w:r>
            <w:r>
              <w:rPr>
                <w:noProof/>
                <w:webHidden/>
              </w:rPr>
              <w:tab/>
            </w:r>
            <w:r>
              <w:rPr>
                <w:noProof/>
                <w:webHidden/>
              </w:rPr>
              <w:fldChar w:fldCharType="begin"/>
            </w:r>
            <w:r>
              <w:rPr>
                <w:noProof/>
                <w:webHidden/>
              </w:rPr>
              <w:instrText xml:space="preserve"> PAGEREF _Toc212894783 \h </w:instrText>
            </w:r>
            <w:r>
              <w:rPr>
                <w:noProof/>
                <w:webHidden/>
              </w:rPr>
            </w:r>
            <w:r>
              <w:rPr>
                <w:noProof/>
                <w:webHidden/>
              </w:rPr>
              <w:fldChar w:fldCharType="separate"/>
            </w:r>
            <w:r>
              <w:rPr>
                <w:noProof/>
                <w:webHidden/>
              </w:rPr>
              <w:t>3</w:t>
            </w:r>
            <w:r>
              <w:rPr>
                <w:noProof/>
                <w:webHidden/>
              </w:rPr>
              <w:fldChar w:fldCharType="end"/>
            </w:r>
          </w:hyperlink>
        </w:p>
        <w:p w14:paraId="577B64A6" w14:textId="2B0671AE" w:rsidR="00B42087" w:rsidRDefault="00B42087">
          <w:pPr>
            <w:pStyle w:val="Cuprins1"/>
            <w:tabs>
              <w:tab w:val="right" w:leader="dot" w:pos="9016"/>
            </w:tabs>
            <w:rPr>
              <w:rFonts w:eastAsiaTheme="minorEastAsia"/>
              <w:noProof/>
              <w:sz w:val="24"/>
              <w:szCs w:val="24"/>
              <w:lang w:eastAsia="en-GB"/>
            </w:rPr>
          </w:pPr>
          <w:hyperlink w:anchor="_Toc212894784" w:history="1">
            <w:r w:rsidRPr="003741B9">
              <w:rPr>
                <w:rStyle w:val="Hyperlink"/>
                <w:noProof/>
              </w:rPr>
              <w:t>Definition of the Skills</w:t>
            </w:r>
            <w:r>
              <w:rPr>
                <w:noProof/>
                <w:webHidden/>
              </w:rPr>
              <w:tab/>
            </w:r>
            <w:r>
              <w:rPr>
                <w:noProof/>
                <w:webHidden/>
              </w:rPr>
              <w:fldChar w:fldCharType="begin"/>
            </w:r>
            <w:r>
              <w:rPr>
                <w:noProof/>
                <w:webHidden/>
              </w:rPr>
              <w:instrText xml:space="preserve"> PAGEREF _Toc212894784 \h </w:instrText>
            </w:r>
            <w:r>
              <w:rPr>
                <w:noProof/>
                <w:webHidden/>
              </w:rPr>
            </w:r>
            <w:r>
              <w:rPr>
                <w:noProof/>
                <w:webHidden/>
              </w:rPr>
              <w:fldChar w:fldCharType="separate"/>
            </w:r>
            <w:r>
              <w:rPr>
                <w:noProof/>
                <w:webHidden/>
              </w:rPr>
              <w:t>3</w:t>
            </w:r>
            <w:r>
              <w:rPr>
                <w:noProof/>
                <w:webHidden/>
              </w:rPr>
              <w:fldChar w:fldCharType="end"/>
            </w:r>
          </w:hyperlink>
        </w:p>
        <w:p w14:paraId="33D12047" w14:textId="155E731C" w:rsidR="00B42087" w:rsidRDefault="00B42087">
          <w:pPr>
            <w:pStyle w:val="Cuprins2"/>
            <w:tabs>
              <w:tab w:val="right" w:leader="dot" w:pos="9016"/>
            </w:tabs>
            <w:rPr>
              <w:rFonts w:eastAsiaTheme="minorEastAsia"/>
              <w:noProof/>
              <w:sz w:val="24"/>
              <w:szCs w:val="24"/>
              <w:lang w:eastAsia="en-GB"/>
            </w:rPr>
          </w:pPr>
          <w:hyperlink w:anchor="_Toc212894785" w:history="1">
            <w:r w:rsidRPr="003741B9">
              <w:rPr>
                <w:rStyle w:val="Hyperlink"/>
                <w:noProof/>
              </w:rPr>
              <w:t>Teamwork Skills</w:t>
            </w:r>
            <w:r>
              <w:rPr>
                <w:noProof/>
                <w:webHidden/>
              </w:rPr>
              <w:tab/>
            </w:r>
            <w:r>
              <w:rPr>
                <w:noProof/>
                <w:webHidden/>
              </w:rPr>
              <w:fldChar w:fldCharType="begin"/>
            </w:r>
            <w:r>
              <w:rPr>
                <w:noProof/>
                <w:webHidden/>
              </w:rPr>
              <w:instrText xml:space="preserve"> PAGEREF _Toc212894785 \h </w:instrText>
            </w:r>
            <w:r>
              <w:rPr>
                <w:noProof/>
                <w:webHidden/>
              </w:rPr>
            </w:r>
            <w:r>
              <w:rPr>
                <w:noProof/>
                <w:webHidden/>
              </w:rPr>
              <w:fldChar w:fldCharType="separate"/>
            </w:r>
            <w:r>
              <w:rPr>
                <w:noProof/>
                <w:webHidden/>
              </w:rPr>
              <w:t>3</w:t>
            </w:r>
            <w:r>
              <w:rPr>
                <w:noProof/>
                <w:webHidden/>
              </w:rPr>
              <w:fldChar w:fldCharType="end"/>
            </w:r>
          </w:hyperlink>
        </w:p>
        <w:p w14:paraId="78D013D0" w14:textId="4064B8D7" w:rsidR="00B42087" w:rsidRDefault="00B42087">
          <w:pPr>
            <w:pStyle w:val="Cuprins2"/>
            <w:tabs>
              <w:tab w:val="right" w:leader="dot" w:pos="9016"/>
            </w:tabs>
            <w:rPr>
              <w:rFonts w:eastAsiaTheme="minorEastAsia"/>
              <w:noProof/>
              <w:sz w:val="24"/>
              <w:szCs w:val="24"/>
              <w:lang w:eastAsia="en-GB"/>
            </w:rPr>
          </w:pPr>
          <w:hyperlink w:anchor="_Toc212894786" w:history="1">
            <w:r w:rsidRPr="003741B9">
              <w:rPr>
                <w:rStyle w:val="Hyperlink"/>
                <w:noProof/>
              </w:rPr>
              <w:t>Skills Associated With Academic Writing</w:t>
            </w:r>
            <w:r>
              <w:rPr>
                <w:noProof/>
                <w:webHidden/>
              </w:rPr>
              <w:tab/>
            </w:r>
            <w:r>
              <w:rPr>
                <w:noProof/>
                <w:webHidden/>
              </w:rPr>
              <w:fldChar w:fldCharType="begin"/>
            </w:r>
            <w:r>
              <w:rPr>
                <w:noProof/>
                <w:webHidden/>
              </w:rPr>
              <w:instrText xml:space="preserve"> PAGEREF _Toc212894786 \h </w:instrText>
            </w:r>
            <w:r>
              <w:rPr>
                <w:noProof/>
                <w:webHidden/>
              </w:rPr>
            </w:r>
            <w:r>
              <w:rPr>
                <w:noProof/>
                <w:webHidden/>
              </w:rPr>
              <w:fldChar w:fldCharType="separate"/>
            </w:r>
            <w:r>
              <w:rPr>
                <w:noProof/>
                <w:webHidden/>
              </w:rPr>
              <w:t>3</w:t>
            </w:r>
            <w:r>
              <w:rPr>
                <w:noProof/>
                <w:webHidden/>
              </w:rPr>
              <w:fldChar w:fldCharType="end"/>
            </w:r>
          </w:hyperlink>
        </w:p>
        <w:p w14:paraId="61951277" w14:textId="5E13F9CF" w:rsidR="00B42087" w:rsidRDefault="00B42087">
          <w:pPr>
            <w:pStyle w:val="Cuprins1"/>
            <w:tabs>
              <w:tab w:val="right" w:leader="dot" w:pos="9016"/>
            </w:tabs>
            <w:rPr>
              <w:rFonts w:eastAsiaTheme="minorEastAsia"/>
              <w:noProof/>
              <w:sz w:val="24"/>
              <w:szCs w:val="24"/>
              <w:lang w:eastAsia="en-GB"/>
            </w:rPr>
          </w:pPr>
          <w:hyperlink w:anchor="_Toc212894787" w:history="1">
            <w:r w:rsidRPr="003741B9">
              <w:rPr>
                <w:rStyle w:val="Hyperlink"/>
                <w:noProof/>
              </w:rPr>
              <w:t>Importance of Teamwork Skills</w:t>
            </w:r>
            <w:r>
              <w:rPr>
                <w:noProof/>
                <w:webHidden/>
              </w:rPr>
              <w:tab/>
            </w:r>
            <w:r>
              <w:rPr>
                <w:noProof/>
                <w:webHidden/>
              </w:rPr>
              <w:fldChar w:fldCharType="begin"/>
            </w:r>
            <w:r>
              <w:rPr>
                <w:noProof/>
                <w:webHidden/>
              </w:rPr>
              <w:instrText xml:space="preserve"> PAGEREF _Toc212894787 \h </w:instrText>
            </w:r>
            <w:r>
              <w:rPr>
                <w:noProof/>
                <w:webHidden/>
              </w:rPr>
            </w:r>
            <w:r>
              <w:rPr>
                <w:noProof/>
                <w:webHidden/>
              </w:rPr>
              <w:fldChar w:fldCharType="separate"/>
            </w:r>
            <w:r>
              <w:rPr>
                <w:noProof/>
                <w:webHidden/>
              </w:rPr>
              <w:t>3</w:t>
            </w:r>
            <w:r>
              <w:rPr>
                <w:noProof/>
                <w:webHidden/>
              </w:rPr>
              <w:fldChar w:fldCharType="end"/>
            </w:r>
          </w:hyperlink>
        </w:p>
        <w:p w14:paraId="2EF23B78" w14:textId="6295BE8B" w:rsidR="00B42087" w:rsidRDefault="00B42087">
          <w:pPr>
            <w:pStyle w:val="Cuprins1"/>
            <w:tabs>
              <w:tab w:val="right" w:leader="dot" w:pos="9016"/>
            </w:tabs>
            <w:rPr>
              <w:rFonts w:eastAsiaTheme="minorEastAsia"/>
              <w:noProof/>
              <w:sz w:val="24"/>
              <w:szCs w:val="24"/>
              <w:lang w:eastAsia="en-GB"/>
            </w:rPr>
          </w:pPr>
          <w:hyperlink w:anchor="_Toc212894788" w:history="1">
            <w:r w:rsidRPr="003741B9">
              <w:rPr>
                <w:rStyle w:val="Hyperlink"/>
                <w:noProof/>
              </w:rPr>
              <w:t>Importance of Academic Writing Skills</w:t>
            </w:r>
            <w:r>
              <w:rPr>
                <w:noProof/>
                <w:webHidden/>
              </w:rPr>
              <w:tab/>
            </w:r>
            <w:r>
              <w:rPr>
                <w:noProof/>
                <w:webHidden/>
              </w:rPr>
              <w:fldChar w:fldCharType="begin"/>
            </w:r>
            <w:r>
              <w:rPr>
                <w:noProof/>
                <w:webHidden/>
              </w:rPr>
              <w:instrText xml:space="preserve"> PAGEREF _Toc212894788 \h </w:instrText>
            </w:r>
            <w:r>
              <w:rPr>
                <w:noProof/>
                <w:webHidden/>
              </w:rPr>
            </w:r>
            <w:r>
              <w:rPr>
                <w:noProof/>
                <w:webHidden/>
              </w:rPr>
              <w:fldChar w:fldCharType="separate"/>
            </w:r>
            <w:r>
              <w:rPr>
                <w:noProof/>
                <w:webHidden/>
              </w:rPr>
              <w:t>4</w:t>
            </w:r>
            <w:r>
              <w:rPr>
                <w:noProof/>
                <w:webHidden/>
              </w:rPr>
              <w:fldChar w:fldCharType="end"/>
            </w:r>
          </w:hyperlink>
        </w:p>
        <w:p w14:paraId="1DE03513" w14:textId="2D7AD37C" w:rsidR="00B42087" w:rsidRDefault="00B42087">
          <w:pPr>
            <w:pStyle w:val="Cuprins1"/>
            <w:tabs>
              <w:tab w:val="right" w:leader="dot" w:pos="9016"/>
            </w:tabs>
            <w:rPr>
              <w:rFonts w:eastAsiaTheme="minorEastAsia"/>
              <w:noProof/>
              <w:sz w:val="24"/>
              <w:szCs w:val="24"/>
              <w:lang w:eastAsia="en-GB"/>
            </w:rPr>
          </w:pPr>
          <w:hyperlink w:anchor="_Toc212894789" w:history="1">
            <w:r w:rsidRPr="003741B9">
              <w:rPr>
                <w:rStyle w:val="Hyperlink"/>
                <w:noProof/>
              </w:rPr>
              <w:t>Strategies to Improve Teamwork Skills</w:t>
            </w:r>
            <w:r>
              <w:rPr>
                <w:noProof/>
                <w:webHidden/>
              </w:rPr>
              <w:tab/>
            </w:r>
            <w:r>
              <w:rPr>
                <w:noProof/>
                <w:webHidden/>
              </w:rPr>
              <w:fldChar w:fldCharType="begin"/>
            </w:r>
            <w:r>
              <w:rPr>
                <w:noProof/>
                <w:webHidden/>
              </w:rPr>
              <w:instrText xml:space="preserve"> PAGEREF _Toc212894789 \h </w:instrText>
            </w:r>
            <w:r>
              <w:rPr>
                <w:noProof/>
                <w:webHidden/>
              </w:rPr>
            </w:r>
            <w:r>
              <w:rPr>
                <w:noProof/>
                <w:webHidden/>
              </w:rPr>
              <w:fldChar w:fldCharType="separate"/>
            </w:r>
            <w:r>
              <w:rPr>
                <w:noProof/>
                <w:webHidden/>
              </w:rPr>
              <w:t>5</w:t>
            </w:r>
            <w:r>
              <w:rPr>
                <w:noProof/>
                <w:webHidden/>
              </w:rPr>
              <w:fldChar w:fldCharType="end"/>
            </w:r>
          </w:hyperlink>
        </w:p>
        <w:p w14:paraId="3D60E282" w14:textId="6D2219CB" w:rsidR="00B42087" w:rsidRDefault="00B42087">
          <w:pPr>
            <w:pStyle w:val="Cuprins1"/>
            <w:tabs>
              <w:tab w:val="right" w:leader="dot" w:pos="9016"/>
            </w:tabs>
            <w:rPr>
              <w:rFonts w:eastAsiaTheme="minorEastAsia"/>
              <w:noProof/>
              <w:sz w:val="24"/>
              <w:szCs w:val="24"/>
              <w:lang w:eastAsia="en-GB"/>
            </w:rPr>
          </w:pPr>
          <w:hyperlink w:anchor="_Toc212894790" w:history="1">
            <w:r w:rsidRPr="003741B9">
              <w:rPr>
                <w:rStyle w:val="Hyperlink"/>
                <w:noProof/>
              </w:rPr>
              <w:t>Strategies to Improve Academic Writing Skills</w:t>
            </w:r>
            <w:r>
              <w:rPr>
                <w:noProof/>
                <w:webHidden/>
              </w:rPr>
              <w:tab/>
            </w:r>
            <w:r>
              <w:rPr>
                <w:noProof/>
                <w:webHidden/>
              </w:rPr>
              <w:fldChar w:fldCharType="begin"/>
            </w:r>
            <w:r>
              <w:rPr>
                <w:noProof/>
                <w:webHidden/>
              </w:rPr>
              <w:instrText xml:space="preserve"> PAGEREF _Toc212894790 \h </w:instrText>
            </w:r>
            <w:r>
              <w:rPr>
                <w:noProof/>
                <w:webHidden/>
              </w:rPr>
            </w:r>
            <w:r>
              <w:rPr>
                <w:noProof/>
                <w:webHidden/>
              </w:rPr>
              <w:fldChar w:fldCharType="separate"/>
            </w:r>
            <w:r>
              <w:rPr>
                <w:noProof/>
                <w:webHidden/>
              </w:rPr>
              <w:t>6</w:t>
            </w:r>
            <w:r>
              <w:rPr>
                <w:noProof/>
                <w:webHidden/>
              </w:rPr>
              <w:fldChar w:fldCharType="end"/>
            </w:r>
          </w:hyperlink>
        </w:p>
        <w:p w14:paraId="48DE6F71" w14:textId="6DCC0AC4" w:rsidR="00B42087" w:rsidRDefault="00B42087">
          <w:pPr>
            <w:pStyle w:val="Cuprins1"/>
            <w:tabs>
              <w:tab w:val="right" w:leader="dot" w:pos="9016"/>
            </w:tabs>
            <w:rPr>
              <w:rFonts w:eastAsiaTheme="minorEastAsia"/>
              <w:noProof/>
              <w:sz w:val="24"/>
              <w:szCs w:val="24"/>
              <w:lang w:eastAsia="en-GB"/>
            </w:rPr>
          </w:pPr>
          <w:hyperlink w:anchor="_Toc212894791" w:history="1">
            <w:r w:rsidRPr="003741B9">
              <w:rPr>
                <w:rStyle w:val="Hyperlink"/>
                <w:noProof/>
              </w:rPr>
              <w:t>Conclusion</w:t>
            </w:r>
            <w:r>
              <w:rPr>
                <w:noProof/>
                <w:webHidden/>
              </w:rPr>
              <w:tab/>
            </w:r>
            <w:r>
              <w:rPr>
                <w:noProof/>
                <w:webHidden/>
              </w:rPr>
              <w:fldChar w:fldCharType="begin"/>
            </w:r>
            <w:r>
              <w:rPr>
                <w:noProof/>
                <w:webHidden/>
              </w:rPr>
              <w:instrText xml:space="preserve"> PAGEREF _Toc212894791 \h </w:instrText>
            </w:r>
            <w:r>
              <w:rPr>
                <w:noProof/>
                <w:webHidden/>
              </w:rPr>
            </w:r>
            <w:r>
              <w:rPr>
                <w:noProof/>
                <w:webHidden/>
              </w:rPr>
              <w:fldChar w:fldCharType="separate"/>
            </w:r>
            <w:r>
              <w:rPr>
                <w:noProof/>
                <w:webHidden/>
              </w:rPr>
              <w:t>7</w:t>
            </w:r>
            <w:r>
              <w:rPr>
                <w:noProof/>
                <w:webHidden/>
              </w:rPr>
              <w:fldChar w:fldCharType="end"/>
            </w:r>
          </w:hyperlink>
        </w:p>
        <w:p w14:paraId="18661034" w14:textId="0ED54B20" w:rsidR="00B42087" w:rsidRDefault="00B42087">
          <w:pPr>
            <w:pStyle w:val="Cuprins1"/>
            <w:tabs>
              <w:tab w:val="right" w:leader="dot" w:pos="9016"/>
            </w:tabs>
            <w:rPr>
              <w:rFonts w:eastAsiaTheme="minorEastAsia"/>
              <w:noProof/>
              <w:sz w:val="24"/>
              <w:szCs w:val="24"/>
              <w:lang w:eastAsia="en-GB"/>
            </w:rPr>
          </w:pPr>
          <w:hyperlink w:anchor="_Toc212894792" w:history="1">
            <w:r w:rsidRPr="003741B9">
              <w:rPr>
                <w:rStyle w:val="Hyperlink"/>
                <w:noProof/>
              </w:rPr>
              <w:t>References</w:t>
            </w:r>
            <w:r>
              <w:rPr>
                <w:noProof/>
                <w:webHidden/>
              </w:rPr>
              <w:tab/>
            </w:r>
            <w:r>
              <w:rPr>
                <w:noProof/>
                <w:webHidden/>
              </w:rPr>
              <w:fldChar w:fldCharType="begin"/>
            </w:r>
            <w:r>
              <w:rPr>
                <w:noProof/>
                <w:webHidden/>
              </w:rPr>
              <w:instrText xml:space="preserve"> PAGEREF _Toc212894792 \h </w:instrText>
            </w:r>
            <w:r>
              <w:rPr>
                <w:noProof/>
                <w:webHidden/>
              </w:rPr>
            </w:r>
            <w:r>
              <w:rPr>
                <w:noProof/>
                <w:webHidden/>
              </w:rPr>
              <w:fldChar w:fldCharType="separate"/>
            </w:r>
            <w:r>
              <w:rPr>
                <w:noProof/>
                <w:webHidden/>
              </w:rPr>
              <w:t>8</w:t>
            </w:r>
            <w:r>
              <w:rPr>
                <w:noProof/>
                <w:webHidden/>
              </w:rPr>
              <w:fldChar w:fldCharType="end"/>
            </w:r>
          </w:hyperlink>
        </w:p>
        <w:p w14:paraId="59A18932" w14:textId="1E885FAD" w:rsidR="00B42087" w:rsidRDefault="00B42087">
          <w:r>
            <w:rPr>
              <w:b/>
              <w:bCs/>
            </w:rPr>
            <w:fldChar w:fldCharType="end"/>
          </w:r>
        </w:p>
      </w:sdtContent>
    </w:sdt>
    <w:p w14:paraId="4832A8CC" w14:textId="77777777" w:rsidR="00B42087" w:rsidRDefault="00B42087" w:rsidP="00F9070C">
      <w:pPr>
        <w:rPr>
          <w:b/>
          <w:bCs/>
        </w:rPr>
      </w:pPr>
    </w:p>
    <w:p w14:paraId="21018B78" w14:textId="77777777" w:rsidR="00B42087" w:rsidRDefault="00B42087" w:rsidP="00F9070C">
      <w:pPr>
        <w:rPr>
          <w:b/>
          <w:bCs/>
        </w:rPr>
      </w:pPr>
    </w:p>
    <w:p w14:paraId="49909158" w14:textId="77777777" w:rsidR="00B42087" w:rsidRDefault="00B42087" w:rsidP="00F9070C">
      <w:pPr>
        <w:rPr>
          <w:b/>
          <w:bCs/>
        </w:rPr>
      </w:pPr>
    </w:p>
    <w:p w14:paraId="4BD6C110" w14:textId="77777777" w:rsidR="00B42087" w:rsidRDefault="00B42087" w:rsidP="00F9070C">
      <w:pPr>
        <w:rPr>
          <w:b/>
          <w:bCs/>
        </w:rPr>
      </w:pPr>
    </w:p>
    <w:p w14:paraId="18C2144A" w14:textId="77777777" w:rsidR="00B42087" w:rsidRDefault="00B42087" w:rsidP="00F9070C">
      <w:pPr>
        <w:rPr>
          <w:b/>
          <w:bCs/>
        </w:rPr>
      </w:pPr>
    </w:p>
    <w:p w14:paraId="7EB8B750" w14:textId="77777777" w:rsidR="00B42087" w:rsidRDefault="00B42087" w:rsidP="00F9070C">
      <w:pPr>
        <w:rPr>
          <w:b/>
          <w:bCs/>
        </w:rPr>
      </w:pPr>
    </w:p>
    <w:p w14:paraId="253A685F" w14:textId="77777777" w:rsidR="00B42087" w:rsidRDefault="00B42087" w:rsidP="00F9070C">
      <w:pPr>
        <w:rPr>
          <w:b/>
          <w:bCs/>
        </w:rPr>
      </w:pPr>
    </w:p>
    <w:p w14:paraId="54C7DA19" w14:textId="77777777" w:rsidR="00B42087" w:rsidRDefault="00B42087" w:rsidP="00F9070C">
      <w:pPr>
        <w:rPr>
          <w:b/>
          <w:bCs/>
        </w:rPr>
      </w:pPr>
    </w:p>
    <w:p w14:paraId="0BADF520" w14:textId="77777777" w:rsidR="00B42087" w:rsidRDefault="00B42087" w:rsidP="00F9070C">
      <w:pPr>
        <w:rPr>
          <w:b/>
          <w:bCs/>
        </w:rPr>
      </w:pPr>
    </w:p>
    <w:p w14:paraId="19F361B6" w14:textId="77777777" w:rsidR="00B42087" w:rsidRDefault="00B42087" w:rsidP="00F9070C">
      <w:pPr>
        <w:rPr>
          <w:b/>
          <w:bCs/>
        </w:rPr>
      </w:pPr>
    </w:p>
    <w:p w14:paraId="28DC79B9" w14:textId="77777777" w:rsidR="00B42087" w:rsidRDefault="00B42087" w:rsidP="00F9070C">
      <w:pPr>
        <w:rPr>
          <w:b/>
          <w:bCs/>
        </w:rPr>
      </w:pPr>
    </w:p>
    <w:p w14:paraId="1B4A22B0" w14:textId="77777777" w:rsidR="00B42087" w:rsidRDefault="00B42087" w:rsidP="00F9070C">
      <w:pPr>
        <w:rPr>
          <w:b/>
          <w:bCs/>
        </w:rPr>
      </w:pPr>
    </w:p>
    <w:p w14:paraId="72F9A4B7" w14:textId="77777777" w:rsidR="00B42087" w:rsidRDefault="00B42087" w:rsidP="00F9070C">
      <w:pPr>
        <w:rPr>
          <w:b/>
          <w:bCs/>
        </w:rPr>
      </w:pPr>
    </w:p>
    <w:p w14:paraId="6BFEA38D" w14:textId="77777777" w:rsidR="00B42087" w:rsidRDefault="00B42087" w:rsidP="00F9070C">
      <w:pPr>
        <w:rPr>
          <w:b/>
          <w:bCs/>
        </w:rPr>
      </w:pPr>
    </w:p>
    <w:p w14:paraId="2FF206FC" w14:textId="77777777" w:rsidR="00B42087" w:rsidRDefault="00B42087" w:rsidP="00F9070C">
      <w:pPr>
        <w:rPr>
          <w:b/>
          <w:bCs/>
        </w:rPr>
      </w:pPr>
    </w:p>
    <w:p w14:paraId="4F14C35D" w14:textId="77777777" w:rsidR="00B42087" w:rsidRDefault="00B42087" w:rsidP="00F9070C">
      <w:pPr>
        <w:rPr>
          <w:b/>
          <w:bCs/>
        </w:rPr>
      </w:pPr>
    </w:p>
    <w:p w14:paraId="57C26810" w14:textId="77777777" w:rsidR="00B42087" w:rsidRDefault="00B42087" w:rsidP="00F9070C">
      <w:pPr>
        <w:rPr>
          <w:b/>
          <w:bCs/>
        </w:rPr>
      </w:pPr>
    </w:p>
    <w:p w14:paraId="370044BB" w14:textId="77777777" w:rsidR="00B42087" w:rsidRDefault="00B42087" w:rsidP="00F9070C">
      <w:pPr>
        <w:rPr>
          <w:b/>
          <w:bCs/>
        </w:rPr>
      </w:pPr>
    </w:p>
    <w:p w14:paraId="59D3ACE8" w14:textId="77777777" w:rsidR="00B42087" w:rsidRDefault="00B42087" w:rsidP="00F9070C">
      <w:pPr>
        <w:rPr>
          <w:b/>
          <w:bCs/>
        </w:rPr>
      </w:pPr>
    </w:p>
    <w:p w14:paraId="0EE86A0F" w14:textId="3D2A28BB" w:rsidR="00F9070C" w:rsidRDefault="00F9070C" w:rsidP="00F9070C">
      <w:pPr>
        <w:pStyle w:val="Titlu1"/>
      </w:pPr>
      <w:bookmarkStart w:id="0" w:name="_Toc212894783"/>
      <w:r w:rsidRPr="00F9070C">
        <w:t>Introduction</w:t>
      </w:r>
      <w:bookmarkEnd w:id="0"/>
    </w:p>
    <w:p w14:paraId="0FD53C60" w14:textId="77777777" w:rsidR="00F9070C" w:rsidRPr="00F9070C" w:rsidRDefault="00F9070C" w:rsidP="00F9070C">
      <w:r w:rsidRPr="00F9070C">
        <w:t>Achievement at university level often hinges, not merely on knowledge of the subjects, but also on the array of transferable competencies which facilitate effective learning and communication. Among them, most teamwork and professional writing assist students to build self-confidence, self-reliance, and self-sufficiency. These abilities which most people attribute to the modern world of work, hinge on a person’s ability to work on tasks which involve the sharing of knowledge, the effective joining of efforts, and the fulfilment of duties on group work (Belbin, 2019). In contrast, the bedrock of the communication of scholarship, academic writing, enables students to construct defensible positions, to perform rigorous evaluation of data, and to demonstrate academic honesty through proper citation (Cottrell, 2019).</w:t>
      </w:r>
    </w:p>
    <w:p w14:paraId="0279E726" w14:textId="77777777" w:rsidR="00F9070C" w:rsidRPr="00F9070C" w:rsidRDefault="00F9070C" w:rsidP="00F9070C">
      <w:r w:rsidRPr="00F9070C">
        <w:t>This document investigates the value of academic and professional teamwork alongside the proficient use of writing skills. It further analyses actionable approaches to master each skill, thereby helping students maximise learning alongside improving their chances of employability. The discourse starts with lucid explanations of the two skills, then discusses their value in learning and emerging in the job market. The report concludes with actionable steps that a learner can use to acquire the outlined skills.</w:t>
      </w:r>
    </w:p>
    <w:p w14:paraId="53C01B48" w14:textId="1000ED90" w:rsidR="00F9070C" w:rsidRDefault="00F9070C" w:rsidP="00F9070C">
      <w:pPr>
        <w:pStyle w:val="Titlu1"/>
      </w:pPr>
      <w:bookmarkStart w:id="1" w:name="_Toc212894784"/>
      <w:r w:rsidRPr="00F9070C">
        <w:t>Definition of the Skills</w:t>
      </w:r>
      <w:bookmarkEnd w:id="1"/>
    </w:p>
    <w:p w14:paraId="788C3243" w14:textId="77777777" w:rsidR="00F9070C" w:rsidRPr="00F9070C" w:rsidRDefault="00F9070C" w:rsidP="001C7732">
      <w:pPr>
        <w:pStyle w:val="Titlu2"/>
      </w:pPr>
      <w:bookmarkStart w:id="2" w:name="_Toc212894785"/>
      <w:r w:rsidRPr="00F9070C">
        <w:t>Teamwork Skills</w:t>
      </w:r>
      <w:bookmarkEnd w:id="2"/>
    </w:p>
    <w:p w14:paraId="35713A8A" w14:textId="77777777" w:rsidR="00F9070C" w:rsidRPr="00F9070C" w:rsidRDefault="00F9070C" w:rsidP="00F9070C">
      <w:r w:rsidRPr="00F9070C">
        <w:t>Teamwork skills are defined as an individual’s proficiency in working with others in pursuit of common goals. Salas et al. (2018) posits that teamwork involves reciprocal contribution, dialogue, synchronization, and fusion of various ideas and concepts into a single piece. It entails emotional intelligence, flexibility, and an appreciation of the various aspects of the team in order to balance differing character traits and approaches to work. In learning environments, teamwork is mostly illustrated in group work situations where students are required to allocate, share, and collaboratively come up with solutions to divergent issues. In professional environments, these skills include the ability to cultivate trust, balance individual and collective goals, and cultivate rapport (West, 2012). Gaining these skills not only boosts output, but also enhances the problem-solving, empathy, and innovative aspects of an individual’s character.</w:t>
      </w:r>
    </w:p>
    <w:p w14:paraId="53DF7FE5" w14:textId="77777777" w:rsidR="00F9070C" w:rsidRPr="00F9070C" w:rsidRDefault="00F9070C" w:rsidP="001C7732">
      <w:pPr>
        <w:pStyle w:val="Titlu2"/>
      </w:pPr>
      <w:bookmarkStart w:id="3" w:name="_Toc212894786"/>
      <w:r w:rsidRPr="00F9070C">
        <w:t>Skills Associated With Academic Writing</w:t>
      </w:r>
      <w:bookmarkEnd w:id="3"/>
    </w:p>
    <w:p w14:paraId="403A6422" w14:textId="77777777" w:rsidR="00F9070C" w:rsidRPr="00F9070C" w:rsidRDefault="00F9070C" w:rsidP="00F9070C">
      <w:r w:rsidRPr="00F9070C">
        <w:t>Unlike other forms of writing, academic writing skills involve the sophisticated articulation of ideas in writing. According to Bailey (2018), this includes the orderly presentation of a case, the correct attribution of materials, and the use of language suited for scholarly discourse. Mastery of academic writing goes hand in hand with critical thinking skills; that is, the ability to analyse the provided information, formulate logical conclusions, and come up with new ideas that are backed up by relevant research (Cottrell, 2019). This also includes proper paraphrasing of texts to avoid slipping into plagiarism. Smooth and clear writing signifies clear thinking, concentration, and even professionalism. In any piece of writing, whether a research paper or a business document, the ethical and accurate presentation of the ideas is the defining factor of the piece, and it greatly determines the reception of the document.</w:t>
      </w:r>
    </w:p>
    <w:p w14:paraId="354628EF" w14:textId="31B3E067" w:rsidR="00F9070C" w:rsidRDefault="001C7732" w:rsidP="001C7732">
      <w:pPr>
        <w:pStyle w:val="Titlu1"/>
      </w:pPr>
      <w:bookmarkStart w:id="4" w:name="_Toc212894787"/>
      <w:r w:rsidRPr="001C7732">
        <w:t>Importance of Teamwork Skills</w:t>
      </w:r>
      <w:bookmarkEnd w:id="4"/>
    </w:p>
    <w:p w14:paraId="49504EB6" w14:textId="77777777" w:rsidR="001C7732" w:rsidRPr="001C7732" w:rsidRDefault="001C7732" w:rsidP="001C7732">
      <w:r w:rsidRPr="001C7732">
        <w:t>Productive collaboration has indeed become the untold essence of every success in university and in any line of business. At university level, students are often put in groups for projects, presentations, or even case studies, where success is reliant on the ability of the participants to interact, brainstorm, and distribute tasks among themselves. As Belbin (2019) notes, teamwork is the result of complementing talents and the ability to apply individual gifts towards the success of a highly functional group. In the university setting, this means that teamwork fosters peer teaching, shared responsibility, and the appreciation of alternative viewpoints. The interaction of students cultivates the social skills and communication necessary in the real world (Tarricone and Luca, 2019).</w:t>
      </w:r>
    </w:p>
    <w:p w14:paraId="28E874AF" w14:textId="77777777" w:rsidR="001C7732" w:rsidRPr="001C7732" w:rsidRDefault="001C7732" w:rsidP="001C7732">
      <w:r w:rsidRPr="001C7732">
        <w:t>On the other hand, teamwork is among the core competencies needed in any line of business. In today’s world, teamwork is fundamental in the workplace for the purposes of collaboration, innovation, and complex problem-solving (Salas et al., 2018). The ability to work with other team members, resolve conflicts, and maintain enthusiasm in achieving common objectives is increasingly becoming a requirement in job descriptions (West, 2012). These skills enhance the level of creativity, effectiveness, and satisfaction within any team. In addition, an individual sense of belonging and teamwork is an effective predictor of organisational performance and turnover in an organisation (Kozlowski and Ilgen, 2006).</w:t>
      </w:r>
    </w:p>
    <w:p w14:paraId="78D12BDF" w14:textId="77777777" w:rsidR="001C7732" w:rsidRPr="001C7732" w:rsidRDefault="001C7732" w:rsidP="001C7732">
      <w:r w:rsidRPr="001C7732">
        <w:t>The development of negotiable skills included in the traits needed for soft skill development such as negotiation, leadership, emotional intelligence, and even empathy makes teamwork invaluable (Bowdit, 2023). Engagement in negotiation and even constructive discussions as a team allows students to learn the importance of listening and adopting the working styles of others (Bowdit, 2023). Such experiences, coupled with optional diversity, advance leadership skills, resilience, and the ability to deal with the complexities of professional working environments which depend on hyper-specialisation (Hackman, 2011). The success of students on an individual level and in teams also fosters an attitude of shared responsibility, proving that even the competitiveness of the modern working world demands an advanced level of collaboration (Hackman, 2011).</w:t>
      </w:r>
    </w:p>
    <w:p w14:paraId="0B8D0319" w14:textId="77777777" w:rsidR="001C7732" w:rsidRPr="001C7732" w:rsidRDefault="001C7732" w:rsidP="001C7732">
      <w:r w:rsidRPr="001C7732">
        <w:t>Individually, the soft skills such as emotional intelligence, empathy, and advanced negotiation skills, coupled with primary skills such as motivation, resilience, and adaptability, prove invaluable in team setups which contribute to the growth of the team (Bowdit, 2023).</w:t>
      </w:r>
    </w:p>
    <w:p w14:paraId="35207449" w14:textId="77777777" w:rsidR="001C7732" w:rsidRPr="001C7732" w:rsidRDefault="001C7732" w:rsidP="001C7732"/>
    <w:p w14:paraId="3B931F3B" w14:textId="3A02406E" w:rsidR="00C11AEB" w:rsidRDefault="001C7732" w:rsidP="001C7732">
      <w:pPr>
        <w:pStyle w:val="Titlu1"/>
      </w:pPr>
      <w:bookmarkStart w:id="5" w:name="_Toc212894788"/>
      <w:r w:rsidRPr="001C7732">
        <w:t>Importance of Academic Writing Skills</w:t>
      </w:r>
      <w:bookmarkEnd w:id="5"/>
    </w:p>
    <w:p w14:paraId="32963AE6" w14:textId="77777777" w:rsidR="00E80C8B" w:rsidRPr="00E80C8B" w:rsidRDefault="00E80C8B" w:rsidP="00E80C8B">
      <w:r w:rsidRPr="00E80C8B">
        <w:t>The value and importance of academic writing cannot be overstated. It aids scholars in articulating their abstract thoughts and complex ideas in a lucid manner and communicating the arrangement of their arguments with a logical sequence and evidentiary material professionally and credibly. Academic writing assists scholars' communication in writing and Bailey (2018) mentions that for learners, it serves as the device through which they demonstrate their understanding of theory and concepts, as well as the analysis and synthesis of a given body of literature. It goes beyond writing grammatically correct sentences to formulating a complete thesis that advances a particular line of reasoning, underpinned by rigorous and substantive literature. The importance of communication in the language of their field, confidence, and critical engagement with the advanced material of their discipline (Cottrell, 2019) cannot be overemphasised. It articulates the value and importance of writing in higher education.</w:t>
      </w:r>
    </w:p>
    <w:p w14:paraId="485E4B57" w14:textId="77777777" w:rsidR="00E80C8B" w:rsidRPr="00E80C8B" w:rsidRDefault="00E80C8B" w:rsidP="00E80C8B">
      <w:r w:rsidRPr="00E80C8B">
        <w:t>Engagement with academic writing extends beyond the development of the discipline at the higher education level. By planning, drafting, and revising a given assignment, the scholar engages in critical and analytical thought, having to juxtapose and harmonise varying views, and arriving at personal and independent conclusions. This intellectual discipline and control is of a higher level in the articulation of their thoughts (Wingate, 2015). The defensive role of a referencing system, for example, Harvard, against plagiarism serves academic integrity. The author of a text, by virtue of not passing it through a referencing system, is declared by the system to have sole possession of the ideas. Therefore, the system serves to uphold the moral respect for the intellectual property of others (Neville, 2020). It also serves the moral aspect of scholarship.</w:t>
      </w:r>
    </w:p>
    <w:p w14:paraId="647D34E0" w14:textId="77777777" w:rsidR="00E80C8B" w:rsidRPr="00E80C8B" w:rsidRDefault="00E80C8B" w:rsidP="00E80C8B">
      <w:r w:rsidRPr="00E80C8B">
        <w:t>The importance of writing at each degree level and the professions that follow is certainly not restricted to universities and other educational institutions. For example, professionally employed individuals need to and should be able to prepare, complete, and deliver assignments that require persuasive, coherent, and penetrating written communications at different levels and for different personnel. Heslop (2014) states that business writing such as reports, proposals, and intra-organisational emails need to be adequately structured and articulate evidence-based content and conclusions. In light of the roles of different levels of written communications, academic writing prepares individuals for future employment and develops professional attitudes of precision, reasonable decision-making, and positional clarity. Such attributes and abilities are prerequisites for employment.</w:t>
      </w:r>
    </w:p>
    <w:p w14:paraId="32626146" w14:textId="77777777" w:rsidR="00E80C8B" w:rsidRPr="00E80C8B" w:rsidRDefault="00E80C8B" w:rsidP="00E80C8B">
      <w:r w:rsidRPr="00E80C8B">
        <w:t>The ability to write reports and other documents requires individuals to adequately participate at academic, professional, and organisational levels. Each professionally oriented and academic individual is able to exchange and articulate their ideas and positions, thus supporting and advancing the body of knowledge. Writing thus serves as a measure of proficiency and represents professional and personal self-expression.</w:t>
      </w:r>
    </w:p>
    <w:p w14:paraId="033A837D" w14:textId="77777777" w:rsidR="00E80C8B" w:rsidRPr="00E80C8B" w:rsidRDefault="00E80C8B" w:rsidP="00E80C8B">
      <w:r w:rsidRPr="00E80C8B">
        <w:t>With the need for proficient, persuasive written communication, it is clear that writing is an educational goal.</w:t>
      </w:r>
    </w:p>
    <w:p w14:paraId="4CB2F16B" w14:textId="44F3B279" w:rsidR="001C7732" w:rsidRDefault="00E80C8B" w:rsidP="00E80C8B">
      <w:pPr>
        <w:pStyle w:val="Titlu1"/>
      </w:pPr>
      <w:bookmarkStart w:id="6" w:name="_Toc212894789"/>
      <w:r w:rsidRPr="00E80C8B">
        <w:t>Strategies to Improve Teamwork Skills</w:t>
      </w:r>
      <w:bookmarkEnd w:id="6"/>
    </w:p>
    <w:p w14:paraId="0740554A" w14:textId="77777777" w:rsidR="00B42087" w:rsidRPr="00B42087" w:rsidRDefault="00B42087" w:rsidP="00B42087">
      <w:r w:rsidRPr="00B42087">
        <w:t>Effective teamwork is something that ought to be practised, contemplated, and carefully cultivated. While some may find it easy to cooperate with other team members, some may need to work on their communication, collaboration, and conflict resolution skills. Team role and goal structure is the foundation for teamwork based on the work of Salas et al. (2018). When individuals realise how their roles contribute to the final goal, it becomes easier to work together. It even becomes easier to work together when roles are assigned to individuals at the beginning of the project, as it also helps to alleviate potential frustration that may arise from overlapping roles. A unique and distinct role may even help to build trust and positive relationships among members.</w:t>
      </w:r>
    </w:p>
    <w:p w14:paraId="4A14BB3E" w14:textId="77777777" w:rsidR="00B42087" w:rsidRPr="00B42087" w:rsidRDefault="00B42087" w:rsidP="00B42087">
      <w:r w:rsidRPr="00B42087">
        <w:t>Another effective teamwork strategy is the use of constructive communication which involves the free circulation of ideas and arguments. Team members may even be encouraged to politely argue in order to help overcome groupthink. Belbin (2019) argues that the best teams are those that do not avoid difficult conversations, and that diversity of thought should be encouraged and even embraced. Regular meetings improve communication and even prevent the possible conflict that may arise in the group. Coordination within the team may also be enhanced digitally using tools like Microsoft Teams and Google Docs. This is particularly useful in academic group work where some members may not be physically present.</w:t>
      </w:r>
    </w:p>
    <w:p w14:paraId="18601EAE" w14:textId="77777777" w:rsidR="00B42087" w:rsidRPr="00B42087" w:rsidRDefault="00B42087" w:rsidP="00B42087">
      <w:r w:rsidRPr="00B42087">
        <w:t>Yet another strategy involves reflective practice along with feedback. Teams that spend time evaluating their performance tend to see the value that is there as well as possible weaknesses and unrecognised opportunities (West, 2012). Reflective activities, be they team debriefs or peer evaluations, have the added benefit of generating self-awareness and fostering the growth of the group. Adjusting member behaviours with constructive feedback and real discussions helps in the sharpening of communication and the building of resilience. Furthermore, the ability to manage critical feedback strengthens cooperation, especially when empathy is required (Hackman, 2011).</w:t>
      </w:r>
    </w:p>
    <w:p w14:paraId="3A85B4EE" w14:textId="77777777" w:rsidR="00B42087" w:rsidRPr="00B42087" w:rsidRDefault="00B42087" w:rsidP="00B42087">
      <w:r w:rsidRPr="00B42087">
        <w:t>No less important is the ability to manage emotions. This includes handling stress, understanding the emotional cues of others, and fostering healthy relationships. Teams with high emotional intelligence cope with conflict and stay motivated even when the going gets tough (Goleman, 2020). Thus, the promotion of empathy and patience is a necessity.</w:t>
      </w:r>
    </w:p>
    <w:p w14:paraId="367ADF62" w14:textId="77777777" w:rsidR="00B42087" w:rsidRPr="00B42087" w:rsidRDefault="00B42087" w:rsidP="00B42087">
      <w:r w:rsidRPr="00B42087">
        <w:t>In the end, the stepwise refinement of collaborative skills will require more than a single communication window, reflection, or emotional distancing. In their joint efforts, members construct an interpersonal architecture that will serve as a foundation for leadership, and professional adaptability, and ensure that they will be successful in the challenges of an ever-changing world.</w:t>
      </w:r>
    </w:p>
    <w:p w14:paraId="56AF3CDE" w14:textId="19EA21EF" w:rsidR="00E80C8B" w:rsidRDefault="00B42087" w:rsidP="00B42087">
      <w:pPr>
        <w:pStyle w:val="Titlu1"/>
      </w:pPr>
      <w:bookmarkStart w:id="7" w:name="_Toc212894790"/>
      <w:r w:rsidRPr="00B42087">
        <w:t>Strategies to Improve Academic Writing Skills</w:t>
      </w:r>
      <w:bookmarkEnd w:id="7"/>
    </w:p>
    <w:p w14:paraId="203755C6" w14:textId="77777777" w:rsidR="00B42087" w:rsidRPr="00B42087" w:rsidRDefault="00B42087" w:rsidP="00B42087">
      <w:r w:rsidRPr="00B42087">
        <w:t>Enhancement of any competence—including writing in an academic context—takes time, steady application efforts, meaningful feedback, and consultation of relevant scholarly literature. One of the most valuable processes in writing is drafting and planning. According to Bailey (2018), writing well takes time, and needs to start well before any sentences are being constructed. Before drafting, students are encouraged to review the question, brainstorm, and prepare a plan. This approach enables the writer to ensure that the intended arguments are constructed logically, and that each paragraph serves the overarching goal. Producing several drafts of the same material gives the writer the opportunity to refine the arguments and check for logical and clear expression. Cottrell (2019) observes, and most students would agree, that stepping away for the revision phase enables the writer to analyse the text more critically and recognise problems that are more difficult to identify in the initial revision.</w:t>
      </w:r>
    </w:p>
    <w:p w14:paraId="05E254A4" w14:textId="77777777" w:rsidR="00B42087" w:rsidRPr="00B42087" w:rsidRDefault="00B42087" w:rsidP="00B42087">
      <w:r w:rsidRPr="00B42087">
        <w:t>Another important strategy is obtaining and utilising feedback. Engaging with tutors, classmates, and even writing centres helps develop the writing skill. Feedback is critical in helping identify where improvement is needed, like sentence construction, the accuracy of references, and the depth of critical evaluation. Wingate (2015) notes that the most accomplished students are those who reflect on the feedback and apply it in their subsequent tasks. Participating in peer review independently enhances one’s writing, while also helping to establish a positive, supportive academic environment in which the participants share ideas and understanding with a community of their peers.</w:t>
      </w:r>
    </w:p>
    <w:p w14:paraId="56D5C489" w14:textId="77777777" w:rsidR="00B42087" w:rsidRPr="00B42087" w:rsidRDefault="00B42087" w:rsidP="00B42087">
      <w:r w:rsidRPr="00B42087">
        <w:t>Another important strategy is cultivating reading and referencing practices. The adage that “good writing is grounded in good reading” holds true, thus, to deepen the content and develop a broader vocabulary, students must read a variety of high-quality academic materials (Neville, 2020). In every discipline, books, academic journals, and research reports contain examples of discipline-specific writing that students are encouraged to study. In academic writing, especially when using the Harvard system, proper citation is a crucial element of academic integrity and of avoiding plagiarism (Pears and Shields, 2019). Citation management tools, like Cite Them Right and Zotero, can be used to automate the referencing process.</w:t>
      </w:r>
    </w:p>
    <w:p w14:paraId="61E19502" w14:textId="77777777" w:rsidR="00B42087" w:rsidRPr="00B42087" w:rsidRDefault="00B42087" w:rsidP="00B42087">
      <w:r w:rsidRPr="00B42087">
        <w:t>Most importantly, students who practise consistently also tend to reflect on their practice. This is because students build confidence and fluency by writing frequently and independently of given assignments. An example of this would be a reflective journal, and students would be able to assess their growth and recognise patterns in the difficulties they are struggling with. After some time, these different methods will converge and the writer will have developed a greater sense of confidence, improved their analytical skills, and will be able to write to academic standards in a persuasive manner.</w:t>
      </w:r>
    </w:p>
    <w:p w14:paraId="63FBF26D" w14:textId="113A5E29" w:rsidR="00B42087" w:rsidRDefault="00B42087" w:rsidP="00B42087">
      <w:pPr>
        <w:pStyle w:val="Titlu1"/>
      </w:pPr>
      <w:bookmarkStart w:id="8" w:name="_Toc212894791"/>
      <w:r w:rsidRPr="00B42087">
        <w:t>Conclusion</w:t>
      </w:r>
      <w:bookmarkEnd w:id="8"/>
    </w:p>
    <w:p w14:paraId="7384BA61" w14:textId="07E9316B" w:rsidR="00B42087" w:rsidRDefault="00B42087" w:rsidP="00B42087">
      <w:r w:rsidRPr="00B42087">
        <w:t>The importance of teamwork and academic writing extends to all levels of education and all professions. Collaboration, communication, and understanding of different perspectives emerge through teamwork and prepare students to face complicated and multifaceted issues. Through academic writing, one enhances and demonstrates reasoning and critical thinking skills, as well as self-discipline and ethical integrity, in addition to other higher-order cognitive skills necessary for self-regulated learning. Character and knowledge are two essential facets of emotional growth and development, in which teamwork will centre on communication and positive emotional attrition, and academic writing will focus on planning and revision cycles. Character is signified by the ability to collaborate and work seamlessly with others, and knowledge by the ability to think freely and constructively, and defend complex concepts and arguments in writing. The integration of these two higher-order skills lays the groundwork for students, fostering and extending positive cognitive, emotional, and ethical growth in the academic and professional spheres of their life.</w:t>
      </w:r>
    </w:p>
    <w:p w14:paraId="2BCB530F" w14:textId="77777777" w:rsidR="00B42087" w:rsidRDefault="00B42087" w:rsidP="00B42087"/>
    <w:p w14:paraId="16582989" w14:textId="77777777" w:rsidR="00B42087" w:rsidRDefault="00B42087" w:rsidP="00B42087"/>
    <w:p w14:paraId="1F986958" w14:textId="77777777" w:rsidR="00B42087" w:rsidRDefault="00B42087" w:rsidP="00B42087"/>
    <w:p w14:paraId="76A32C5E" w14:textId="77777777" w:rsidR="00B42087" w:rsidRDefault="00B42087" w:rsidP="00B42087"/>
    <w:p w14:paraId="69450A3C" w14:textId="77777777" w:rsidR="00B42087" w:rsidRDefault="00B42087" w:rsidP="00B42087"/>
    <w:p w14:paraId="45FCAF3B" w14:textId="77777777" w:rsidR="00B42087" w:rsidRDefault="00B42087" w:rsidP="00B42087"/>
    <w:p w14:paraId="3C893B15" w14:textId="77777777" w:rsidR="00B42087" w:rsidRDefault="00B42087" w:rsidP="00B42087"/>
    <w:p w14:paraId="2EF9AD8A" w14:textId="77777777" w:rsidR="00B42087" w:rsidRDefault="00B42087" w:rsidP="00B42087"/>
    <w:p w14:paraId="39DB85C0" w14:textId="77777777" w:rsidR="00B42087" w:rsidRDefault="00B42087" w:rsidP="00B42087"/>
    <w:p w14:paraId="6062E2C9" w14:textId="77777777" w:rsidR="00B42087" w:rsidRDefault="00B42087" w:rsidP="00B42087"/>
    <w:p w14:paraId="28424625" w14:textId="77777777" w:rsidR="00B42087" w:rsidRDefault="00B42087" w:rsidP="00B42087"/>
    <w:p w14:paraId="6E6D0EFB" w14:textId="77777777" w:rsidR="00B42087" w:rsidRDefault="00B42087" w:rsidP="00B42087"/>
    <w:p w14:paraId="755112E8" w14:textId="77777777" w:rsidR="00B42087" w:rsidRDefault="00B42087" w:rsidP="00B42087"/>
    <w:p w14:paraId="7654EA72" w14:textId="655499A5" w:rsidR="00B42087" w:rsidRDefault="00B42087" w:rsidP="00B42087">
      <w:pPr>
        <w:pStyle w:val="Titlu1"/>
      </w:pPr>
      <w:bookmarkStart w:id="9" w:name="_Toc212894792"/>
      <w:r>
        <w:t>References</w:t>
      </w:r>
      <w:bookmarkEnd w:id="9"/>
    </w:p>
    <w:p w14:paraId="5BC5C19B" w14:textId="77777777" w:rsidR="00B42087" w:rsidRPr="00B42087" w:rsidRDefault="00B42087" w:rsidP="00B42087">
      <w:r w:rsidRPr="00B42087">
        <w:t xml:space="preserve">Bailey, S. (2018) </w:t>
      </w:r>
      <w:r w:rsidRPr="00B42087">
        <w:rPr>
          <w:i/>
          <w:iCs/>
        </w:rPr>
        <w:t>Academic Writing: A Handbook for International Students</w:t>
      </w:r>
      <w:r w:rsidRPr="00B42087">
        <w:t>. 5th ed. London: Routledge.</w:t>
      </w:r>
    </w:p>
    <w:p w14:paraId="4CA1375E" w14:textId="77777777" w:rsidR="00B42087" w:rsidRPr="00B42087" w:rsidRDefault="00B42087" w:rsidP="00B42087">
      <w:r w:rsidRPr="00B42087">
        <w:t xml:space="preserve">Belbin, R.M. (2019) </w:t>
      </w:r>
      <w:r w:rsidRPr="00B42087">
        <w:rPr>
          <w:i/>
          <w:iCs/>
        </w:rPr>
        <w:t>Team Roles at Work</w:t>
      </w:r>
      <w:r w:rsidRPr="00B42087">
        <w:t>. 3rd ed. London: Routledge.</w:t>
      </w:r>
    </w:p>
    <w:p w14:paraId="5FD5E5BE" w14:textId="77777777" w:rsidR="00B42087" w:rsidRPr="00B42087" w:rsidRDefault="00B42087" w:rsidP="00B42087">
      <w:r w:rsidRPr="00B42087">
        <w:t xml:space="preserve">Cottrell, S. (2019) </w:t>
      </w:r>
      <w:r w:rsidRPr="00B42087">
        <w:rPr>
          <w:i/>
          <w:iCs/>
        </w:rPr>
        <w:t>The Study Skills Handbook</w:t>
      </w:r>
      <w:r w:rsidRPr="00B42087">
        <w:t>. 5th ed. London: Macmillan Education.</w:t>
      </w:r>
    </w:p>
    <w:p w14:paraId="2BDB86A3" w14:textId="77777777" w:rsidR="00B42087" w:rsidRPr="00B42087" w:rsidRDefault="00B42087" w:rsidP="00B42087">
      <w:r w:rsidRPr="00B42087">
        <w:t xml:space="preserve">Goleman, D. (2020) </w:t>
      </w:r>
      <w:r w:rsidRPr="00B42087">
        <w:rPr>
          <w:i/>
          <w:iCs/>
        </w:rPr>
        <w:t>Emotional Intelligence: Why It Can Matter More Than IQ</w:t>
      </w:r>
      <w:r w:rsidRPr="00B42087">
        <w:t>. 25th Anniversary ed. New York: Bantam.</w:t>
      </w:r>
    </w:p>
    <w:p w14:paraId="1FC8E22D" w14:textId="77777777" w:rsidR="00B42087" w:rsidRPr="00B42087" w:rsidRDefault="00B42087" w:rsidP="00B42087">
      <w:r w:rsidRPr="00B42087">
        <w:t xml:space="preserve">Hackman, J.R. (2011) </w:t>
      </w:r>
      <w:r w:rsidRPr="00B42087">
        <w:rPr>
          <w:i/>
          <w:iCs/>
        </w:rPr>
        <w:t>Leading Teams: Setting the Stage for Great Performances</w:t>
      </w:r>
      <w:r w:rsidRPr="00B42087">
        <w:t>. Boston: Harvard Business Press.</w:t>
      </w:r>
    </w:p>
    <w:p w14:paraId="78998C58" w14:textId="77777777" w:rsidR="00B42087" w:rsidRPr="00B42087" w:rsidRDefault="00B42087" w:rsidP="00B42087">
      <w:r w:rsidRPr="00B42087">
        <w:t xml:space="preserve">Kozlowski, S.W.J. and Ilgen, D.R. (2006) ‘Enhancing the effectiveness of work groups and teams’, </w:t>
      </w:r>
      <w:r w:rsidRPr="00B42087">
        <w:rPr>
          <w:i/>
          <w:iCs/>
        </w:rPr>
        <w:t>Psychological Science in the Public Interest</w:t>
      </w:r>
      <w:r w:rsidRPr="00B42087">
        <w:t>, 7(3), pp. 77–124.</w:t>
      </w:r>
    </w:p>
    <w:p w14:paraId="35AA0E6B" w14:textId="77777777" w:rsidR="00B42087" w:rsidRPr="00B42087" w:rsidRDefault="00B42087" w:rsidP="00B42087">
      <w:r w:rsidRPr="00B42087">
        <w:t xml:space="preserve">Murray, R. and Hughes, G. (2021) </w:t>
      </w:r>
      <w:r w:rsidRPr="00B42087">
        <w:rPr>
          <w:i/>
          <w:iCs/>
        </w:rPr>
        <w:t>Writing up Your University Assignments and Research Projects</w:t>
      </w:r>
      <w:r w:rsidRPr="00B42087">
        <w:t>. 4th ed. Maidenhead: Open University Press.</w:t>
      </w:r>
    </w:p>
    <w:p w14:paraId="57F801DA" w14:textId="77777777" w:rsidR="00B42087" w:rsidRPr="00B42087" w:rsidRDefault="00B42087" w:rsidP="00B42087">
      <w:r w:rsidRPr="00B42087">
        <w:t xml:space="preserve">Neville, C. (2020) </w:t>
      </w:r>
      <w:r w:rsidRPr="00B42087">
        <w:rPr>
          <w:i/>
          <w:iCs/>
        </w:rPr>
        <w:t>The Complete Guide to Referencing and Avoiding Plagiarism</w:t>
      </w:r>
      <w:r w:rsidRPr="00B42087">
        <w:t>. 3rd ed. Maidenhead: Open University Press.</w:t>
      </w:r>
    </w:p>
    <w:p w14:paraId="606BE002" w14:textId="77777777" w:rsidR="00B42087" w:rsidRPr="00B42087" w:rsidRDefault="00B42087" w:rsidP="00B42087">
      <w:r w:rsidRPr="00B42087">
        <w:t xml:space="preserve">Pears, R. and Shields, G. (2019) </w:t>
      </w:r>
      <w:r w:rsidRPr="00B42087">
        <w:rPr>
          <w:i/>
          <w:iCs/>
        </w:rPr>
        <w:t>Cite Them Right: The Essential Referencing Guide</w:t>
      </w:r>
      <w:r w:rsidRPr="00B42087">
        <w:t>. 11th ed. London: Red Globe Press.</w:t>
      </w:r>
    </w:p>
    <w:p w14:paraId="257DA86F" w14:textId="77777777" w:rsidR="00B42087" w:rsidRPr="00B42087" w:rsidRDefault="00B42087" w:rsidP="00B42087">
      <w:r w:rsidRPr="00B42087">
        <w:t xml:space="preserve">Salas, E., Reyes, D.L. and McDaniel, S.H. (2018) ‘The science of teamwork: Progress, reflections, and the road ahead’, </w:t>
      </w:r>
      <w:r w:rsidRPr="00B42087">
        <w:rPr>
          <w:i/>
          <w:iCs/>
        </w:rPr>
        <w:t>American Psychologist</w:t>
      </w:r>
      <w:r w:rsidRPr="00B42087">
        <w:t>, 73(4), pp. 593–600.</w:t>
      </w:r>
    </w:p>
    <w:p w14:paraId="60B37FE4" w14:textId="77777777" w:rsidR="00B42087" w:rsidRPr="00B42087" w:rsidRDefault="00B42087" w:rsidP="00B42087">
      <w:r w:rsidRPr="00B42087">
        <w:t xml:space="preserve">Tarricone, P. and Luca, J. (2019) ‘Successful teamwork: A case study’, </w:t>
      </w:r>
      <w:r w:rsidRPr="00B42087">
        <w:rPr>
          <w:i/>
          <w:iCs/>
        </w:rPr>
        <w:t>HERDSA Annual Conference Proceedings</w:t>
      </w:r>
      <w:r w:rsidRPr="00B42087">
        <w:t>, pp. 640–646.</w:t>
      </w:r>
    </w:p>
    <w:p w14:paraId="613E384D" w14:textId="77777777" w:rsidR="00B42087" w:rsidRPr="00B42087" w:rsidRDefault="00B42087" w:rsidP="00B42087">
      <w:r w:rsidRPr="00B42087">
        <w:t xml:space="preserve">West, M.A. (2012) </w:t>
      </w:r>
      <w:r w:rsidRPr="00B42087">
        <w:rPr>
          <w:i/>
          <w:iCs/>
        </w:rPr>
        <w:t>Effective Teamwork: Practical Lessons from Organizational Research</w:t>
      </w:r>
      <w:r w:rsidRPr="00B42087">
        <w:t>. 3rd ed. Oxford: Blackwell.</w:t>
      </w:r>
    </w:p>
    <w:p w14:paraId="2B02C016" w14:textId="77777777" w:rsidR="00B42087" w:rsidRPr="00B42087" w:rsidRDefault="00B42087" w:rsidP="00B42087">
      <w:r w:rsidRPr="00B42087">
        <w:t xml:space="preserve">Wingate, U. (2015) </w:t>
      </w:r>
      <w:r w:rsidRPr="00B42087">
        <w:rPr>
          <w:i/>
          <w:iCs/>
        </w:rPr>
        <w:t>Academic Literacy and Student Diversity: The Case for Inclusive Practice</w:t>
      </w:r>
      <w:r w:rsidRPr="00B42087">
        <w:t>. Bristol: Multilingual Matters.</w:t>
      </w:r>
    </w:p>
    <w:p w14:paraId="3809E68F" w14:textId="77777777" w:rsidR="00B42087" w:rsidRPr="00B42087" w:rsidRDefault="00B42087" w:rsidP="00B42087"/>
    <w:sectPr w:rsidR="00B42087" w:rsidRPr="00B42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70C"/>
    <w:rsid w:val="001C7732"/>
    <w:rsid w:val="00210FB5"/>
    <w:rsid w:val="00262C51"/>
    <w:rsid w:val="00420878"/>
    <w:rsid w:val="00B42087"/>
    <w:rsid w:val="00B54909"/>
    <w:rsid w:val="00C11AEB"/>
    <w:rsid w:val="00E80C8B"/>
    <w:rsid w:val="00F74D28"/>
    <w:rsid w:val="00F9070C"/>
    <w:rsid w:val="00FF5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07DF7"/>
  <w15:chartTrackingRefBased/>
  <w15:docId w15:val="{656C4302-313D-4904-B01B-97DA09600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F9070C"/>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9070C"/>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F9070C"/>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F9070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F9070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F9070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F9070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F9070C"/>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9070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9070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9070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9070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9070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9070C"/>
    <w:rPr>
      <w:rFonts w:eastAsiaTheme="majorEastAsia" w:cstheme="majorBidi"/>
      <w:color w:val="272727" w:themeColor="text1" w:themeTint="D8"/>
    </w:rPr>
  </w:style>
  <w:style w:type="paragraph" w:styleId="Titlu">
    <w:name w:val="Title"/>
    <w:basedOn w:val="Normal"/>
    <w:next w:val="Normal"/>
    <w:link w:val="TitluCaracter"/>
    <w:uiPriority w:val="10"/>
    <w:qFormat/>
    <w:rsid w:val="00F90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9070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9070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9070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9070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F9070C"/>
    <w:rPr>
      <w:i/>
      <w:iCs/>
      <w:color w:val="404040" w:themeColor="text1" w:themeTint="BF"/>
    </w:rPr>
  </w:style>
  <w:style w:type="paragraph" w:styleId="Listparagraf">
    <w:name w:val="List Paragraph"/>
    <w:basedOn w:val="Normal"/>
    <w:uiPriority w:val="34"/>
    <w:qFormat/>
    <w:rsid w:val="00F9070C"/>
    <w:pPr>
      <w:ind w:left="720"/>
      <w:contextualSpacing/>
    </w:pPr>
  </w:style>
  <w:style w:type="character" w:styleId="Accentuareintens">
    <w:name w:val="Intense Emphasis"/>
    <w:basedOn w:val="Fontdeparagrafimplicit"/>
    <w:uiPriority w:val="21"/>
    <w:qFormat/>
    <w:rsid w:val="00F9070C"/>
    <w:rPr>
      <w:i/>
      <w:iCs/>
      <w:color w:val="0F4761" w:themeColor="accent1" w:themeShade="BF"/>
    </w:rPr>
  </w:style>
  <w:style w:type="paragraph" w:styleId="Citatintens">
    <w:name w:val="Intense Quote"/>
    <w:basedOn w:val="Normal"/>
    <w:next w:val="Normal"/>
    <w:link w:val="CitatintensCaracter"/>
    <w:uiPriority w:val="30"/>
    <w:qFormat/>
    <w:rsid w:val="00F907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9070C"/>
    <w:rPr>
      <w:i/>
      <w:iCs/>
      <w:color w:val="0F4761" w:themeColor="accent1" w:themeShade="BF"/>
    </w:rPr>
  </w:style>
  <w:style w:type="character" w:styleId="Referireintens">
    <w:name w:val="Intense Reference"/>
    <w:basedOn w:val="Fontdeparagrafimplicit"/>
    <w:uiPriority w:val="32"/>
    <w:qFormat/>
    <w:rsid w:val="00F9070C"/>
    <w:rPr>
      <w:b/>
      <w:bCs/>
      <w:smallCaps/>
      <w:color w:val="0F4761" w:themeColor="accent1" w:themeShade="BF"/>
      <w:spacing w:val="5"/>
    </w:rPr>
  </w:style>
  <w:style w:type="paragraph" w:styleId="Titlucuprins">
    <w:name w:val="TOC Heading"/>
    <w:basedOn w:val="Titlu1"/>
    <w:next w:val="Normal"/>
    <w:uiPriority w:val="39"/>
    <w:unhideWhenUsed/>
    <w:qFormat/>
    <w:rsid w:val="00B42087"/>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B42087"/>
    <w:pPr>
      <w:spacing w:after="100"/>
    </w:pPr>
  </w:style>
  <w:style w:type="paragraph" w:styleId="Cuprins2">
    <w:name w:val="toc 2"/>
    <w:basedOn w:val="Normal"/>
    <w:next w:val="Normal"/>
    <w:autoRedefine/>
    <w:uiPriority w:val="39"/>
    <w:unhideWhenUsed/>
    <w:rsid w:val="00B42087"/>
    <w:pPr>
      <w:spacing w:after="100"/>
      <w:ind w:left="220"/>
    </w:pPr>
  </w:style>
  <w:style w:type="character" w:styleId="Hyperlink">
    <w:name w:val="Hyperlink"/>
    <w:basedOn w:val="Fontdeparagrafimplicit"/>
    <w:uiPriority w:val="99"/>
    <w:unhideWhenUsed/>
    <w:rsid w:val="00B420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Florentina Dinu</cp:lastModifiedBy>
  <cp:revision>2</cp:revision>
  <dcterms:created xsi:type="dcterms:W3CDTF">2025-12-18T19:20:00Z</dcterms:created>
  <dcterms:modified xsi:type="dcterms:W3CDTF">2025-12-18T19:20:00Z</dcterms:modified>
</cp:coreProperties>
</file>