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2F7F19">
      <w:pPr>
        <w:pStyle w:val="NormalWeb"/>
        <w:spacing w:before="0" w:beforeAutospacing="0" w:after="0" w:afterAutospacing="0"/>
        <w:ind w:left="-180" w:right="-334"/>
      </w:pPr>
      <w:r>
        <w:rPr>
          <w:noProof/>
          <w:lang w:eastAsia="en-GB"/>
        </w:rPr>
        <w:drawing>
          <wp:inline distT="0" distB="0" distL="0" distR="0" wp14:anchorId="7A33B64F" wp14:editId="03AC6B1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77777777" w:rsidR="002F7F19" w:rsidRDefault="002F7F19" w:rsidP="002F7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9BDB99" w14:textId="77777777" w:rsidR="002F7F19" w:rsidRPr="00230F35" w:rsidRDefault="002F7F19" w:rsidP="002F7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7777777" w:rsidR="002F7F19" w:rsidRPr="00230F35" w:rsidRDefault="002F7F19" w:rsidP="002F7F19">
      <w:pPr>
        <w:rPr>
          <w:rFonts w:ascii="Arial" w:hAnsi="Arial" w:cs="Arial"/>
          <w:sz w:val="28"/>
          <w:szCs w:val="28"/>
          <w:lang w:val="cy-GB"/>
        </w:rPr>
      </w:pPr>
    </w:p>
    <w:p w14:paraId="61C040EB" w14:textId="77777777" w:rsidR="002F7F19" w:rsidRDefault="002F7F19" w:rsidP="002F7F19">
      <w:pPr>
        <w:pStyle w:val="Heading3"/>
        <w:jc w:val="center"/>
        <w:rPr>
          <w:lang w:val="cy-GB"/>
        </w:rPr>
      </w:pPr>
      <w:r>
        <w:rPr>
          <w:lang w:val="cy-GB"/>
        </w:rPr>
        <w:t>THIS SHEET MUST BE THE FIRST PAGE OF THE ASSIGNMENT YOU ARE SUBMITTING  (DO NOT SEND AS A SEPARATE FILE)</w:t>
      </w: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4585"/>
        <w:gridCol w:w="2106"/>
        <w:gridCol w:w="2659"/>
      </w:tblGrid>
      <w:tr w:rsidR="002F7F19" w:rsidRPr="00230F35" w14:paraId="556D78B7" w14:textId="77777777" w:rsidTr="7BFE1986">
        <w:trPr>
          <w:trHeight w:val="614"/>
        </w:trPr>
        <w:tc>
          <w:tcPr>
            <w:tcW w:w="8856" w:type="dxa"/>
            <w:gridSpan w:val="3"/>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7BFE1986">
        <w:trPr>
          <w:trHeight w:val="718"/>
        </w:trPr>
        <w:tc>
          <w:tcPr>
            <w:tcW w:w="8856" w:type="dxa"/>
            <w:gridSpan w:val="3"/>
          </w:tcPr>
          <w:p w14:paraId="63BCDACC" w14:textId="589C9B38"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8F71C6">
              <w:rPr>
                <w:rFonts w:ascii="Arial" w:hAnsi="Arial" w:cs="Arial"/>
                <w:sz w:val="22"/>
                <w:szCs w:val="22"/>
              </w:rPr>
              <w:t>Edmund Charles Kelly</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6674AE58"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8F71C6">
              <w:rPr>
                <w:rFonts w:ascii="Arial" w:hAnsi="Arial" w:cs="Arial"/>
                <w:sz w:val="22"/>
                <w:szCs w:val="22"/>
              </w:rPr>
              <w:t>2517189@student.uwtsd.ac.uk</w:t>
            </w:r>
          </w:p>
        </w:tc>
      </w:tr>
      <w:tr w:rsidR="002F7F19" w:rsidRPr="00230F35" w14:paraId="1D1E8033" w14:textId="77777777" w:rsidTr="7BFE1986">
        <w:trPr>
          <w:trHeight w:val="849"/>
        </w:trPr>
        <w:tc>
          <w:tcPr>
            <w:tcW w:w="4788" w:type="dxa"/>
          </w:tcPr>
          <w:p w14:paraId="76B1434C"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096FB652" w14:textId="6EAD2B60" w:rsidR="00237623" w:rsidRPr="00230F35" w:rsidRDefault="008F71C6"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HPCA7015</w:t>
            </w:r>
          </w:p>
          <w:p w14:paraId="1DB21712" w14:textId="3BC8620B"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F71C6">
              <w:rPr>
                <w:rFonts w:ascii="Arial" w:hAnsi="Arial" w:cs="Arial"/>
                <w:sz w:val="22"/>
                <w:szCs w:val="22"/>
              </w:rPr>
              <w:t>Foundations in Cultural Astrology and Astronomy</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tcPr>
          <w:p w14:paraId="3121FF63" w14:textId="276332E2"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8F71C6">
              <w:rPr>
                <w:rFonts w:ascii="Arial" w:hAnsi="Arial" w:cs="Arial"/>
                <w:sz w:val="22"/>
                <w:szCs w:val="22"/>
              </w:rPr>
              <w:t>25171891</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52597130" w14:textId="77777777" w:rsidTr="7BFE1986">
        <w:trPr>
          <w:trHeight w:val="1139"/>
        </w:trPr>
        <w:tc>
          <w:tcPr>
            <w:tcW w:w="8856" w:type="dxa"/>
            <w:gridSpan w:val="3"/>
          </w:tcPr>
          <w:p w14:paraId="3628F7A0"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5CB07975" w14:textId="6A8822D0" w:rsidR="002F7F19" w:rsidRDefault="00D935DE"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Are Perceptions of the Cosmos Culturally Conditioned</w:t>
            </w:r>
          </w:p>
          <w:p w14:paraId="79307084" w14:textId="41A03589"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F71C6">
              <w:rPr>
                <w:rFonts w:ascii="Arial" w:hAnsi="Arial" w:cs="Arial"/>
                <w:sz w:val="22"/>
                <w:szCs w:val="22"/>
              </w:rPr>
              <w:t>05</w:t>
            </w:r>
            <w:r>
              <w:rPr>
                <w:rFonts w:ascii="Arial" w:hAnsi="Arial" w:cs="Arial"/>
                <w:sz w:val="22"/>
                <w:szCs w:val="22"/>
              </w:rPr>
              <w:t>/01/2020</w:t>
            </w:r>
          </w:p>
        </w:tc>
      </w:tr>
      <w:tr w:rsidR="002F7F19" w:rsidRPr="00230F35" w14:paraId="6A12B430" w14:textId="77777777" w:rsidTr="7BFE1986">
        <w:trPr>
          <w:trHeight w:val="978"/>
        </w:trPr>
        <w:tc>
          <w:tcPr>
            <w:tcW w:w="8856" w:type="dxa"/>
            <w:gridSpan w:val="3"/>
            <w:tcBorders>
              <w:bottom w:val="single" w:sz="4" w:space="0" w:color="000000" w:themeColor="text1"/>
            </w:tcBorders>
          </w:tcPr>
          <w:p w14:paraId="4C581461" w14:textId="647869E9" w:rsidR="002F7F19" w:rsidRPr="00230F35" w:rsidRDefault="002F7F19" w:rsidP="00802737">
            <w:pPr>
              <w:rPr>
                <w:rFonts w:ascii="Arial" w:hAnsi="Arial" w:cs="Arial"/>
              </w:rPr>
            </w:pPr>
            <w:r w:rsidRPr="00230F35">
              <w:rPr>
                <w:rFonts w:ascii="Arial" w:hAnsi="Arial" w:cs="Arial"/>
              </w:rPr>
              <w:t>This assignment is for the       3</w:t>
            </w:r>
            <w:r w:rsidRPr="00230F35">
              <w:rPr>
                <w:rFonts w:ascii="Arial" w:hAnsi="Arial" w:cs="Arial"/>
                <w:vertAlign w:val="superscript"/>
              </w:rPr>
              <w:t>rd</w:t>
            </w:r>
            <w:r w:rsidRPr="00230F35">
              <w:rPr>
                <w:rFonts w:ascii="Arial" w:hAnsi="Arial" w:cs="Arial"/>
              </w:rPr>
              <w:t xml:space="preserve">  module of the degre</w:t>
            </w:r>
            <w:r>
              <w:rPr>
                <w:rFonts w:ascii="Arial" w:hAnsi="Arial" w:cs="Arial"/>
              </w:rPr>
              <w:t>e</w:t>
            </w:r>
          </w:p>
        </w:tc>
      </w:tr>
      <w:tr w:rsidR="25BBD5AB" w14:paraId="6103E8CD" w14:textId="77777777" w:rsidTr="25BBD5AB">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396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A06F8C" w14:textId="6A8A5A32" w:rsidR="25BBD5AB" w:rsidRDefault="25BBD5AB" w:rsidP="25BBD5AB">
            <w:pPr>
              <w:spacing w:after="0" w:line="240" w:lineRule="auto"/>
              <w:rPr>
                <w:rFonts w:ascii="Arial" w:eastAsia="Arial" w:hAnsi="Arial" w:cs="Arial"/>
                <w:color w:val="000000" w:themeColor="text1"/>
                <w:sz w:val="24"/>
                <w:szCs w:val="24"/>
              </w:rPr>
            </w:pPr>
          </w:p>
          <w:p w14:paraId="18300600" w14:textId="6FD6A80E" w:rsidR="25BBD5AB" w:rsidRDefault="25BBD5AB" w:rsidP="25BBD5AB">
            <w:pPr>
              <w:spacing w:after="0" w:line="240" w:lineRule="auto"/>
              <w:rPr>
                <w:rFonts w:ascii="Arial" w:eastAsia="Arial" w:hAnsi="Arial" w:cs="Arial"/>
                <w:color w:val="000000" w:themeColor="text1"/>
                <w:sz w:val="24"/>
                <w:szCs w:val="24"/>
              </w:rPr>
            </w:pPr>
            <w:r w:rsidRPr="25BBD5AB">
              <w:rPr>
                <w:rFonts w:ascii="Arial" w:eastAsia="Arial" w:hAnsi="Arial" w:cs="Arial"/>
                <w:b/>
                <w:bCs/>
                <w:color w:val="000000" w:themeColor="text1"/>
                <w:sz w:val="24"/>
                <w:szCs w:val="24"/>
                <w:lang w:val="en-GB"/>
              </w:rPr>
              <w:t>Assignment Mark</w:t>
            </w: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6786"/>
              <w:gridCol w:w="1591"/>
            </w:tblGrid>
            <w:tr w:rsidR="25BBD5AB" w14:paraId="4F6F33A2"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6CEFD608" w14:textId="4F792C8A" w:rsidR="25BBD5AB" w:rsidRDefault="25BBD5AB" w:rsidP="25BBD5AB">
                  <w:pPr>
                    <w:spacing w:after="0" w:line="240" w:lineRule="auto"/>
                    <w:rPr>
                      <w:rFonts w:ascii="Arial" w:eastAsia="Arial" w:hAnsi="Arial" w:cs="Arial"/>
                      <w:sz w:val="20"/>
                      <w:szCs w:val="20"/>
                    </w:rPr>
                  </w:pPr>
                </w:p>
                <w:p w14:paraId="0F0978D8" w14:textId="469B6440"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1</w:t>
                  </w:r>
                  <w:r w:rsidRPr="25BBD5AB">
                    <w:rPr>
                      <w:rFonts w:ascii="Arial" w:eastAsia="Arial" w:hAnsi="Arial" w:cs="Arial"/>
                      <w:sz w:val="20"/>
                      <w:szCs w:val="20"/>
                      <w:vertAlign w:val="superscript"/>
                      <w:lang w:val="en-GB"/>
                    </w:rPr>
                    <w:t>st</w:t>
                  </w:r>
                  <w:r w:rsidRPr="25BBD5AB">
                    <w:rPr>
                      <w:rFonts w:ascii="Arial" w:eastAsia="Arial" w:hAnsi="Arial" w:cs="Arial"/>
                      <w:sz w:val="20"/>
                      <w:szCs w:val="20"/>
                      <w:lang w:val="en-GB"/>
                    </w:rPr>
                    <w:t xml:space="preserve"> Marker’s Provisional mark</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53D43EE1" w14:textId="20A147BC" w:rsidR="25BBD5AB" w:rsidRDefault="25BBD5AB" w:rsidP="25BBD5AB">
                  <w:pPr>
                    <w:spacing w:after="0" w:line="240" w:lineRule="auto"/>
                    <w:rPr>
                      <w:rFonts w:ascii="Arial" w:eastAsia="Arial" w:hAnsi="Arial" w:cs="Arial"/>
                      <w:sz w:val="20"/>
                      <w:szCs w:val="20"/>
                    </w:rPr>
                  </w:pPr>
                </w:p>
              </w:tc>
            </w:tr>
            <w:tr w:rsidR="25BBD5AB" w14:paraId="4EB0FBDC"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17BD758D" w14:textId="422B0AB8" w:rsidR="25BBD5AB" w:rsidRDefault="25BBD5AB" w:rsidP="25BBD5AB">
                  <w:pPr>
                    <w:spacing w:after="0" w:line="240" w:lineRule="auto"/>
                    <w:rPr>
                      <w:rFonts w:ascii="Arial" w:eastAsia="Arial" w:hAnsi="Arial" w:cs="Arial"/>
                      <w:sz w:val="20"/>
                      <w:szCs w:val="20"/>
                    </w:rPr>
                  </w:pPr>
                </w:p>
                <w:p w14:paraId="40BBAE81" w14:textId="5FEA12A9"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2</w:t>
                  </w:r>
                  <w:r w:rsidRPr="25BBD5AB">
                    <w:rPr>
                      <w:rFonts w:ascii="Arial" w:eastAsia="Arial" w:hAnsi="Arial" w:cs="Arial"/>
                      <w:sz w:val="20"/>
                      <w:szCs w:val="20"/>
                      <w:vertAlign w:val="superscript"/>
                      <w:lang w:val="en-GB"/>
                    </w:rPr>
                    <w:t>nd</w:t>
                  </w:r>
                  <w:r w:rsidRPr="25BBD5AB">
                    <w:rPr>
                      <w:rFonts w:ascii="Arial" w:eastAsia="Arial" w:hAnsi="Arial" w:cs="Arial"/>
                      <w:sz w:val="20"/>
                      <w:szCs w:val="20"/>
                      <w:lang w:val="en-GB"/>
                    </w:rPr>
                    <w:t xml:space="preserve"> Marker’s/Moderator’s provisional mark</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0F65E07F" w14:textId="23EF1191" w:rsidR="25BBD5AB" w:rsidRDefault="25BBD5AB" w:rsidP="25BBD5AB">
                  <w:pPr>
                    <w:spacing w:after="0" w:line="240" w:lineRule="auto"/>
                    <w:rPr>
                      <w:rFonts w:ascii="Arial" w:eastAsia="Arial" w:hAnsi="Arial" w:cs="Arial"/>
                      <w:sz w:val="20"/>
                      <w:szCs w:val="20"/>
                    </w:rPr>
                  </w:pPr>
                </w:p>
              </w:tc>
            </w:tr>
            <w:tr w:rsidR="25BBD5AB" w14:paraId="3AC3F176"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2D4A3C05" w14:textId="1396B7EF" w:rsidR="25BBD5AB" w:rsidRDefault="25BBD5AB" w:rsidP="25BBD5AB">
                  <w:pPr>
                    <w:spacing w:after="0" w:line="240" w:lineRule="auto"/>
                    <w:rPr>
                      <w:rFonts w:ascii="Arial" w:eastAsia="Arial" w:hAnsi="Arial" w:cs="Arial"/>
                      <w:sz w:val="20"/>
                      <w:szCs w:val="20"/>
                    </w:rPr>
                  </w:pPr>
                </w:p>
                <w:p w14:paraId="50FE1E5D" w14:textId="1E09AFBB"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External Examiner’s mark (if relevant)</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56E7F85F" w14:textId="4A16F1FC" w:rsidR="25BBD5AB" w:rsidRDefault="25BBD5AB" w:rsidP="25BBD5AB">
                  <w:pPr>
                    <w:spacing w:after="0" w:line="240" w:lineRule="auto"/>
                    <w:rPr>
                      <w:rFonts w:ascii="Arial" w:eastAsia="Arial" w:hAnsi="Arial" w:cs="Arial"/>
                      <w:sz w:val="20"/>
                      <w:szCs w:val="20"/>
                    </w:rPr>
                  </w:pPr>
                </w:p>
              </w:tc>
            </w:tr>
            <w:tr w:rsidR="25BBD5AB" w14:paraId="68322038"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45F1F9FA" w14:textId="1ACEC871" w:rsidR="25BBD5AB" w:rsidRDefault="25BBD5AB" w:rsidP="25BBD5AB">
                  <w:pPr>
                    <w:spacing w:after="0" w:line="240" w:lineRule="auto"/>
                    <w:rPr>
                      <w:rFonts w:ascii="Arial" w:eastAsia="Arial" w:hAnsi="Arial" w:cs="Arial"/>
                      <w:sz w:val="20"/>
                      <w:szCs w:val="20"/>
                    </w:rPr>
                  </w:pPr>
                </w:p>
                <w:p w14:paraId="032F0318" w14:textId="539D0CEC" w:rsidR="25BBD5AB" w:rsidRDefault="25BBD5AB" w:rsidP="25BBD5AB">
                  <w:pPr>
                    <w:spacing w:after="0" w:line="240" w:lineRule="auto"/>
                    <w:rPr>
                      <w:rFonts w:ascii="Arial" w:eastAsia="Arial" w:hAnsi="Arial" w:cs="Arial"/>
                      <w:sz w:val="20"/>
                      <w:szCs w:val="20"/>
                    </w:rPr>
                  </w:pPr>
                  <w:r w:rsidRPr="25BBD5AB">
                    <w:rPr>
                      <w:rFonts w:ascii="Arial" w:eastAsia="Arial" w:hAnsi="Arial" w:cs="Arial"/>
                      <w:b/>
                      <w:bCs/>
                      <w:sz w:val="20"/>
                      <w:szCs w:val="20"/>
                      <w:lang w:val="en-GB"/>
                    </w:rPr>
                    <w:t>Final Mark</w:t>
                  </w:r>
                </w:p>
                <w:p w14:paraId="641A306B" w14:textId="36B3798C" w:rsidR="25BBD5AB" w:rsidRDefault="25BBD5AB" w:rsidP="25BBD5AB">
                  <w:pPr>
                    <w:spacing w:after="0" w:line="240" w:lineRule="auto"/>
                    <w:rPr>
                      <w:rFonts w:ascii="Arial" w:eastAsia="Arial" w:hAnsi="Arial" w:cs="Arial"/>
                      <w:sz w:val="20"/>
                      <w:szCs w:val="20"/>
                    </w:rPr>
                  </w:pP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68B48CEE" w14:textId="63295311" w:rsidR="25BBD5AB" w:rsidRDefault="25BBD5AB" w:rsidP="25BBD5AB">
                  <w:pPr>
                    <w:spacing w:after="0" w:line="240" w:lineRule="auto"/>
                    <w:rPr>
                      <w:rFonts w:ascii="Arial" w:eastAsia="Arial" w:hAnsi="Arial" w:cs="Arial"/>
                      <w:sz w:val="20"/>
                      <w:szCs w:val="20"/>
                    </w:rPr>
                  </w:pPr>
                </w:p>
              </w:tc>
            </w:tr>
          </w:tbl>
          <w:p w14:paraId="38BF4B9F" w14:textId="44CE9A25" w:rsidR="25BBD5AB" w:rsidRDefault="25BBD5AB" w:rsidP="25BBD5AB">
            <w:pPr>
              <w:spacing w:after="0" w:line="240" w:lineRule="auto"/>
              <w:ind w:left="142" w:right="34"/>
              <w:rPr>
                <w:rFonts w:ascii="Arial" w:eastAsia="Arial" w:hAnsi="Arial" w:cs="Arial"/>
                <w:color w:val="000000" w:themeColor="text1"/>
              </w:rPr>
            </w:pPr>
          </w:p>
          <w:p w14:paraId="2A6A12BA" w14:textId="2A774B68" w:rsidR="25BBD5AB" w:rsidRDefault="25BBD5AB" w:rsidP="25BBD5AB">
            <w:pPr>
              <w:pStyle w:val="NormalWeb"/>
              <w:spacing w:before="0" w:beforeAutospacing="0" w:after="0" w:afterAutospacing="0"/>
              <w:ind w:left="142" w:right="34"/>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NB.</w:t>
            </w:r>
            <w:r w:rsidRPr="25BBD5AB">
              <w:rPr>
                <w:rFonts w:ascii="Arial" w:eastAsia="Arial" w:hAnsi="Arial" w:cs="Arial"/>
                <w:color w:val="000000" w:themeColor="text1"/>
                <w:sz w:val="22"/>
                <w:szCs w:val="22"/>
              </w:rPr>
              <w:t xml:space="preserve">  All marks are provisional until confirmed by the Final Examination Board.</w:t>
            </w:r>
          </w:p>
          <w:p w14:paraId="03AB55BE" w14:textId="1DAA5308" w:rsidR="25BBD5AB" w:rsidRDefault="25BBD5AB" w:rsidP="25BBD5AB">
            <w:pPr>
              <w:spacing w:after="0" w:line="240" w:lineRule="auto"/>
              <w:rPr>
                <w:rFonts w:ascii="Arial" w:eastAsia="Arial" w:hAnsi="Arial" w:cs="Arial"/>
                <w:color w:val="000000" w:themeColor="text1"/>
              </w:rPr>
            </w:pPr>
          </w:p>
          <w:p w14:paraId="1367CBF9" w14:textId="52CC52E0" w:rsidR="25BBD5AB" w:rsidRDefault="25BBD5AB" w:rsidP="25BBD5AB">
            <w:pPr>
              <w:spacing w:after="0" w:line="240" w:lineRule="auto"/>
              <w:rPr>
                <w:rFonts w:ascii="Arial" w:eastAsia="Arial" w:hAnsi="Arial" w:cs="Arial"/>
                <w:color w:val="000000" w:themeColor="text1"/>
              </w:rPr>
            </w:pPr>
          </w:p>
          <w:p w14:paraId="492AD907" w14:textId="1C5992BF" w:rsidR="25BBD5AB" w:rsidRDefault="25BBD5AB" w:rsidP="25BBD5AB">
            <w:pPr>
              <w:spacing w:after="0" w:line="240" w:lineRule="auto"/>
              <w:rPr>
                <w:rFonts w:ascii="Arial" w:eastAsia="Arial" w:hAnsi="Arial" w:cs="Arial"/>
                <w:color w:val="000000" w:themeColor="text1"/>
              </w:rPr>
            </w:pPr>
          </w:p>
          <w:p w14:paraId="7098DE82" w14:textId="4B50AE85" w:rsidR="25BBD5AB" w:rsidRDefault="25BBD5AB" w:rsidP="25BBD5AB">
            <w:pPr>
              <w:spacing w:after="0" w:line="240" w:lineRule="auto"/>
              <w:rPr>
                <w:rFonts w:ascii="Arial" w:eastAsia="Arial" w:hAnsi="Arial" w:cs="Arial"/>
                <w:color w:val="000000" w:themeColor="text1"/>
              </w:rPr>
            </w:pPr>
          </w:p>
          <w:p w14:paraId="7BECD919" w14:textId="213E4276" w:rsidR="25BBD5AB" w:rsidRDefault="25BBD5AB" w:rsidP="25BBD5AB">
            <w:pPr>
              <w:spacing w:after="0" w:line="240" w:lineRule="auto"/>
              <w:rPr>
                <w:rFonts w:ascii="Arial" w:eastAsia="Arial" w:hAnsi="Arial" w:cs="Arial"/>
                <w:color w:val="000000" w:themeColor="text1"/>
              </w:rPr>
            </w:pPr>
          </w:p>
          <w:p w14:paraId="469404BD" w14:textId="6C5D17C0" w:rsidR="25BBD5AB" w:rsidRDefault="25BBD5AB" w:rsidP="25BBD5AB">
            <w:pPr>
              <w:pStyle w:val="NormalWeb"/>
              <w:spacing w:before="0" w:beforeAutospacing="0" w:after="0" w:afterAutospacing="0"/>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For completion by Marker 1 :</w:t>
            </w:r>
          </w:p>
          <w:p w14:paraId="57BF510D" w14:textId="60B467E3" w:rsidR="25BBD5AB" w:rsidRDefault="25BBD5AB" w:rsidP="25BBD5AB">
            <w:pPr>
              <w:pStyle w:val="NormalWeb"/>
              <w:spacing w:after="0"/>
              <w:rPr>
                <w:rFonts w:ascii="Arial" w:eastAsia="Arial" w:hAnsi="Arial" w:cs="Arial"/>
                <w:color w:val="000000" w:themeColor="text1"/>
                <w:sz w:val="22"/>
                <w:szCs w:val="22"/>
              </w:rPr>
            </w:pPr>
            <w:r w:rsidRPr="25BBD5AB">
              <w:rPr>
                <w:rFonts w:ascii="Arial" w:eastAsia="Arial" w:hAnsi="Arial" w:cs="Arial"/>
                <w:color w:val="000000" w:themeColor="text1"/>
                <w:sz w:val="22"/>
                <w:szCs w:val="22"/>
              </w:rPr>
              <w:t>Comments:</w:t>
            </w:r>
          </w:p>
          <w:p w14:paraId="72ED001F" w14:textId="2AA25448" w:rsidR="25BBD5AB" w:rsidRDefault="25BBD5AB" w:rsidP="25BBD5AB">
            <w:pPr>
              <w:spacing w:beforeAutospacing="1" w:after="0" w:afterAutospacing="1" w:line="240" w:lineRule="auto"/>
              <w:rPr>
                <w:rFonts w:ascii="Arial" w:eastAsia="Arial" w:hAnsi="Arial" w:cs="Arial"/>
                <w:color w:val="000000" w:themeColor="text1"/>
              </w:rPr>
            </w:pPr>
          </w:p>
        </w:tc>
      </w:tr>
      <w:tr w:rsidR="25BBD5AB" w14:paraId="12F07546" w14:textId="77777777" w:rsidTr="25BBD5AB">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48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1EBB0C88" w14:textId="3F4DAD0D" w:rsidR="25BBD5AB" w:rsidRDefault="25BBD5AB" w:rsidP="25BBD5AB">
            <w:pPr>
              <w:pStyle w:val="NormalWeb"/>
              <w:spacing w:after="0"/>
              <w:ind w:left="142" w:right="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Marker’s signature:</w:t>
            </w:r>
          </w:p>
        </w:tc>
      </w:tr>
      <w:tr w:rsidR="25BBD5AB" w14:paraId="75702E0D" w14:textId="77777777" w:rsidTr="25BBD5AB">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30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6F1A1235" w14:textId="776D02B4" w:rsidR="25BBD5AB" w:rsidRDefault="25BBD5AB" w:rsidP="25BBD5AB">
            <w:pPr>
              <w:spacing w:after="0" w:line="240" w:lineRule="auto"/>
              <w:ind w:right="-334"/>
              <w:rPr>
                <w:rFonts w:ascii="Arial" w:eastAsia="Arial" w:hAnsi="Arial" w:cs="Arial"/>
                <w:color w:val="000000" w:themeColor="text1"/>
              </w:rPr>
            </w:pPr>
          </w:p>
          <w:p w14:paraId="1B79793A" w14:textId="482BF929"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For completion by Marker 2/Moderator:</w:t>
            </w:r>
          </w:p>
          <w:p w14:paraId="5ED70172" w14:textId="708838CF" w:rsidR="25BBD5AB" w:rsidRDefault="25BBD5AB" w:rsidP="25BBD5AB">
            <w:pPr>
              <w:spacing w:after="0" w:line="240" w:lineRule="auto"/>
              <w:ind w:right="-334"/>
              <w:rPr>
                <w:rFonts w:ascii="Arial" w:eastAsia="Arial" w:hAnsi="Arial" w:cs="Arial"/>
                <w:color w:val="000000" w:themeColor="text1"/>
              </w:rPr>
            </w:pPr>
          </w:p>
          <w:p w14:paraId="346A24C2" w14:textId="29B8E878"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Comments:</w:t>
            </w:r>
          </w:p>
          <w:p w14:paraId="678ECAF1" w14:textId="34F644D1" w:rsidR="25BBD5AB" w:rsidRDefault="25BBD5AB" w:rsidP="25BBD5AB">
            <w:pPr>
              <w:spacing w:after="0" w:line="240" w:lineRule="auto"/>
              <w:ind w:right="-334"/>
              <w:rPr>
                <w:rFonts w:ascii="Arial" w:eastAsia="Arial" w:hAnsi="Arial" w:cs="Arial"/>
                <w:color w:val="000000" w:themeColor="text1"/>
              </w:rPr>
            </w:pPr>
          </w:p>
          <w:p w14:paraId="2BD6DD3B" w14:textId="20192BC7" w:rsidR="25BBD5AB" w:rsidRDefault="25BBD5AB" w:rsidP="25BBD5AB">
            <w:pPr>
              <w:spacing w:after="0" w:line="240" w:lineRule="auto"/>
              <w:ind w:right="-334"/>
              <w:rPr>
                <w:rFonts w:ascii="Arial" w:eastAsia="Arial" w:hAnsi="Arial" w:cs="Arial"/>
                <w:color w:val="000000" w:themeColor="text1"/>
              </w:rPr>
            </w:pPr>
          </w:p>
          <w:p w14:paraId="7A8EB6F3" w14:textId="248608F3" w:rsidR="25BBD5AB" w:rsidRDefault="25BBD5AB" w:rsidP="25BBD5AB">
            <w:pPr>
              <w:spacing w:after="0" w:line="240" w:lineRule="auto"/>
              <w:ind w:right="-334"/>
              <w:rPr>
                <w:rFonts w:ascii="Arial" w:eastAsia="Arial" w:hAnsi="Arial" w:cs="Arial"/>
                <w:color w:val="000000" w:themeColor="text1"/>
              </w:rPr>
            </w:pPr>
          </w:p>
          <w:p w14:paraId="142D27C9" w14:textId="253A2CFB" w:rsidR="25BBD5AB" w:rsidRDefault="25BBD5AB" w:rsidP="25BBD5AB">
            <w:pPr>
              <w:spacing w:after="0" w:line="240" w:lineRule="auto"/>
              <w:ind w:right="-334"/>
              <w:rPr>
                <w:rFonts w:ascii="Arial" w:eastAsia="Arial" w:hAnsi="Arial" w:cs="Arial"/>
                <w:color w:val="000000" w:themeColor="text1"/>
              </w:rPr>
            </w:pPr>
          </w:p>
          <w:p w14:paraId="16D1C928" w14:textId="0674B632" w:rsidR="25BBD5AB" w:rsidRDefault="25BBD5AB" w:rsidP="25BBD5AB">
            <w:pPr>
              <w:spacing w:after="0" w:line="240" w:lineRule="auto"/>
              <w:ind w:right="-334"/>
              <w:rPr>
                <w:rFonts w:ascii="Arial" w:eastAsia="Arial" w:hAnsi="Arial" w:cs="Arial"/>
                <w:color w:val="000000" w:themeColor="text1"/>
              </w:rPr>
            </w:pPr>
          </w:p>
          <w:p w14:paraId="4174F48E" w14:textId="42198F31" w:rsidR="25BBD5AB" w:rsidRDefault="25BBD5AB" w:rsidP="25BBD5AB">
            <w:pPr>
              <w:spacing w:after="0" w:line="240" w:lineRule="auto"/>
              <w:ind w:right="-334"/>
              <w:rPr>
                <w:rFonts w:ascii="Arial" w:eastAsia="Arial" w:hAnsi="Arial" w:cs="Arial"/>
                <w:color w:val="000000" w:themeColor="text1"/>
              </w:rPr>
            </w:pPr>
          </w:p>
          <w:p w14:paraId="7405CBA4" w14:textId="11C7C8D0" w:rsidR="25BBD5AB" w:rsidRDefault="25BBD5AB" w:rsidP="25BBD5AB">
            <w:pPr>
              <w:spacing w:after="0" w:line="240" w:lineRule="auto"/>
              <w:ind w:right="-334"/>
              <w:rPr>
                <w:rFonts w:ascii="Arial" w:eastAsia="Arial" w:hAnsi="Arial" w:cs="Arial"/>
                <w:color w:val="000000" w:themeColor="text1"/>
              </w:rPr>
            </w:pPr>
          </w:p>
          <w:p w14:paraId="2B3DAB9D" w14:textId="060002A7" w:rsidR="25BBD5AB" w:rsidRDefault="25BBD5AB" w:rsidP="25BBD5AB">
            <w:pPr>
              <w:spacing w:after="0" w:line="240" w:lineRule="auto"/>
              <w:ind w:right="-334"/>
              <w:rPr>
                <w:rFonts w:ascii="Arial" w:eastAsia="Arial" w:hAnsi="Arial" w:cs="Arial"/>
                <w:color w:val="000000" w:themeColor="text1"/>
              </w:rPr>
            </w:pPr>
          </w:p>
          <w:p w14:paraId="4F317E77" w14:textId="732B3973" w:rsidR="25BBD5AB" w:rsidRDefault="25BBD5AB" w:rsidP="25BBD5AB">
            <w:pPr>
              <w:spacing w:after="0" w:line="240" w:lineRule="auto"/>
              <w:ind w:right="-334"/>
              <w:rPr>
                <w:rFonts w:ascii="Arial" w:eastAsia="Arial" w:hAnsi="Arial" w:cs="Arial"/>
                <w:color w:val="000000" w:themeColor="text1"/>
              </w:rPr>
            </w:pPr>
          </w:p>
          <w:p w14:paraId="7D086E9F" w14:textId="59EE673F" w:rsidR="25BBD5AB" w:rsidRDefault="25BBD5AB" w:rsidP="25BBD5AB">
            <w:pPr>
              <w:spacing w:after="0" w:line="240" w:lineRule="auto"/>
              <w:ind w:right="-334"/>
              <w:rPr>
                <w:rFonts w:ascii="Arial" w:eastAsia="Arial" w:hAnsi="Arial" w:cs="Arial"/>
                <w:color w:val="000000" w:themeColor="text1"/>
              </w:rPr>
            </w:pPr>
          </w:p>
          <w:p w14:paraId="7D00BBDD" w14:textId="49F8A137" w:rsidR="25BBD5AB" w:rsidRDefault="25BBD5AB" w:rsidP="25BBD5AB">
            <w:pPr>
              <w:spacing w:after="0" w:line="240" w:lineRule="auto"/>
              <w:ind w:right="-334"/>
              <w:rPr>
                <w:rFonts w:ascii="Arial" w:eastAsia="Arial" w:hAnsi="Arial" w:cs="Arial"/>
                <w:color w:val="000000" w:themeColor="text1"/>
              </w:rPr>
            </w:pPr>
          </w:p>
          <w:p w14:paraId="42C63227" w14:textId="26F15586" w:rsidR="25BBD5AB" w:rsidRDefault="25BBD5AB" w:rsidP="25BBD5AB">
            <w:pPr>
              <w:spacing w:after="0" w:line="240" w:lineRule="auto"/>
              <w:ind w:right="-334"/>
              <w:rPr>
                <w:rFonts w:ascii="Arial" w:eastAsia="Arial" w:hAnsi="Arial" w:cs="Arial"/>
                <w:color w:val="000000" w:themeColor="text1"/>
              </w:rPr>
            </w:pPr>
          </w:p>
        </w:tc>
      </w:tr>
      <w:tr w:rsidR="25BBD5AB" w14:paraId="0A406ADC" w14:textId="77777777" w:rsidTr="56F2B6EC">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51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7F0BCCB6" w14:textId="44FF206C"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Marker’s Signature:</w:t>
            </w:r>
          </w:p>
        </w:tc>
        <w:tc>
          <w:tcPr>
            <w:tcW w:w="515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9F1811F" w14:textId="77777777" w:rsidR="00A44BCC" w:rsidRDefault="00A44BCC"/>
        </w:tc>
      </w:tr>
      <w:tr w:rsidR="25BBD5AB" w14:paraId="6AD10D2B" w14:textId="77777777" w:rsidTr="25BBD5AB">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ECD3DA4" w14:textId="323A27A3" w:rsidR="25BBD5AB" w:rsidRDefault="25BBD5AB" w:rsidP="25BBD5AB">
            <w:pPr>
              <w:spacing w:after="0" w:line="240" w:lineRule="auto"/>
              <w:rPr>
                <w:rFonts w:ascii="Arial" w:eastAsia="Arial" w:hAnsi="Arial" w:cs="Arial"/>
                <w:color w:val="000000" w:themeColor="text1"/>
              </w:rPr>
            </w:pPr>
            <w:r w:rsidRPr="25BBD5AB">
              <w:rPr>
                <w:rFonts w:ascii="Arial" w:eastAsia="Arial" w:hAnsi="Arial" w:cs="Arial"/>
                <w:b/>
                <w:bCs/>
                <w:color w:val="000000" w:themeColor="text1"/>
                <w:lang w:val="en-GB"/>
              </w:rPr>
              <w:t>External Examiner’s comments (if relevant)</w:t>
            </w:r>
          </w:p>
          <w:p w14:paraId="26136B45" w14:textId="36B8D423" w:rsidR="25BBD5AB" w:rsidRDefault="25BBD5AB" w:rsidP="25BBD5AB">
            <w:pPr>
              <w:spacing w:after="0" w:line="240" w:lineRule="auto"/>
              <w:ind w:right="-334"/>
              <w:rPr>
                <w:rFonts w:ascii="Arial" w:eastAsia="Arial" w:hAnsi="Arial" w:cs="Arial"/>
                <w:color w:val="000000" w:themeColor="text1"/>
              </w:rPr>
            </w:pPr>
          </w:p>
          <w:p w14:paraId="3BBB9FBB" w14:textId="2E9DDE40" w:rsidR="25BBD5AB" w:rsidRDefault="25BBD5AB" w:rsidP="25BBD5AB">
            <w:pPr>
              <w:spacing w:after="0" w:line="240" w:lineRule="auto"/>
              <w:ind w:right="-334"/>
              <w:rPr>
                <w:rFonts w:ascii="Arial" w:eastAsia="Arial" w:hAnsi="Arial" w:cs="Arial"/>
                <w:color w:val="000000" w:themeColor="text1"/>
              </w:rPr>
            </w:pPr>
          </w:p>
          <w:p w14:paraId="6741313C" w14:textId="0695710C" w:rsidR="25BBD5AB" w:rsidRDefault="25BBD5AB" w:rsidP="25BBD5AB">
            <w:pPr>
              <w:spacing w:after="0" w:line="240" w:lineRule="auto"/>
              <w:ind w:right="-334"/>
              <w:rPr>
                <w:rFonts w:ascii="Arial" w:eastAsia="Arial" w:hAnsi="Arial" w:cs="Arial"/>
                <w:color w:val="000000" w:themeColor="text1"/>
              </w:rPr>
            </w:pPr>
          </w:p>
          <w:p w14:paraId="34CC7CD5" w14:textId="143FEA6B" w:rsidR="25BBD5AB" w:rsidRDefault="25BBD5AB" w:rsidP="25BBD5AB">
            <w:pPr>
              <w:spacing w:after="0" w:line="240" w:lineRule="auto"/>
              <w:ind w:right="-334"/>
              <w:rPr>
                <w:rFonts w:ascii="Arial" w:eastAsia="Arial" w:hAnsi="Arial" w:cs="Arial"/>
                <w:color w:val="000000" w:themeColor="text1"/>
              </w:rPr>
            </w:pPr>
          </w:p>
          <w:p w14:paraId="627E4F0A" w14:textId="7F929724" w:rsidR="25BBD5AB" w:rsidRDefault="25BBD5AB" w:rsidP="25BBD5AB">
            <w:pPr>
              <w:spacing w:after="0" w:line="240" w:lineRule="auto"/>
              <w:ind w:right="-334"/>
              <w:rPr>
                <w:rFonts w:ascii="Arial" w:eastAsia="Arial" w:hAnsi="Arial" w:cs="Arial"/>
                <w:color w:val="000000" w:themeColor="text1"/>
              </w:rPr>
            </w:pPr>
          </w:p>
          <w:p w14:paraId="78F67C67" w14:textId="3273FCB0" w:rsidR="25BBD5AB" w:rsidRDefault="25BBD5AB" w:rsidP="25BBD5AB">
            <w:pPr>
              <w:spacing w:after="0" w:line="240" w:lineRule="auto"/>
              <w:ind w:right="-334"/>
              <w:rPr>
                <w:rFonts w:ascii="Arial" w:eastAsia="Arial" w:hAnsi="Arial" w:cs="Arial"/>
                <w:color w:val="000000" w:themeColor="text1"/>
              </w:rPr>
            </w:pPr>
          </w:p>
          <w:p w14:paraId="4E8DC8D4" w14:textId="43E8B492" w:rsidR="25BBD5AB" w:rsidRDefault="25BBD5AB" w:rsidP="25BBD5AB">
            <w:pPr>
              <w:spacing w:after="0" w:line="240" w:lineRule="auto"/>
              <w:ind w:right="-334"/>
              <w:rPr>
                <w:rFonts w:ascii="Arial" w:eastAsia="Arial" w:hAnsi="Arial" w:cs="Arial"/>
                <w:color w:val="000000" w:themeColor="text1"/>
              </w:rPr>
            </w:pPr>
          </w:p>
          <w:p w14:paraId="2961BE57" w14:textId="7A7711DA" w:rsidR="25BBD5AB" w:rsidRDefault="25BBD5AB" w:rsidP="25BBD5AB">
            <w:pPr>
              <w:spacing w:after="0" w:line="240" w:lineRule="auto"/>
              <w:ind w:right="-334"/>
              <w:rPr>
                <w:rFonts w:ascii="Arial" w:eastAsia="Arial" w:hAnsi="Arial" w:cs="Arial"/>
                <w:color w:val="000000" w:themeColor="text1"/>
              </w:rPr>
            </w:pPr>
          </w:p>
          <w:p w14:paraId="250BEDC8" w14:textId="6EA87764" w:rsidR="25BBD5AB" w:rsidRDefault="25BBD5AB" w:rsidP="25BBD5AB">
            <w:pPr>
              <w:spacing w:after="0" w:line="240" w:lineRule="auto"/>
              <w:ind w:right="-334"/>
              <w:rPr>
                <w:rFonts w:ascii="Arial" w:eastAsia="Arial" w:hAnsi="Arial" w:cs="Arial"/>
                <w:color w:val="000000" w:themeColor="text1"/>
              </w:rPr>
            </w:pPr>
          </w:p>
          <w:p w14:paraId="570AFE49" w14:textId="663217BC" w:rsidR="25BBD5AB" w:rsidRDefault="25BBD5AB" w:rsidP="25BBD5AB">
            <w:pPr>
              <w:spacing w:after="0" w:line="240" w:lineRule="auto"/>
              <w:rPr>
                <w:rFonts w:ascii="Times New Roman" w:eastAsia="Times New Roman" w:hAnsi="Times New Roman" w:cs="Times New Roman"/>
                <w:color w:val="000000" w:themeColor="text1"/>
                <w:sz w:val="24"/>
                <w:szCs w:val="24"/>
              </w:rPr>
            </w:pPr>
          </w:p>
          <w:p w14:paraId="0273C780" w14:textId="29A38160" w:rsidR="25BBD5AB" w:rsidRDefault="25BBD5AB" w:rsidP="25BBD5AB">
            <w:pPr>
              <w:spacing w:after="0" w:line="240" w:lineRule="auto"/>
              <w:ind w:right="-334"/>
              <w:rPr>
                <w:rFonts w:ascii="Arial" w:eastAsia="Arial" w:hAnsi="Arial" w:cs="Arial"/>
                <w:color w:val="000000" w:themeColor="text1"/>
              </w:rPr>
            </w:pPr>
          </w:p>
          <w:p w14:paraId="31C9550F" w14:textId="78F5AB43" w:rsidR="25BBD5AB" w:rsidRDefault="25BBD5AB" w:rsidP="25BBD5AB">
            <w:pPr>
              <w:spacing w:after="0" w:line="240" w:lineRule="auto"/>
              <w:ind w:right="-334"/>
              <w:rPr>
                <w:rFonts w:ascii="Arial" w:eastAsia="Arial" w:hAnsi="Arial" w:cs="Arial"/>
                <w:color w:val="000000" w:themeColor="text1"/>
              </w:rPr>
            </w:pPr>
          </w:p>
        </w:tc>
      </w:tr>
      <w:tr w:rsidR="25BBD5AB" w14:paraId="3C13CAB9" w14:textId="77777777" w:rsidTr="56F2B6EC">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51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2BA6EFE" w14:textId="660A7B27" w:rsidR="25BBD5AB" w:rsidRDefault="25BBD5AB" w:rsidP="25BBD5AB">
            <w:pPr>
              <w:spacing w:after="0" w:line="240" w:lineRule="auto"/>
              <w:rPr>
                <w:rFonts w:ascii="Arial" w:eastAsia="Arial" w:hAnsi="Arial" w:cs="Arial"/>
                <w:color w:val="000000" w:themeColor="text1"/>
              </w:rPr>
            </w:pPr>
            <w:r w:rsidRPr="25BBD5AB">
              <w:rPr>
                <w:rFonts w:ascii="Arial" w:eastAsia="Arial" w:hAnsi="Arial" w:cs="Arial"/>
                <w:color w:val="000000" w:themeColor="text1"/>
                <w:lang w:val="en-GB"/>
              </w:rPr>
              <w:t>External Examiner’s Signature:</w:t>
            </w:r>
          </w:p>
        </w:tc>
        <w:tc>
          <w:tcPr>
            <w:tcW w:w="515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109B325E" w14:textId="77777777" w:rsidR="00A44BCC" w:rsidRDefault="00A44BCC"/>
        </w:tc>
      </w:tr>
    </w:tbl>
    <w:p w14:paraId="3439B6A9" w14:textId="05A14AC6" w:rsidR="002F7F19" w:rsidRDefault="002F7F19"/>
    <w:p w14:paraId="25214D8F" w14:textId="77777777" w:rsidR="002F7F19" w:rsidRDefault="002F7F19"/>
    <w:p w14:paraId="1344EF45" w14:textId="7905788C" w:rsidR="002F7F19" w:rsidRDefault="002F7F19" w:rsidP="04D7BB67">
      <w:pPr>
        <w:spacing w:after="0" w:line="240" w:lineRule="auto"/>
        <w:ind w:right="-334"/>
        <w:rPr>
          <w:rFonts w:ascii="Trebuchet MS" w:eastAsia="Trebuchet MS" w:hAnsi="Trebuchet MS" w:cs="Trebuchet MS"/>
          <w:color w:val="000000" w:themeColor="text1"/>
          <w:sz w:val="24"/>
          <w:szCs w:val="24"/>
        </w:rPr>
      </w:pPr>
    </w:p>
    <w:p w14:paraId="5B2CB2BC" w14:textId="4E216722"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Essay 3</w:t>
      </w:r>
    </w:p>
    <w:p w14:paraId="78F2DE8B" w14:textId="4E6D03E4"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29</w:t>
      </w:r>
      <w:r w:rsidRPr="04D7BB67">
        <w:rPr>
          <w:rFonts w:ascii="Aptos" w:eastAsia="Aptos" w:hAnsi="Aptos" w:cs="Aptos"/>
          <w:color w:val="000000" w:themeColor="text1"/>
          <w:sz w:val="24"/>
          <w:szCs w:val="24"/>
          <w:vertAlign w:val="superscript"/>
          <w:lang w:val="en-GB"/>
        </w:rPr>
        <w:t>th</w:t>
      </w:r>
      <w:r w:rsidRPr="04D7BB67">
        <w:rPr>
          <w:rFonts w:ascii="Aptos" w:eastAsia="Aptos" w:hAnsi="Aptos" w:cs="Aptos"/>
          <w:color w:val="000000" w:themeColor="text1"/>
          <w:sz w:val="24"/>
          <w:szCs w:val="24"/>
          <w:lang w:val="en-GB"/>
        </w:rPr>
        <w:t xml:space="preserve"> December 2025</w:t>
      </w:r>
    </w:p>
    <w:p w14:paraId="29767BCE" w14:textId="111B7D93"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u w:val="single"/>
          <w:lang w:val="en-GB"/>
        </w:rPr>
        <w:t>Are Perceptions of the Cosmos Culturally Conditioned?</w:t>
      </w:r>
    </w:p>
    <w:p w14:paraId="622AE2E3" w14:textId="0607F965" w:rsidR="002F7F19" w:rsidRDefault="002F7F19" w:rsidP="04D7BB67">
      <w:pPr>
        <w:spacing w:after="0" w:line="240" w:lineRule="auto"/>
        <w:rPr>
          <w:rFonts w:ascii="Aptos" w:eastAsia="Aptos" w:hAnsi="Aptos" w:cs="Aptos"/>
          <w:color w:val="000000" w:themeColor="text1"/>
          <w:sz w:val="24"/>
          <w:szCs w:val="24"/>
        </w:rPr>
      </w:pPr>
    </w:p>
    <w:p w14:paraId="42E708FE" w14:textId="123E6861"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 xml:space="preserve">Cultural astronomy: the use of astronomical knowledge, beliefs or theories to inspire, inform or influence social forms and ideologies, or any aspect of human behaviour. </w:t>
      </w:r>
    </w:p>
    <w:p w14:paraId="52D137A7" w14:textId="4A0EDF3B" w:rsidR="002F7F19" w:rsidRDefault="4A68C70F" w:rsidP="04D7BB67">
      <w:pPr>
        <w:spacing w:after="0" w:line="240" w:lineRule="auto"/>
        <w:rPr>
          <w:rFonts w:ascii="Aptos" w:eastAsia="Aptos" w:hAnsi="Aptos" w:cs="Aptos"/>
          <w:color w:val="000000" w:themeColor="text1"/>
          <w:sz w:val="24"/>
          <w:szCs w:val="24"/>
        </w:rPr>
      </w:pPr>
      <w:r w:rsidRPr="04D7BB67">
        <w:rPr>
          <w:rFonts w:ascii="Times New Roman" w:eastAsia="Times New Roman" w:hAnsi="Times New Roman" w:cs="Times New Roman"/>
          <w:color w:val="000000" w:themeColor="text1"/>
          <w:sz w:val="24"/>
          <w:szCs w:val="24"/>
          <w:lang w:val="en-GB"/>
        </w:rPr>
        <w:t xml:space="preserve">In this sense, technical and interpretative systems of astrology have no meaning in themselves. </w:t>
      </w:r>
      <w:r w:rsidRPr="04D7BB67">
        <w:rPr>
          <w:rFonts w:ascii="Aptos" w:eastAsia="Aptos" w:hAnsi="Aptos" w:cs="Aptos"/>
          <w:color w:val="000000" w:themeColor="text1"/>
          <w:sz w:val="24"/>
          <w:szCs w:val="24"/>
          <w:lang w:val="en-GB"/>
        </w:rPr>
        <w:t>Do we perceive impressions of the cosmos as an essential reality or are our perceptions informed by the culture in which we live?</w:t>
      </w:r>
    </w:p>
    <w:p w14:paraId="50A231EA" w14:textId="4A6BF9CD" w:rsidR="002F7F19" w:rsidRDefault="002F7F19" w:rsidP="04D7BB67">
      <w:pPr>
        <w:spacing w:after="0" w:line="240" w:lineRule="auto"/>
        <w:rPr>
          <w:rFonts w:ascii="Times New Roman" w:eastAsia="Times New Roman" w:hAnsi="Times New Roman" w:cs="Times New Roman"/>
          <w:color w:val="000000" w:themeColor="text1"/>
          <w:sz w:val="24"/>
          <w:szCs w:val="24"/>
        </w:rPr>
      </w:pPr>
    </w:p>
    <w:p w14:paraId="487CFFD7" w14:textId="5062BBD1"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u w:val="single"/>
          <w:lang w:val="en-GB"/>
        </w:rPr>
        <w:t>Introduction</w:t>
      </w:r>
    </w:p>
    <w:p w14:paraId="62F1A08E" w14:textId="5BC8BB0F" w:rsidR="002F7F19" w:rsidRDefault="002F7F19" w:rsidP="04D7BB67">
      <w:pPr>
        <w:spacing w:after="0" w:line="240" w:lineRule="auto"/>
        <w:rPr>
          <w:rFonts w:ascii="Georgia" w:eastAsia="Georgia" w:hAnsi="Georgia" w:cs="Georgia"/>
          <w:color w:val="000000" w:themeColor="text1"/>
          <w:sz w:val="24"/>
          <w:szCs w:val="24"/>
        </w:rPr>
      </w:pPr>
    </w:p>
    <w:p w14:paraId="1C3AB3E3" w14:textId="012D0D24"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After introducing some of the ideas about culture and its manifestations, most prominently in Western Europe I will show examples of cosmogony in Al-Andalus, South Asia and Sri Lanka. I will then introduce further ideas of cultural </w:t>
      </w:r>
    </w:p>
    <w:p w14:paraId="007A04F3" w14:textId="07EFAC72"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spread to demonstrate the disparity between ‘traditional’ </w:t>
      </w:r>
      <w:r w:rsidRPr="04D7BB67">
        <w:rPr>
          <w:rFonts w:ascii="Aptos" w:eastAsia="Aptos" w:hAnsi="Aptos" w:cs="Aptos"/>
          <w:color w:val="000000" w:themeColor="text1"/>
          <w:sz w:val="24"/>
          <w:szCs w:val="24"/>
          <w:lang w:val="en-GB"/>
        </w:rPr>
        <w:t>western</w:t>
      </w:r>
      <w:r w:rsidRPr="04D7BB67">
        <w:rPr>
          <w:rFonts w:ascii="Georgia" w:eastAsia="Georgia" w:hAnsi="Georgia" w:cs="Georgia"/>
          <w:color w:val="000000" w:themeColor="text1"/>
          <w:sz w:val="24"/>
          <w:szCs w:val="24"/>
          <w:lang w:val="en-GB"/>
        </w:rPr>
        <w:t xml:space="preserve"> forms with the new adaptations under the loose unificatory term of postmodernism.</w:t>
      </w:r>
    </w:p>
    <w:p w14:paraId="73FB1E59" w14:textId="5B80DDA8" w:rsidR="002F7F19" w:rsidRDefault="002F7F19" w:rsidP="04D7BB67">
      <w:pPr>
        <w:spacing w:after="0" w:line="240" w:lineRule="auto"/>
        <w:rPr>
          <w:rFonts w:ascii="Georgia" w:eastAsia="Georgia" w:hAnsi="Georgia" w:cs="Georgia"/>
          <w:color w:val="000000" w:themeColor="text1"/>
          <w:sz w:val="24"/>
          <w:szCs w:val="24"/>
        </w:rPr>
      </w:pPr>
    </w:p>
    <w:p w14:paraId="55383700" w14:textId="61D8C43B"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Frameworks for unity, universality and theory are themes of enquiry that run throughout this essay. With references to the unity of language, space and its measurements, quantum theory and the ‘new sciences’ in the search for common understanding. These references are not a theory in themselves but a theme which runs alongside the question of assumption of cosmological cultural influence.</w:t>
      </w:r>
    </w:p>
    <w:p w14:paraId="5FC7C30B" w14:textId="296E5625" w:rsidR="002F7F19" w:rsidRDefault="002F7F19" w:rsidP="04D7BB67">
      <w:pPr>
        <w:spacing w:after="0" w:line="240" w:lineRule="auto"/>
        <w:rPr>
          <w:rFonts w:ascii="Aptos" w:eastAsia="Aptos" w:hAnsi="Aptos" w:cs="Aptos"/>
          <w:color w:val="000000" w:themeColor="text1"/>
          <w:sz w:val="24"/>
          <w:szCs w:val="24"/>
        </w:rPr>
      </w:pPr>
    </w:p>
    <w:p w14:paraId="632B2FF9" w14:textId="2728D170" w:rsidR="002F7F19" w:rsidRDefault="4A68C70F" w:rsidP="04D7BB67">
      <w:pPr>
        <w:spacing w:after="0" w:line="240" w:lineRule="auto"/>
        <w:rPr>
          <w:rFonts w:ascii="Georgia" w:eastAsia="Georgia" w:hAnsi="Georgia" w:cs="Georgia"/>
          <w:color w:val="000000" w:themeColor="text1"/>
          <w:sz w:val="24"/>
          <w:szCs w:val="24"/>
        </w:rPr>
      </w:pPr>
      <w:r w:rsidRPr="04D7BB67">
        <w:rPr>
          <w:rFonts w:ascii="Aptos" w:eastAsia="Aptos" w:hAnsi="Aptos" w:cs="Aptos"/>
          <w:color w:val="000000" w:themeColor="text1"/>
          <w:sz w:val="24"/>
          <w:szCs w:val="24"/>
          <w:lang w:val="en-GB"/>
        </w:rPr>
        <w:t>Cultural behaviours are a manifestation of the things that men and women do.</w:t>
      </w:r>
      <w:r w:rsidRPr="04D7BB67">
        <w:rPr>
          <w:rFonts w:ascii="Georgia" w:eastAsia="Georgia" w:hAnsi="Georgia" w:cs="Georgia"/>
          <w:color w:val="000000" w:themeColor="text1"/>
          <w:sz w:val="24"/>
          <w:szCs w:val="24"/>
          <w:lang w:val="en-GB"/>
        </w:rPr>
        <w:t xml:space="preserve"> Culture has many definitions. For the purposes of this essay, we can briefly historicise the terms and etymology to form a basis of interpretation which is relevant to the engagement with cosmologies.</w:t>
      </w:r>
    </w:p>
    <w:p w14:paraId="11606BE1" w14:textId="03CD522D" w:rsidR="002F7F19" w:rsidRDefault="002F7F19" w:rsidP="04D7BB67">
      <w:pPr>
        <w:spacing w:after="0" w:line="240" w:lineRule="auto"/>
        <w:rPr>
          <w:rFonts w:ascii="Georgia" w:eastAsia="Georgia" w:hAnsi="Georgia" w:cs="Georgia"/>
          <w:color w:val="000000" w:themeColor="text1"/>
          <w:sz w:val="24"/>
          <w:szCs w:val="24"/>
        </w:rPr>
      </w:pPr>
    </w:p>
    <w:p w14:paraId="51D401E6" w14:textId="7823B130"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Raymond Williams and Terry Eagleston are two leading cultural theorists who provide extensive descriptions. Williams, Cambridge University professor distinguishes three major modern senses of the word.</w:t>
      </w:r>
    </w:p>
    <w:p w14:paraId="240143E5" w14:textId="73733C14" w:rsidR="002F7F19" w:rsidRDefault="002F7F19" w:rsidP="04D7BB67">
      <w:pPr>
        <w:spacing w:after="0" w:line="240" w:lineRule="auto"/>
        <w:rPr>
          <w:rFonts w:ascii="Georgia" w:eastAsia="Georgia" w:hAnsi="Georgia" w:cs="Georgia"/>
          <w:color w:val="000000" w:themeColor="text1"/>
          <w:sz w:val="24"/>
          <w:szCs w:val="24"/>
        </w:rPr>
      </w:pPr>
    </w:p>
    <w:p w14:paraId="4E717701" w14:textId="72E4B702"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1) etymological; roots in rural labour, agricultural, husbandry, hand tools, production of food and shelter, seasonal life.</w:t>
      </w:r>
    </w:p>
    <w:p w14:paraId="35FEE2D0" w14:textId="0D6E1AEE" w:rsidR="002F7F19" w:rsidRDefault="002F7F19" w:rsidP="04D7BB67">
      <w:pPr>
        <w:spacing w:after="0" w:line="240" w:lineRule="auto"/>
        <w:rPr>
          <w:rFonts w:ascii="Georgia" w:eastAsia="Georgia" w:hAnsi="Georgia" w:cs="Georgia"/>
          <w:color w:val="000000" w:themeColor="text1"/>
          <w:sz w:val="24"/>
          <w:szCs w:val="24"/>
        </w:rPr>
      </w:pPr>
    </w:p>
    <w:p w14:paraId="1E4934BF" w14:textId="550AE2D9"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2) sense of general intellectual, spiritual and material progress encapsulated by the European Enlightenment, 1450s –1850s. Matthew Arnold, ‘best of what has been said.’ move toward refinement, artistic archetype.</w:t>
      </w:r>
    </w:p>
    <w:p w14:paraId="180108A4" w14:textId="3286D816" w:rsidR="002F7F19" w:rsidRDefault="002F7F19" w:rsidP="04D7BB67">
      <w:pPr>
        <w:spacing w:after="0" w:line="240" w:lineRule="auto"/>
        <w:rPr>
          <w:rFonts w:ascii="Georgia" w:eastAsia="Georgia" w:hAnsi="Georgia" w:cs="Georgia"/>
          <w:color w:val="000000" w:themeColor="text1"/>
          <w:sz w:val="24"/>
          <w:szCs w:val="24"/>
        </w:rPr>
      </w:pPr>
    </w:p>
    <w:p w14:paraId="57BD2EDE" w14:textId="0966F161"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3) a Romantic, anti-colonialist exoticism which resurfaces with anthropology, sociology, postcolonialism, now defunct primitivism 1850s-1900s to which we may now add the umbrella of all new criticisms, postmodernism. The latter to critique culture not to be cultural itself.</w:t>
      </w:r>
    </w:p>
    <w:p w14:paraId="12349048" w14:textId="7155018E" w:rsidR="002F7F19" w:rsidRDefault="002F7F19" w:rsidP="04D7BB67">
      <w:pPr>
        <w:spacing w:after="0" w:line="240" w:lineRule="auto"/>
        <w:rPr>
          <w:rFonts w:ascii="Georgia" w:eastAsia="Georgia" w:hAnsi="Georgia" w:cs="Georgia"/>
          <w:color w:val="000000" w:themeColor="text1"/>
          <w:sz w:val="24"/>
          <w:szCs w:val="24"/>
        </w:rPr>
      </w:pPr>
    </w:p>
    <w:p w14:paraId="0C7746D1" w14:textId="3389A029" w:rsidR="002F7F19" w:rsidRDefault="002F7F19" w:rsidP="04D7BB67">
      <w:pPr>
        <w:spacing w:after="0" w:line="240" w:lineRule="auto"/>
        <w:rPr>
          <w:rFonts w:ascii="Georgia" w:eastAsia="Georgia" w:hAnsi="Georgia" w:cs="Georgia"/>
          <w:color w:val="000000" w:themeColor="text1"/>
          <w:sz w:val="24"/>
          <w:szCs w:val="24"/>
        </w:rPr>
      </w:pPr>
    </w:p>
    <w:p w14:paraId="4203CEB9" w14:textId="5DBAFCA3"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Terry Eagleton’s writing has come to be understood as a working-class representation of culture. In the first chapter of ‘The Idea of Culture’ he writes that adjectives ‘moral’ and ‘intellectual’ were dropped and came to be just ‘culture’ itself, an abstraction. </w:t>
      </w:r>
    </w:p>
    <w:p w14:paraId="6E6C68AF" w14:textId="0DF7E80B" w:rsidR="002F7F19" w:rsidRDefault="002F7F19" w:rsidP="04D7BB67">
      <w:pPr>
        <w:spacing w:after="0" w:line="240" w:lineRule="auto"/>
        <w:rPr>
          <w:rFonts w:ascii="Georgia" w:eastAsia="Georgia" w:hAnsi="Georgia" w:cs="Georgia"/>
          <w:color w:val="000000" w:themeColor="text1"/>
          <w:sz w:val="24"/>
          <w:szCs w:val="24"/>
          <w:lang w:val="en-GB"/>
        </w:rPr>
      </w:pPr>
    </w:p>
    <w:p w14:paraId="461A1056" w14:textId="7C347725" w:rsidR="002F7F19" w:rsidRDefault="4A68C70F" w:rsidP="04D7BB67">
      <w:pPr>
        <w:spacing w:after="0" w:line="240" w:lineRule="auto"/>
        <w:rPr>
          <w:rFonts w:ascii="Georgia" w:eastAsia="Georgia" w:hAnsi="Georgia" w:cs="Georgia"/>
          <w:color w:val="000000" w:themeColor="text1"/>
          <w:sz w:val="24"/>
          <w:szCs w:val="24"/>
          <w:lang w:val="en-GB"/>
        </w:rPr>
      </w:pPr>
      <w:r w:rsidRPr="04D7BB67">
        <w:rPr>
          <w:rFonts w:ascii="Georgia" w:eastAsia="Georgia" w:hAnsi="Georgia" w:cs="Georgia"/>
          <w:color w:val="000000" w:themeColor="text1"/>
          <w:sz w:val="24"/>
          <w:szCs w:val="24"/>
          <w:lang w:val="en-GB"/>
        </w:rPr>
        <w:t>Kulture became the name of the Romantic, pre-Marxist critique of early industrial capitalism. Then, he says it changed into a conflict driven, economic expression of survival. Later still, in the late-middle 20thCentury this conflict led to post industry, he continues it became ante-civilised, poll tax riots, football tribalist rivalries, rebellious dance music of many forms. Irreligious, or non-church going communities within traditionally working peoples, influences of feminism, gender fluidity, single parenthood etc.</w:t>
      </w:r>
    </w:p>
    <w:p w14:paraId="504F2042" w14:textId="4426AE1A" w:rsidR="002F7F19" w:rsidRDefault="002F7F19" w:rsidP="04D7BB67">
      <w:pPr>
        <w:spacing w:after="0" w:line="240" w:lineRule="auto"/>
        <w:rPr>
          <w:rFonts w:ascii="Georgia" w:eastAsia="Georgia" w:hAnsi="Georgia" w:cs="Georgia"/>
          <w:color w:val="000000" w:themeColor="text1"/>
          <w:sz w:val="24"/>
          <w:szCs w:val="24"/>
        </w:rPr>
      </w:pPr>
    </w:p>
    <w:p w14:paraId="580B69A3" w14:textId="113D8A11"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Eagleton also noted the aspiration of culture, to the arts, music, theatre and clothing. This can be understood as a modern version of the French refined cultural archetype of Raymond Williams’s second and third eras. Eagleton, his student, in the 1960s/70s says that culture replaced civilisation, French and German pre-Marxism was portentous, critical and dull, it thus became an opposite of civilisation. Civilisation then became thoroughly uncivilised, particularly in the United Kingdom.</w:t>
      </w:r>
    </w:p>
    <w:p w14:paraId="58547EFE" w14:textId="4F302EE3" w:rsidR="002F7F19" w:rsidRDefault="002F7F19" w:rsidP="04D7BB67">
      <w:pPr>
        <w:spacing w:after="0" w:line="240" w:lineRule="auto"/>
        <w:rPr>
          <w:rFonts w:ascii="Georgia" w:eastAsia="Georgia" w:hAnsi="Georgia" w:cs="Georgia"/>
          <w:color w:val="000000" w:themeColor="text1"/>
          <w:sz w:val="24"/>
          <w:szCs w:val="24"/>
        </w:rPr>
      </w:pPr>
    </w:p>
    <w:p w14:paraId="0B3703DC" w14:textId="5BD923D4"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u w:val="single"/>
          <w:lang w:val="en-GB"/>
        </w:rPr>
        <w:t xml:space="preserve">Cultural astronomy: </w:t>
      </w:r>
    </w:p>
    <w:p w14:paraId="4DE6D6CE" w14:textId="6F2922C9" w:rsidR="002F7F19" w:rsidRDefault="002F7F19" w:rsidP="04D7BB67">
      <w:pPr>
        <w:spacing w:after="0" w:line="240" w:lineRule="auto"/>
        <w:rPr>
          <w:rFonts w:ascii="Georgia" w:eastAsia="Georgia" w:hAnsi="Georgia" w:cs="Georgia"/>
          <w:color w:val="000000" w:themeColor="text1"/>
          <w:sz w:val="24"/>
          <w:szCs w:val="24"/>
        </w:rPr>
      </w:pPr>
    </w:p>
    <w:p w14:paraId="4E83295B" w14:textId="619F9046"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A perception of the actions of the cosmos as an essential reality can be understood as simply the way that we receive the Sun’s rays of light, or in the etymology of ‘new science; ‘quantic particles’ that carry the energy for the possibility of our assumptions. We swim, we bathe, in water or in the sun, our senses are fluid, lifted, heightened by the experience. In cold, freezing water, we swim, our bodies react to nature, enlivened, again, an essential reality. Aristotle believed, according to the notations of his students, that nature provided us ‘with the workings of the Universe’. Western History has recognised Aristotle and Plato as the foremost thinkers of the cosmos and philosophy. Here is a brief introduction to their enquiries.</w:t>
      </w:r>
    </w:p>
    <w:p w14:paraId="0D087FA4" w14:textId="3DBBE7B8" w:rsidR="002F7F19" w:rsidRDefault="002F7F19" w:rsidP="04D7BB67">
      <w:pPr>
        <w:spacing w:after="0" w:line="240" w:lineRule="auto"/>
        <w:rPr>
          <w:rFonts w:ascii="Georgia" w:eastAsia="Georgia" w:hAnsi="Georgia" w:cs="Georgia"/>
          <w:color w:val="000000" w:themeColor="text1"/>
          <w:sz w:val="24"/>
          <w:szCs w:val="24"/>
        </w:rPr>
      </w:pPr>
    </w:p>
    <w:p w14:paraId="7392A134" w14:textId="2DA4D2A8" w:rsidR="002F7F19" w:rsidRDefault="002F7F19" w:rsidP="04D7BB67">
      <w:pPr>
        <w:spacing w:after="0" w:line="240" w:lineRule="auto"/>
        <w:rPr>
          <w:rFonts w:ascii="Georgia" w:eastAsia="Georgia" w:hAnsi="Georgia" w:cs="Georgia"/>
          <w:color w:val="000000" w:themeColor="text1"/>
          <w:sz w:val="24"/>
          <w:szCs w:val="24"/>
        </w:rPr>
      </w:pPr>
    </w:p>
    <w:p w14:paraId="6B8D61DC" w14:textId="052E19B7"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It can be argued that ‘culture’ first became a thing when Pythagoreans living in Calabria, Southern Italy, 530BC numerically organised it into an opposite of ‘nature.’ in their table of strata. After this, in Greece, the birthplace of western civilisation, philosophy and cosmogony, the first critical attempts at forming planetary, inclusive cosmological theories are recognised. Plato’s theories are thought based rather than practical estimations. His student Aristotle tried to physically explain the reasons for the movements of the spheres and to relate them to movements on Earth.</w:t>
      </w:r>
    </w:p>
    <w:p w14:paraId="1A2EDDAB" w14:textId="295DAB1A" w:rsidR="002F7F19" w:rsidRDefault="002F7F19" w:rsidP="04D7BB67">
      <w:pPr>
        <w:spacing w:after="0" w:line="240" w:lineRule="auto"/>
        <w:rPr>
          <w:rFonts w:ascii="Times New Roman" w:eastAsia="Times New Roman" w:hAnsi="Times New Roman" w:cs="Times New Roman"/>
          <w:color w:val="000000" w:themeColor="text1"/>
          <w:sz w:val="24"/>
          <w:szCs w:val="24"/>
        </w:rPr>
      </w:pPr>
    </w:p>
    <w:p w14:paraId="397D833F" w14:textId="7F17C23A"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 xml:space="preserve">(39) Plato’s Dialogue, </w:t>
      </w:r>
      <w:r w:rsidRPr="04D7BB67">
        <w:rPr>
          <w:rFonts w:ascii="Times New Roman" w:eastAsia="Times New Roman" w:hAnsi="Times New Roman" w:cs="Times New Roman"/>
          <w:i/>
          <w:iCs/>
          <w:color w:val="000000" w:themeColor="text1"/>
          <w:sz w:val="24"/>
          <w:szCs w:val="24"/>
          <w:lang w:val="en-GB"/>
        </w:rPr>
        <w:t>Again, you perceive with wisdom, attention to the cosmic order...</w:t>
      </w:r>
      <w:r w:rsidRPr="04D7BB67">
        <w:rPr>
          <w:rFonts w:ascii="Times New Roman" w:eastAsia="Times New Roman" w:hAnsi="Times New Roman" w:cs="Times New Roman"/>
          <w:color w:val="000000" w:themeColor="text1"/>
          <w:sz w:val="24"/>
          <w:szCs w:val="24"/>
          <w:lang w:val="en-GB"/>
        </w:rPr>
        <w:t xml:space="preserve">.(49) </w:t>
      </w:r>
      <w:r w:rsidRPr="04D7BB67">
        <w:rPr>
          <w:rFonts w:ascii="Times New Roman" w:eastAsia="Times New Roman" w:hAnsi="Times New Roman" w:cs="Times New Roman"/>
          <w:i/>
          <w:iCs/>
          <w:color w:val="000000" w:themeColor="text1"/>
          <w:sz w:val="24"/>
          <w:szCs w:val="24"/>
          <w:lang w:val="en-GB"/>
        </w:rPr>
        <w:t>Nay, as to that, Socrates, all men who possess even a small share of good sense call upon God always at the outset of every undertaking</w:t>
      </w:r>
    </w:p>
    <w:p w14:paraId="2CC4998A" w14:textId="51C84BB6"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i/>
          <w:iCs/>
          <w:color w:val="000000" w:themeColor="text1"/>
          <w:sz w:val="24"/>
          <w:szCs w:val="24"/>
          <w:lang w:val="en-GB"/>
        </w:rPr>
        <w:t>, be it small or great; we therefore who are proposing to deliver a discourse concerning the Universe, how it was created or haply uncreate must needs invoke Gods and Goddesses.</w:t>
      </w:r>
    </w:p>
    <w:p w14:paraId="0FC0D147" w14:textId="58F1ED8D" w:rsidR="002F7F19" w:rsidRDefault="002F7F19" w:rsidP="04D7BB67">
      <w:pPr>
        <w:spacing w:after="0" w:line="240" w:lineRule="auto"/>
        <w:rPr>
          <w:rFonts w:ascii="Georgia" w:eastAsia="Georgia" w:hAnsi="Georgia" w:cs="Georgia"/>
          <w:color w:val="000000" w:themeColor="text1"/>
          <w:sz w:val="24"/>
          <w:szCs w:val="24"/>
        </w:rPr>
      </w:pPr>
    </w:p>
    <w:p w14:paraId="3A6AB2A7" w14:textId="31F4ECC1"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Aristotle’s cosmogony; is written, 200 years after his departure, in ‘De Caelo’ </w:t>
      </w:r>
      <w:r w:rsidRPr="04D7BB67">
        <w:rPr>
          <w:rFonts w:ascii="Georgia" w:eastAsia="Georgia" w:hAnsi="Georgia" w:cs="Georgia"/>
          <w:i/>
          <w:iCs/>
          <w:color w:val="000000" w:themeColor="text1"/>
          <w:sz w:val="24"/>
          <w:szCs w:val="24"/>
          <w:lang w:val="en-GB"/>
        </w:rPr>
        <w:t xml:space="preserve">On the Heavens, </w:t>
      </w:r>
      <w:r w:rsidRPr="04D7BB67">
        <w:rPr>
          <w:rFonts w:ascii="Georgia" w:eastAsia="Georgia" w:hAnsi="Georgia" w:cs="Georgia"/>
          <w:color w:val="000000" w:themeColor="text1"/>
          <w:sz w:val="24"/>
          <w:szCs w:val="24"/>
          <w:lang w:val="en-GB"/>
        </w:rPr>
        <w:t xml:space="preserve">as a response to </w:t>
      </w:r>
      <w:r w:rsidRPr="04D7BB67">
        <w:rPr>
          <w:rFonts w:ascii="Georgia" w:eastAsia="Georgia" w:hAnsi="Georgia" w:cs="Georgia"/>
          <w:i/>
          <w:iCs/>
          <w:color w:val="000000" w:themeColor="text1"/>
          <w:sz w:val="24"/>
          <w:szCs w:val="24"/>
          <w:lang w:val="en-GB"/>
        </w:rPr>
        <w:t xml:space="preserve">the unscientific character of his teacher’s natural philosophy. According to </w:t>
      </w:r>
      <w:r w:rsidRPr="04D7BB67">
        <w:rPr>
          <w:rFonts w:ascii="Georgia" w:eastAsia="Georgia" w:hAnsi="Georgia" w:cs="Georgia"/>
          <w:color w:val="000000" w:themeColor="text1"/>
          <w:sz w:val="24"/>
          <w:szCs w:val="24"/>
          <w:lang w:val="en-GB"/>
        </w:rPr>
        <w:t xml:space="preserve">Bowen &amp; Wildberg in the introduction to </w:t>
      </w:r>
      <w:r w:rsidRPr="04D7BB67">
        <w:rPr>
          <w:rFonts w:ascii="Georgia" w:eastAsia="Georgia" w:hAnsi="Georgia" w:cs="Georgia"/>
          <w:i/>
          <w:iCs/>
          <w:color w:val="000000" w:themeColor="text1"/>
          <w:sz w:val="24"/>
          <w:szCs w:val="24"/>
          <w:lang w:val="en-GB"/>
        </w:rPr>
        <w:t xml:space="preserve">Plato’s dialogue. </w:t>
      </w:r>
    </w:p>
    <w:p w14:paraId="55246C2A" w14:textId="28C781AA"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These are the two written estimations to which astrologers and philosophers would consistently turn to chart the progress of thought from classical Athens, where both authors had lived in the 4</w:t>
      </w:r>
      <w:r w:rsidRPr="04D7BB67">
        <w:rPr>
          <w:rFonts w:ascii="Georgia" w:eastAsia="Georgia" w:hAnsi="Georgia" w:cs="Georgia"/>
          <w:color w:val="000000" w:themeColor="text1"/>
          <w:sz w:val="24"/>
          <w:szCs w:val="24"/>
          <w:vertAlign w:val="superscript"/>
          <w:lang w:val="en-GB"/>
        </w:rPr>
        <w:t>th</w:t>
      </w:r>
      <w:r w:rsidRPr="04D7BB67">
        <w:rPr>
          <w:rFonts w:ascii="Georgia" w:eastAsia="Georgia" w:hAnsi="Georgia" w:cs="Georgia"/>
          <w:color w:val="000000" w:themeColor="text1"/>
          <w:sz w:val="24"/>
          <w:szCs w:val="24"/>
          <w:lang w:val="en-GB"/>
        </w:rPr>
        <w:t xml:space="preserve"> century B.C.</w:t>
      </w:r>
    </w:p>
    <w:p w14:paraId="52C4EF70" w14:textId="750FD530" w:rsidR="002F7F19" w:rsidRDefault="002F7F19" w:rsidP="04D7BB67">
      <w:pPr>
        <w:spacing w:after="0" w:line="240" w:lineRule="auto"/>
        <w:rPr>
          <w:rFonts w:ascii="Georgia" w:eastAsia="Georgia" w:hAnsi="Georgia" w:cs="Georgia"/>
          <w:color w:val="000000" w:themeColor="text1"/>
          <w:sz w:val="24"/>
          <w:szCs w:val="24"/>
        </w:rPr>
      </w:pPr>
    </w:p>
    <w:p w14:paraId="4340BD5F" w14:textId="1FD26996"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Plato’s (427-Dialogue suggests a cosmos beyond our comprehension. He says that we see only the shadow of things but not their actuality. Or as in a cave, seeing only a mirror, or reflection of a thing. Plato’s soul underpins all cosmos, it transcendent. </w:t>
      </w:r>
    </w:p>
    <w:p w14:paraId="315F92B7" w14:textId="5EEE1C84" w:rsidR="002F7F19" w:rsidRDefault="002F7F19" w:rsidP="04D7BB67">
      <w:pPr>
        <w:spacing w:after="0" w:line="240" w:lineRule="auto"/>
        <w:rPr>
          <w:rFonts w:ascii="Georgia" w:eastAsia="Georgia" w:hAnsi="Georgia" w:cs="Georgia"/>
          <w:color w:val="000000" w:themeColor="text1"/>
          <w:sz w:val="24"/>
          <w:szCs w:val="24"/>
        </w:rPr>
      </w:pPr>
    </w:p>
    <w:p w14:paraId="6FA2219F" w14:textId="050CA3FC" w:rsidR="002F7F19" w:rsidRDefault="4A68C70F" w:rsidP="04D7BB67">
      <w:pPr>
        <w:spacing w:after="0" w:line="240" w:lineRule="auto"/>
        <w:rPr>
          <w:rFonts w:ascii="Aptos" w:eastAsia="Aptos" w:hAnsi="Aptos" w:cs="Aptos"/>
          <w:color w:val="000000" w:themeColor="text1"/>
          <w:sz w:val="24"/>
          <w:szCs w:val="24"/>
        </w:rPr>
      </w:pPr>
      <w:r w:rsidRPr="04D7BB67">
        <w:rPr>
          <w:rFonts w:ascii="Georgia" w:eastAsia="Georgia" w:hAnsi="Georgia" w:cs="Georgia"/>
          <w:color w:val="000000" w:themeColor="text1"/>
          <w:sz w:val="24"/>
          <w:szCs w:val="24"/>
          <w:lang w:val="en-GB"/>
        </w:rPr>
        <w:t>Neoplatonists developed Plato’s theories Modus, Nous, Soul, Intellect, Matter. Plato’s influence can be read in Henri Corbin’s</w:t>
      </w:r>
      <w:r w:rsidRPr="04D7BB67">
        <w:rPr>
          <w:rFonts w:ascii="Times New Roman" w:eastAsia="Times New Roman" w:hAnsi="Times New Roman" w:cs="Times New Roman"/>
          <w:color w:val="C00000"/>
          <w:sz w:val="24"/>
          <w:szCs w:val="24"/>
          <w:lang w:val="en-GB"/>
        </w:rPr>
        <w:t xml:space="preserve"> </w:t>
      </w:r>
      <w:r w:rsidRPr="04D7BB67">
        <w:rPr>
          <w:rFonts w:ascii="Times New Roman" w:eastAsia="Times New Roman" w:hAnsi="Times New Roman" w:cs="Times New Roman"/>
          <w:color w:val="000000" w:themeColor="text1"/>
          <w:sz w:val="24"/>
          <w:szCs w:val="24"/>
          <w:lang w:val="en-GB"/>
        </w:rPr>
        <w:t xml:space="preserve">agnostic reflex in Western Man by the Persian scholar Sohravardi; </w:t>
      </w:r>
      <w:r w:rsidRPr="04D7BB67">
        <w:rPr>
          <w:rFonts w:ascii="Aptos" w:eastAsia="Aptos" w:hAnsi="Aptos" w:cs="Aptos"/>
          <w:color w:val="000000" w:themeColor="text1"/>
          <w:sz w:val="24"/>
          <w:szCs w:val="24"/>
          <w:lang w:val="en-GB"/>
        </w:rPr>
        <w:t>“</w:t>
      </w:r>
      <w:r w:rsidRPr="04D7BB67">
        <w:rPr>
          <w:rFonts w:ascii="Aptos" w:eastAsia="Aptos" w:hAnsi="Aptos" w:cs="Aptos"/>
          <w:i/>
          <w:iCs/>
          <w:color w:val="000000" w:themeColor="text1"/>
          <w:sz w:val="24"/>
          <w:szCs w:val="24"/>
          <w:lang w:val="en-GB"/>
        </w:rPr>
        <w:t>to have available a cosmology of such a kind that the most astounding information of modern science remains inferior to it.”</w:t>
      </w:r>
    </w:p>
    <w:p w14:paraId="1FA0FFAC" w14:textId="70B71FDB"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Persio/Arabic astronomers Al-Kindi, Avicenna, Al-Biruni and Al-Khwarizmi discussed and developed these ideas further, with a gentle push and pull within the expansionism of Islamic theology. </w:t>
      </w:r>
    </w:p>
    <w:p w14:paraId="1FB6ACC6" w14:textId="52E66F72" w:rsidR="002F7F19" w:rsidRDefault="002F7F19" w:rsidP="04D7BB67">
      <w:pPr>
        <w:spacing w:after="0" w:line="240" w:lineRule="auto"/>
        <w:rPr>
          <w:rFonts w:ascii="Georgia" w:eastAsia="Georgia" w:hAnsi="Georgia" w:cs="Georgia"/>
          <w:color w:val="000000" w:themeColor="text1"/>
          <w:sz w:val="24"/>
          <w:szCs w:val="24"/>
        </w:rPr>
      </w:pPr>
    </w:p>
    <w:p w14:paraId="419C9A90" w14:textId="6E21E904"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u w:val="single"/>
          <w:lang w:val="en-GB"/>
        </w:rPr>
        <w:t>Aristotle’s Cosmos</w:t>
      </w:r>
    </w:p>
    <w:p w14:paraId="527D5F9D" w14:textId="24AE955E"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Bernadette Brady’s careful presentation of Aristotle’s cosmogony is inclusive: Aristotle (383-323) BCE developed a proto-phenomenologists set of ideas about the heavens, which he rationalised by using a naturalist's physical sense. He adopts Empedocles 4 elements of Air, Water, Fire and Earth as visceral components of geological aspect, then invents a fifth element, aether, which he imagines to be exclusive to the planets and stars. </w:t>
      </w:r>
    </w:p>
    <w:p w14:paraId="4D5BAEDF" w14:textId="0F49A27F"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Aristotle suggests a ‘prime mover’ which produces motion by, love, perhaps (devotion) is an easier description to understand. He was greatly concerned with motion. The prime mover did not move itself but was moved by devotees, so to speak. The prime mover would then move other things. Aristotle’s biologically rational soul leaves only the active intellect after death. One of a number of distinct differences with Plato’s cosmogony.</w:t>
      </w:r>
    </w:p>
    <w:p w14:paraId="3902F8BA" w14:textId="0FF71F07" w:rsidR="002F7F19" w:rsidRDefault="002F7F19" w:rsidP="04D7BB67">
      <w:pPr>
        <w:spacing w:after="0" w:line="240" w:lineRule="auto"/>
        <w:rPr>
          <w:rFonts w:ascii="Georgia" w:eastAsia="Georgia" w:hAnsi="Georgia" w:cs="Georgia"/>
          <w:color w:val="000000" w:themeColor="text1"/>
          <w:sz w:val="24"/>
          <w:szCs w:val="24"/>
        </w:rPr>
      </w:pPr>
    </w:p>
    <w:p w14:paraId="0A68C625" w14:textId="768B248B"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Campion, ‘Journal of Cosmology’ o </w:t>
      </w:r>
      <w:r w:rsidRPr="04D7BB67">
        <w:rPr>
          <w:rFonts w:ascii="Georgia" w:eastAsia="Georgia" w:hAnsi="Georgia" w:cs="Georgia"/>
          <w:i/>
          <w:iCs/>
          <w:color w:val="000000" w:themeColor="text1"/>
          <w:sz w:val="24"/>
          <w:szCs w:val="24"/>
          <w:lang w:val="en-GB"/>
        </w:rPr>
        <w:t xml:space="preserve">The ancient civilizations were conscious of the fact that every phenomenon is the result of movement and rhythm that gave it form and character by the natural order of numbers. They believed that since the universe is conscious, astrology is one of the languages to use to communicate with it. </w:t>
      </w:r>
    </w:p>
    <w:p w14:paraId="6BDD7BAA" w14:textId="1DB9AC7D" w:rsidR="002F7F19" w:rsidRDefault="002F7F19" w:rsidP="04D7BB67">
      <w:pPr>
        <w:spacing w:after="0" w:line="240" w:lineRule="auto"/>
        <w:rPr>
          <w:rFonts w:ascii="Georgia" w:eastAsia="Georgia" w:hAnsi="Georgia" w:cs="Georgia"/>
          <w:color w:val="000000" w:themeColor="text1"/>
          <w:sz w:val="24"/>
          <w:szCs w:val="24"/>
        </w:rPr>
      </w:pPr>
    </w:p>
    <w:p w14:paraId="607ABB67" w14:textId="2398EED7"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Aristotle's cosmogony is not guesswork, he was an instigator of human sciences such as biology, geography, zoology, Plato called him ‘the brain’.</w:t>
      </w:r>
    </w:p>
    <w:p w14:paraId="6EB599D9" w14:textId="08B4ED75"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He came to the prime mover idea as he attempted to understand gravity before it was defined by Newton in the 17</w:t>
      </w:r>
      <w:r w:rsidRPr="04D7BB67">
        <w:rPr>
          <w:rFonts w:ascii="Georgia" w:eastAsia="Georgia" w:hAnsi="Georgia" w:cs="Georgia"/>
          <w:color w:val="000000" w:themeColor="text1"/>
          <w:sz w:val="24"/>
          <w:szCs w:val="24"/>
          <w:vertAlign w:val="superscript"/>
          <w:lang w:val="en-GB"/>
        </w:rPr>
        <w:t>th</w:t>
      </w:r>
      <w:r w:rsidRPr="04D7BB67">
        <w:rPr>
          <w:rFonts w:ascii="Georgia" w:eastAsia="Georgia" w:hAnsi="Georgia" w:cs="Georgia"/>
          <w:color w:val="000000" w:themeColor="text1"/>
          <w:sz w:val="24"/>
          <w:szCs w:val="24"/>
          <w:lang w:val="en-GB"/>
        </w:rPr>
        <w:t xml:space="preserve"> Century, when Aristotle and Plato’s writings were still regarded as exemplars of the field. This movement between the spheres and the Earth is what defines his interest in cosmogony. He recognises causality only in respect to motion, not in respect to existence.</w:t>
      </w:r>
    </w:p>
    <w:p w14:paraId="69C5215C" w14:textId="6207EBD5" w:rsidR="002F7F19" w:rsidRDefault="002F7F19" w:rsidP="04D7BB67">
      <w:pPr>
        <w:spacing w:after="0" w:line="240" w:lineRule="auto"/>
        <w:rPr>
          <w:rFonts w:ascii="Georgia" w:eastAsia="Georgia" w:hAnsi="Georgia" w:cs="Georgia"/>
          <w:color w:val="000000" w:themeColor="text1"/>
          <w:sz w:val="24"/>
          <w:szCs w:val="24"/>
        </w:rPr>
      </w:pPr>
    </w:p>
    <w:p w14:paraId="17640042" w14:textId="036FBBD1"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The library at the Egyptian port city of Alexandria held the entirety of remaining Greek, Egyptian and Persio Eurasian literature. It was saved from destruction at the behest of the caliphs; Al Mansur (754-775) and Al-Ma-Mun (813-833) These two caliphs enabled the translation of this literature into Arabic and Latin, the latter the unifying language of Europe. The translation of these works into Latin generated an intellectual leap light years ahead of the dark ages into which it shone. Henri Corbin demonstrates the ubiquity of texts by Abu Mashar’s peers; ‘validity of visionary accounts that perceive and relate “events in heaven”.........it is situative, anywhere, nowhere, at any time but not designate.  </w:t>
      </w:r>
    </w:p>
    <w:p w14:paraId="3C5CE283" w14:textId="669BC097" w:rsidR="002F7F19" w:rsidRDefault="002F7F19" w:rsidP="04D7BB67">
      <w:pPr>
        <w:spacing w:after="0" w:line="240" w:lineRule="auto"/>
        <w:rPr>
          <w:rFonts w:ascii="Georgia" w:eastAsia="Georgia" w:hAnsi="Georgia" w:cs="Georgia"/>
          <w:color w:val="000000" w:themeColor="text1"/>
          <w:sz w:val="24"/>
          <w:szCs w:val="24"/>
          <w:lang w:val="en-GB"/>
        </w:rPr>
      </w:pPr>
    </w:p>
    <w:p w14:paraId="2F65F427" w14:textId="7BCB7321"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u w:val="single"/>
          <w:lang w:val="en-GB"/>
        </w:rPr>
        <w:t>Empirical Data, Astrolabe to Europe</w:t>
      </w:r>
    </w:p>
    <w:p w14:paraId="55C8B8BB" w14:textId="1A35B723" w:rsidR="002F7F19" w:rsidRDefault="002F7F19" w:rsidP="04D7BB67">
      <w:pPr>
        <w:spacing w:after="0" w:line="240" w:lineRule="auto"/>
        <w:rPr>
          <w:rFonts w:ascii="Georgia" w:eastAsia="Georgia" w:hAnsi="Georgia" w:cs="Georgia"/>
          <w:color w:val="000000" w:themeColor="text1"/>
          <w:sz w:val="24"/>
          <w:szCs w:val="24"/>
        </w:rPr>
      </w:pPr>
    </w:p>
    <w:p w14:paraId="63AC2BAD" w14:textId="2B0493EB"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Islamic astronomy literally, numerically remapped the stars and Skys</w:t>
      </w:r>
    </w:p>
    <w:p w14:paraId="544BB932" w14:textId="0E1660CA"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after Al-Zarqullah refined his astrolabe, Saphaea, the instrument by which one can navigate the longitude and latitude, and the imaginary paths of the planets Sun and Moon, and subsequently an inequality in the Moon’s longitudinal motion which enabled her position to always be known, an achievement of such complexity and importance that a Moon crater Arzachel is named after him.</w:t>
      </w:r>
    </w:p>
    <w:p w14:paraId="21FAC313" w14:textId="6DD86FC6"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Comparisons with the effects of John Bell’s inequality in Quantum physics are not without validation. Al-Zarqullah, with al Kahlifa’s ‘Book of Secrets’ to hand observed the stars for King Alfonso X of Castille, from 1050 until 1075 in Toledo, Al Andalus. We now have therefore a moveable horizon, and the new astrolabe becomes a truly universal instrument which can be used for any latitude.</w:t>
      </w:r>
    </w:p>
    <w:p w14:paraId="0BD7F77C" w14:textId="0C76C7DE" w:rsidR="002F7F19" w:rsidRDefault="002F7F19" w:rsidP="04D7BB67">
      <w:pPr>
        <w:spacing w:after="0" w:line="240" w:lineRule="auto"/>
        <w:rPr>
          <w:rFonts w:ascii="Georgia" w:eastAsia="Georgia" w:hAnsi="Georgia" w:cs="Georgia"/>
          <w:color w:val="000000" w:themeColor="text1"/>
          <w:sz w:val="24"/>
          <w:szCs w:val="24"/>
        </w:rPr>
      </w:pPr>
    </w:p>
    <w:p w14:paraId="6F5AD6C7" w14:textId="5639A0F9"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Islamic astronomy benefitted from the empirical data required for salah throughout its vast lands, the location of the Moon, central to Muslim theology must be known at all times, so that prayers can take place, 5 times per day, at every mosque. This encouraged a culture of mathematic enquiry.</w:t>
      </w:r>
    </w:p>
    <w:p w14:paraId="71060C75" w14:textId="730A1A6C" w:rsidR="002F7F19" w:rsidRDefault="002F7F19" w:rsidP="04D7BB67">
      <w:pPr>
        <w:spacing w:after="0" w:line="240" w:lineRule="auto"/>
        <w:rPr>
          <w:rFonts w:ascii="Georgia" w:eastAsia="Georgia" w:hAnsi="Georgia" w:cs="Georgia"/>
          <w:color w:val="000000" w:themeColor="text1"/>
          <w:sz w:val="24"/>
          <w:szCs w:val="24"/>
        </w:rPr>
      </w:pPr>
    </w:p>
    <w:p w14:paraId="0310713D" w14:textId="11D461A2"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 xml:space="preserve">The transmission of ideas and information also coexisted within </w:t>
      </w:r>
      <w:r w:rsidRPr="04D7BB67">
        <w:rPr>
          <w:rFonts w:ascii="Georgia" w:eastAsia="Georgia" w:hAnsi="Georgia" w:cs="Georgia"/>
          <w:color w:val="000000" w:themeColor="text1"/>
          <w:sz w:val="24"/>
          <w:szCs w:val="24"/>
          <w:u w:val="single"/>
          <w:lang w:val="en-GB"/>
        </w:rPr>
        <w:t>Persio/Indian Lands.</w:t>
      </w:r>
      <w:r w:rsidRPr="04D7BB67">
        <w:rPr>
          <w:rFonts w:ascii="Georgia" w:eastAsia="Georgia" w:hAnsi="Georgia" w:cs="Georgia"/>
          <w:color w:val="000000" w:themeColor="text1"/>
          <w:sz w:val="24"/>
          <w:szCs w:val="24"/>
          <w:lang w:val="en-GB"/>
        </w:rPr>
        <w:t xml:space="preserve"> </w:t>
      </w:r>
    </w:p>
    <w:p w14:paraId="660A9ED9" w14:textId="235FFD8F"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 xml:space="preserve">Menakshi Menon, at the Max Planck Institute, Berlin, Germany has investigated the influences of etymologies from Britain upon Sanskrit and local South Indian vernaculars and cosmogonies from Persia. Subsequently, she explains how classical Vedic astrology has been modernised as a new science in a New India. </w:t>
      </w:r>
    </w:p>
    <w:p w14:paraId="31C6F0A1" w14:textId="0AF5B302"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Menon (4) ‘</w:t>
      </w:r>
      <w:r w:rsidRPr="04D7BB67">
        <w:rPr>
          <w:rFonts w:ascii="Aptos" w:eastAsia="Aptos" w:hAnsi="Aptos" w:cs="Aptos"/>
          <w:i/>
          <w:iCs/>
          <w:color w:val="000000" w:themeColor="text1"/>
          <w:sz w:val="24"/>
          <w:szCs w:val="24"/>
          <w:lang w:val="en-GB"/>
        </w:rPr>
        <w:t>We are aware, as Richard Eaton has argued, that much of South Asia’s history between 1000 and 1800 can be understood in terms of the ‘prolonged and multifaceted interaction between the Sanskrit and Persianate worlds’.</w:t>
      </w:r>
    </w:p>
    <w:p w14:paraId="5C4BEC3B" w14:textId="44CFDD08" w:rsidR="002F7F19" w:rsidRDefault="002F7F19" w:rsidP="04D7BB67">
      <w:pPr>
        <w:spacing w:after="0" w:line="240" w:lineRule="auto"/>
        <w:rPr>
          <w:rFonts w:ascii="Times New Roman" w:eastAsia="Times New Roman" w:hAnsi="Times New Roman" w:cs="Times New Roman"/>
          <w:color w:val="000000" w:themeColor="text1"/>
          <w:sz w:val="24"/>
          <w:szCs w:val="24"/>
        </w:rPr>
      </w:pPr>
    </w:p>
    <w:p w14:paraId="693EC8CC" w14:textId="12C84FE8"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A crucial epistemological shift occurred in post-colonial India as jyotisastra transformed into Jyoti Vigyan. A supposedly modern science which has subsequently come to represent New India. These actions represent a literal intervention to revive a traditional cultural archetype to strengthen the historic cosmology and adapt it into the modern.</w:t>
      </w:r>
    </w:p>
    <w:p w14:paraId="60C4C572" w14:textId="45D44B0C" w:rsidR="002F7F19" w:rsidRDefault="002F7F19" w:rsidP="04D7BB67">
      <w:pPr>
        <w:spacing w:after="0" w:line="240" w:lineRule="auto"/>
        <w:rPr>
          <w:rFonts w:ascii="Times New Roman" w:eastAsia="Times New Roman" w:hAnsi="Times New Roman" w:cs="Times New Roman"/>
          <w:color w:val="000000" w:themeColor="text1"/>
          <w:sz w:val="24"/>
          <w:szCs w:val="24"/>
        </w:rPr>
      </w:pPr>
    </w:p>
    <w:p w14:paraId="4209D5AB" w14:textId="35EC2F30"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In 1791 Jonathon Duncan founded Banaras Sanskrit College where jyotisa was taught as a Vedanga intended to guarantee correct performance of Vedic rituals.</w:t>
      </w:r>
    </w:p>
    <w:p w14:paraId="16425EFD" w14:textId="11EFFA93"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((ganita, siddhanta, phalita,samhita)). Mathematics, astronomy, astrology and divination.</w:t>
      </w:r>
    </w:p>
    <w:p w14:paraId="5AB66F62" w14:textId="4F7BEE45"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In the 1830s it was found out that students who studied algebra and astronomy did so to use their knowledge for astrological computations. These actions would appear obvious to any local Indian. The everyday nature of astrology in India would suggest that the opportunity to supplant one’s education with a part time livelihood was not to be missed.</w:t>
      </w:r>
    </w:p>
    <w:p w14:paraId="74ACA6A1" w14:textId="409A531E"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Is there an essential reality or are we culturally conditioned by cosmogony? This is cultural conditioning. Reading the stars to pay for food is not a divine intervention but a necessity.</w:t>
      </w:r>
    </w:p>
    <w:p w14:paraId="3635FBF8" w14:textId="47F1E428" w:rsidR="002F7F19" w:rsidRDefault="002F7F19" w:rsidP="04D7BB67">
      <w:pPr>
        <w:spacing w:after="0" w:line="240" w:lineRule="auto"/>
        <w:rPr>
          <w:rFonts w:ascii="Calibri" w:eastAsia="Calibri" w:hAnsi="Calibri" w:cs="Calibri"/>
          <w:color w:val="000000" w:themeColor="text1"/>
          <w:sz w:val="24"/>
          <w:szCs w:val="24"/>
        </w:rPr>
      </w:pPr>
    </w:p>
    <w:p w14:paraId="6E0CEA0D" w14:textId="276F0B59" w:rsidR="002F7F19" w:rsidRDefault="4A68C70F" w:rsidP="04D7BB67">
      <w:pPr>
        <w:spacing w:after="0" w:line="240" w:lineRule="auto"/>
        <w:rPr>
          <w:rFonts w:ascii="Calibri" w:eastAsia="Calibri" w:hAnsi="Calibri" w:cs="Calibri"/>
          <w:color w:val="000000" w:themeColor="text1"/>
          <w:sz w:val="24"/>
          <w:szCs w:val="24"/>
        </w:rPr>
      </w:pPr>
      <w:r w:rsidRPr="04D7BB67">
        <w:rPr>
          <w:rFonts w:ascii="Calibri" w:eastAsia="Calibri" w:hAnsi="Calibri" w:cs="Calibri"/>
          <w:color w:val="000000" w:themeColor="text1"/>
          <w:sz w:val="24"/>
          <w:szCs w:val="24"/>
          <w:lang w:val="en-GB"/>
        </w:rPr>
        <w:t xml:space="preserve">Steven Kemper has written two relatable papers and undertaken field work between 1969-71 on the astrological traditions of Sri Lanka which demonstrate to us how ethnic and religiously diverse groups operate similarly in a socially recognised, everyday cosmogony. </w:t>
      </w:r>
    </w:p>
    <w:p w14:paraId="79B45F9E" w14:textId="30FAA58B"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Kemper (3</w:t>
      </w:r>
      <w:r w:rsidRPr="5ED6F1AF">
        <w:rPr>
          <w:rFonts w:ascii="Times New Roman" w:eastAsia="Times New Roman" w:hAnsi="Times New Roman" w:cs="Times New Roman"/>
          <w:sz w:val="24"/>
          <w:szCs w:val="24"/>
          <w:lang w:val="en-GB"/>
        </w:rPr>
        <w:t xml:space="preserve">) </w:t>
      </w:r>
      <w:r w:rsidRPr="5ED6F1AF">
        <w:rPr>
          <w:rFonts w:ascii="Times New Roman" w:eastAsia="Times New Roman" w:hAnsi="Times New Roman" w:cs="Times New Roman"/>
          <w:i/>
          <w:sz w:val="24"/>
          <w:szCs w:val="24"/>
          <w:lang w:val="en-GB"/>
        </w:rPr>
        <w:t xml:space="preserve">It is hard to estimate how pervasive the interest in astrology is in Sri Lankan society as a whole, but it is fair to say that Sinhalese and Tamil, Hindu and Buddhist and Christian (the latter against the Churches opposition) all consult astrologers before making business decisions, beginning critical journeys and above all else arranging marriages. </w:t>
      </w:r>
      <w:r w:rsidRPr="5ED6F1AF">
        <w:rPr>
          <w:rFonts w:ascii="Times New Roman" w:eastAsia="Times New Roman" w:hAnsi="Times New Roman" w:cs="Times New Roman"/>
          <w:sz w:val="24"/>
          <w:szCs w:val="24"/>
          <w:lang w:val="en-GB"/>
        </w:rPr>
        <w:t>Again</w:t>
      </w:r>
      <w:r w:rsidRPr="04D7BB67">
        <w:rPr>
          <w:rFonts w:ascii="Times New Roman" w:eastAsia="Times New Roman" w:hAnsi="Times New Roman" w:cs="Times New Roman"/>
          <w:color w:val="000000" w:themeColor="text1"/>
          <w:sz w:val="24"/>
          <w:szCs w:val="24"/>
          <w:lang w:val="en-GB"/>
        </w:rPr>
        <w:t>, this is cultural conditioning. These are every day occurrences as well as exceptionally important enterprises.</w:t>
      </w:r>
    </w:p>
    <w:p w14:paraId="534B2EF8" w14:textId="0EFC80D5"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In South Asia the mammoth task of modernising Vedic astrology, for the masses, began with an etymological restructuring where classical Sanskrit mirrored European Latin in standardising the vernaculars of South Asia.</w:t>
      </w:r>
    </w:p>
    <w:p w14:paraId="4AB1F0A3" w14:textId="65C93075" w:rsidR="002F7F19" w:rsidRDefault="4A68C70F" w:rsidP="04D7BB67">
      <w:pPr>
        <w:spacing w:after="0" w:line="240" w:lineRule="auto"/>
        <w:rPr>
          <w:rFonts w:ascii="Times New Roman" w:eastAsia="Times New Roman" w:hAnsi="Times New Roman" w:cs="Times New Roman"/>
          <w:sz w:val="24"/>
          <w:szCs w:val="24"/>
        </w:rPr>
      </w:pPr>
      <w:r w:rsidRPr="5ED6F1AF">
        <w:rPr>
          <w:rFonts w:ascii="Times New Roman" w:eastAsia="Times New Roman" w:hAnsi="Times New Roman" w:cs="Times New Roman"/>
          <w:sz w:val="24"/>
          <w:szCs w:val="24"/>
          <w:lang w:val="en-GB"/>
        </w:rPr>
        <w:t xml:space="preserve">Menon.5/8/9 </w:t>
      </w:r>
      <w:r w:rsidRPr="5ED6F1AF">
        <w:rPr>
          <w:rFonts w:asciiTheme="majorHAnsi" w:eastAsiaTheme="majorEastAsia" w:hAnsiTheme="majorHAnsi" w:cstheme="majorBidi"/>
          <w:sz w:val="24"/>
          <w:szCs w:val="24"/>
          <w:lang w:val="en-GB"/>
        </w:rPr>
        <w:t>This</w:t>
      </w:r>
      <w:r w:rsidRPr="5ED6F1AF">
        <w:rPr>
          <w:rFonts w:ascii="Times New Roman" w:eastAsia="Times New Roman" w:hAnsi="Times New Roman" w:cs="Times New Roman"/>
          <w:sz w:val="24"/>
          <w:szCs w:val="24"/>
          <w:lang w:val="en-GB"/>
        </w:rPr>
        <w:t xml:space="preserve"> began a process that reworked the vernaculars to make them appropriate vehicles for the truths of the European sciences. Meanwhile, śāstric knowledge forms and their modes of reasoning were included within a narrative of the early stages of the development of scientific rationality </w:t>
      </w:r>
    </w:p>
    <w:p w14:paraId="693CBBCE" w14:textId="22FCD01E"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Sri Lanka has a colonial history specific to the Island, with more than one coloniser…….</w:t>
      </w:r>
    </w:p>
    <w:p w14:paraId="7A2D3D72" w14:textId="63FA9624" w:rsidR="002F7F19" w:rsidRDefault="4A68C70F" w:rsidP="04D7BB67">
      <w:pPr>
        <w:spacing w:after="0" w:line="240" w:lineRule="auto"/>
        <w:rPr>
          <w:rFonts w:ascii="Times New Roman" w:eastAsia="Times New Roman" w:hAnsi="Times New Roman" w:cs="Times New Roman"/>
          <w:sz w:val="24"/>
          <w:szCs w:val="24"/>
        </w:rPr>
      </w:pPr>
      <w:r w:rsidRPr="04D7BB67">
        <w:rPr>
          <w:rFonts w:ascii="Times New Roman" w:eastAsia="Times New Roman" w:hAnsi="Times New Roman" w:cs="Times New Roman"/>
          <w:color w:val="000000" w:themeColor="text1"/>
          <w:sz w:val="24"/>
          <w:szCs w:val="24"/>
          <w:lang w:val="en-GB"/>
        </w:rPr>
        <w:t xml:space="preserve">Kemper(745) </w:t>
      </w:r>
      <w:r w:rsidRPr="5ED6F1AF">
        <w:rPr>
          <w:rFonts w:ascii="Times New Roman" w:eastAsia="Times New Roman" w:hAnsi="Times New Roman" w:cs="Times New Roman"/>
          <w:sz w:val="24"/>
          <w:szCs w:val="24"/>
          <w:lang w:val="en-GB"/>
        </w:rPr>
        <w:t xml:space="preserve">Early astrological literature consisted of </w:t>
      </w:r>
      <w:r w:rsidR="09D2DBD3" w:rsidRPr="5ED6F1AF">
        <w:rPr>
          <w:rFonts w:ascii="Times New Roman" w:eastAsia="Times New Roman" w:hAnsi="Times New Roman" w:cs="Times New Roman"/>
          <w:sz w:val="24"/>
          <w:szCs w:val="24"/>
          <w:lang w:val="en-GB"/>
        </w:rPr>
        <w:t>Sanskrit</w:t>
      </w:r>
      <w:r w:rsidRPr="5ED6F1AF">
        <w:rPr>
          <w:rFonts w:ascii="Times New Roman" w:eastAsia="Times New Roman" w:hAnsi="Times New Roman" w:cs="Times New Roman"/>
          <w:sz w:val="24"/>
          <w:szCs w:val="24"/>
          <w:lang w:val="en-GB"/>
        </w:rPr>
        <w:t xml:space="preserve"> works copied in Sinhalese script, putting astrological knowledge on at least the same remove of Pali literature, known only to a few virtuosi and full-time practitioners. Even today, the astrologer's didactic texts, technical manuals and ephemerides are often of foreign origin-Indian or English- or are Sinhalese translations of such works. </w:t>
      </w:r>
    </w:p>
    <w:p w14:paraId="7FE0FF61" w14:textId="417EEE3F"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Calibri" w:eastAsia="Calibri" w:hAnsi="Calibri" w:cs="Calibri"/>
          <w:color w:val="000000" w:themeColor="text1"/>
          <w:sz w:val="24"/>
          <w:szCs w:val="24"/>
          <w:lang w:val="en-GB"/>
        </w:rPr>
        <w:t>Campion J.O.C ‘</w:t>
      </w:r>
      <w:r w:rsidRPr="04D7BB67">
        <w:rPr>
          <w:rFonts w:ascii="Calibri" w:eastAsia="Calibri" w:hAnsi="Calibri" w:cs="Calibri"/>
          <w:i/>
          <w:iCs/>
          <w:color w:val="000000" w:themeColor="text1"/>
          <w:sz w:val="24"/>
          <w:szCs w:val="24"/>
          <w:lang w:val="en-GB"/>
        </w:rPr>
        <w:t>techniques</w:t>
      </w:r>
      <w:r w:rsidRPr="04D7BB67">
        <w:rPr>
          <w:rFonts w:ascii="Times New Roman" w:eastAsia="Times New Roman" w:hAnsi="Times New Roman" w:cs="Times New Roman"/>
          <w:i/>
          <w:iCs/>
          <w:color w:val="000000" w:themeColor="text1"/>
          <w:sz w:val="24"/>
          <w:szCs w:val="24"/>
          <w:lang w:val="en-GB"/>
        </w:rPr>
        <w:t xml:space="preserve"> and symbols of astrology were culturally based, and could therefore have use, value or meaning for different people in different cultures. In this sense, to speak of an individual being born with the Sun in Aries in the western zodiac provides meaning to an astrologer using the western system, while an Indian astrologer might see the Sun in Pisces at the birth of the same individual, and make sense of this using Indian astrology. ‘</w:t>
      </w:r>
    </w:p>
    <w:p w14:paraId="4B68278D" w14:textId="1224F52A" w:rsidR="002F7F19" w:rsidRDefault="4A68C70F" w:rsidP="04D7BB67">
      <w:pPr>
        <w:spacing w:after="0" w:line="240" w:lineRule="auto"/>
        <w:rPr>
          <w:rFonts w:ascii="Calibri" w:eastAsia="Calibri" w:hAnsi="Calibri" w:cs="Calibri"/>
          <w:sz w:val="24"/>
          <w:szCs w:val="24"/>
        </w:rPr>
      </w:pPr>
      <w:r w:rsidRPr="5ED6F1AF">
        <w:rPr>
          <w:rFonts w:ascii="Calibri" w:eastAsia="Calibri" w:hAnsi="Calibri" w:cs="Calibri"/>
          <w:sz w:val="24"/>
          <w:szCs w:val="24"/>
          <w:lang w:val="en-GB"/>
        </w:rPr>
        <w:t>Menon (9) Pandit Madan Mohan Malaviya in 1916 initiated astrological/Sanskrit jyotisa teaching at BHU in Banaras</w:t>
      </w:r>
      <w:r w:rsidRPr="04D7BB67">
        <w:rPr>
          <w:rFonts w:ascii="Calibri" w:eastAsia="Calibri" w:hAnsi="Calibri" w:cs="Calibri"/>
          <w:color w:val="196B24"/>
          <w:sz w:val="24"/>
          <w:szCs w:val="24"/>
          <w:lang w:val="en-GB"/>
        </w:rPr>
        <w:t xml:space="preserve">. </w:t>
      </w:r>
      <w:r w:rsidRPr="04D7BB67">
        <w:rPr>
          <w:rFonts w:ascii="Calibri" w:eastAsia="Calibri" w:hAnsi="Calibri" w:cs="Calibri"/>
          <w:color w:val="000000" w:themeColor="text1"/>
          <w:sz w:val="24"/>
          <w:szCs w:val="24"/>
          <w:lang w:val="en-GB"/>
        </w:rPr>
        <w:t xml:space="preserve">Although this initial attempt failed to take, the college was later merged and exists today. Whereby in 2001, </w:t>
      </w:r>
      <w:r w:rsidRPr="04D7BB67">
        <w:rPr>
          <w:rFonts w:ascii="Calibri" w:eastAsia="Calibri" w:hAnsi="Calibri" w:cs="Calibri"/>
          <w:i/>
          <w:iCs/>
          <w:color w:val="000000" w:themeColor="text1"/>
          <w:sz w:val="24"/>
          <w:szCs w:val="24"/>
          <w:lang w:val="en-GB"/>
        </w:rPr>
        <w:t xml:space="preserve">The brisk sale of astrological services and products in India, and the demand for commodities labelled ‘Vedic’ among both New Agers and the Hindu diaspora in Europe and North America, made it imperative that astrologers receive institutionally certified training. </w:t>
      </w:r>
    </w:p>
    <w:p w14:paraId="2CF749D6" w14:textId="1DAE0535" w:rsidR="002F7F19" w:rsidRDefault="4A68C70F" w:rsidP="04D7BB67">
      <w:pPr>
        <w:spacing w:after="0" w:line="240" w:lineRule="auto"/>
        <w:rPr>
          <w:rFonts w:ascii="Calibri" w:eastAsia="Calibri" w:hAnsi="Calibri" w:cs="Calibri"/>
          <w:color w:val="000000" w:themeColor="text1"/>
          <w:sz w:val="24"/>
          <w:szCs w:val="24"/>
          <w:lang w:val="en-GB"/>
        </w:rPr>
      </w:pPr>
      <w:r w:rsidRPr="04D7BB67">
        <w:rPr>
          <w:rFonts w:ascii="Calibri" w:eastAsia="Calibri" w:hAnsi="Calibri" w:cs="Calibri"/>
          <w:color w:val="000000" w:themeColor="text1"/>
          <w:sz w:val="24"/>
          <w:szCs w:val="24"/>
          <w:lang w:val="en-GB"/>
        </w:rPr>
        <w:t>Minakshi Menon (2022).The Bharatiya Janata Party-led efforts to promote the creation of Vedic astrology –Jyotir Vigyan – university departments resulted in the University Grants Commission (UGC) publishing a circular that noted the ‘urgent need to rejuvenate the science of Vedic astrology’.</w:t>
      </w:r>
    </w:p>
    <w:p w14:paraId="637A18AC" w14:textId="7607D381"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Calibri" w:eastAsia="Calibri" w:hAnsi="Calibri" w:cs="Calibri"/>
          <w:color w:val="000000" w:themeColor="text1"/>
          <w:sz w:val="24"/>
          <w:szCs w:val="24"/>
          <w:lang w:val="en-GB"/>
        </w:rPr>
        <w:t>The responsibility for cultural determinants and influences can be referred to in Alan Leo's assumption of the Theosophical Society’s edict that the only explanation for the masses reduced to a lifetime of poverty was that of a ‘karmic determinant’. This must be read as an example of culturally constructed cosmogony, if not one intended by Leo himself. Leo adopted Thomas Aquinas’s mediatory phrase; ‘The stars incline, they do not compel’, another leading 20</w:t>
      </w:r>
      <w:r w:rsidRPr="04D7BB67">
        <w:rPr>
          <w:rFonts w:ascii="Calibri" w:eastAsia="Calibri" w:hAnsi="Calibri" w:cs="Calibri"/>
          <w:color w:val="000000" w:themeColor="text1"/>
          <w:sz w:val="24"/>
          <w:szCs w:val="24"/>
          <w:vertAlign w:val="superscript"/>
          <w:lang w:val="en-GB"/>
        </w:rPr>
        <w:t>th</w:t>
      </w:r>
      <w:r w:rsidRPr="04D7BB67">
        <w:rPr>
          <w:rFonts w:ascii="Calibri" w:eastAsia="Calibri" w:hAnsi="Calibri" w:cs="Calibri"/>
          <w:color w:val="000000" w:themeColor="text1"/>
          <w:sz w:val="24"/>
          <w:szCs w:val="24"/>
          <w:lang w:val="en-GB"/>
        </w:rPr>
        <w:t xml:space="preserve"> Century astrologer, </w:t>
      </w:r>
      <w:r w:rsidRPr="04D7BB67">
        <w:rPr>
          <w:rFonts w:ascii="Times New Roman" w:eastAsia="Times New Roman" w:hAnsi="Times New Roman" w:cs="Times New Roman"/>
          <w:color w:val="000000" w:themeColor="text1"/>
          <w:sz w:val="24"/>
          <w:szCs w:val="24"/>
          <w:lang w:val="en-GB"/>
        </w:rPr>
        <w:t>Dane Rudhyar, also understood that astrological truths are not necessarily absolute, but must be adapted to cultural needs. Thus, within the world of astrology itself, the argument that astrological systems are culturally conditioned flourishes.</w:t>
      </w:r>
      <w:r w:rsidRPr="04D7BB67">
        <w:rPr>
          <w:rFonts w:ascii="Calibri" w:eastAsia="Calibri" w:hAnsi="Calibri" w:cs="Calibri"/>
          <w:color w:val="000000" w:themeColor="text1"/>
          <w:sz w:val="24"/>
          <w:szCs w:val="24"/>
          <w:lang w:val="en-GB"/>
        </w:rPr>
        <w:t xml:space="preserve"> </w:t>
      </w:r>
      <w:r w:rsidRPr="04D7BB67">
        <w:rPr>
          <w:rFonts w:ascii="Times New Roman" w:eastAsia="Times New Roman" w:hAnsi="Times New Roman" w:cs="Times New Roman"/>
          <w:color w:val="000000" w:themeColor="text1"/>
          <w:sz w:val="24"/>
          <w:szCs w:val="24"/>
          <w:lang w:val="en-GB"/>
        </w:rPr>
        <w:t xml:space="preserve">In this sense, technical and interpretative systems of astrology have no meaning in themselves. </w:t>
      </w:r>
    </w:p>
    <w:p w14:paraId="23091CF1" w14:textId="7D84EA87" w:rsidR="002F7F19" w:rsidRDefault="002F7F19" w:rsidP="04D7BB67">
      <w:pPr>
        <w:spacing w:after="0" w:line="240" w:lineRule="auto"/>
        <w:rPr>
          <w:rFonts w:ascii="Calibri" w:eastAsia="Calibri" w:hAnsi="Calibri" w:cs="Calibri"/>
          <w:color w:val="000000" w:themeColor="text1"/>
          <w:sz w:val="24"/>
          <w:szCs w:val="24"/>
          <w:lang w:val="en-GB"/>
        </w:rPr>
      </w:pPr>
    </w:p>
    <w:p w14:paraId="099852AE" w14:textId="4B3495CB"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Calibri" w:eastAsia="Calibri" w:hAnsi="Calibri" w:cs="Calibri"/>
          <w:color w:val="000000" w:themeColor="text1"/>
          <w:sz w:val="24"/>
          <w:szCs w:val="24"/>
          <w:lang w:val="en-GB"/>
        </w:rPr>
        <w:t xml:space="preserve">On the issue of the legitimacy of current western astrology/cosmogony, to its relevance to, or influence </w:t>
      </w:r>
      <w:r w:rsidRPr="04D7BB67">
        <w:rPr>
          <w:rFonts w:ascii="Aptos" w:eastAsia="Aptos" w:hAnsi="Aptos" w:cs="Aptos"/>
          <w:color w:val="000000" w:themeColor="text1"/>
          <w:sz w:val="24"/>
          <w:szCs w:val="24"/>
          <w:lang w:val="en-GB"/>
        </w:rPr>
        <w:t>upon</w:t>
      </w:r>
      <w:r w:rsidRPr="04D7BB67">
        <w:rPr>
          <w:rFonts w:ascii="Calibri" w:eastAsia="Calibri" w:hAnsi="Calibri" w:cs="Calibri"/>
          <w:color w:val="000000" w:themeColor="text1"/>
          <w:sz w:val="24"/>
          <w:szCs w:val="24"/>
          <w:lang w:val="en-GB"/>
        </w:rPr>
        <w:t xml:space="preserve"> culture today. The resurgence of astrology via the internet can be seen as a current cultural phenomenon. </w:t>
      </w:r>
      <w:r w:rsidRPr="04D7BB67">
        <w:rPr>
          <w:rFonts w:ascii="Times New Roman" w:eastAsia="Times New Roman" w:hAnsi="Times New Roman" w:cs="Times New Roman"/>
          <w:color w:val="000000" w:themeColor="text1"/>
          <w:sz w:val="24"/>
          <w:szCs w:val="24"/>
          <w:lang w:val="en-GB"/>
        </w:rPr>
        <w:t>Dr.Frances Clynes, UWTSD, 2015, is one of the few people to have written about the effect of the internet on modern astrology. In this thorough investigation she cites the emotional pull of the internet, the clear need for friendships and support among many disenfranchised peoples.</w:t>
      </w:r>
    </w:p>
    <w:p w14:paraId="66ECA6DB" w14:textId="298D342C" w:rsidR="002F7F19" w:rsidRDefault="002F7F19" w:rsidP="04D7BB67">
      <w:pPr>
        <w:spacing w:after="0" w:line="240" w:lineRule="auto"/>
        <w:rPr>
          <w:rFonts w:ascii="Calibri" w:eastAsia="Calibri" w:hAnsi="Calibri" w:cs="Calibri"/>
          <w:color w:val="000000" w:themeColor="text1"/>
          <w:sz w:val="24"/>
          <w:szCs w:val="24"/>
        </w:rPr>
      </w:pPr>
    </w:p>
    <w:p w14:paraId="6E52F6AB" w14:textId="5AE2D92F" w:rsidR="002F7F19" w:rsidRDefault="4A68C70F" w:rsidP="04D7BB67">
      <w:pPr>
        <w:spacing w:after="0" w:line="240" w:lineRule="auto"/>
        <w:rPr>
          <w:rFonts w:ascii="Calibri" w:eastAsia="Calibri" w:hAnsi="Calibri" w:cs="Calibri"/>
          <w:color w:val="000000" w:themeColor="text1"/>
          <w:sz w:val="24"/>
          <w:szCs w:val="24"/>
        </w:rPr>
      </w:pPr>
      <w:r w:rsidRPr="04D7BB67">
        <w:rPr>
          <w:rFonts w:ascii="Calibri" w:eastAsia="Calibri" w:hAnsi="Calibri" w:cs="Calibri"/>
          <w:color w:val="000000" w:themeColor="text1"/>
          <w:sz w:val="24"/>
          <w:szCs w:val="24"/>
          <w:lang w:val="en-GB"/>
        </w:rPr>
        <w:t xml:space="preserve">CLYNES (83) </w:t>
      </w:r>
      <w:r w:rsidRPr="04D7BB67">
        <w:rPr>
          <w:rFonts w:ascii="Calibri" w:eastAsia="Calibri" w:hAnsi="Calibri" w:cs="Calibri"/>
          <w:i/>
          <w:iCs/>
          <w:color w:val="000000" w:themeColor="text1"/>
          <w:sz w:val="24"/>
          <w:szCs w:val="24"/>
          <w:lang w:val="en-GB"/>
        </w:rPr>
        <w:t>Internet technology makes it possible for people from different parts of the world to connect with each other online, discuss and share information, and thus potentially form the second type of community identified by McMillan and Chavis: community based on relationships between people without reference to physical location.</w:t>
      </w:r>
    </w:p>
    <w:p w14:paraId="642D662D" w14:textId="7E5CFA2B" w:rsidR="002F7F19" w:rsidRDefault="002F7F19" w:rsidP="04D7BB67">
      <w:pPr>
        <w:spacing w:after="0" w:line="240" w:lineRule="auto"/>
        <w:rPr>
          <w:rFonts w:ascii="Times New Roman" w:eastAsia="Times New Roman" w:hAnsi="Times New Roman" w:cs="Times New Roman"/>
          <w:color w:val="000000" w:themeColor="text1"/>
          <w:sz w:val="24"/>
          <w:szCs w:val="24"/>
        </w:rPr>
      </w:pPr>
    </w:p>
    <w:p w14:paraId="02112678" w14:textId="67490F0D"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Could regulatory frameworks, within structured usage of the internet, such as qualifications, certificates etc, as we have verified as happening in the re-presentation of Vedic astrology in India since 2001, become a possibility to ensure that Western astrology retains its legitimacy and does not return us to the age of disenchantment.</w:t>
      </w:r>
    </w:p>
    <w:p w14:paraId="69F3279B" w14:textId="63DC9239" w:rsidR="002F7F19" w:rsidRDefault="4A68C70F" w:rsidP="04D7BB67">
      <w:pPr>
        <w:spacing w:after="0" w:line="240" w:lineRule="auto"/>
        <w:rPr>
          <w:rFonts w:ascii="Calibri" w:eastAsia="Calibri" w:hAnsi="Calibri" w:cs="Calibri"/>
          <w:color w:val="000000" w:themeColor="text1"/>
          <w:sz w:val="24"/>
          <w:szCs w:val="24"/>
        </w:rPr>
      </w:pPr>
      <w:r w:rsidRPr="04D7BB67">
        <w:rPr>
          <w:rFonts w:ascii="Calibri" w:eastAsia="Calibri" w:hAnsi="Calibri" w:cs="Calibri"/>
          <w:i/>
          <w:iCs/>
          <w:color w:val="000000" w:themeColor="text1"/>
          <w:sz w:val="24"/>
          <w:szCs w:val="24"/>
          <w:lang w:val="en-GB"/>
        </w:rPr>
        <w:t>Dr. Frances Clyne</w:t>
      </w:r>
      <w:r w:rsidRPr="04D7BB67">
        <w:rPr>
          <w:rFonts w:ascii="Calibri" w:eastAsia="Calibri" w:hAnsi="Calibri" w:cs="Calibri"/>
          <w:color w:val="000000" w:themeColor="text1"/>
          <w:sz w:val="24"/>
          <w:szCs w:val="24"/>
          <w:lang w:val="en-GB"/>
        </w:rPr>
        <w:t xml:space="preserve"> refers to other potential frameworks for unification in her 2015 doctoral study, yet, as she too has pointed out, the speed with which the system evolves does not necessarily enable unilateral agreement in the forms to which we were used.</w:t>
      </w:r>
    </w:p>
    <w:p w14:paraId="3DFCE346" w14:textId="57809311" w:rsidR="002F7F19" w:rsidRDefault="002F7F19" w:rsidP="04D7BB67">
      <w:pPr>
        <w:spacing w:after="0" w:line="240" w:lineRule="auto"/>
        <w:rPr>
          <w:rFonts w:ascii="Calibri" w:eastAsia="Calibri" w:hAnsi="Calibri" w:cs="Calibri"/>
          <w:color w:val="000000" w:themeColor="text1"/>
          <w:sz w:val="24"/>
          <w:szCs w:val="24"/>
        </w:rPr>
      </w:pPr>
    </w:p>
    <w:p w14:paraId="120051DA" w14:textId="5E38CA00" w:rsidR="002F7F19" w:rsidRDefault="4A68C70F" w:rsidP="04D7BB67">
      <w:pPr>
        <w:spacing w:after="0" w:line="240" w:lineRule="auto"/>
        <w:rPr>
          <w:rFonts w:ascii="Aptos" w:eastAsia="Aptos" w:hAnsi="Aptos" w:cs="Aptos"/>
          <w:color w:val="000000" w:themeColor="text1"/>
          <w:sz w:val="24"/>
          <w:szCs w:val="24"/>
          <w:lang w:val="en-GB"/>
        </w:rPr>
      </w:pPr>
      <w:r w:rsidRPr="04D7BB67">
        <w:rPr>
          <w:rFonts w:ascii="Aptos" w:eastAsia="Aptos" w:hAnsi="Aptos" w:cs="Aptos"/>
          <w:i/>
          <w:iCs/>
          <w:color w:val="000000" w:themeColor="text1"/>
          <w:sz w:val="24"/>
          <w:szCs w:val="24"/>
          <w:u w:val="single"/>
          <w:lang w:val="en-GB"/>
        </w:rPr>
        <w:t>New Science</w:t>
      </w:r>
    </w:p>
    <w:p w14:paraId="27B6B592" w14:textId="1DEABB5D" w:rsidR="002F7F19" w:rsidRDefault="4A68C70F" w:rsidP="04D7BB67">
      <w:pPr>
        <w:spacing w:after="0" w:line="240" w:lineRule="auto"/>
        <w:rPr>
          <w:rFonts w:ascii="Times New Roman" w:eastAsia="Times New Roman" w:hAnsi="Times New Roman" w:cs="Times New Roman"/>
          <w:color w:val="000000" w:themeColor="text1"/>
          <w:sz w:val="24"/>
          <w:szCs w:val="24"/>
        </w:rPr>
      </w:pPr>
      <w:r w:rsidRPr="04D7BB67">
        <w:rPr>
          <w:rFonts w:ascii="Times New Roman" w:eastAsia="Times New Roman" w:hAnsi="Times New Roman" w:cs="Times New Roman"/>
          <w:color w:val="000000" w:themeColor="text1"/>
          <w:sz w:val="24"/>
          <w:szCs w:val="24"/>
          <w:lang w:val="en-GB"/>
        </w:rPr>
        <w:t>India’s recognition of the value of ‘new sciences’ has resulted in fulsome governmental financial support. New sciences in Europe continue to baffle the great and good.</w:t>
      </w:r>
    </w:p>
    <w:p w14:paraId="72C5C131" w14:textId="070C0D53" w:rsidR="002F7F19" w:rsidRDefault="4A68C70F" w:rsidP="04D7BB67">
      <w:pPr>
        <w:spacing w:after="0" w:line="240" w:lineRule="auto"/>
        <w:rPr>
          <w:rFonts w:ascii="Calibri" w:eastAsia="Calibri" w:hAnsi="Calibri" w:cs="Calibri"/>
          <w:color w:val="000000" w:themeColor="text1"/>
          <w:sz w:val="24"/>
          <w:szCs w:val="24"/>
          <w:lang w:val="en-GB"/>
        </w:rPr>
      </w:pPr>
      <w:r w:rsidRPr="04D7BB67">
        <w:rPr>
          <w:rFonts w:ascii="Times New Roman" w:eastAsia="Times New Roman" w:hAnsi="Times New Roman" w:cs="Times New Roman"/>
          <w:color w:val="000000" w:themeColor="text1"/>
          <w:sz w:val="24"/>
          <w:szCs w:val="24"/>
          <w:lang w:val="en-GB"/>
        </w:rPr>
        <w:t>Albert Einstein valiantly attempted to unify the ‘eminence grise’ with a unified field theory, 100 years ago, in 1925. In Quantum Theory this is the cusp year, when all the formulae were laid on the table, at Solvay, hands in the air. “Who’s got the theory?”  QT, of course it does, enables the internet to exist and is one of the ‘new sciences’ along with black/white holes, dark matter and dark energy that yet remain indefinable</w:t>
      </w:r>
      <w:r w:rsidRPr="04D7BB67">
        <w:rPr>
          <w:rFonts w:ascii="Calibri" w:eastAsia="Calibri" w:hAnsi="Calibri" w:cs="Calibri"/>
          <w:i/>
          <w:iCs/>
          <w:color w:val="000000" w:themeColor="text1"/>
          <w:sz w:val="24"/>
          <w:szCs w:val="24"/>
          <w:lang w:val="en-GB"/>
        </w:rPr>
        <w:t xml:space="preserve">. </w:t>
      </w:r>
      <w:r w:rsidRPr="04D7BB67">
        <w:rPr>
          <w:rFonts w:ascii="Calibri" w:eastAsia="Calibri" w:hAnsi="Calibri" w:cs="Calibri"/>
          <w:color w:val="000000" w:themeColor="text1"/>
          <w:sz w:val="24"/>
          <w:szCs w:val="24"/>
          <w:lang w:val="en-GB"/>
        </w:rPr>
        <w:t>For nearly 50 years Einsteins nemesis ‘the Copenhagen theory’ held sway in quanta until John Stewert Bell, in 1972, following Dave Bohm’s work established a local inequality that had been hidden as the result of mathematical error!  900 years since Al-Zarqullah’s unifying Saphaea.</w:t>
      </w:r>
    </w:p>
    <w:p w14:paraId="185B7AE2" w14:textId="6A848967" w:rsidR="002F7F19" w:rsidRDefault="4A68C70F" w:rsidP="04D7BB67">
      <w:pPr>
        <w:spacing w:after="0" w:line="240" w:lineRule="auto"/>
        <w:rPr>
          <w:rFonts w:ascii="Georgia" w:eastAsia="Georgia" w:hAnsi="Georgia" w:cs="Georgia"/>
          <w:color w:val="000000" w:themeColor="text1"/>
          <w:sz w:val="24"/>
          <w:szCs w:val="24"/>
        </w:rPr>
      </w:pPr>
      <w:r w:rsidRPr="04D7BB67">
        <w:rPr>
          <w:rFonts w:ascii="Georgia" w:eastAsia="Georgia" w:hAnsi="Georgia" w:cs="Georgia"/>
          <w:color w:val="000000" w:themeColor="text1"/>
          <w:sz w:val="24"/>
          <w:szCs w:val="24"/>
          <w:lang w:val="en-GB"/>
        </w:rPr>
        <w:t>To conclude the cultural debate this is the moment to introduce the lead anthropologist who has position to view the current state of the new cultural critical theories and their effects upon our culture and cosmogonies.</w:t>
      </w:r>
    </w:p>
    <w:p w14:paraId="63CE87AF" w14:textId="02FFFBBA" w:rsidR="002F7F19" w:rsidRDefault="4A68C70F" w:rsidP="04D7BB67">
      <w:pPr>
        <w:spacing w:after="0" w:line="240" w:lineRule="auto"/>
        <w:rPr>
          <w:rFonts w:ascii="Georgia" w:eastAsia="Georgia" w:hAnsi="Georgia" w:cs="Georgia"/>
          <w:color w:val="000000" w:themeColor="text1"/>
          <w:sz w:val="24"/>
          <w:szCs w:val="24"/>
          <w:lang w:val="en-GB"/>
        </w:rPr>
      </w:pPr>
      <w:r w:rsidRPr="04D7BB67">
        <w:rPr>
          <w:rFonts w:ascii="Georgia" w:eastAsia="Georgia" w:hAnsi="Georgia" w:cs="Georgia"/>
          <w:color w:val="000000" w:themeColor="text1"/>
          <w:sz w:val="24"/>
          <w:szCs w:val="24"/>
          <w:lang w:val="en-GB"/>
        </w:rPr>
        <w:t>Do we as a people act universally?  Yes, we do, sometimes.</w:t>
      </w:r>
    </w:p>
    <w:p w14:paraId="2D329369" w14:textId="216E211E"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Clifford Geertz , writes in ‘The Interpretation of Cultures’,</w:t>
      </w:r>
      <w:r w:rsidRPr="04D7BB67">
        <w:rPr>
          <w:rFonts w:ascii="Aptos" w:eastAsia="Aptos" w:hAnsi="Aptos" w:cs="Aptos"/>
          <w:i/>
          <w:iCs/>
          <w:color w:val="000000" w:themeColor="text1"/>
          <w:sz w:val="24"/>
          <w:szCs w:val="24"/>
          <w:lang w:val="en-GB"/>
        </w:rPr>
        <w:t xml:space="preserve"> that Human nature in the Enlightenment may not have been accessible to all, but it was, he quotes Lovejoy, ‘clear and simple’.</w:t>
      </w:r>
    </w:p>
    <w:p w14:paraId="10F51320" w14:textId="545F20F3"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Williams/Eagleton; Cultured European enlightenment views can be understood as Britain’s; manners, morals, gentlemen, lady’s.;</w:t>
      </w:r>
    </w:p>
    <w:p w14:paraId="75B48D63" w14:textId="6BF60DD3"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France’s; (whose culture Britain followed assiduously) political, economic and technical achievements.</w:t>
      </w:r>
      <w:r w:rsidR="005A027F" w:rsidRPr="56F2B6EC">
        <w:rPr>
          <w:rFonts w:ascii="Aptos" w:eastAsia="Aptos" w:hAnsi="Aptos" w:cs="Aptos"/>
          <w:color w:val="000000" w:themeColor="text1"/>
          <w:sz w:val="24"/>
          <w:szCs w:val="24"/>
          <w:lang w:val="en-GB"/>
        </w:rPr>
        <w:t xml:space="preserve"> </w:t>
      </w:r>
      <w:r w:rsidRPr="04D7BB67">
        <w:rPr>
          <w:rFonts w:ascii="Aptos" w:eastAsia="Aptos" w:hAnsi="Aptos" w:cs="Aptos"/>
          <w:color w:val="000000" w:themeColor="text1"/>
          <w:sz w:val="24"/>
          <w:szCs w:val="24"/>
          <w:lang w:val="en-GB"/>
        </w:rPr>
        <w:t xml:space="preserve">Germany ‘s; religious, intellectual and artistic. Much of the tension in cultural representation comes from the relations between France and Germany. </w:t>
      </w:r>
      <w:r w:rsidRPr="04D7BB67">
        <w:rPr>
          <w:rFonts w:ascii="Aptos" w:eastAsia="Aptos" w:hAnsi="Aptos" w:cs="Aptos"/>
          <w:i/>
          <w:iCs/>
          <w:color w:val="000000" w:themeColor="text1"/>
          <w:sz w:val="24"/>
          <w:szCs w:val="24"/>
          <w:lang w:val="en-GB"/>
        </w:rPr>
        <w:t>Geertz (35) Racine regarded the success of his plays (French refinement) on classical themes as proof that the taste of Paris.....conforms to that of Athens; ‘my spectators have been moved by the same things that brought tears to the eyes of the most cultivated classes of Greece.</w:t>
      </w:r>
    </w:p>
    <w:p w14:paraId="6D37A2F8" w14:textId="416E1DE6"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The change in meaning from cultivate, as in grow necessary foods for sustaining life, to the actions of a gentleman, sitting on high, purveying his wealth's rewards is an example of the power of cultural capital.</w:t>
      </w:r>
    </w:p>
    <w:p w14:paraId="1B599B73" w14:textId="0D99B794" w:rsidR="002F7F19" w:rsidRDefault="002F7F19" w:rsidP="04D7BB67">
      <w:pPr>
        <w:spacing w:after="0" w:line="240" w:lineRule="auto"/>
        <w:rPr>
          <w:rFonts w:ascii="Aptos" w:eastAsia="Aptos" w:hAnsi="Aptos" w:cs="Aptos"/>
          <w:color w:val="0E2841"/>
          <w:sz w:val="24"/>
          <w:szCs w:val="24"/>
        </w:rPr>
      </w:pPr>
    </w:p>
    <w:p w14:paraId="04FCB445" w14:textId="074AFB9B"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E2841"/>
          <w:sz w:val="24"/>
          <w:szCs w:val="24"/>
          <w:lang w:val="en-GB"/>
        </w:rPr>
        <w:t>G</w:t>
      </w:r>
      <w:r w:rsidRPr="04D7BB67">
        <w:rPr>
          <w:rFonts w:ascii="Aptos" w:eastAsia="Aptos" w:hAnsi="Aptos" w:cs="Aptos"/>
          <w:color w:val="000000" w:themeColor="text1"/>
          <w:sz w:val="24"/>
          <w:szCs w:val="24"/>
          <w:lang w:val="en-GB"/>
        </w:rPr>
        <w:t>eertz (38) ‘</w:t>
      </w:r>
      <w:r w:rsidRPr="04D7BB67">
        <w:rPr>
          <w:rFonts w:ascii="Aptos" w:eastAsia="Aptos" w:hAnsi="Aptos" w:cs="Aptos"/>
          <w:i/>
          <w:iCs/>
          <w:color w:val="000000" w:themeColor="text1"/>
          <w:sz w:val="24"/>
          <w:szCs w:val="24"/>
          <w:lang w:val="en-GB"/>
        </w:rPr>
        <w:t>For the eighteenth century image of man as the naked reasoner that appeared when he took his cultural costumes off, the anthropology of the late nineteenth and early twentieth centuries substituted the image of man as the transfigured animal that appeared when he put them on’</w:t>
      </w:r>
    </w:p>
    <w:p w14:paraId="3FD54BEA" w14:textId="0B965BB5"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Eagleton says ‘Culture is a word that faces both ways, it suggests a division within ourselves, between that part of us that cultivates and refines.’ As The Moon shows her chosen side to the planet that pleases her.</w:t>
      </w:r>
    </w:p>
    <w:p w14:paraId="7E2D799C" w14:textId="520248AA" w:rsidR="002F7F19" w:rsidRDefault="002F7F19" w:rsidP="04D7BB67">
      <w:pPr>
        <w:spacing w:after="0" w:line="240" w:lineRule="auto"/>
        <w:rPr>
          <w:rFonts w:ascii="Aptos" w:eastAsia="Aptos" w:hAnsi="Aptos" w:cs="Aptos"/>
          <w:color w:val="000000" w:themeColor="text1"/>
          <w:sz w:val="24"/>
          <w:szCs w:val="24"/>
        </w:rPr>
      </w:pPr>
    </w:p>
    <w:p w14:paraId="733D9786" w14:textId="43C36B4A"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 xml:space="preserve">Geertz (36) says that </w:t>
      </w:r>
      <w:r w:rsidRPr="04D7BB67">
        <w:rPr>
          <w:rFonts w:ascii="Aptos" w:eastAsia="Aptos" w:hAnsi="Aptos" w:cs="Aptos"/>
          <w:i/>
          <w:iCs/>
          <w:color w:val="000000" w:themeColor="text1"/>
          <w:sz w:val="24"/>
          <w:szCs w:val="24"/>
          <w:lang w:val="en-GB"/>
        </w:rPr>
        <w:t xml:space="preserve">anthropological surveyance of non-European cultures; </w:t>
      </w:r>
      <w:r w:rsidRPr="04D7BB67">
        <w:rPr>
          <w:rFonts w:ascii="Aptos" w:eastAsia="Aptos" w:hAnsi="Aptos" w:cs="Aptos"/>
          <w:color w:val="000000" w:themeColor="text1"/>
          <w:sz w:val="24"/>
          <w:szCs w:val="24"/>
          <w:lang w:val="en-GB"/>
        </w:rPr>
        <w:t>citing Balinese trance,</w:t>
      </w:r>
      <w:r w:rsidRPr="04D7BB67">
        <w:rPr>
          <w:rFonts w:ascii="Aptos" w:eastAsia="Aptos" w:hAnsi="Aptos" w:cs="Aptos"/>
          <w:i/>
          <w:iCs/>
          <w:color w:val="000000" w:themeColor="text1"/>
          <w:sz w:val="24"/>
          <w:szCs w:val="24"/>
          <w:lang w:val="en-GB"/>
        </w:rPr>
        <w:t xml:space="preserve"> reveals a thousand dissimilarities in behaviour.</w:t>
      </w:r>
    </w:p>
    <w:p w14:paraId="6B297BBE" w14:textId="16648950"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i/>
          <w:iCs/>
          <w:color w:val="000000" w:themeColor="text1"/>
          <w:sz w:val="24"/>
          <w:szCs w:val="24"/>
          <w:lang w:val="en-GB"/>
        </w:rPr>
        <w:t xml:space="preserve">The attempt to clarify, or reconstruct an intelligible account of what man is, has underlain scientific thinking about culture ever since. </w:t>
      </w:r>
    </w:p>
    <w:p w14:paraId="6D38C65A" w14:textId="650F0BE9" w:rsidR="002F7F19" w:rsidRDefault="002F7F19" w:rsidP="04D7BB67">
      <w:pPr>
        <w:spacing w:after="0" w:line="240" w:lineRule="auto"/>
        <w:rPr>
          <w:rFonts w:ascii="Aptos" w:eastAsia="Aptos" w:hAnsi="Aptos" w:cs="Aptos"/>
          <w:color w:val="0E2841"/>
          <w:sz w:val="24"/>
          <w:szCs w:val="24"/>
        </w:rPr>
      </w:pPr>
    </w:p>
    <w:p w14:paraId="508424A8" w14:textId="6EB7FE36"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Having sought complexity, anthropologists are now in such a state of entanglement that equivalence is nigh on impossible. The expansion of the modern world has placed the universal theory of culture under tremendous strain.  There lies an essential thread which must, from time to time, weave to the whole, to produce the basket and the blanket, for food and warmth, without which societies begin to fall apart.</w:t>
      </w:r>
    </w:p>
    <w:p w14:paraId="543149B2" w14:textId="32BF3D69" w:rsidR="002F7F19" w:rsidRDefault="002F7F19" w:rsidP="04D7BB67">
      <w:pPr>
        <w:spacing w:after="0" w:line="240" w:lineRule="auto"/>
        <w:rPr>
          <w:rFonts w:ascii="Aptos" w:eastAsia="Aptos" w:hAnsi="Aptos" w:cs="Aptos"/>
          <w:color w:val="000000" w:themeColor="text1"/>
          <w:sz w:val="24"/>
          <w:szCs w:val="24"/>
        </w:rPr>
      </w:pPr>
    </w:p>
    <w:p w14:paraId="2A5CA93C" w14:textId="7242D10A"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 xml:space="preserve">Richard Evans (17)‘In Defence of History’, provides an example of classical critiquing by Leopold Von Ranke, a German historian who, </w:t>
      </w:r>
      <w:r w:rsidRPr="04D7BB67">
        <w:rPr>
          <w:rFonts w:ascii="Aptos" w:eastAsia="Aptos" w:hAnsi="Aptos" w:cs="Aptos"/>
          <w:i/>
          <w:iCs/>
          <w:color w:val="000000" w:themeColor="text1"/>
          <w:sz w:val="24"/>
          <w:szCs w:val="24"/>
          <w:lang w:val="en-GB"/>
        </w:rPr>
        <w:t>following Burke, looked at the past for ‘Wie es eigentlich gewesen’ ,‘how it essentially was’.</w:t>
      </w:r>
      <w:r w:rsidRPr="04D7BB67">
        <w:rPr>
          <w:rFonts w:ascii="Aptos" w:eastAsia="Aptos" w:hAnsi="Aptos" w:cs="Aptos"/>
          <w:color w:val="000000" w:themeColor="text1"/>
          <w:sz w:val="24"/>
          <w:szCs w:val="24"/>
          <w:lang w:val="en-GB"/>
        </w:rPr>
        <w:t xml:space="preserve"> </w:t>
      </w:r>
      <w:r w:rsidRPr="04D7BB67">
        <w:rPr>
          <w:rFonts w:ascii="Aptos" w:eastAsia="Aptos" w:hAnsi="Aptos" w:cs="Aptos"/>
          <w:i/>
          <w:iCs/>
          <w:color w:val="FF0000"/>
          <w:sz w:val="24"/>
          <w:szCs w:val="24"/>
          <w:lang w:val="en-GB"/>
        </w:rPr>
        <w:t xml:space="preserve"> </w:t>
      </w:r>
      <w:r w:rsidRPr="04D7BB67">
        <w:rPr>
          <w:rFonts w:ascii="Aptos" w:eastAsia="Aptos" w:hAnsi="Aptos" w:cs="Aptos"/>
          <w:i/>
          <w:iCs/>
          <w:color w:val="000000" w:themeColor="text1"/>
          <w:sz w:val="24"/>
          <w:szCs w:val="24"/>
          <w:lang w:val="en-GB"/>
        </w:rPr>
        <w:t xml:space="preserve">A </w:t>
      </w:r>
      <w:r w:rsidRPr="04D7BB67">
        <w:rPr>
          <w:rFonts w:ascii="Aptos" w:eastAsia="Aptos" w:hAnsi="Aptos" w:cs="Aptos"/>
          <w:color w:val="000000" w:themeColor="text1"/>
          <w:sz w:val="24"/>
          <w:szCs w:val="24"/>
          <w:lang w:val="en-GB"/>
        </w:rPr>
        <w:t xml:space="preserve">question that arises is are we a stable enough society to relinquish the critical ground rules to which we had become accustomed? </w:t>
      </w:r>
    </w:p>
    <w:p w14:paraId="3CDC2431" w14:textId="5C549A1E" w:rsidR="002F7F19" w:rsidRDefault="002F7F19" w:rsidP="04D7BB67">
      <w:pPr>
        <w:spacing w:after="0" w:line="240" w:lineRule="auto"/>
        <w:rPr>
          <w:rFonts w:ascii="Aptos" w:eastAsia="Aptos" w:hAnsi="Aptos" w:cs="Aptos"/>
          <w:color w:val="000000" w:themeColor="text1"/>
          <w:sz w:val="24"/>
          <w:szCs w:val="24"/>
        </w:rPr>
      </w:pPr>
    </w:p>
    <w:p w14:paraId="753B9688" w14:textId="4775FCCC"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u w:val="single"/>
          <w:lang w:val="en-GB"/>
        </w:rPr>
        <w:t>Bibliography</w:t>
      </w:r>
    </w:p>
    <w:p w14:paraId="383BCDB6" w14:textId="115F8F2E"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 xml:space="preserve">Bernadette, Brady. </w:t>
      </w:r>
      <w:r w:rsidR="1529F03B" w:rsidRPr="56F2B6EC">
        <w:rPr>
          <w:rFonts w:ascii="Aptos" w:eastAsia="Aptos" w:hAnsi="Aptos" w:cs="Aptos"/>
          <w:sz w:val="24"/>
          <w:szCs w:val="24"/>
          <w:lang w:val="en-GB"/>
        </w:rPr>
        <w:t>Aristotle's</w:t>
      </w:r>
      <w:r w:rsidRPr="56F2B6EC">
        <w:rPr>
          <w:rFonts w:ascii="Aptos" w:eastAsia="Aptos" w:hAnsi="Aptos" w:cs="Aptos"/>
          <w:sz w:val="24"/>
          <w:szCs w:val="24"/>
          <w:lang w:val="en-GB"/>
        </w:rPr>
        <w:t xml:space="preserve"> Cosmogony, Power Point.</w:t>
      </w:r>
    </w:p>
    <w:p w14:paraId="12A72193" w14:textId="49AD8042"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Nicholas Campion. ‘Astronomy and Psyche in the Classical World: Plato,</w:t>
      </w:r>
    </w:p>
    <w:p w14:paraId="54407765" w14:textId="70D111A7"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Aristotle, Zeno, Ptolemy’, JournalofCosmology.com 2010, Vol. 9.</w:t>
      </w:r>
    </w:p>
    <w:p w14:paraId="1FCE1528" w14:textId="3CF70C94" w:rsidR="002F7F19" w:rsidRDefault="4A68C70F" w:rsidP="04D7BB67">
      <w:pPr>
        <w:spacing w:after="0" w:line="240" w:lineRule="auto"/>
        <w:rPr>
          <w:rFonts w:ascii="Aptos" w:eastAsia="Aptos" w:hAnsi="Aptos" w:cs="Aptos"/>
          <w:sz w:val="24"/>
          <w:szCs w:val="24"/>
        </w:rPr>
      </w:pPr>
      <w:r w:rsidRPr="04D7BB67">
        <w:rPr>
          <w:rFonts w:ascii="Aptos" w:eastAsia="Aptos" w:hAnsi="Aptos" w:cs="Aptos"/>
          <w:color w:val="000000" w:themeColor="text1"/>
          <w:sz w:val="24"/>
          <w:szCs w:val="24"/>
          <w:lang w:val="en-GB"/>
        </w:rPr>
        <w:t xml:space="preserve">Dr. Frances Clynes. MA, M.Sc.; ‘Examination of the Internet on Western Astrology’ </w:t>
      </w:r>
      <w:r w:rsidRPr="04D7BB67">
        <w:rPr>
          <w:rFonts w:ascii="Aptos" w:eastAsia="Aptos" w:hAnsi="Aptos" w:cs="Aptos"/>
          <w:color w:val="C00000"/>
          <w:sz w:val="24"/>
          <w:szCs w:val="24"/>
          <w:lang w:val="en-GB"/>
        </w:rPr>
        <w:t>2</w:t>
      </w:r>
      <w:r w:rsidRPr="56F2B6EC">
        <w:rPr>
          <w:rFonts w:ascii="Aptos" w:eastAsia="Aptos" w:hAnsi="Aptos" w:cs="Aptos"/>
          <w:sz w:val="24"/>
          <w:szCs w:val="24"/>
          <w:lang w:val="en-GB"/>
        </w:rPr>
        <w:t>015 Pps 83,125</w:t>
      </w:r>
    </w:p>
    <w:p w14:paraId="78F12F66" w14:textId="0F5F27A9"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Henri Corbin. Sohraverda….</w:t>
      </w:r>
    </w:p>
    <w:p w14:paraId="0F82F732" w14:textId="17600471"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 xml:space="preserve">Terry, Eagleton. ‘The Idea of Culture’, Blackwells 2013. Pps Library Page Numbers </w:t>
      </w:r>
    </w:p>
    <w:p w14:paraId="7D92BAE4" w14:textId="452DEB20"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Richard, J, Evans. ‘In Defence of History’, Granta 1997. P17</w:t>
      </w:r>
    </w:p>
    <w:p w14:paraId="3BC18153" w14:textId="3FD171F6"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 xml:space="preserve">Henri Corbin, Mundus Imaginalis or, the Imaginary and the Imaginal. </w:t>
      </w:r>
    </w:p>
    <w:p w14:paraId="0CFE18C7" w14:textId="0A239013"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Topographies of the Eight Climate The Hermetic Library pps ( )</w:t>
      </w:r>
    </w:p>
    <w:p w14:paraId="4FB01242" w14:textId="68A42F22"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Clifford Geertz. ‘The Interpretation of Cultures’. Pps34, 35, 38</w:t>
      </w:r>
    </w:p>
    <w:p w14:paraId="11CB5EA4" w14:textId="7FD57F46"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Steven, Kemper. Time, person and gender in Sinhalese Astrology.</w:t>
      </w:r>
    </w:p>
    <w:p w14:paraId="4DF27BA9" w14:textId="2FB014BD" w:rsidR="002F7F19" w:rsidRDefault="4A68C70F" w:rsidP="04D7BB67">
      <w:pPr>
        <w:spacing w:after="0" w:line="240" w:lineRule="auto"/>
        <w:rPr>
          <w:rFonts w:eastAsiaTheme="minorEastAsia"/>
          <w:color w:val="000000" w:themeColor="text1"/>
          <w:sz w:val="24"/>
          <w:szCs w:val="24"/>
        </w:rPr>
      </w:pPr>
      <w:r w:rsidRPr="04D7BB67">
        <w:rPr>
          <w:rFonts w:ascii="Aptos" w:eastAsia="Aptos" w:hAnsi="Aptos" w:cs="Aptos"/>
          <w:i/>
          <w:iCs/>
          <w:color w:val="000000" w:themeColor="text1"/>
          <w:sz w:val="24"/>
          <w:szCs w:val="24"/>
          <w:lang w:val="en-GB"/>
        </w:rPr>
        <w:t xml:space="preserve">‘American Ethnologist Journal.’ </w:t>
      </w:r>
      <w:r w:rsidRPr="04D7BB67">
        <w:rPr>
          <w:rFonts w:ascii="Aptos" w:eastAsia="Aptos" w:hAnsi="Aptos" w:cs="Aptos"/>
          <w:color w:val="000000" w:themeColor="text1"/>
          <w:sz w:val="24"/>
          <w:szCs w:val="24"/>
          <w:lang w:val="en-GB"/>
        </w:rPr>
        <w:t>Vol74, No. 4 (Nov,1980), p749</w:t>
      </w:r>
    </w:p>
    <w:p w14:paraId="3647039C" w14:textId="1182F6F0"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&amp; Sinhalese Astrology, South Asian Caste Systems, and the Notion of Individuality.</w:t>
      </w:r>
    </w:p>
    <w:p w14:paraId="1977599F" w14:textId="0B7C63D3"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i/>
          <w:iCs/>
          <w:color w:val="000000" w:themeColor="text1"/>
          <w:sz w:val="24"/>
          <w:szCs w:val="24"/>
          <w:lang w:val="en-GB"/>
        </w:rPr>
        <w:t xml:space="preserve">‘Journal of Asian Studies’ </w:t>
      </w:r>
      <w:r w:rsidRPr="04D7BB67">
        <w:rPr>
          <w:rFonts w:ascii="Aptos" w:eastAsia="Aptos" w:hAnsi="Aptos" w:cs="Aptos"/>
          <w:color w:val="000000" w:themeColor="text1"/>
          <w:sz w:val="24"/>
          <w:szCs w:val="24"/>
          <w:lang w:val="en-GB"/>
        </w:rPr>
        <w:t>Vol.38, No.3 (May 1979), p3</w:t>
      </w:r>
    </w:p>
    <w:p w14:paraId="2C80A412" w14:textId="00A52156"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Fieldwork carried out 1969-71, In Sri Lanka.</w:t>
      </w:r>
    </w:p>
    <w:p w14:paraId="017A1738" w14:textId="32D676D9" w:rsidR="002F7F19" w:rsidRDefault="4A68C70F" w:rsidP="04D7BB67">
      <w:pPr>
        <w:spacing w:after="0" w:line="240" w:lineRule="auto"/>
        <w:rPr>
          <w:rFonts w:ascii="Aptos" w:eastAsia="Aptos" w:hAnsi="Aptos" w:cs="Aptos"/>
          <w:color w:val="000000" w:themeColor="text1"/>
          <w:sz w:val="24"/>
          <w:szCs w:val="24"/>
        </w:rPr>
      </w:pPr>
      <w:r w:rsidRPr="04D7BB67">
        <w:rPr>
          <w:rFonts w:ascii="Aptos" w:eastAsia="Aptos" w:hAnsi="Aptos" w:cs="Aptos"/>
          <w:color w:val="000000" w:themeColor="text1"/>
          <w:sz w:val="24"/>
          <w:szCs w:val="24"/>
          <w:lang w:val="en-GB"/>
        </w:rPr>
        <w:t>Jeffrey Henderson. Plato 1X LCL 234, Pps 39, 49,</w:t>
      </w:r>
    </w:p>
    <w:p w14:paraId="4D7A7A3A" w14:textId="3E82D1A2" w:rsidR="002F7F19" w:rsidRDefault="4A68C70F" w:rsidP="04D7BB67">
      <w:pPr>
        <w:spacing w:after="0" w:line="240" w:lineRule="auto"/>
        <w:rPr>
          <w:rFonts w:ascii="Aptos" w:eastAsia="Aptos" w:hAnsi="Aptos" w:cs="Aptos"/>
          <w:sz w:val="24"/>
          <w:szCs w:val="24"/>
        </w:rPr>
      </w:pPr>
      <w:r w:rsidRPr="56F2B6EC">
        <w:rPr>
          <w:rFonts w:ascii="Aptos" w:eastAsia="Aptos" w:hAnsi="Aptos" w:cs="Aptos"/>
          <w:sz w:val="24"/>
          <w:szCs w:val="24"/>
          <w:lang w:val="en-GB"/>
        </w:rPr>
        <w:t>Minakshi Menon. Indiginous Knowledges and Colonial Sciences in South Asia.</w:t>
      </w:r>
    </w:p>
    <w:p w14:paraId="09A92A77" w14:textId="3BAED4CA" w:rsidR="002F7F19" w:rsidRDefault="4A68C70F">
      <w:pPr>
        <w:rPr>
          <w:rFonts w:ascii="Aptos" w:eastAsia="Aptos" w:hAnsi="Aptos" w:cs="Aptos"/>
          <w:sz w:val="24"/>
          <w:szCs w:val="24"/>
          <w:lang w:val="en-GB"/>
        </w:rPr>
      </w:pPr>
      <w:r w:rsidRPr="56F2B6EC">
        <w:rPr>
          <w:rFonts w:ascii="Aptos" w:eastAsia="Aptos" w:hAnsi="Aptos" w:cs="Aptos"/>
          <w:sz w:val="24"/>
          <w:szCs w:val="24"/>
          <w:lang w:val="en-GB"/>
        </w:rPr>
        <w:t>‘S</w:t>
      </w:r>
      <w:r w:rsidRPr="56F2B6EC">
        <w:rPr>
          <w:rFonts w:ascii="Aptos" w:eastAsia="Aptos" w:hAnsi="Aptos" w:cs="Aptos"/>
          <w:i/>
          <w:sz w:val="24"/>
          <w:szCs w:val="24"/>
          <w:lang w:val="en-GB"/>
        </w:rPr>
        <w:t>outh Asian History and Culture ‘</w:t>
      </w:r>
      <w:r w:rsidRPr="56F2B6EC">
        <w:rPr>
          <w:rFonts w:ascii="Aptos" w:eastAsia="Aptos" w:hAnsi="Aptos" w:cs="Aptos"/>
          <w:sz w:val="24"/>
          <w:szCs w:val="24"/>
          <w:lang w:val="en-GB"/>
        </w:rPr>
        <w:t>2022, VOL. 13, NO. 1, 1–18</w:t>
      </w:r>
    </w:p>
    <w:p w14:paraId="39CEBD98" w14:textId="77777777" w:rsidR="002F7F19" w:rsidRDefault="002F7F19"/>
    <w:p w14:paraId="4B4C4A0F" w14:textId="77777777" w:rsidR="002F7F19" w:rsidRDefault="002F7F19"/>
    <w:p w14:paraId="48C1F31F" w14:textId="77777777" w:rsidR="002F7F19" w:rsidRDefault="002F7F19"/>
    <w:p w14:paraId="5398C5A6" w14:textId="77777777" w:rsidR="002F7F19" w:rsidRDefault="002F7F19"/>
    <w:p w14:paraId="26E365E5" w14:textId="77777777" w:rsidR="002F7F19" w:rsidRDefault="002F7F19"/>
    <w:p w14:paraId="7CC8CDF1" w14:textId="77777777" w:rsidR="002F7F19" w:rsidRDefault="002F7F19"/>
    <w:p w14:paraId="3E9188E4" w14:textId="77777777" w:rsidR="002F7F19" w:rsidRDefault="002F7F19"/>
    <w:p w14:paraId="703D73DC" w14:textId="77777777" w:rsidR="002F7F19" w:rsidRDefault="002F7F19"/>
    <w:p w14:paraId="0092A162" w14:textId="77777777" w:rsidR="002F7F19" w:rsidRDefault="002F7F19"/>
    <w:p w14:paraId="1445D3CB" w14:textId="77777777" w:rsidR="002F7F19" w:rsidRDefault="002F7F19"/>
    <w:p w14:paraId="55DAC626" w14:textId="77777777" w:rsidR="002F7F19" w:rsidRDefault="002F7F19"/>
    <w:p w14:paraId="44F07602" w14:textId="77777777" w:rsidR="002F7F19" w:rsidRDefault="002F7F19"/>
    <w:p w14:paraId="57EC16EC" w14:textId="77777777" w:rsidR="002F7F19" w:rsidRDefault="002F7F19"/>
    <w:p w14:paraId="173840AA" w14:textId="77777777" w:rsidR="002F7F19" w:rsidRDefault="002F7F19"/>
    <w:p w14:paraId="641586EF" w14:textId="77777777" w:rsidR="00803AF1" w:rsidRDefault="00803AF1" w:rsidP="00803AF1"/>
    <w:sectPr w:rsidR="00803AF1" w:rsidSect="00E75F8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59ECD" w14:textId="77777777" w:rsidR="00422D42" w:rsidRDefault="00422D42" w:rsidP="004142B1">
      <w:pPr>
        <w:spacing w:after="0" w:line="240" w:lineRule="auto"/>
      </w:pPr>
      <w:r>
        <w:separator/>
      </w:r>
    </w:p>
  </w:endnote>
  <w:endnote w:type="continuationSeparator" w:id="0">
    <w:p w14:paraId="076A73D7" w14:textId="77777777" w:rsidR="00422D42" w:rsidRDefault="00422D42"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50717" w14:textId="77777777" w:rsidR="00422D42" w:rsidRDefault="00422D42" w:rsidP="004142B1">
      <w:pPr>
        <w:spacing w:after="0" w:line="240" w:lineRule="auto"/>
      </w:pPr>
      <w:r>
        <w:separator/>
      </w:r>
    </w:p>
  </w:footnote>
  <w:footnote w:type="continuationSeparator" w:id="0">
    <w:p w14:paraId="1DE5D0AA" w14:textId="77777777" w:rsidR="00422D42" w:rsidRDefault="00422D42" w:rsidP="004142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EAC51" w14:textId="5AFDBF35" w:rsidR="091324BA" w:rsidRDefault="091324BA" w:rsidP="091324BA">
    <w:pPr>
      <w:pStyle w:val="Header"/>
    </w:pPr>
    <w:r>
      <w:fldChar w:fldCharType="begin"/>
    </w:r>
    <w:r>
      <w:instrText>PAGE</w:instrText>
    </w:r>
    <w:r>
      <w:fldChar w:fldCharType="separate"/>
    </w:r>
    <w:r>
      <w:fldChar w:fldCharType="end"/>
    </w:r>
  </w:p>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intelligence2.xml><?xml version="1.0" encoding="utf-8"?>
<int2:intelligence xmlns:int2="http://schemas.microsoft.com/office/intelligence/2020/intelligence" xmlns:oel="http://schemas.microsoft.com/office/2019/extlst">
  <int2:observations>
    <int2:textHash int2:hashCode="pR03w/sB2e3mby" int2:id="28wh08jQ">
      <int2:state int2:value="Rejected" int2:type="spell"/>
    </int2:textHash>
    <int2:textHash int2:hashCode="6F+Z+Rbc5Vm0vn" int2:id="VrupkZY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2B1"/>
    <w:rsid w:val="00001257"/>
    <w:rsid w:val="00011E1E"/>
    <w:rsid w:val="00025436"/>
    <w:rsid w:val="000358BB"/>
    <w:rsid w:val="00050E87"/>
    <w:rsid w:val="00052C8D"/>
    <w:rsid w:val="00066735"/>
    <w:rsid w:val="00077BE4"/>
    <w:rsid w:val="000A670A"/>
    <w:rsid w:val="000C6F6D"/>
    <w:rsid w:val="000D6229"/>
    <w:rsid w:val="000D6C36"/>
    <w:rsid w:val="0010574C"/>
    <w:rsid w:val="00115936"/>
    <w:rsid w:val="00116AA9"/>
    <w:rsid w:val="00140FC3"/>
    <w:rsid w:val="00153FAC"/>
    <w:rsid w:val="0016536B"/>
    <w:rsid w:val="001C5D6D"/>
    <w:rsid w:val="00201659"/>
    <w:rsid w:val="00204949"/>
    <w:rsid w:val="00207E4A"/>
    <w:rsid w:val="00237623"/>
    <w:rsid w:val="00257027"/>
    <w:rsid w:val="00275E42"/>
    <w:rsid w:val="002929EE"/>
    <w:rsid w:val="002B06D7"/>
    <w:rsid w:val="002B3B56"/>
    <w:rsid w:val="002B71BC"/>
    <w:rsid w:val="002C53B9"/>
    <w:rsid w:val="002D7734"/>
    <w:rsid w:val="002E0552"/>
    <w:rsid w:val="002E1B15"/>
    <w:rsid w:val="002F5506"/>
    <w:rsid w:val="002F7F19"/>
    <w:rsid w:val="00300CB1"/>
    <w:rsid w:val="00316F8D"/>
    <w:rsid w:val="00351B1F"/>
    <w:rsid w:val="00354150"/>
    <w:rsid w:val="003A2669"/>
    <w:rsid w:val="003D2FE5"/>
    <w:rsid w:val="0040348E"/>
    <w:rsid w:val="004142B1"/>
    <w:rsid w:val="00422D42"/>
    <w:rsid w:val="00434655"/>
    <w:rsid w:val="00481250"/>
    <w:rsid w:val="00486A23"/>
    <w:rsid w:val="00493129"/>
    <w:rsid w:val="00493FA7"/>
    <w:rsid w:val="00497045"/>
    <w:rsid w:val="00497CA5"/>
    <w:rsid w:val="004A3CBD"/>
    <w:rsid w:val="004F7595"/>
    <w:rsid w:val="0051774C"/>
    <w:rsid w:val="00523EB4"/>
    <w:rsid w:val="005318D3"/>
    <w:rsid w:val="005425D9"/>
    <w:rsid w:val="00583F0E"/>
    <w:rsid w:val="005A027F"/>
    <w:rsid w:val="005D7465"/>
    <w:rsid w:val="005E1C35"/>
    <w:rsid w:val="005F2A70"/>
    <w:rsid w:val="006049C2"/>
    <w:rsid w:val="006104D2"/>
    <w:rsid w:val="00632A22"/>
    <w:rsid w:val="00634225"/>
    <w:rsid w:val="00645CE5"/>
    <w:rsid w:val="006518FB"/>
    <w:rsid w:val="00665180"/>
    <w:rsid w:val="00687CC1"/>
    <w:rsid w:val="00692A1F"/>
    <w:rsid w:val="006C4176"/>
    <w:rsid w:val="006C608C"/>
    <w:rsid w:val="006C7BD4"/>
    <w:rsid w:val="006E1E73"/>
    <w:rsid w:val="006E7792"/>
    <w:rsid w:val="00727040"/>
    <w:rsid w:val="00760606"/>
    <w:rsid w:val="007838B0"/>
    <w:rsid w:val="0078562C"/>
    <w:rsid w:val="00790505"/>
    <w:rsid w:val="0079680C"/>
    <w:rsid w:val="007A6C86"/>
    <w:rsid w:val="007B067E"/>
    <w:rsid w:val="007B2642"/>
    <w:rsid w:val="007E6CFB"/>
    <w:rsid w:val="00802737"/>
    <w:rsid w:val="00803AF1"/>
    <w:rsid w:val="008055B1"/>
    <w:rsid w:val="008110F8"/>
    <w:rsid w:val="00813F14"/>
    <w:rsid w:val="0084057E"/>
    <w:rsid w:val="00844860"/>
    <w:rsid w:val="00844F0E"/>
    <w:rsid w:val="00850111"/>
    <w:rsid w:val="008606B1"/>
    <w:rsid w:val="00873A00"/>
    <w:rsid w:val="00877FD3"/>
    <w:rsid w:val="008846D9"/>
    <w:rsid w:val="00884E41"/>
    <w:rsid w:val="008A1538"/>
    <w:rsid w:val="008C2CA4"/>
    <w:rsid w:val="008C740F"/>
    <w:rsid w:val="008E3EF0"/>
    <w:rsid w:val="008F71C6"/>
    <w:rsid w:val="00912A5F"/>
    <w:rsid w:val="00922C4E"/>
    <w:rsid w:val="009534AF"/>
    <w:rsid w:val="009538F7"/>
    <w:rsid w:val="00960AF1"/>
    <w:rsid w:val="009645AF"/>
    <w:rsid w:val="00976AF7"/>
    <w:rsid w:val="00984344"/>
    <w:rsid w:val="00994F78"/>
    <w:rsid w:val="009A3EE8"/>
    <w:rsid w:val="009D157D"/>
    <w:rsid w:val="009D266E"/>
    <w:rsid w:val="009F0BA6"/>
    <w:rsid w:val="009F2CBE"/>
    <w:rsid w:val="00A04FA2"/>
    <w:rsid w:val="00A14C58"/>
    <w:rsid w:val="00A239C1"/>
    <w:rsid w:val="00A323CD"/>
    <w:rsid w:val="00A44BCC"/>
    <w:rsid w:val="00A8262A"/>
    <w:rsid w:val="00A91387"/>
    <w:rsid w:val="00A9258A"/>
    <w:rsid w:val="00A958A3"/>
    <w:rsid w:val="00AD6BD9"/>
    <w:rsid w:val="00AE364A"/>
    <w:rsid w:val="00AE648A"/>
    <w:rsid w:val="00B728EA"/>
    <w:rsid w:val="00B761EC"/>
    <w:rsid w:val="00BA55BD"/>
    <w:rsid w:val="00BA73EF"/>
    <w:rsid w:val="00BE1C0E"/>
    <w:rsid w:val="00C46787"/>
    <w:rsid w:val="00C5731F"/>
    <w:rsid w:val="00C60B0B"/>
    <w:rsid w:val="00C653D1"/>
    <w:rsid w:val="00C776C3"/>
    <w:rsid w:val="00C81EDC"/>
    <w:rsid w:val="00C872A7"/>
    <w:rsid w:val="00C909CF"/>
    <w:rsid w:val="00CB5836"/>
    <w:rsid w:val="00CD26C1"/>
    <w:rsid w:val="00CF4AEE"/>
    <w:rsid w:val="00D011E9"/>
    <w:rsid w:val="00D0541E"/>
    <w:rsid w:val="00D069E7"/>
    <w:rsid w:val="00D1056E"/>
    <w:rsid w:val="00D20DBB"/>
    <w:rsid w:val="00D34D0B"/>
    <w:rsid w:val="00D5612C"/>
    <w:rsid w:val="00D6604A"/>
    <w:rsid w:val="00D935DE"/>
    <w:rsid w:val="00DB79E1"/>
    <w:rsid w:val="00E12A2E"/>
    <w:rsid w:val="00E27163"/>
    <w:rsid w:val="00E50575"/>
    <w:rsid w:val="00E56DA2"/>
    <w:rsid w:val="00E75F88"/>
    <w:rsid w:val="00E95042"/>
    <w:rsid w:val="00EE316A"/>
    <w:rsid w:val="00EE5749"/>
    <w:rsid w:val="00F04F84"/>
    <w:rsid w:val="00F16D05"/>
    <w:rsid w:val="00F315FA"/>
    <w:rsid w:val="00F5582F"/>
    <w:rsid w:val="00F56F13"/>
    <w:rsid w:val="00F62274"/>
    <w:rsid w:val="00FA5B06"/>
    <w:rsid w:val="00FB08B1"/>
    <w:rsid w:val="00FD32ED"/>
    <w:rsid w:val="00FD4FF1"/>
    <w:rsid w:val="00FE47BF"/>
    <w:rsid w:val="00FF72A8"/>
    <w:rsid w:val="04D7BB67"/>
    <w:rsid w:val="091324BA"/>
    <w:rsid w:val="09D2DBD3"/>
    <w:rsid w:val="0E95C6D0"/>
    <w:rsid w:val="1529F03B"/>
    <w:rsid w:val="25BBD5AB"/>
    <w:rsid w:val="26DD6803"/>
    <w:rsid w:val="3207251B"/>
    <w:rsid w:val="32F2AF80"/>
    <w:rsid w:val="337D3C10"/>
    <w:rsid w:val="4A68C70F"/>
    <w:rsid w:val="50204A73"/>
    <w:rsid w:val="53D1DF60"/>
    <w:rsid w:val="56F2B6EC"/>
    <w:rsid w:val="5ED6F1AF"/>
    <w:rsid w:val="65C96C48"/>
    <w:rsid w:val="6F42D807"/>
    <w:rsid w:val="7BFE1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BBCA6EEE-F13F-4245-AE16-8C8F02488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49312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Pages>
  <Words>3491</Words>
  <Characters>19901</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cp:lastModifiedBy>Ned Kelly (2517189)</cp:lastModifiedBy>
  <cp:revision>18</cp:revision>
  <dcterms:created xsi:type="dcterms:W3CDTF">2025-12-29T05:46:00Z</dcterms:created>
  <dcterms:modified xsi:type="dcterms:W3CDTF">2025-12-28T22:16:00Z</dcterms:modified>
</cp:coreProperties>
</file>