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jc w:val="center"/>
        <w:rPr>
          <w:sz w:val="32"/>
          <w:szCs w:val="32"/>
        </w:rPr>
      </w:pPr>
      <w:r>
        <w:rPr>
          <w:sz w:val="32"/>
          <w:szCs w:val="32"/>
          <w:rtl w:val="0"/>
          <w:lang w:val="da-DK"/>
        </w:rPr>
        <w:t>Rex v Polly</w:t>
      </w:r>
    </w:p>
    <w:p>
      <w:pPr>
        <w:pStyle w:val="Body"/>
        <w:jc w:val="center"/>
        <w:rPr>
          <w:sz w:val="32"/>
          <w:szCs w:val="32"/>
        </w:rPr>
      </w:pPr>
    </w:p>
    <w:p>
      <w:pPr>
        <w:pStyle w:val="Body"/>
        <w:jc w:val="center"/>
        <w:rPr>
          <w:sz w:val="32"/>
          <w:szCs w:val="32"/>
        </w:rPr>
      </w:pPr>
      <w:r>
        <w:rPr>
          <w:sz w:val="32"/>
          <w:szCs w:val="32"/>
          <w:rtl w:val="0"/>
        </w:rPr>
        <w:t xml:space="preserve">Rowan Dhillon </w:t>
      </w:r>
    </w:p>
    <w:p>
      <w:pPr>
        <w:pStyle w:val="Body"/>
        <w:jc w:val="center"/>
        <w:rPr>
          <w:sz w:val="32"/>
          <w:szCs w:val="32"/>
        </w:rPr>
      </w:pPr>
    </w:p>
    <w:p>
      <w:pPr>
        <w:pStyle w:val="Body"/>
        <w:jc w:val="center"/>
        <w:rPr>
          <w:sz w:val="32"/>
          <w:szCs w:val="32"/>
        </w:rPr>
      </w:pPr>
      <w:r>
        <w:rPr>
          <w:sz w:val="32"/>
          <w:szCs w:val="32"/>
          <w:rtl w:val="0"/>
        </w:rPr>
        <w:t>2221627</w:t>
      </w: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r>
        <w:rPr>
          <w:rtl w:val="0"/>
          <w:lang w:val="en-US"/>
        </w:rPr>
        <w:t xml:space="preserve">The case of R v Polly has many different offences that are committed and can be charged to the defendant but equally there are some defences to be considered for this case. Battery is intentional or reckless infliction of unlawful personal violence upon the victim (Rolfe 1952) which is one of the offences committed by the defendant. The defendant unlawfully attacked the victim with the ashtray and caused unlawful personal violence. The actus reus of battery is satisfied in this case as the defendant's conduct directly leads to the physical harm of the victim which also satisfies that the victim suffered unlawful personal violence. As shown by Cole v Turner 1704, any touch with an angry mindset qualifies as battery which directly relates to the defendants actions as she attacked the victim after finding out about his affair that left her in an angry state. The mens rea of battery is about the intention of the defendant and if they had clear intention to inflict damage to the victim. This is satisfied as the defendant had the clear intention of causing physical bodily harm to the victim when she had picked up the ashtray. This mens rea is supported by Venna 1975 as the defendant intended to hurt the victim or was so reckless that it occurred. </w:t>
      </w:r>
    </w:p>
    <w:p>
      <w:pPr>
        <w:pStyle w:val="Body"/>
      </w:pPr>
    </w:p>
    <w:p>
      <w:pPr>
        <w:pStyle w:val="Body"/>
      </w:pPr>
      <w:r>
        <w:rPr>
          <w:rtl w:val="0"/>
          <w:lang w:val="en-US"/>
        </w:rPr>
        <w:t>Another offence that is committed by the defendant is assault as the defendant commits the assault as they intentionally or recklessly caused the victim to apprehend immediate unlawful personal violence. The case of Fagan v Metropolitan Police Commissioner 1968 showed that both the actus reus and mens reus were present and allowed for a conviction of assault as Fagan had established an act of battery. This can be applied to this case as the defendant</w:t>
      </w:r>
      <w:r>
        <w:rPr>
          <w:rtl w:val="1"/>
        </w:rPr>
        <w:t>’</w:t>
      </w:r>
      <w:r>
        <w:rPr>
          <w:rtl w:val="0"/>
          <w:lang w:val="en-US"/>
        </w:rPr>
        <w:t>s conduct was the reason for the physical damage and that the victim received immediate unlawful personal violence. These elements constitute the grounds for battery and show that the defendant intended to cause the apprehension of a battery. The actus reus of the assault has different elements that are satisfied in this case. For example, the case of Thomas v National Union of Mineworkers stated that the defendant could not have committed an assault as they lacked the immediate capability to carry out their threats. This is directly related to this case as the defendant had the capability to harm the victim immediately and did so by hitting him with the ashtray. Contrary to R v Lamb 1967, the defendant in this case did know what they were doing when she hit the victim on the head which can amount to assault. The case of R v Lamb demonstrated the lack of intention and belief that the gun would fire and cause harm to the victim as the defendant thought the gun would not fire at the other. These grounds allowed for the ruling of no assault being committed as he had no belief that the gun would fire. This shows the grounds for assault, which are satisfied in the case, and demonstrates that due to the defendant's intention to harm the victim it is assault that was committed. The mens rea for assault can be possessed in three different ways; direct intention, indirect intention or subjective recklessness. In this case, the defendant has the direct intention as it is their aim to cause the victim to apprehend immediate unlawful personal violence due to the affair. The intention of the defendant satisfies the mens rea of assault and would allow for it to be brought against her.</w:t>
      </w:r>
    </w:p>
    <w:p>
      <w:pPr>
        <w:pStyle w:val="Body"/>
      </w:pPr>
    </w:p>
    <w:p>
      <w:pPr>
        <w:pStyle w:val="Body"/>
      </w:pPr>
      <w:r>
        <w:rPr>
          <w:rtl w:val="0"/>
          <w:lang w:val="en-US"/>
        </w:rPr>
        <w:t xml:space="preserve">Assault occasioning actual bodily harm is another offence that could be brought against the defendant as they committed assault or battery and the victim suffered actual bodily harm. For the charge of assault occasioning actual bodily harm to be brought the actus reus needs to be satisfied just as it was in Miller 1954. This case ruled that the defendant was liable for assault occasioning bodily harm and that his marital status to the victim would not protect him from the charges. This can be applied to this case as the defendant intended to commit the assault or battery and caused the victim to suffer bodily harm. </w:t>
      </w:r>
    </w:p>
    <w:p>
      <w:pPr>
        <w:pStyle w:val="Body"/>
      </w:pPr>
    </w:p>
    <w:p>
      <w:pPr>
        <w:pStyle w:val="Body"/>
      </w:pPr>
      <w:r>
        <w:rPr>
          <w:rtl w:val="0"/>
          <w:lang w:val="en-US"/>
        </w:rPr>
        <w:t xml:space="preserve">The defendant in this case can also be charged with wounding and inflicting grievous bodily harm as there was unlawful conduct on their part and another person suffered grievous bodily harm. The actus reus for grievous bodily harm is the conduct of the defendant who attacked the victim and killed them. The mens rea for this offence is where it can be changed to murder based upon what the judges and jury believe happened. In the case of DPP v Smith 1961 the defendant was charged and convicted of murder after the police officer jumped on the bonnet of the car to stop and was flung to the other side of the road and hit by a car and killed. The court ruled that a reasonable man would have contemplated that grievous bodily harm could happen and should have stopped and as a result the officer was killed and the defendant was charged with capital murder. This is applied to this case as a jury would look at the intention of the defendant and what they would see as the outcome after hitting the victim on the head with the ashtray and will come to a similar conclusion that they were intending grievous bodily harm. </w:t>
      </w:r>
    </w:p>
    <w:p>
      <w:pPr>
        <w:pStyle w:val="Body"/>
      </w:pPr>
    </w:p>
    <w:p>
      <w:pPr>
        <w:pStyle w:val="Body"/>
      </w:pPr>
      <w:r>
        <w:rPr>
          <w:rtl w:val="0"/>
          <w:lang w:val="en-US"/>
        </w:rPr>
        <w:t xml:space="preserve">After analysing the offences that could be brought against the defendant there are some defences that can be considered however, the best defence that can be used for the defendant is diminished responsibility. The defendant suffers from schizophrenia and would be able to try a diminished responsibility defence as it is recognised as one of the mental illnesses that would impair a person's ability to understand what they are doing. Section 2 of the homicide act 1957 states </w:t>
      </w:r>
      <w:r>
        <w:rPr>
          <w:rtl w:val="1"/>
          <w:lang w:val="ar-SA" w:bidi="ar-SA"/>
        </w:rPr>
        <w:t>“</w:t>
      </w:r>
      <w:r>
        <w:rPr>
          <w:rtl w:val="0"/>
          <w:lang w:val="en-US"/>
        </w:rPr>
        <w:t>[she] shall not be convicted of murder if [she] was suffering from such abnormality of mind.</w:t>
      </w:r>
      <w:r>
        <w:rPr>
          <w:rtl w:val="0"/>
        </w:rPr>
        <w:t xml:space="preserve">” </w:t>
      </w:r>
      <w:r>
        <w:rPr>
          <w:rtl w:val="0"/>
          <w:lang w:val="en-US"/>
        </w:rPr>
        <w:t>The case of R v Moyle 2008 demonstrates how schizophrenia is a recognised mental illness for diminished responsibility as Moyle was found to be unfit to plead and had their charge of murder quashed and changed to manslaughter after medical evidence was released. This defence would be used directly for the defendant as they would not be able to be charged with murder as they suffer from this mental illness and this defence would get a charge of voluntary manslaughter instead of murder. A defence for insanity could also be considered as it would mean the defendant would not be able to stand trial and could excuse her from liability. The m</w:t>
      </w:r>
      <w:r>
        <w:rPr>
          <w:rtl w:val="1"/>
        </w:rPr>
        <w:t>’</w:t>
      </w:r>
      <w:r>
        <w:rPr>
          <w:rtl w:val="0"/>
          <w:lang w:val="en-US"/>
        </w:rPr>
        <w:t>naghten case of 1843 found that they were suffering from delusions and was therefore acquitted of murdering Sir Peel</w:t>
      </w:r>
      <w:r>
        <w:rPr>
          <w:rtl w:val="1"/>
        </w:rPr>
        <w:t>’</w:t>
      </w:r>
      <w:r>
        <w:rPr>
          <w:rtl w:val="0"/>
          <w:lang w:val="en-US"/>
        </w:rPr>
        <w:t xml:space="preserve">s secretary. The defendant in this present case suffers from schizophrenia which can cause the person to see and believe things that are not real. This relates directly to the defence of insanity as the defendant has a clear disease of their mind which leads to a defect of reason and in turn means that the defendant does not know the nature of their act and could not know that it is wrong to do. </w:t>
      </w:r>
    </w:p>
    <w:p>
      <w:pPr>
        <w:pStyle w:val="Body"/>
      </w:pPr>
    </w:p>
    <w:p>
      <w:pPr>
        <w:pStyle w:val="Body"/>
      </w:pPr>
      <w:r>
        <w:rPr>
          <w:rtl w:val="0"/>
          <w:lang w:val="en-US"/>
        </w:rPr>
        <w:t>In conclusion, there are many offences committed in this case such as assault, battery, GBH and most importantly murder. The actus reus for all of these offences are satisfied along with the mens rea which would allow for the offences to be brought against the defendant. However, the defendant suffers from schizophrenia and therefore would have a defence against these offences and by definition would not be charged with murder but voluntary manslaughter instead. This angle for the defence is what would get the defendant the most reduced sentence and allow for them to be sentenced to as little time as possible.</w:t>
      </w: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r>
        <w:rPr>
          <w:rtl w:val="0"/>
          <w:lang w:val="en-US"/>
        </w:rPr>
        <w:t xml:space="preserve">Reference list </w:t>
      </w:r>
    </w:p>
    <w:p>
      <w:pPr>
        <w:pStyle w:val="Body"/>
      </w:pPr>
    </w:p>
    <w:p>
      <w:pPr>
        <w:pStyle w:val="Body"/>
      </w:pPr>
    </w:p>
    <w:p>
      <w:pPr>
        <w:pStyle w:val="Body"/>
      </w:pPr>
      <w:r>
        <w:rPr>
          <w:rtl w:val="1"/>
          <w:lang w:val="ar-SA" w:bidi="ar-SA"/>
        </w:rPr>
        <w:t>“</w:t>
      </w:r>
      <w:r>
        <w:rPr>
          <w:rtl w:val="0"/>
        </w:rPr>
        <w:t>Cole v Turner</w:t>
      </w:r>
      <w:r>
        <w:rPr>
          <w:rtl w:val="0"/>
        </w:rPr>
        <w:t xml:space="preserve">” </w:t>
      </w:r>
      <w:r>
        <w:rPr>
          <w:rtl w:val="0"/>
        </w:rPr>
        <w:t>1704</w:t>
      </w:r>
    </w:p>
    <w:p>
      <w:pPr>
        <w:pStyle w:val="Body"/>
      </w:pPr>
    </w:p>
    <w:p>
      <w:pPr>
        <w:pStyle w:val="Body"/>
      </w:pPr>
      <w:r>
        <w:rPr>
          <w:rtl w:val="1"/>
          <w:lang w:val="ar-SA" w:bidi="ar-SA"/>
        </w:rPr>
        <w:t>“</w:t>
      </w:r>
      <w:r>
        <w:rPr>
          <w:rtl w:val="0"/>
        </w:rPr>
        <w:t>DPP v K (a minor)</w:t>
      </w:r>
      <w:r>
        <w:rPr>
          <w:rtl w:val="0"/>
        </w:rPr>
        <w:t xml:space="preserve">” </w:t>
      </w:r>
      <w:r>
        <w:rPr>
          <w:rtl w:val="0"/>
        </w:rPr>
        <w:t>1990</w:t>
      </w:r>
    </w:p>
    <w:p>
      <w:pPr>
        <w:pStyle w:val="Body"/>
      </w:pPr>
    </w:p>
    <w:p>
      <w:pPr>
        <w:pStyle w:val="Body"/>
      </w:pPr>
      <w:r>
        <w:rPr>
          <w:rtl w:val="1"/>
          <w:lang w:val="ar-SA" w:bidi="ar-SA"/>
        </w:rPr>
        <w:t>“</w:t>
      </w:r>
      <w:r>
        <w:rPr>
          <w:rtl w:val="0"/>
          <w:lang w:val="pt-PT"/>
        </w:rPr>
        <w:t>DPP v Santa-Bermudez</w:t>
      </w:r>
      <w:r>
        <w:rPr>
          <w:rtl w:val="0"/>
        </w:rPr>
        <w:t xml:space="preserve">” </w:t>
      </w:r>
      <w:r>
        <w:rPr>
          <w:rtl w:val="0"/>
        </w:rPr>
        <w:t>2004</w:t>
      </w:r>
    </w:p>
    <w:p>
      <w:pPr>
        <w:pStyle w:val="Body"/>
      </w:pPr>
    </w:p>
    <w:p>
      <w:pPr>
        <w:pStyle w:val="Body"/>
      </w:pPr>
      <w:r>
        <w:rPr>
          <w:rtl w:val="1"/>
          <w:lang w:val="ar-SA" w:bidi="ar-SA"/>
        </w:rPr>
        <w:t>“</w:t>
      </w:r>
      <w:r>
        <w:rPr>
          <w:rtl w:val="0"/>
        </w:rPr>
        <w:t>DPP v Smith</w:t>
      </w:r>
      <w:r>
        <w:rPr>
          <w:rtl w:val="0"/>
        </w:rPr>
        <w:t xml:space="preserve">” </w:t>
      </w:r>
      <w:r>
        <w:rPr>
          <w:rtl w:val="0"/>
        </w:rPr>
        <w:t>1961</w:t>
      </w:r>
    </w:p>
    <w:p>
      <w:pPr>
        <w:pStyle w:val="Body"/>
      </w:pPr>
    </w:p>
    <w:p>
      <w:pPr>
        <w:pStyle w:val="Body"/>
      </w:pPr>
      <w:r>
        <w:rPr>
          <w:rtl w:val="1"/>
          <w:lang w:val="ar-SA" w:bidi="ar-SA"/>
        </w:rPr>
        <w:t>“</w:t>
      </w:r>
      <w:r>
        <w:rPr>
          <w:rtl w:val="0"/>
          <w:lang w:val="it-IT"/>
        </w:rPr>
        <w:t>Fagan v Metropolitan Police commission</w:t>
      </w:r>
      <w:r>
        <w:rPr>
          <w:rtl w:val="0"/>
        </w:rPr>
        <w:t xml:space="preserve">” </w:t>
      </w:r>
      <w:r>
        <w:rPr>
          <w:rtl w:val="0"/>
        </w:rPr>
        <w:t>1968</w:t>
      </w:r>
    </w:p>
    <w:p>
      <w:pPr>
        <w:pStyle w:val="Body"/>
      </w:pPr>
      <w:r>
        <w:rPr>
          <w:rtl w:val="1"/>
          <w:lang w:val="ar-SA" w:bidi="ar-SA"/>
        </w:rPr>
        <w:t>“</w:t>
      </w:r>
      <w:r>
        <w:rPr>
          <w:rtl w:val="0"/>
        </w:rPr>
        <w:t>R v Miller</w:t>
      </w:r>
      <w:r>
        <w:rPr>
          <w:rtl w:val="0"/>
        </w:rPr>
        <w:t xml:space="preserve">” </w:t>
      </w:r>
      <w:r>
        <w:rPr>
          <w:rtl w:val="0"/>
        </w:rPr>
        <w:t>1954</w:t>
      </w:r>
    </w:p>
    <w:p>
      <w:pPr>
        <w:pStyle w:val="Body"/>
      </w:pPr>
    </w:p>
    <w:p>
      <w:pPr>
        <w:pStyle w:val="Body"/>
      </w:pPr>
      <w:r>
        <w:rPr>
          <w:rtl w:val="1"/>
          <w:lang w:val="ar-SA" w:bidi="ar-SA"/>
        </w:rPr>
        <w:t>“</w:t>
      </w:r>
      <w:r>
        <w:rPr>
          <w:rtl w:val="0"/>
          <w:lang w:val="en-US"/>
        </w:rPr>
        <w:t>Haystead v chief constable of Derbyshire</w:t>
      </w:r>
      <w:r>
        <w:rPr>
          <w:rtl w:val="0"/>
        </w:rPr>
        <w:t xml:space="preserve">” </w:t>
      </w:r>
      <w:r>
        <w:rPr>
          <w:rtl w:val="0"/>
        </w:rPr>
        <w:t>2002</w:t>
      </w:r>
    </w:p>
    <w:p>
      <w:pPr>
        <w:pStyle w:val="Body"/>
      </w:pPr>
    </w:p>
    <w:p>
      <w:pPr>
        <w:pStyle w:val="Body"/>
      </w:pPr>
      <w:r>
        <w:rPr>
          <w:rtl w:val="0"/>
          <w:lang w:val="en-US"/>
        </w:rPr>
        <w:t xml:space="preserve">Homicide Act 1957. Available at: </w:t>
      </w:r>
      <w:r>
        <w:rPr>
          <w:rStyle w:val="Hyperlink.0"/>
        </w:rPr>
        <w:fldChar w:fldCharType="begin" w:fldLock="0"/>
      </w:r>
      <w:r>
        <w:rPr>
          <w:rStyle w:val="Hyperlink.0"/>
        </w:rPr>
        <w:instrText xml:space="preserve"> HYPERLINK "https://www.legislation.gov.uk/ukpga/Eliz2/5-6/11/section/2"</w:instrText>
      </w:r>
      <w:r>
        <w:rPr>
          <w:rStyle w:val="Hyperlink.0"/>
        </w:rPr>
        <w:fldChar w:fldCharType="separate" w:fldLock="0"/>
      </w:r>
      <w:r>
        <w:rPr>
          <w:rStyle w:val="Hyperlink.0"/>
          <w:rtl w:val="0"/>
          <w:lang w:val="en-US"/>
        </w:rPr>
        <w:t>https://www.legislation.gov.uk/ukpga/Eliz2/5-6/11/section/2</w:t>
      </w:r>
      <w:r>
        <w:rPr/>
        <w:fldChar w:fldCharType="end" w:fldLock="0"/>
      </w:r>
      <w:r>
        <w:rPr>
          <w:rStyle w:val="None"/>
          <w:rtl w:val="0"/>
          <w:lang w:val="it-IT"/>
        </w:rPr>
        <w:t xml:space="preserve"> (Accessed: 30/04/23)</w:t>
      </w:r>
    </w:p>
    <w:p>
      <w:pPr>
        <w:pStyle w:val="Body"/>
      </w:pPr>
    </w:p>
    <w:p>
      <w:pPr>
        <w:pStyle w:val="Body"/>
      </w:pPr>
      <w:r>
        <w:rPr>
          <w:rStyle w:val="None"/>
          <w:rtl w:val="1"/>
          <w:lang w:val="ar-SA" w:bidi="ar-SA"/>
        </w:rPr>
        <w:t>“</w:t>
      </w:r>
      <w:r>
        <w:rPr>
          <w:rStyle w:val="None"/>
          <w:rtl w:val="0"/>
        </w:rPr>
        <w:t>Meade v Belt</w:t>
      </w:r>
      <w:r>
        <w:rPr>
          <w:rStyle w:val="None"/>
          <w:rtl w:val="0"/>
        </w:rPr>
        <w:t xml:space="preserve">” </w:t>
      </w:r>
      <w:r>
        <w:rPr>
          <w:rStyle w:val="None"/>
          <w:rtl w:val="0"/>
        </w:rPr>
        <w:t>1823</w:t>
      </w:r>
    </w:p>
    <w:p>
      <w:pPr>
        <w:pStyle w:val="Body"/>
      </w:pPr>
    </w:p>
    <w:p>
      <w:pPr>
        <w:pStyle w:val="Body"/>
      </w:pPr>
      <w:r>
        <w:rPr>
          <w:rStyle w:val="None"/>
          <w:rtl w:val="1"/>
          <w:lang w:val="ar-SA" w:bidi="ar-SA"/>
        </w:rPr>
        <w:t>“</w:t>
      </w:r>
      <w:r>
        <w:rPr>
          <w:rStyle w:val="None"/>
          <w:rtl w:val="0"/>
        </w:rPr>
        <w:t>R v Ireland</w:t>
      </w:r>
      <w:r>
        <w:rPr>
          <w:rStyle w:val="None"/>
          <w:rtl w:val="0"/>
        </w:rPr>
        <w:t xml:space="preserve">” </w:t>
      </w:r>
      <w:r>
        <w:rPr>
          <w:rStyle w:val="None"/>
          <w:rtl w:val="0"/>
        </w:rPr>
        <w:t>1997</w:t>
      </w:r>
    </w:p>
    <w:p>
      <w:pPr>
        <w:pStyle w:val="Body"/>
      </w:pPr>
    </w:p>
    <w:p>
      <w:pPr>
        <w:pStyle w:val="Body"/>
      </w:pPr>
      <w:r>
        <w:rPr>
          <w:rStyle w:val="None"/>
          <w:rtl w:val="1"/>
          <w:lang w:val="ar-SA" w:bidi="ar-SA"/>
        </w:rPr>
        <w:t>“</w:t>
      </w:r>
      <w:r>
        <w:rPr>
          <w:rStyle w:val="None"/>
          <w:rtl w:val="0"/>
          <w:lang w:val="en-US"/>
        </w:rPr>
        <w:t>R v Ireland and burstow</w:t>
      </w:r>
      <w:r>
        <w:rPr>
          <w:rStyle w:val="None"/>
          <w:rtl w:val="0"/>
        </w:rPr>
        <w:t xml:space="preserve">” </w:t>
      </w:r>
      <w:r>
        <w:rPr>
          <w:rStyle w:val="None"/>
          <w:rtl w:val="0"/>
        </w:rPr>
        <w:t>1998</w:t>
      </w:r>
    </w:p>
    <w:p>
      <w:pPr>
        <w:pStyle w:val="Body"/>
      </w:pPr>
    </w:p>
    <w:p>
      <w:pPr>
        <w:pStyle w:val="Body"/>
      </w:pPr>
      <w:r>
        <w:rPr>
          <w:rStyle w:val="None"/>
          <w:rtl w:val="1"/>
          <w:lang w:val="ar-SA" w:bidi="ar-SA"/>
        </w:rPr>
        <w:t>“</w:t>
      </w:r>
      <w:r>
        <w:rPr>
          <w:rStyle w:val="None"/>
          <w:rtl w:val="0"/>
        </w:rPr>
        <w:t>R v Lamb</w:t>
      </w:r>
      <w:r>
        <w:rPr>
          <w:rStyle w:val="None"/>
          <w:rtl w:val="0"/>
        </w:rPr>
        <w:t xml:space="preserve">” </w:t>
      </w:r>
      <w:r>
        <w:rPr>
          <w:rStyle w:val="None"/>
          <w:rtl w:val="0"/>
        </w:rPr>
        <w:t>1967</w:t>
      </w:r>
    </w:p>
    <w:p>
      <w:pPr>
        <w:pStyle w:val="Body"/>
      </w:pPr>
    </w:p>
    <w:p>
      <w:pPr>
        <w:pStyle w:val="Body"/>
      </w:pPr>
      <w:r>
        <w:rPr>
          <w:rStyle w:val="None"/>
          <w:rtl w:val="1"/>
          <w:lang w:val="ar-SA" w:bidi="ar-SA"/>
        </w:rPr>
        <w:t>“</w:t>
      </w:r>
      <w:r>
        <w:rPr>
          <w:rStyle w:val="None"/>
          <w:rtl w:val="0"/>
        </w:rPr>
        <w:t>R v Moyle</w:t>
      </w:r>
      <w:r>
        <w:rPr>
          <w:rStyle w:val="None"/>
          <w:rtl w:val="0"/>
        </w:rPr>
        <w:t xml:space="preserve">” </w:t>
      </w:r>
      <w:r>
        <w:rPr>
          <w:rStyle w:val="None"/>
          <w:rtl w:val="0"/>
        </w:rPr>
        <w:t>2008</w:t>
      </w:r>
    </w:p>
    <w:p>
      <w:pPr>
        <w:pStyle w:val="Body"/>
      </w:pPr>
    </w:p>
    <w:p>
      <w:pPr>
        <w:pStyle w:val="Body"/>
      </w:pPr>
      <w:r>
        <w:rPr>
          <w:rStyle w:val="None"/>
          <w:rtl w:val="1"/>
          <w:lang w:val="ar-SA" w:bidi="ar-SA"/>
        </w:rPr>
        <w:t>“</w:t>
      </w:r>
      <w:r>
        <w:rPr>
          <w:rStyle w:val="None"/>
          <w:rtl w:val="0"/>
        </w:rPr>
        <w:t>R v Venna</w:t>
      </w:r>
      <w:r>
        <w:rPr>
          <w:rStyle w:val="None"/>
          <w:rtl w:val="0"/>
        </w:rPr>
        <w:t xml:space="preserve">” </w:t>
      </w:r>
      <w:r>
        <w:rPr>
          <w:rStyle w:val="None"/>
          <w:rtl w:val="0"/>
        </w:rPr>
        <w:t xml:space="preserve">1975 </w:t>
      </w:r>
    </w:p>
    <w:p>
      <w:pPr>
        <w:pStyle w:val="Body"/>
      </w:pPr>
    </w:p>
    <w:p>
      <w:pPr>
        <w:pStyle w:val="Body"/>
      </w:pPr>
      <w:r>
        <w:rPr>
          <w:rStyle w:val="None"/>
          <w:rtl w:val="1"/>
          <w:lang w:val="ar-SA" w:bidi="ar-SA"/>
        </w:rPr>
        <w:t>“</w:t>
      </w:r>
      <w:r>
        <w:rPr>
          <w:rStyle w:val="None"/>
          <w:rtl w:val="0"/>
          <w:lang w:val="en-US"/>
        </w:rPr>
        <w:t>Thomas v National Union of Mineworkers</w:t>
      </w:r>
      <w:r>
        <w:rPr>
          <w:rStyle w:val="None"/>
          <w:rtl w:val="0"/>
        </w:rPr>
        <w:t xml:space="preserve">” </w:t>
      </w:r>
      <w:r>
        <w:rPr>
          <w:rStyle w:val="None"/>
          <w:rtl w:val="0"/>
        </w:rPr>
        <w:t>1986</w:t>
      </w:r>
    </w:p>
    <w:p>
      <w:pPr>
        <w:pStyle w:val="Body"/>
      </w:pPr>
    </w:p>
    <w:p>
      <w:pPr>
        <w:pStyle w:val="Body"/>
      </w:pPr>
    </w:p>
    <w:p>
      <w:pPr>
        <w:pStyle w:val="Body"/>
      </w:pPr>
    </w:p>
    <w:p>
      <w:pPr>
        <w:pStyle w:val="Body"/>
      </w:pPr>
    </w:p>
    <w:p>
      <w:pPr>
        <w:pStyle w:val="Body"/>
      </w:pPr>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1155cc"/>
      <w:u w:val="single" w:color="1155cc"/>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