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693D16" w14:textId="77777777" w:rsidR="00BF1920" w:rsidRPr="00BF1920" w:rsidRDefault="00BF1920" w:rsidP="00BF1920">
      <w:pPr>
        <w:shd w:val="clear" w:color="auto" w:fill="FFFFFF"/>
        <w:spacing w:after="315" w:line="720" w:lineRule="atLeast"/>
        <w:outlineLvl w:val="0"/>
        <w:rPr>
          <w:rFonts w:ascii="Lora" w:eastAsia="Times New Roman" w:hAnsi="Lora" w:cs="Times New Roman"/>
          <w:b/>
          <w:bCs/>
          <w:color w:val="000000"/>
          <w:kern w:val="36"/>
          <w:sz w:val="60"/>
          <w:szCs w:val="60"/>
          <w:lang w:eastAsia="en-GB"/>
        </w:rPr>
      </w:pPr>
      <w:r w:rsidRPr="00BF1920">
        <w:rPr>
          <w:rFonts w:ascii="Lora" w:eastAsia="Times New Roman" w:hAnsi="Lora" w:cs="Times New Roman"/>
          <w:b/>
          <w:bCs/>
          <w:color w:val="000000"/>
          <w:kern w:val="36"/>
          <w:sz w:val="60"/>
          <w:szCs w:val="60"/>
          <w:lang w:eastAsia="en-GB"/>
        </w:rPr>
        <w:t>OPEC raises forecast based on US oil production</w:t>
      </w:r>
    </w:p>
    <w:p w14:paraId="05596C6F" w14:textId="77777777" w:rsidR="00BF1920" w:rsidRPr="00BF1920" w:rsidRDefault="00BF1920" w:rsidP="00BF1920">
      <w:pPr>
        <w:shd w:val="clear" w:color="auto" w:fill="FFFFFF"/>
        <w:spacing w:after="525" w:line="420" w:lineRule="atLeast"/>
        <w:outlineLvl w:val="1"/>
        <w:rPr>
          <w:rFonts w:ascii="Lora" w:eastAsia="Times New Roman" w:hAnsi="Lora" w:cs="Times New Roman"/>
          <w:i/>
          <w:iCs/>
          <w:color w:val="2F2F2F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i/>
          <w:iCs/>
          <w:color w:val="2F2F2F"/>
          <w:sz w:val="30"/>
          <w:szCs w:val="30"/>
          <w:lang w:eastAsia="en-GB"/>
        </w:rPr>
        <w:t>In its annual World Oil Outlook, the Organisation of Petroleum Exporting Countries forecast world supply of all hydrocarbons (primarily oil and liquified natural gas) would rise from a current 98.4 million barrels per day (</w:t>
      </w:r>
      <w:proofErr w:type="spellStart"/>
      <w:r w:rsidRPr="00BF1920">
        <w:rPr>
          <w:rFonts w:ascii="Lora" w:eastAsia="Times New Roman" w:hAnsi="Lora" w:cs="Times New Roman"/>
          <w:i/>
          <w:iCs/>
          <w:color w:val="2F2F2F"/>
          <w:sz w:val="30"/>
          <w:szCs w:val="30"/>
          <w:lang w:eastAsia="en-GB"/>
        </w:rPr>
        <w:t>mbd</w:t>
      </w:r>
      <w:proofErr w:type="spellEnd"/>
      <w:r w:rsidRPr="00BF1920">
        <w:rPr>
          <w:rFonts w:ascii="Lora" w:eastAsia="Times New Roman" w:hAnsi="Lora" w:cs="Times New Roman"/>
          <w:i/>
          <w:iCs/>
          <w:color w:val="2F2F2F"/>
          <w:sz w:val="30"/>
          <w:szCs w:val="30"/>
          <w:lang w:eastAsia="en-GB"/>
        </w:rPr>
        <w:t>) to 104.5 million by 2023, and 111.9 million by 2040.</w:t>
      </w:r>
    </w:p>
    <w:p w14:paraId="52A17FF7" w14:textId="77777777" w:rsidR="00BF1920" w:rsidRPr="00BF1920" w:rsidRDefault="00BF1920" w:rsidP="00BF1920">
      <w:pPr>
        <w:shd w:val="clear" w:color="auto" w:fill="FFFFFF"/>
        <w:spacing w:after="0" w:line="300" w:lineRule="atLeast"/>
        <w:textAlignment w:val="top"/>
        <w:rPr>
          <w:rFonts w:ascii="Josefin Sans" w:eastAsia="Times New Roman" w:hAnsi="Josefin Sans" w:cs="Times New Roman"/>
          <w:b/>
          <w:bCs/>
          <w:caps/>
          <w:color w:val="0A2040"/>
          <w:spacing w:val="36"/>
          <w:sz w:val="24"/>
          <w:szCs w:val="24"/>
          <w:lang w:eastAsia="en-GB"/>
        </w:rPr>
      </w:pPr>
      <w:r w:rsidRPr="00BF1920">
        <w:rPr>
          <w:rFonts w:ascii="Josefin Sans" w:eastAsia="Times New Roman" w:hAnsi="Josefin Sans" w:cs="Times New Roman"/>
          <w:b/>
          <w:bCs/>
          <w:caps/>
          <w:color w:val="0A2040"/>
          <w:spacing w:val="36"/>
          <w:sz w:val="24"/>
          <w:szCs w:val="24"/>
          <w:lang w:eastAsia="en-GB"/>
        </w:rPr>
        <w:t> PTI</w:t>
      </w:r>
    </w:p>
    <w:p w14:paraId="18B715ED" w14:textId="77777777" w:rsidR="00BF1920" w:rsidRPr="00BF1920" w:rsidRDefault="00BF1920" w:rsidP="00BF1920">
      <w:pPr>
        <w:shd w:val="clear" w:color="auto" w:fill="FFFFFF"/>
        <w:spacing w:after="0" w:line="240" w:lineRule="auto"/>
        <w:rPr>
          <w:rFonts w:ascii="Josefin Sans" w:eastAsia="Times New Roman" w:hAnsi="Josefin Sans" w:cs="Times New Roman"/>
          <w:color w:val="282828"/>
          <w:sz w:val="15"/>
          <w:szCs w:val="15"/>
          <w:lang w:eastAsia="en-GB"/>
        </w:rPr>
      </w:pPr>
      <w:r w:rsidRPr="00BF1920">
        <w:rPr>
          <w:rFonts w:ascii="Josefin Sans" w:eastAsia="Times New Roman" w:hAnsi="Josefin Sans" w:cs="Times New Roman"/>
          <w:color w:val="282828"/>
          <w:sz w:val="15"/>
          <w:szCs w:val="15"/>
          <w:lang w:eastAsia="en-GB"/>
        </w:rPr>
        <w:t> </w:t>
      </w:r>
    </w:p>
    <w:p w14:paraId="42D0EDDA" w14:textId="77777777" w:rsidR="00BF1920" w:rsidRPr="00BF1920" w:rsidRDefault="00BF1920" w:rsidP="00BF1920">
      <w:pPr>
        <w:shd w:val="clear" w:color="auto" w:fill="FFFFFF"/>
        <w:spacing w:after="0" w:line="300" w:lineRule="atLeast"/>
        <w:textAlignment w:val="top"/>
        <w:rPr>
          <w:rFonts w:ascii="Josefin Sans" w:eastAsia="Times New Roman" w:hAnsi="Josefin Sans" w:cs="Times New Roman"/>
          <w:caps/>
          <w:color w:val="343434"/>
          <w:spacing w:val="32"/>
          <w:sz w:val="21"/>
          <w:szCs w:val="21"/>
          <w:lang w:eastAsia="en-GB"/>
        </w:rPr>
      </w:pPr>
      <w:r w:rsidRPr="00BF1920">
        <w:rPr>
          <w:rFonts w:ascii="Josefin Sans" w:eastAsia="Times New Roman" w:hAnsi="Josefin Sans" w:cs="Times New Roman"/>
          <w:b/>
          <w:bCs/>
          <w:caps/>
          <w:color w:val="343434"/>
          <w:spacing w:val="32"/>
          <w:sz w:val="21"/>
          <w:szCs w:val="21"/>
          <w:bdr w:val="none" w:sz="0" w:space="0" w:color="auto" w:frame="1"/>
          <w:lang w:eastAsia="en-GB"/>
        </w:rPr>
        <w:t>SEPTEMBER 24, 2018</w:t>
      </w:r>
      <w:r w:rsidRPr="00BF1920">
        <w:rPr>
          <w:rFonts w:ascii="Josefin Sans" w:eastAsia="Times New Roman" w:hAnsi="Josefin Sans" w:cs="Times New Roman"/>
          <w:caps/>
          <w:color w:val="343434"/>
          <w:spacing w:val="32"/>
          <w:sz w:val="21"/>
          <w:szCs w:val="21"/>
          <w:lang w:eastAsia="en-GB"/>
        </w:rPr>
        <w:t> / 08:44 AM IST</w:t>
      </w:r>
    </w:p>
    <w:p w14:paraId="1593CA78" w14:textId="77777777" w:rsidR="00BF1920" w:rsidRPr="00BF1920" w:rsidRDefault="00BF1920" w:rsidP="00BF1920">
      <w:pPr>
        <w:numPr>
          <w:ilvl w:val="0"/>
          <w:numId w:val="1"/>
        </w:numPr>
        <w:shd w:val="clear" w:color="auto" w:fill="FFFFFF"/>
        <w:spacing w:after="0" w:line="480" w:lineRule="atLeast"/>
        <w:ind w:left="-105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</w:p>
    <w:p w14:paraId="61CB24B3" w14:textId="4148909C" w:rsidR="00BF1920" w:rsidRPr="00BF1920" w:rsidRDefault="00BF1920" w:rsidP="00BF1920">
      <w:pPr>
        <w:shd w:val="clear" w:color="auto" w:fill="FFFFFF"/>
        <w:spacing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noProof/>
          <w:color w:val="000000"/>
          <w:sz w:val="30"/>
          <w:szCs w:val="30"/>
          <w:lang w:eastAsia="en-GB"/>
        </w:rPr>
        <w:drawing>
          <wp:inline distT="0" distB="0" distL="0" distR="0" wp14:anchorId="2209B4C9" wp14:editId="2BADB013">
            <wp:extent cx="5731510" cy="3209290"/>
            <wp:effectExtent l="0" t="0" r="2540" b="0"/>
            <wp:docPr id="1" name="Picture 1" descr="CRUDE-OI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UDE-OIL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09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4BCF54" w14:textId="77777777" w:rsidR="00BF1920" w:rsidRPr="00BF1920" w:rsidRDefault="00BF1920" w:rsidP="00BF1920">
      <w:pPr>
        <w:shd w:val="clear" w:color="auto" w:fill="FFFFFF"/>
        <w:spacing w:after="225" w:line="360" w:lineRule="atLeast"/>
        <w:outlineLvl w:val="1"/>
        <w:rPr>
          <w:rFonts w:ascii="Josefin Sans" w:eastAsia="Times New Roman" w:hAnsi="Josefin Sans" w:cs="Times New Roman"/>
          <w:color w:val="525252"/>
          <w:sz w:val="27"/>
          <w:szCs w:val="27"/>
          <w:lang w:eastAsia="en-GB"/>
        </w:rPr>
      </w:pPr>
      <w:r w:rsidRPr="00BF1920">
        <w:rPr>
          <w:rFonts w:ascii="Josefin Sans" w:eastAsia="Times New Roman" w:hAnsi="Josefin Sans" w:cs="Times New Roman"/>
          <w:color w:val="525252"/>
          <w:sz w:val="27"/>
          <w:szCs w:val="27"/>
          <w:lang w:eastAsia="en-GB"/>
        </w:rPr>
        <w:t>CRUDE-OIL</w:t>
      </w:r>
    </w:p>
    <w:p w14:paraId="7C5D9D5B" w14:textId="77777777" w:rsidR="00BF1920" w:rsidRPr="00BF1920" w:rsidRDefault="00BF1920" w:rsidP="00BF1920">
      <w:pPr>
        <w:shd w:val="clear" w:color="auto" w:fill="FFFFFF"/>
        <w:spacing w:after="30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The OPEC oil cartel raised its global production forecast Sunday based on higher-than-predicted US output in a report outlining a long-term rise in net demand, particularly in developing countries.</w:t>
      </w:r>
    </w:p>
    <w:p w14:paraId="2E6AB614" w14:textId="77777777" w:rsidR="00BF1920" w:rsidRPr="00BF1920" w:rsidRDefault="00BF1920" w:rsidP="00BF1920">
      <w:pPr>
        <w:shd w:val="clear" w:color="auto" w:fill="FFFFFF"/>
        <w:spacing w:after="30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lastRenderedPageBreak/>
        <w:t>In its annual World Oil Outlook, the Organisation of Petroleum Exporting Countries forecast world supply of all hydrocarbons (primarily oil and liquified natural gas) would rise from a current 98.4 million barrels per day (</w:t>
      </w:r>
      <w:proofErr w:type="spellStart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mbd</w:t>
      </w:r>
      <w:proofErr w:type="spellEnd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) to 104.5 million by 2023, and 111.9 million by 2040.</w:t>
      </w:r>
    </w:p>
    <w:p w14:paraId="4ED7E738" w14:textId="77777777" w:rsidR="00BF1920" w:rsidRPr="00BF1920" w:rsidRDefault="00BF1920" w:rsidP="00BF1920">
      <w:pPr>
        <w:shd w:val="clear" w:color="auto" w:fill="FFFFFF"/>
        <w:spacing w:after="30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The figures are higher than last year's forecast, with rising production in non-cartel states led by the United States a major factor.</w:t>
      </w:r>
    </w:p>
    <w:p w14:paraId="4BCE33E6" w14:textId="77777777" w:rsidR="00BF1920" w:rsidRPr="00BF1920" w:rsidRDefault="00BF1920" w:rsidP="00BF1920">
      <w:pPr>
        <w:shd w:val="clear" w:color="auto" w:fill="FFFFFF"/>
        <w:spacing w:after="30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 xml:space="preserve">Non-member production overall is forecast to rise by 8.6 </w:t>
      </w:r>
      <w:proofErr w:type="spellStart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mbd</w:t>
      </w:r>
      <w:proofErr w:type="spellEnd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 xml:space="preserve"> to 66.1 </w:t>
      </w:r>
      <w:proofErr w:type="spellStart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mbd</w:t>
      </w:r>
      <w:proofErr w:type="spellEnd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 xml:space="preserve"> by 2023 on higher global demand, the report added, but a relative tapering off from 2020 will see cartel members' crude production shrug off a medium-term trend fall, OPEC predicted.</w:t>
      </w:r>
    </w:p>
    <w:p w14:paraId="40A9CF41" w14:textId="77777777" w:rsidR="00BF1920" w:rsidRPr="00BF1920" w:rsidRDefault="00BF1920" w:rsidP="00BF1920">
      <w:pPr>
        <w:shd w:val="clear" w:color="auto" w:fill="FFFFFF"/>
        <w:spacing w:after="30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The body said demand would continue rising despite electric-powered vehicles taking an increasing market share and political moves to champion renewable energy.</w:t>
      </w:r>
    </w:p>
    <w:p w14:paraId="4D80BC24" w14:textId="77777777" w:rsidR="00BF1920" w:rsidRPr="00BF1920" w:rsidRDefault="00BF1920" w:rsidP="00BF1920">
      <w:pPr>
        <w:shd w:val="clear" w:color="auto" w:fill="FFFFFF"/>
        <w:spacing w:after="30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Even so, OPEC predicted a dip in demand growth between 2035 and 2040.</w:t>
      </w:r>
    </w:p>
    <w:p w14:paraId="5EBE8E83" w14:textId="77777777" w:rsidR="00BF1920" w:rsidRPr="00BF1920" w:rsidRDefault="00BF1920" w:rsidP="00BF1920">
      <w:pPr>
        <w:shd w:val="clear" w:color="auto" w:fill="FFFFFF"/>
        <w:spacing w:after="30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While viewing high demand as healthy, the organisation noted that the trend was fuelled by developing countries undergoing major demographic and general economic expansion.</w:t>
      </w:r>
    </w:p>
    <w:p w14:paraId="4F6E24D6" w14:textId="2419507A" w:rsidR="00BF1920" w:rsidRDefault="00BF1920" w:rsidP="00BF1920">
      <w:pPr>
        <w:shd w:val="clear" w:color="auto" w:fill="FFFFFF"/>
        <w:spacing w:after="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 xml:space="preserve">In contrast, OPEC said demand for oil in OECD countries would fall from the early </w:t>
      </w:r>
      <w:proofErr w:type="gramStart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>2020s, but</w:t>
      </w:r>
      <w:proofErr w:type="gramEnd"/>
      <w:r w:rsidRPr="00BF1920"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t xml:space="preserve"> would still be the number one source of energy through to 2040.</w:t>
      </w:r>
    </w:p>
    <w:p w14:paraId="7A312126" w14:textId="40B974E4" w:rsidR="00BF1920" w:rsidRDefault="00BF1920" w:rsidP="00BF1920">
      <w:pPr>
        <w:shd w:val="clear" w:color="auto" w:fill="FFFFFF"/>
        <w:spacing w:after="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  <w:r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  <w:lastRenderedPageBreak/>
        <w:t xml:space="preserve">Source - </w:t>
      </w:r>
      <w:hyperlink r:id="rId6" w:history="1">
        <w:r w:rsidRPr="004E488D">
          <w:rPr>
            <w:rStyle w:val="Hyperlink"/>
            <w:rFonts w:ascii="Lora" w:eastAsia="Times New Roman" w:hAnsi="Lora" w:cs="Times New Roman"/>
            <w:sz w:val="30"/>
            <w:szCs w:val="30"/>
            <w:lang w:eastAsia="en-GB"/>
          </w:rPr>
          <w:t>https://www.moneycontrol.com/news/business/opec-raises-forecast-based-on-us-oil-production-2978331.html</w:t>
        </w:r>
      </w:hyperlink>
    </w:p>
    <w:p w14:paraId="3ACFF6DC" w14:textId="77777777" w:rsidR="00BF1920" w:rsidRPr="00BF1920" w:rsidRDefault="00BF1920" w:rsidP="00BF1920">
      <w:pPr>
        <w:shd w:val="clear" w:color="auto" w:fill="FFFFFF"/>
        <w:spacing w:after="0" w:line="480" w:lineRule="atLeast"/>
        <w:rPr>
          <w:rFonts w:ascii="Lora" w:eastAsia="Times New Roman" w:hAnsi="Lora" w:cs="Times New Roman"/>
          <w:color w:val="000000"/>
          <w:sz w:val="30"/>
          <w:szCs w:val="30"/>
          <w:lang w:eastAsia="en-GB"/>
        </w:rPr>
      </w:pPr>
    </w:p>
    <w:p w14:paraId="027D8F77" w14:textId="77777777" w:rsidR="00013874" w:rsidRDefault="00013874"/>
    <w:sectPr w:rsidR="000138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Lora">
    <w:charset w:val="00"/>
    <w:family w:val="auto"/>
    <w:pitch w:val="variable"/>
    <w:sig w:usb0="A00002FF" w:usb1="5000204B" w:usb2="00000000" w:usb3="00000000" w:csb0="00000097" w:csb1="00000000"/>
  </w:font>
  <w:font w:name="Josefin Sans">
    <w:charset w:val="00"/>
    <w:family w:val="auto"/>
    <w:pitch w:val="variable"/>
    <w:sig w:usb0="A00000FF" w:usb1="4000204B" w:usb2="00000000" w:usb3="00000000" w:csb0="000001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094B57"/>
    <w:multiLevelType w:val="multilevel"/>
    <w:tmpl w:val="3E5480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605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63605"/>
    <w:rsid w:val="003878F0"/>
    <w:rsid w:val="003B3397"/>
    <w:rsid w:val="003E16C5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BF1920"/>
    <w:rsid w:val="00C0252C"/>
    <w:rsid w:val="00C037B6"/>
    <w:rsid w:val="00C33480"/>
    <w:rsid w:val="00C51EE2"/>
    <w:rsid w:val="00C67556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3E2D6B"/>
  <w15:chartTrackingRefBased/>
  <w15:docId w15:val="{044E1677-D1BD-40E4-8ABE-11B41B2F64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F192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BF192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636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BF192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BF1920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BF19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19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149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66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877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0447874">
              <w:marLeft w:val="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6" w:space="8" w:color="707070"/>
              </w:divBdr>
            </w:div>
            <w:div w:id="1746758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3919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2151542">
              <w:marLeft w:val="-82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566716">
              <w:marLeft w:val="0"/>
              <w:marRight w:val="0"/>
              <w:marTop w:val="3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8584500">
                  <w:marLeft w:val="0"/>
                  <w:marRight w:val="0"/>
                  <w:marTop w:val="30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oneycontrol.com/news/business/opec-raises-forecast-based-on-us-oil-production-2978331.html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305</Words>
  <Characters>1744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1</cp:revision>
  <dcterms:created xsi:type="dcterms:W3CDTF">2021-09-14T09:37:00Z</dcterms:created>
  <dcterms:modified xsi:type="dcterms:W3CDTF">2021-09-14T10:31:00Z</dcterms:modified>
</cp:coreProperties>
</file>