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B65" w:rsidRPr="0074370E" w:rsidRDefault="00430129" w:rsidP="00B579E9">
      <w:pPr>
        <w:shd w:val="clear" w:color="auto" w:fill="FFFFFF"/>
        <w:spacing w:after="100" w:afterAutospacing="1" w:line="240" w:lineRule="auto"/>
        <w:jc w:val="both"/>
        <w:outlineLvl w:val="0"/>
        <w:rPr>
          <w:rFonts w:eastAsia="Times New Roman" w:cs="Segoe UI"/>
          <w:b/>
          <w:color w:val="FF0000"/>
          <w:kern w:val="36"/>
          <w:sz w:val="24"/>
          <w:szCs w:val="24"/>
          <w:lang w:eastAsia="en-GB"/>
        </w:rPr>
      </w:pPr>
      <w:bookmarkStart w:id="0" w:name="_GoBack"/>
      <w:bookmarkEnd w:id="0"/>
      <w:r>
        <w:rPr>
          <w:rFonts w:eastAsia="Times New Roman" w:cs="Segoe UI"/>
          <w:b/>
          <w:color w:val="FF0000"/>
          <w:kern w:val="36"/>
          <w:sz w:val="24"/>
          <w:szCs w:val="24"/>
          <w:lang w:eastAsia="en-GB"/>
        </w:rPr>
        <w:t xml:space="preserve">(1) </w:t>
      </w:r>
      <w:r w:rsidR="00813B65" w:rsidRPr="0074370E">
        <w:rPr>
          <w:rFonts w:eastAsia="Times New Roman" w:cs="Segoe UI"/>
          <w:b/>
          <w:color w:val="FF0000"/>
          <w:kern w:val="36"/>
          <w:sz w:val="24"/>
          <w:szCs w:val="24"/>
          <w:lang w:eastAsia="en-GB"/>
        </w:rPr>
        <w:t xml:space="preserve">The Airline Industry </w:t>
      </w:r>
      <w:r w:rsidR="00B579E9" w:rsidRPr="0074370E">
        <w:rPr>
          <w:rFonts w:eastAsia="Times New Roman" w:cs="Segoe UI"/>
          <w:b/>
          <w:color w:val="FF0000"/>
          <w:kern w:val="36"/>
          <w:sz w:val="24"/>
          <w:szCs w:val="24"/>
          <w:lang w:eastAsia="en-GB"/>
        </w:rPr>
        <w:t>i</w:t>
      </w:r>
      <w:r w:rsidR="00813B65" w:rsidRPr="0074370E">
        <w:rPr>
          <w:rFonts w:eastAsia="Times New Roman" w:cs="Segoe UI"/>
          <w:b/>
          <w:color w:val="FF0000"/>
          <w:kern w:val="36"/>
          <w:sz w:val="24"/>
          <w:szCs w:val="24"/>
          <w:lang w:eastAsia="en-GB"/>
        </w:rPr>
        <w:t xml:space="preserve">s </w:t>
      </w:r>
      <w:r w:rsidR="00B579E9" w:rsidRPr="0074370E">
        <w:rPr>
          <w:rFonts w:eastAsia="Times New Roman" w:cs="Segoe UI"/>
          <w:b/>
          <w:color w:val="FF0000"/>
          <w:kern w:val="36"/>
          <w:sz w:val="24"/>
          <w:szCs w:val="24"/>
          <w:lang w:eastAsia="en-GB"/>
        </w:rPr>
        <w:t>a</w:t>
      </w:r>
      <w:r w:rsidR="00813B65" w:rsidRPr="0074370E">
        <w:rPr>
          <w:rFonts w:eastAsia="Times New Roman" w:cs="Segoe UI"/>
          <w:b/>
          <w:color w:val="FF0000"/>
          <w:kern w:val="36"/>
          <w:sz w:val="24"/>
          <w:szCs w:val="24"/>
          <w:lang w:eastAsia="en-GB"/>
        </w:rPr>
        <w:t xml:space="preserve"> </w:t>
      </w:r>
      <w:r w:rsidR="00B579E9" w:rsidRPr="0074370E">
        <w:rPr>
          <w:rFonts w:eastAsia="Times New Roman" w:cs="Segoe UI"/>
          <w:b/>
          <w:color w:val="FF0000"/>
          <w:kern w:val="36"/>
          <w:sz w:val="24"/>
          <w:szCs w:val="24"/>
          <w:lang w:eastAsia="en-GB"/>
        </w:rPr>
        <w:t>l</w:t>
      </w:r>
      <w:r w:rsidR="00813B65" w:rsidRPr="0074370E">
        <w:rPr>
          <w:rFonts w:eastAsia="Times New Roman" w:cs="Segoe UI"/>
          <w:b/>
          <w:color w:val="FF0000"/>
          <w:kern w:val="36"/>
          <w:sz w:val="24"/>
          <w:szCs w:val="24"/>
          <w:lang w:eastAsia="en-GB"/>
        </w:rPr>
        <w:t xml:space="preserve">arge </w:t>
      </w:r>
      <w:r w:rsidR="00B579E9" w:rsidRPr="0074370E">
        <w:rPr>
          <w:rFonts w:eastAsia="Times New Roman" w:cs="Segoe UI"/>
          <w:b/>
          <w:color w:val="FF0000"/>
          <w:kern w:val="36"/>
          <w:sz w:val="24"/>
          <w:szCs w:val="24"/>
          <w:lang w:eastAsia="en-GB"/>
        </w:rPr>
        <w:t>g</w:t>
      </w:r>
      <w:r w:rsidR="00813B65" w:rsidRPr="0074370E">
        <w:rPr>
          <w:rFonts w:eastAsia="Times New Roman" w:cs="Segoe UI"/>
          <w:b/>
          <w:color w:val="FF0000"/>
          <w:kern w:val="36"/>
          <w:sz w:val="24"/>
          <w:szCs w:val="24"/>
          <w:lang w:eastAsia="en-GB"/>
        </w:rPr>
        <w:t>rowing Industry</w:t>
      </w:r>
    </w:p>
    <w:p w:rsidR="00813B65" w:rsidRPr="00B579E9" w:rsidRDefault="00813B65" w:rsidP="00B579E9">
      <w:pPr>
        <w:shd w:val="clear" w:color="auto" w:fill="FFFFFF"/>
        <w:spacing w:after="100" w:afterAutospacing="1" w:line="240" w:lineRule="auto"/>
        <w:jc w:val="both"/>
        <w:outlineLvl w:val="1"/>
        <w:rPr>
          <w:rFonts w:eastAsia="Times New Roman" w:cs="Segoe UI"/>
          <w:color w:val="212529"/>
          <w:sz w:val="24"/>
          <w:szCs w:val="24"/>
          <w:lang w:eastAsia="en-GB"/>
        </w:rPr>
      </w:pPr>
      <w:r w:rsidRPr="00B579E9">
        <w:rPr>
          <w:rFonts w:eastAsia="Times New Roman" w:cs="Segoe UI"/>
          <w:color w:val="212529"/>
          <w:sz w:val="24"/>
          <w:szCs w:val="24"/>
          <w:lang w:eastAsia="en-GB"/>
        </w:rPr>
        <w:t>1.1. Introduction</w:t>
      </w:r>
    </w:p>
    <w:p w:rsidR="00813B65" w:rsidRPr="00B579E9" w:rsidRDefault="00813B65" w:rsidP="00B579E9">
      <w:pPr>
        <w:shd w:val="clear" w:color="auto" w:fill="FFFFFF"/>
        <w:spacing w:after="100" w:afterAutospacing="1" w:line="240" w:lineRule="auto"/>
        <w:jc w:val="both"/>
        <w:rPr>
          <w:rFonts w:eastAsia="Times New Roman" w:cs="Segoe UI"/>
          <w:color w:val="212529"/>
          <w:sz w:val="24"/>
          <w:szCs w:val="24"/>
          <w:lang w:eastAsia="en-GB"/>
        </w:rPr>
      </w:pPr>
      <w:r w:rsidRPr="00B579E9">
        <w:rPr>
          <w:rFonts w:eastAsia="Times New Roman" w:cs="Segoe UI"/>
          <w:color w:val="212529"/>
          <w:sz w:val="24"/>
          <w:szCs w:val="24"/>
          <w:lang w:eastAsia="en-GB"/>
        </w:rPr>
        <w:t>The airline industry is and remains a large and growing industry. It facilitates economic growth, world trade, international investment</w:t>
      </w:r>
      <w:r w:rsidR="00DC456D" w:rsidRPr="00B579E9">
        <w:rPr>
          <w:rFonts w:eastAsia="Times New Roman" w:cs="Segoe UI"/>
          <w:color w:val="212529"/>
          <w:sz w:val="24"/>
          <w:szCs w:val="24"/>
          <w:lang w:eastAsia="en-GB"/>
        </w:rPr>
        <w:t>,</w:t>
      </w:r>
      <w:r w:rsidRPr="00B579E9">
        <w:rPr>
          <w:rFonts w:eastAsia="Times New Roman" w:cs="Segoe UI"/>
          <w:color w:val="212529"/>
          <w:sz w:val="24"/>
          <w:szCs w:val="24"/>
          <w:lang w:eastAsia="en-GB"/>
        </w:rPr>
        <w:t xml:space="preserve"> and is a vital component of the leisure/tourism industry. It represents one of the biggest industry worldwide and is expected to generate net profits of US$ 8.9 billion this year, far up from the previous forecast of US$ 2.5 billion, further to the world economic crisis. (IATA, September 2010). Mauritius has also beneficiated from this industry. Indeed, the country has seen its tourism sector expand considerably through the last 30 years, and has even emerged as one of the best performing tourist destinations in Africa through the last decade. The figures obtained from the Central Statistics Office clearly show it: from 103,000 arrivals in 1977, to 989,913 in 2005, and even more in 2008.</w:t>
      </w:r>
    </w:p>
    <w:p w:rsidR="00813B65" w:rsidRPr="00B579E9" w:rsidRDefault="00813B65" w:rsidP="00B579E9">
      <w:pPr>
        <w:shd w:val="clear" w:color="auto" w:fill="FFFFFF"/>
        <w:spacing w:after="100" w:afterAutospacing="1" w:line="240" w:lineRule="auto"/>
        <w:jc w:val="both"/>
        <w:rPr>
          <w:rFonts w:eastAsia="Times New Roman" w:cs="Segoe UI"/>
          <w:color w:val="212529"/>
          <w:sz w:val="24"/>
          <w:szCs w:val="24"/>
          <w:lang w:eastAsia="en-GB"/>
        </w:rPr>
      </w:pPr>
      <w:r w:rsidRPr="00B579E9">
        <w:rPr>
          <w:rFonts w:eastAsia="Times New Roman" w:cs="Segoe UI"/>
          <w:color w:val="212529"/>
          <w:sz w:val="24"/>
          <w:szCs w:val="24"/>
          <w:lang w:eastAsia="en-GB"/>
        </w:rPr>
        <w:t xml:space="preserve">This increase is largely due to growth in the number of airlines serving the country in the last decade: Emirates Airlines, Corsair (Since October 2006, L’Express, 29 Jan 2006), Eurofly (Since January 2007 – L’Express, 05 Jan 2007), Virgin Atlantic Airways (From October 2007 to April 2010, L’Express, 02 January 2010), and lately, since the 02nd November 2010, Edelweiss Air, a </w:t>
      </w:r>
      <w:r w:rsidR="00424FE2" w:rsidRPr="00B579E9">
        <w:rPr>
          <w:rFonts w:eastAsia="Times New Roman" w:cs="Segoe UI"/>
          <w:color w:val="212529"/>
          <w:sz w:val="24"/>
          <w:szCs w:val="24"/>
          <w:lang w:eastAsia="en-GB"/>
        </w:rPr>
        <w:t>Swiss</w:t>
      </w:r>
      <w:r w:rsidRPr="00B579E9">
        <w:rPr>
          <w:rFonts w:eastAsia="Times New Roman" w:cs="Segoe UI"/>
          <w:color w:val="212529"/>
          <w:sz w:val="24"/>
          <w:szCs w:val="24"/>
          <w:lang w:eastAsia="en-GB"/>
        </w:rPr>
        <w:t xml:space="preserve"> airline proposing non-stop flights between Mauritius and Zurich (L’Express, 02 November 2010).</w:t>
      </w:r>
    </w:p>
    <w:p w:rsidR="00813B65" w:rsidRPr="00B579E9" w:rsidRDefault="00813B65" w:rsidP="00B579E9">
      <w:pPr>
        <w:shd w:val="clear" w:color="auto" w:fill="FFFFFF"/>
        <w:spacing w:after="100" w:afterAutospacing="1" w:line="240" w:lineRule="auto"/>
        <w:jc w:val="both"/>
        <w:rPr>
          <w:rFonts w:eastAsia="Times New Roman" w:cs="Segoe UI"/>
          <w:color w:val="212529"/>
          <w:sz w:val="24"/>
          <w:szCs w:val="24"/>
          <w:lang w:eastAsia="en-GB"/>
        </w:rPr>
      </w:pPr>
      <w:r w:rsidRPr="00B579E9">
        <w:rPr>
          <w:rFonts w:eastAsia="Times New Roman" w:cs="Segoe UI"/>
          <w:color w:val="212529"/>
          <w:sz w:val="24"/>
          <w:szCs w:val="24"/>
          <w:lang w:eastAsia="en-GB"/>
        </w:rPr>
        <w:lastRenderedPageBreak/>
        <w:t>Today, Mauritius has even greater ambitions as regards to tourist arrivals; indeed, the government’s vision is to attain 1 Million tourists this year (L’Express, 23 February 2010). Although the Central Statistics Office report indicate figures slightly under – 915,000 according to their predictions. To reach this figure, Air Mauritius has engaged into negotiations with China in order to offer a direct flight to Shanghai (L’Express, 10 September 2010), while a new airline will soon be operation in the Mauritian skies: Transaero, which will offer direct flights to Moscow (www.transaero.ru). Emirates Airlines, which is present in Mauritius since 2002, has increased its number of flights to Mauritius – although they were already flying daily to the country – to nine weekly flights (Le Gekko Info ltd, 29 April 2009)</w:t>
      </w:r>
    </w:p>
    <w:p w:rsidR="00813B65" w:rsidRPr="00B579E9" w:rsidRDefault="00813B65" w:rsidP="00B579E9">
      <w:pPr>
        <w:shd w:val="clear" w:color="auto" w:fill="FFFFFF"/>
        <w:spacing w:after="100" w:afterAutospacing="1" w:line="240" w:lineRule="auto"/>
        <w:jc w:val="both"/>
        <w:rPr>
          <w:rFonts w:eastAsia="Times New Roman" w:cs="Segoe UI"/>
          <w:color w:val="212529"/>
          <w:sz w:val="24"/>
          <w:szCs w:val="24"/>
          <w:lang w:eastAsia="en-GB"/>
        </w:rPr>
      </w:pPr>
      <w:r w:rsidRPr="00B579E9">
        <w:rPr>
          <w:rFonts w:eastAsia="Times New Roman" w:cs="Segoe UI"/>
          <w:color w:val="212529"/>
          <w:sz w:val="24"/>
          <w:szCs w:val="24"/>
          <w:lang w:eastAsia="en-GB"/>
        </w:rPr>
        <w:t>With such an expansion, several questions can be asked: what is the opinion of the customers when it comes to the services offered in that industry? Are they satisfied? Is the service quality offered a determinant factor of their level of satisfaction? And what about the Mauritians? How do they perceive the service quality offered by their national carrier? What is the perception of Air Mauritius customers’ as regards to the service quality offered by the airline?</w:t>
      </w:r>
    </w:p>
    <w:p w:rsidR="00813B65" w:rsidRPr="00B579E9" w:rsidRDefault="00813B65" w:rsidP="00B579E9">
      <w:pPr>
        <w:shd w:val="clear" w:color="auto" w:fill="FFFFFF"/>
        <w:spacing w:after="100" w:afterAutospacing="1" w:line="240" w:lineRule="auto"/>
        <w:jc w:val="both"/>
        <w:rPr>
          <w:rFonts w:eastAsia="Times New Roman" w:cs="Segoe UI"/>
          <w:color w:val="212529"/>
          <w:sz w:val="24"/>
          <w:szCs w:val="24"/>
          <w:lang w:eastAsia="en-GB"/>
        </w:rPr>
      </w:pPr>
      <w:r w:rsidRPr="00B579E9">
        <w:rPr>
          <w:rFonts w:eastAsia="Times New Roman" w:cs="Segoe UI"/>
          <w:color w:val="212529"/>
          <w:sz w:val="24"/>
          <w:szCs w:val="24"/>
          <w:lang w:eastAsia="en-GB"/>
        </w:rPr>
        <w:t xml:space="preserve">To reply to those questions, it is important to understand the dynamics of the industry from the perspective of the customer who is the final arbiter of how much to spend and with which airline. Therefore, an understanding of the factors that influence customer satisfaction is useful in guiding airline directors and managers to design and deliver the right service. For </w:t>
      </w:r>
      <w:r w:rsidR="00C6330A" w:rsidRPr="00C6330A">
        <w:rPr>
          <w:rFonts w:eastAsia="Times New Roman" w:cs="Segoe UI"/>
          <w:b/>
          <w:color w:val="FF0000"/>
          <w:sz w:val="32"/>
          <w:szCs w:val="24"/>
          <w:lang w:eastAsia="en-GB"/>
        </w:rPr>
        <w:t>THE PURPOSE</w:t>
      </w:r>
      <w:r w:rsidRPr="00B579E9">
        <w:rPr>
          <w:rFonts w:eastAsia="Times New Roman" w:cs="Segoe UI"/>
          <w:color w:val="212529"/>
          <w:sz w:val="24"/>
          <w:szCs w:val="24"/>
          <w:lang w:eastAsia="en-GB"/>
        </w:rPr>
        <w:t xml:space="preserve"> of this dissertation, emphasis will be laid on the quality of service offered by the national carrier, Air Mauritius. Passengers having experienced their services’ will be interviewed so as to understand their perception of service quality, and the importance they attribute to it. These will be assessed using the SERVQUAL model (Parasuraman et al,</w:t>
      </w:r>
      <w:r w:rsidR="00B579E9" w:rsidRPr="00B579E9">
        <w:rPr>
          <w:rFonts w:eastAsia="Times New Roman" w:cs="Segoe UI"/>
          <w:color w:val="212529"/>
          <w:sz w:val="24"/>
          <w:szCs w:val="24"/>
          <w:lang w:eastAsia="en-GB"/>
        </w:rPr>
        <w:t xml:space="preserve"> </w:t>
      </w:r>
      <w:r w:rsidRPr="00B579E9">
        <w:rPr>
          <w:rFonts w:eastAsia="Times New Roman" w:cs="Segoe UI"/>
          <w:color w:val="212529"/>
          <w:sz w:val="24"/>
          <w:szCs w:val="24"/>
          <w:lang w:eastAsia="en-GB"/>
        </w:rPr>
        <w:t>1985,</w:t>
      </w:r>
      <w:r w:rsidR="00B579E9" w:rsidRPr="00B579E9">
        <w:rPr>
          <w:rFonts w:eastAsia="Times New Roman" w:cs="Segoe UI"/>
          <w:color w:val="212529"/>
          <w:sz w:val="24"/>
          <w:szCs w:val="24"/>
          <w:lang w:eastAsia="en-GB"/>
        </w:rPr>
        <w:t xml:space="preserve"> </w:t>
      </w:r>
      <w:r w:rsidRPr="00B579E9">
        <w:rPr>
          <w:rFonts w:eastAsia="Times New Roman" w:cs="Segoe UI"/>
          <w:color w:val="212529"/>
          <w:sz w:val="24"/>
          <w:szCs w:val="24"/>
          <w:lang w:eastAsia="en-GB"/>
        </w:rPr>
        <w:t>1988,</w:t>
      </w:r>
      <w:r w:rsidR="00B579E9" w:rsidRPr="00B579E9">
        <w:rPr>
          <w:rFonts w:eastAsia="Times New Roman" w:cs="Segoe UI"/>
          <w:color w:val="212529"/>
          <w:sz w:val="24"/>
          <w:szCs w:val="24"/>
          <w:lang w:eastAsia="en-GB"/>
        </w:rPr>
        <w:t xml:space="preserve"> </w:t>
      </w:r>
      <w:r w:rsidRPr="00B579E9">
        <w:rPr>
          <w:rFonts w:eastAsia="Times New Roman" w:cs="Segoe UI"/>
          <w:color w:val="212529"/>
          <w:sz w:val="24"/>
          <w:szCs w:val="24"/>
          <w:lang w:eastAsia="en-GB"/>
        </w:rPr>
        <w:t>1991,</w:t>
      </w:r>
      <w:r w:rsidR="00B579E9" w:rsidRPr="00B579E9">
        <w:rPr>
          <w:rFonts w:eastAsia="Times New Roman" w:cs="Segoe UI"/>
          <w:color w:val="212529"/>
          <w:sz w:val="24"/>
          <w:szCs w:val="24"/>
          <w:lang w:eastAsia="en-GB"/>
        </w:rPr>
        <w:t xml:space="preserve"> </w:t>
      </w:r>
      <w:r w:rsidRPr="00B579E9">
        <w:rPr>
          <w:rFonts w:eastAsia="Times New Roman" w:cs="Segoe UI"/>
          <w:color w:val="212529"/>
          <w:sz w:val="24"/>
          <w:szCs w:val="24"/>
          <w:lang w:eastAsia="en-GB"/>
        </w:rPr>
        <w:t>1994).</w:t>
      </w:r>
    </w:p>
    <w:p w:rsidR="00D92F01" w:rsidRDefault="00D92F01" w:rsidP="00717037">
      <w:pPr>
        <w:spacing w:after="200" w:line="276" w:lineRule="auto"/>
        <w:jc w:val="both"/>
        <w:rPr>
          <w:b/>
          <w:color w:val="FF0000"/>
          <w:sz w:val="28"/>
          <w:szCs w:val="28"/>
        </w:rPr>
      </w:pPr>
    </w:p>
    <w:p w:rsidR="00D92F01" w:rsidRPr="0074370E" w:rsidRDefault="00430129" w:rsidP="00D92F01">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(2) </w:t>
      </w:r>
      <w:r w:rsidR="00D92F01" w:rsidRPr="0074370E">
        <w:rPr>
          <w:rFonts w:eastAsia="Times New Roman" w:cs="Segoe UI"/>
          <w:b/>
          <w:color w:val="FF0000"/>
          <w:kern w:val="36"/>
          <w:sz w:val="24"/>
          <w:szCs w:val="24"/>
          <w:lang w:eastAsia="en-GB"/>
        </w:rPr>
        <w:t>Health dissertation introduction example</w:t>
      </w:r>
    </w:p>
    <w:p w:rsidR="00D92F01" w:rsidRPr="00AA7462" w:rsidRDefault="00D92F01" w:rsidP="00D92F01">
      <w:pPr>
        <w:shd w:val="clear" w:color="auto" w:fill="FFFFFF"/>
        <w:spacing w:after="100" w:afterAutospacing="1" w:line="240" w:lineRule="auto"/>
        <w:outlineLvl w:val="1"/>
        <w:rPr>
          <w:rFonts w:eastAsia="Times New Roman" w:cs="Segoe UI"/>
          <w:color w:val="212529"/>
          <w:sz w:val="24"/>
          <w:szCs w:val="24"/>
          <w:lang w:eastAsia="en-GB"/>
        </w:rPr>
      </w:pPr>
      <w:r w:rsidRPr="00AA7462">
        <w:rPr>
          <w:rFonts w:eastAsia="Times New Roman" w:cs="Segoe UI"/>
          <w:color w:val="212529"/>
          <w:sz w:val="24"/>
          <w:szCs w:val="24"/>
          <w:lang w:eastAsia="en-GB"/>
        </w:rPr>
        <w:t>Chapter 0ne</w:t>
      </w:r>
    </w:p>
    <w:p w:rsidR="00D92F01" w:rsidRPr="00AA7462" w:rsidRDefault="00D92F01" w:rsidP="00D92F01">
      <w:pPr>
        <w:shd w:val="clear" w:color="auto" w:fill="FFFFFF"/>
        <w:spacing w:after="100" w:afterAutospacing="1" w:line="240" w:lineRule="auto"/>
        <w:outlineLvl w:val="2"/>
        <w:rPr>
          <w:rFonts w:eastAsia="Times New Roman" w:cs="Segoe UI"/>
          <w:color w:val="212529"/>
          <w:sz w:val="24"/>
          <w:szCs w:val="24"/>
          <w:lang w:eastAsia="en-GB"/>
        </w:rPr>
      </w:pPr>
      <w:r w:rsidRPr="00AA7462">
        <w:rPr>
          <w:rFonts w:eastAsia="Times New Roman" w:cs="Segoe UI"/>
          <w:color w:val="212529"/>
          <w:sz w:val="24"/>
          <w:szCs w:val="24"/>
          <w:lang w:eastAsia="en-GB"/>
        </w:rPr>
        <w:t>Introduction</w:t>
      </w:r>
    </w:p>
    <w:p w:rsidR="00D92F01" w:rsidRPr="00AA7462" w:rsidRDefault="00D92F01" w:rsidP="00D92F01">
      <w:pPr>
        <w:shd w:val="clear" w:color="auto" w:fill="FFFFFF"/>
        <w:spacing w:after="100" w:afterAutospacing="1" w:line="240" w:lineRule="auto"/>
        <w:outlineLvl w:val="3"/>
        <w:rPr>
          <w:rFonts w:eastAsia="Times New Roman" w:cs="Segoe UI"/>
          <w:color w:val="212529"/>
          <w:sz w:val="24"/>
          <w:szCs w:val="24"/>
          <w:lang w:eastAsia="en-GB"/>
        </w:rPr>
      </w:pPr>
      <w:r w:rsidRPr="00AA7462">
        <w:rPr>
          <w:rFonts w:eastAsia="Times New Roman" w:cs="Segoe UI"/>
          <w:color w:val="212529"/>
          <w:sz w:val="24"/>
          <w:szCs w:val="24"/>
          <w:lang w:eastAsia="en-GB"/>
        </w:rPr>
        <w:t>1.1 Background to the study</w:t>
      </w:r>
    </w:p>
    <w:p w:rsidR="00D92F01" w:rsidRPr="00AA7462" w:rsidRDefault="00D92F01" w:rsidP="00D92F01">
      <w:pPr>
        <w:shd w:val="clear" w:color="auto" w:fill="FFFFFF"/>
        <w:spacing w:after="100" w:afterAutospacing="1" w:line="240" w:lineRule="auto"/>
        <w:outlineLvl w:val="4"/>
        <w:rPr>
          <w:rFonts w:eastAsia="Times New Roman" w:cs="Segoe UI"/>
          <w:color w:val="212529"/>
          <w:sz w:val="24"/>
          <w:szCs w:val="24"/>
          <w:lang w:eastAsia="en-GB"/>
        </w:rPr>
      </w:pPr>
      <w:r w:rsidRPr="00AA7462">
        <w:rPr>
          <w:rFonts w:eastAsia="Times New Roman" w:cs="Segoe UI"/>
          <w:color w:val="212529"/>
          <w:sz w:val="24"/>
          <w:szCs w:val="24"/>
          <w:lang w:eastAsia="en-GB"/>
        </w:rPr>
        <w:t>1.1.1The argument</w:t>
      </w:r>
    </w:p>
    <w:p w:rsidR="00D92F01" w:rsidRPr="00AA7462" w:rsidRDefault="00D92F01" w:rsidP="00AA7462">
      <w:pPr>
        <w:shd w:val="clear" w:color="auto" w:fill="FFFFFF"/>
        <w:spacing w:after="100" w:afterAutospacing="1" w:line="240" w:lineRule="auto"/>
        <w:jc w:val="both"/>
        <w:rPr>
          <w:rFonts w:eastAsia="Times New Roman" w:cs="Segoe UI"/>
          <w:color w:val="212529"/>
          <w:sz w:val="24"/>
          <w:szCs w:val="24"/>
          <w:lang w:eastAsia="en-GB"/>
        </w:rPr>
      </w:pPr>
      <w:r w:rsidRPr="00AA7462">
        <w:rPr>
          <w:rFonts w:eastAsia="Times New Roman" w:cs="Segoe UI"/>
          <w:color w:val="212529"/>
          <w:sz w:val="24"/>
          <w:szCs w:val="24"/>
          <w:lang w:eastAsia="en-GB"/>
        </w:rPr>
        <w:t xml:space="preserve">Traditionally, policy interventions especially those meant for health promotion in communities have tended to individualize social problems. From the point of problem identification as a basic tool in constructing the foundation for policy, to policy formulation, application and evaluation, the dominant perspective is linear (Mann 1991), assuming a “rational person” perspective in which individuals are expected to comply to policy prescriptions when provided with relevant information. Following this, knowledge and perspectives of “health experts”, mainly from biomedicine, public health and behavioral sciences are placed at the </w:t>
      </w:r>
      <w:r w:rsidR="00424FE2" w:rsidRPr="00AA7462">
        <w:rPr>
          <w:rFonts w:eastAsia="Times New Roman" w:cs="Segoe UI"/>
          <w:color w:val="212529"/>
          <w:sz w:val="24"/>
          <w:szCs w:val="24"/>
          <w:lang w:eastAsia="en-GB"/>
        </w:rPr>
        <w:t>epicentre</w:t>
      </w:r>
      <w:r w:rsidRPr="00AA7462">
        <w:rPr>
          <w:rFonts w:eastAsia="Times New Roman" w:cs="Segoe UI"/>
          <w:color w:val="212529"/>
          <w:sz w:val="24"/>
          <w:szCs w:val="24"/>
          <w:lang w:eastAsia="en-GB"/>
        </w:rPr>
        <w:t xml:space="preserve"> of policy setting and application. The call for multi-sectoral intervention as in the case of HIV/AIDS is made for other sectors or professions to pass on the predetermined policy prescriptions, to appeal to people to avoid risk. Social Work and perhaps other professions become more visible as individuals and families, commonly defined as “victims” of the social problem emerge.</w:t>
      </w:r>
    </w:p>
    <w:p w:rsidR="00D92F01" w:rsidRPr="00AA7462" w:rsidRDefault="00D92F01" w:rsidP="00AA7462">
      <w:pPr>
        <w:shd w:val="clear" w:color="auto" w:fill="FFFFFF"/>
        <w:spacing w:after="100" w:afterAutospacing="1" w:line="240" w:lineRule="auto"/>
        <w:jc w:val="both"/>
        <w:rPr>
          <w:rFonts w:eastAsia="Times New Roman" w:cs="Segoe UI"/>
          <w:color w:val="212529"/>
          <w:sz w:val="24"/>
          <w:szCs w:val="24"/>
          <w:lang w:eastAsia="en-GB"/>
        </w:rPr>
      </w:pPr>
      <w:r w:rsidRPr="00AA7462">
        <w:rPr>
          <w:rFonts w:eastAsia="Times New Roman" w:cs="Segoe UI"/>
          <w:color w:val="212529"/>
          <w:sz w:val="24"/>
          <w:szCs w:val="24"/>
          <w:lang w:eastAsia="en-GB"/>
        </w:rPr>
        <w:t>In the case of HIV/AIDS in Uganda, for instance, counselling and other psychotherapeutic interventions for persons living with HIV/AIDS, orphans, other vulnerable children, young people in difficult circumstances and other affected categories are reserved for Social Work and related professions to handle. The idea is to help affected individuals and groups to attain satisfying relationships and standards in accordance with their particular capacities and wishes. Little is done to bring community contexts into the definition of the problem and contribute meaningfully to policy interventions. As a result, the social and other conditions that produce and reproduce social problems such as HIV/AIDS in communities remain largely unchallenged.</w:t>
      </w:r>
    </w:p>
    <w:p w:rsidR="00D92F01" w:rsidRPr="00AA7462" w:rsidRDefault="00D92F01" w:rsidP="00D92F01">
      <w:pPr>
        <w:shd w:val="clear" w:color="auto" w:fill="FFFFFF"/>
        <w:spacing w:after="100" w:afterAutospacing="1" w:line="240" w:lineRule="auto"/>
        <w:outlineLvl w:val="4"/>
        <w:rPr>
          <w:rFonts w:eastAsia="Times New Roman" w:cs="Segoe UI"/>
          <w:color w:val="212529"/>
          <w:sz w:val="24"/>
          <w:szCs w:val="24"/>
          <w:lang w:eastAsia="en-GB"/>
        </w:rPr>
      </w:pPr>
      <w:r w:rsidRPr="00AA7462">
        <w:rPr>
          <w:rFonts w:eastAsia="Times New Roman" w:cs="Segoe UI"/>
          <w:color w:val="212529"/>
          <w:sz w:val="24"/>
          <w:szCs w:val="24"/>
          <w:lang w:eastAsia="en-GB"/>
        </w:rPr>
        <w:t>1.1.2 Uganda and HIV/AIDS: A story of mixed fortunes</w:t>
      </w:r>
    </w:p>
    <w:p w:rsidR="00D92F01" w:rsidRPr="00AA7462" w:rsidRDefault="00D92F01" w:rsidP="00AA7462">
      <w:pPr>
        <w:shd w:val="clear" w:color="auto" w:fill="FFFFFF"/>
        <w:spacing w:after="100" w:afterAutospacing="1" w:line="240" w:lineRule="auto"/>
        <w:jc w:val="both"/>
        <w:rPr>
          <w:rFonts w:eastAsia="Times New Roman" w:cs="Segoe UI"/>
          <w:color w:val="212529"/>
          <w:sz w:val="24"/>
          <w:szCs w:val="24"/>
          <w:lang w:eastAsia="en-GB"/>
        </w:rPr>
      </w:pPr>
      <w:r w:rsidRPr="00AA7462">
        <w:rPr>
          <w:rFonts w:eastAsia="Times New Roman" w:cs="Segoe UI"/>
          <w:color w:val="212529"/>
          <w:sz w:val="24"/>
          <w:szCs w:val="24"/>
          <w:lang w:eastAsia="en-GB"/>
        </w:rPr>
        <w:t>Uganda has a history of impressive developments and glaring setbacks in responding to the epidemic. After a decade of increasing numbers of new cases, the spread of the epidemic began to wane. Evidence of a consistent decline in HIV prevalence shows that rates began to decline by 1995 (from over 20-30% in some sites) reaching 8% in the general population at the end of 2000 (UNAIDS 2002; 2004). Throughout the 1990s there was evidence of a consistent decline in HIV prevalence, reaching 8% in the general population at the end of 2000. There was, for instance, a drop in prevalence among pregnant women from as high as 30% in some urban centres to 5-8% by 2000[1]. By 2002, the estimated prevalence rate of HIV among antenatal attendees nationwide was 6.2%. Since 2002, however, the changes in HIV prevalence seem to be occurring very slowly with a current HIV prevalence of 6.4% in the general population (see also Wabwire-Mangen et al 2008; Kirungi et al 2008; UAC 2009; 2010).</w:t>
      </w:r>
    </w:p>
    <w:p w:rsidR="00AA7462" w:rsidRDefault="00D92F01" w:rsidP="00AA7462">
      <w:pPr>
        <w:shd w:val="clear" w:color="auto" w:fill="FFFFFF"/>
        <w:spacing w:after="100" w:afterAutospacing="1" w:line="240" w:lineRule="auto"/>
        <w:jc w:val="both"/>
        <w:rPr>
          <w:rFonts w:eastAsia="Times New Roman" w:cs="Segoe UI"/>
          <w:color w:val="212529"/>
          <w:sz w:val="24"/>
          <w:szCs w:val="24"/>
          <w:lang w:eastAsia="en-GB"/>
        </w:rPr>
      </w:pPr>
      <w:r w:rsidRPr="00AA7462">
        <w:rPr>
          <w:rFonts w:eastAsia="Times New Roman" w:cs="Segoe UI"/>
          <w:color w:val="212529"/>
          <w:sz w:val="24"/>
          <w:szCs w:val="24"/>
          <w:lang w:eastAsia="en-GB"/>
        </w:rPr>
        <w:t>Recent trends in HIV prevalence have shown a rise among some populations such as married people, lakeshore communities and other categories. There is also an apparent shift of the peak of the epidemic from young people to adults aged 30-39years. Other data (UNHBS 2005/6 in MoH and ORC Macro 2006) showed a fall in use of condoms among men at the most recent high-risk sexual encounters. Cases of complacency are reportedly more evident among specific categories such as lakeshore people. The national sero-survey (MoH and ORC Macro 2006[2]) also revealed an increase in reported STI symptoms in the year preceding the study. Data available in nearly all official statistics show that Uganda continues to have a generalized and severe HIV epidemic with a prevalence of 6.4% in adults and 0.7% in children despite the effort taken to respond to the HIV&amp;</w:t>
      </w:r>
      <w:r w:rsidR="00424FE2" w:rsidRPr="00AA7462">
        <w:rPr>
          <w:rFonts w:eastAsia="Times New Roman" w:cs="Segoe UI"/>
          <w:color w:val="212529"/>
          <w:sz w:val="24"/>
          <w:szCs w:val="24"/>
          <w:lang w:eastAsia="en-GB"/>
        </w:rPr>
        <w:t xml:space="preserve"> </w:t>
      </w:r>
      <w:r w:rsidRPr="00AA7462">
        <w:rPr>
          <w:rFonts w:eastAsia="Times New Roman" w:cs="Segoe UI"/>
          <w:color w:val="212529"/>
          <w:sz w:val="24"/>
          <w:szCs w:val="24"/>
          <w:lang w:eastAsia="en-GB"/>
        </w:rPr>
        <w:t>AIDS</w:t>
      </w:r>
      <w:r w:rsidR="00264D91">
        <w:rPr>
          <w:rFonts w:eastAsia="Times New Roman" w:cs="Segoe UI"/>
          <w:color w:val="212529"/>
          <w:sz w:val="24"/>
          <w:szCs w:val="24"/>
          <w:lang w:eastAsia="en-GB"/>
        </w:rPr>
        <w:t xml:space="preserve"> </w:t>
      </w:r>
      <w:r w:rsidRPr="00AA7462">
        <w:rPr>
          <w:rFonts w:eastAsia="Times New Roman" w:cs="Segoe UI"/>
          <w:color w:val="212529"/>
          <w:sz w:val="24"/>
          <w:szCs w:val="24"/>
          <w:lang w:eastAsia="en-GB"/>
        </w:rPr>
        <w:t>[3]. Sexual transmission continues to contribute 76% of new HIV infections while mother to child transmission contributes 22%. The authoritative 2010 UNGASS report and Surveillance reports (op.</w:t>
      </w:r>
      <w:r w:rsidR="00264D91">
        <w:rPr>
          <w:rFonts w:eastAsia="Times New Roman" w:cs="Segoe UI"/>
          <w:color w:val="212529"/>
          <w:sz w:val="24"/>
          <w:szCs w:val="24"/>
          <w:lang w:eastAsia="en-GB"/>
        </w:rPr>
        <w:t xml:space="preserve"> </w:t>
      </w:r>
      <w:r w:rsidRPr="00AA7462">
        <w:rPr>
          <w:rFonts w:eastAsia="Times New Roman" w:cs="Segoe UI"/>
          <w:color w:val="212529"/>
          <w:sz w:val="24"/>
          <w:szCs w:val="24"/>
          <w:lang w:eastAsia="en-GB"/>
        </w:rPr>
        <w:t xml:space="preserve">cit.) show that Uganda is still experiencing a high rate of new infections. </w:t>
      </w:r>
    </w:p>
    <w:p w:rsidR="00D92F01" w:rsidRPr="00AA7462" w:rsidRDefault="00D92F01" w:rsidP="00AA7462">
      <w:pPr>
        <w:shd w:val="clear" w:color="auto" w:fill="FFFFFF"/>
        <w:spacing w:after="100" w:afterAutospacing="1" w:line="240" w:lineRule="auto"/>
        <w:jc w:val="both"/>
        <w:rPr>
          <w:rFonts w:eastAsia="Times New Roman" w:cs="Segoe UI"/>
          <w:color w:val="212529"/>
          <w:sz w:val="24"/>
          <w:szCs w:val="24"/>
          <w:lang w:eastAsia="en-GB"/>
        </w:rPr>
      </w:pPr>
      <w:r w:rsidRPr="00AA7462">
        <w:rPr>
          <w:rFonts w:eastAsia="Times New Roman" w:cs="Segoe UI"/>
          <w:color w:val="212529"/>
          <w:sz w:val="24"/>
          <w:szCs w:val="24"/>
          <w:lang w:eastAsia="en-GB"/>
        </w:rPr>
        <w:t>Currently estimates indicate that over 100,000 new infections occur annually (during 2008, an estimated 110,694 new HIV infections occurred countrywide. Approximately 61,306 people died from AIDS in 2008)</w:t>
      </w:r>
      <w:r w:rsidR="00264D91">
        <w:rPr>
          <w:rFonts w:eastAsia="Times New Roman" w:cs="Segoe UI"/>
          <w:color w:val="212529"/>
          <w:sz w:val="24"/>
          <w:szCs w:val="24"/>
          <w:lang w:eastAsia="en-GB"/>
        </w:rPr>
        <w:t xml:space="preserve"> </w:t>
      </w:r>
      <w:r w:rsidRPr="00AA7462">
        <w:rPr>
          <w:rFonts w:eastAsia="Times New Roman" w:cs="Segoe UI"/>
          <w:color w:val="212529"/>
          <w:sz w:val="24"/>
          <w:szCs w:val="24"/>
          <w:lang w:eastAsia="en-GB"/>
        </w:rPr>
        <w:t>[4]. Approximately 6.4% of adults or 1.1 million people are HIV-infected</w:t>
      </w:r>
      <w:r w:rsidR="00424FE2" w:rsidRPr="00AA7462">
        <w:rPr>
          <w:rFonts w:eastAsia="Times New Roman" w:cs="Segoe UI"/>
          <w:color w:val="212529"/>
          <w:sz w:val="24"/>
          <w:szCs w:val="24"/>
          <w:lang w:eastAsia="en-GB"/>
        </w:rPr>
        <w:t xml:space="preserve"> </w:t>
      </w:r>
      <w:r w:rsidRPr="00AA7462">
        <w:rPr>
          <w:rFonts w:eastAsia="Times New Roman" w:cs="Segoe UI"/>
          <w:color w:val="212529"/>
          <w:sz w:val="24"/>
          <w:szCs w:val="24"/>
          <w:lang w:eastAsia="en-GB"/>
        </w:rPr>
        <w:t>[5]. The incidence rate by far outstrips AIDS related mortality and the numbers of clients enrolling into chronic AIDS care. The wave of new as well as old infection has shifted to older age groups[6] and that both HIV incidence and prevalence in Uganda’s mature HIV epidemic stopped declining around 2000, remaining more or less stable[7],[8]. Whereas the country has not officially declared whether this represents a rise or stagnation in HIV prevalence, it is clear that the less than impressive situation for nearly a decade now is cause to rethink strategies for prevention and learn from omissions and challenges in the national response to the epidemic.</w:t>
      </w:r>
    </w:p>
    <w:p w:rsidR="00A90B19" w:rsidRPr="0074370E" w:rsidRDefault="00430129" w:rsidP="00A90B19">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(3) </w:t>
      </w:r>
      <w:r w:rsidR="00A90B19" w:rsidRPr="0074370E">
        <w:rPr>
          <w:rFonts w:eastAsia="Times New Roman" w:cs="Segoe UI"/>
          <w:b/>
          <w:color w:val="FF0000"/>
          <w:kern w:val="36"/>
          <w:sz w:val="24"/>
          <w:szCs w:val="24"/>
          <w:lang w:eastAsia="en-GB"/>
        </w:rPr>
        <w:t>Human resource management dissertation introduction example</w:t>
      </w:r>
    </w:p>
    <w:p w:rsidR="00A90B19" w:rsidRPr="00AA7462" w:rsidRDefault="00A90B19" w:rsidP="00A90B19">
      <w:pPr>
        <w:shd w:val="clear" w:color="auto" w:fill="FFFFFF"/>
        <w:spacing w:after="100" w:afterAutospacing="1" w:line="240" w:lineRule="auto"/>
        <w:outlineLvl w:val="1"/>
        <w:rPr>
          <w:rFonts w:eastAsia="Times New Roman" w:cs="Segoe UI"/>
          <w:color w:val="212529"/>
          <w:sz w:val="24"/>
          <w:szCs w:val="24"/>
          <w:lang w:eastAsia="en-GB"/>
        </w:rPr>
      </w:pPr>
      <w:r w:rsidRPr="00AA7462">
        <w:rPr>
          <w:rFonts w:eastAsia="Times New Roman" w:cs="Segoe UI"/>
          <w:color w:val="212529"/>
          <w:sz w:val="24"/>
          <w:szCs w:val="24"/>
          <w:lang w:eastAsia="en-GB"/>
        </w:rPr>
        <w:t>Chapter 1: Introduction</w:t>
      </w:r>
    </w:p>
    <w:p w:rsidR="00A90B19" w:rsidRPr="00AA7462" w:rsidRDefault="00A90B19" w:rsidP="00AA7462">
      <w:pPr>
        <w:shd w:val="clear" w:color="auto" w:fill="FFFFFF"/>
        <w:spacing w:after="100" w:afterAutospacing="1" w:line="240" w:lineRule="auto"/>
        <w:jc w:val="both"/>
        <w:rPr>
          <w:rFonts w:eastAsia="Times New Roman" w:cs="Segoe UI"/>
          <w:color w:val="212529"/>
          <w:sz w:val="24"/>
          <w:szCs w:val="24"/>
          <w:lang w:eastAsia="en-GB"/>
        </w:rPr>
      </w:pPr>
      <w:r w:rsidRPr="00AA7462">
        <w:rPr>
          <w:rFonts w:eastAsia="Times New Roman" w:cs="Segoe UI"/>
          <w:color w:val="212529"/>
          <w:sz w:val="24"/>
          <w:szCs w:val="24"/>
          <w:lang w:eastAsia="en-GB"/>
        </w:rPr>
        <w:t>In this thesis, the influence of different leadership styles, on the commitment of employees will be researched. According to the literature, commercial performances of companies depend on the commitment of employees. (Bovenlander en Timmer, 2007). However there are different interpretations of commitment. According to Sheldon (1971, p.143) commitment appears when “the identity of the person (is linked to organization.” Hall et al., (1970 p. 176) commitment appears when “the goals of the organization and those of the individual become increasingly integrated or congruent” In general one can argue that when commitment of the employees towards the company is high, this will have a positive influence on the organization. In fact, managers or leaders can have an influence on the commitment and motivation among their employees (Shin and Zhou, 2003).</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Managers have a great influence on their staff. They can have an influence on the commitment of employees to achieve the business objectives. Earlier research points out that HRM investments provide a good job experience and thus commitment of the employees (Steijn, 2003). Not only HRM managers, but also other managers must ensure the commitment of the employees.</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Avolio et al. (2004) argued that leaders can have a positive influence on organizational issues. They also argued that this study is not completed yet. “Future research also needs to collect ratings of leadership, empowerment, and outcomes from multiple sources over time to adequately test the mediating effects of psychological empowerment on the relationship between transformational leadership and organizational commitment.” (Avolio et al., 2004 p. 964)</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A lot of research has been done about commitment and leadership, but which way of leadership is the best way to create commitment among employees? And what are the effects of these different styles?</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This reason makes this field a very interesting field of research. This literature review focalizes on different leadership styles and their influence on commitment. This will be examined in this paper, by means of a literature review.</w:t>
      </w:r>
    </w:p>
    <w:p w:rsidR="00A90B19" w:rsidRPr="0074370E" w:rsidRDefault="00A90B19" w:rsidP="0074370E">
      <w:pPr>
        <w:shd w:val="clear" w:color="auto" w:fill="FFFFFF"/>
        <w:spacing w:after="100" w:afterAutospacing="1" w:line="240" w:lineRule="auto"/>
        <w:jc w:val="both"/>
        <w:outlineLvl w:val="2"/>
        <w:rPr>
          <w:rFonts w:eastAsia="Times New Roman" w:cs="Segoe UI"/>
          <w:color w:val="212529"/>
          <w:sz w:val="24"/>
          <w:szCs w:val="24"/>
          <w:lang w:eastAsia="en-GB"/>
        </w:rPr>
      </w:pPr>
      <w:r w:rsidRPr="0074370E">
        <w:rPr>
          <w:rFonts w:eastAsia="Times New Roman" w:cs="Segoe UI"/>
          <w:color w:val="212529"/>
          <w:sz w:val="24"/>
          <w:szCs w:val="24"/>
          <w:lang w:eastAsia="en-GB"/>
        </w:rPr>
        <w:t>1.1 Problem statement</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How does leadership influence the commitment of employees?</w:t>
      </w:r>
    </w:p>
    <w:p w:rsidR="00A90B19" w:rsidRPr="0074370E" w:rsidRDefault="00A90B19" w:rsidP="0074370E">
      <w:pPr>
        <w:shd w:val="clear" w:color="auto" w:fill="FFFFFF"/>
        <w:spacing w:after="100" w:afterAutospacing="1" w:line="240" w:lineRule="auto"/>
        <w:jc w:val="both"/>
        <w:outlineLvl w:val="2"/>
        <w:rPr>
          <w:rFonts w:eastAsia="Times New Roman" w:cs="Segoe UI"/>
          <w:color w:val="212529"/>
          <w:sz w:val="24"/>
          <w:szCs w:val="24"/>
          <w:lang w:eastAsia="en-GB"/>
        </w:rPr>
      </w:pPr>
      <w:r w:rsidRPr="0074370E">
        <w:rPr>
          <w:rFonts w:eastAsia="Times New Roman" w:cs="Segoe UI"/>
          <w:color w:val="212529"/>
          <w:sz w:val="24"/>
          <w:szCs w:val="24"/>
          <w:lang w:eastAsia="en-GB"/>
        </w:rPr>
        <w:t>1.2 Research Questions</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An answer on the problem statement will be given by the following sub questions:</w:t>
      </w:r>
    </w:p>
    <w:p w:rsidR="00A90B19" w:rsidRPr="0074370E" w:rsidRDefault="00A90B19" w:rsidP="0074370E">
      <w:pPr>
        <w:numPr>
          <w:ilvl w:val="0"/>
          <w:numId w:val="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What are the different leadership styles and what are the characteristics of these styles?</w:t>
      </w:r>
    </w:p>
    <w:p w:rsidR="00A90B19" w:rsidRPr="0074370E" w:rsidRDefault="00A90B19" w:rsidP="0074370E">
      <w:pPr>
        <w:numPr>
          <w:ilvl w:val="0"/>
          <w:numId w:val="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What is commitment and how can commitment be measured?</w:t>
      </w:r>
    </w:p>
    <w:p w:rsidR="00A90B19" w:rsidRPr="0074370E" w:rsidRDefault="00A90B19" w:rsidP="0074370E">
      <w:pPr>
        <w:numPr>
          <w:ilvl w:val="0"/>
          <w:numId w:val="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How can leaders improve the commitment of their employees?</w:t>
      </w:r>
    </w:p>
    <w:p w:rsidR="00A90B19" w:rsidRPr="0074370E" w:rsidRDefault="00A90B19" w:rsidP="0074370E">
      <w:pPr>
        <w:shd w:val="clear" w:color="auto" w:fill="FFFFFF"/>
        <w:spacing w:after="100" w:afterAutospacing="1" w:line="240" w:lineRule="auto"/>
        <w:jc w:val="both"/>
        <w:outlineLvl w:val="2"/>
        <w:rPr>
          <w:rFonts w:eastAsia="Times New Roman" w:cs="Segoe UI"/>
          <w:color w:val="212529"/>
          <w:sz w:val="24"/>
          <w:szCs w:val="24"/>
          <w:lang w:eastAsia="en-GB"/>
        </w:rPr>
      </w:pPr>
      <w:r w:rsidRPr="0074370E">
        <w:rPr>
          <w:rFonts w:eastAsia="Times New Roman" w:cs="Segoe UI"/>
          <w:color w:val="212529"/>
          <w:sz w:val="24"/>
          <w:szCs w:val="24"/>
          <w:lang w:eastAsia="en-GB"/>
        </w:rPr>
        <w:t>1.3 Methodology</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This literature review will be a</w:t>
      </w:r>
      <w:r w:rsidR="00424FE2" w:rsidRPr="0074370E">
        <w:rPr>
          <w:rFonts w:eastAsia="Times New Roman" w:cs="Segoe UI"/>
          <w:color w:val="212529"/>
          <w:sz w:val="24"/>
          <w:szCs w:val="24"/>
          <w:lang w:eastAsia="en-GB"/>
        </w:rPr>
        <w:t>n</w:t>
      </w:r>
      <w:r w:rsidRPr="0074370E">
        <w:rPr>
          <w:rFonts w:eastAsia="Times New Roman" w:cs="Segoe UI"/>
          <w:color w:val="212529"/>
          <w:sz w:val="24"/>
          <w:szCs w:val="24"/>
          <w:lang w:eastAsia="en-GB"/>
        </w:rPr>
        <w:t xml:space="preserve"> exploratory research. This is done on a descriptive basis. The typical approach for this thesis will be to rely on available literature: existing theses and studies from well-known scientists. (Sekaran and Bougie, 2009)</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For this research it is necessary to investigate the following variables: commitment and the different leadership styles and his characteristics.</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The results of this research will be the basis for further literature research. Further literature research will consist about the link between the variables commitment and leadership.</w:t>
      </w:r>
    </w:p>
    <w:p w:rsidR="00A90B19" w:rsidRPr="0074370E" w:rsidRDefault="00A90B19" w:rsidP="0074370E">
      <w:pPr>
        <w:shd w:val="clear" w:color="auto" w:fill="FFFFFF"/>
        <w:spacing w:after="100" w:afterAutospacing="1" w:line="240" w:lineRule="auto"/>
        <w:jc w:val="both"/>
        <w:outlineLvl w:val="2"/>
        <w:rPr>
          <w:rFonts w:eastAsia="Times New Roman" w:cs="Segoe UI"/>
          <w:color w:val="212529"/>
          <w:sz w:val="24"/>
          <w:szCs w:val="24"/>
          <w:lang w:eastAsia="en-GB"/>
        </w:rPr>
      </w:pPr>
      <w:r w:rsidRPr="0074370E">
        <w:rPr>
          <w:rFonts w:eastAsia="Times New Roman" w:cs="Segoe UI"/>
          <w:color w:val="212529"/>
          <w:sz w:val="24"/>
          <w:szCs w:val="24"/>
          <w:lang w:eastAsia="en-GB"/>
        </w:rPr>
        <w:t>1.4 Structure</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 xml:space="preserve">To give an answer to the main question of this thesis, how does leadership influence the commitment of employees, it is necessary to find an answer on the two sub </w:t>
      </w:r>
      <w:proofErr w:type="gramStart"/>
      <w:r w:rsidRPr="0074370E">
        <w:rPr>
          <w:rFonts w:eastAsia="Times New Roman" w:cs="Segoe UI"/>
          <w:color w:val="212529"/>
          <w:sz w:val="24"/>
          <w:szCs w:val="24"/>
          <w:lang w:eastAsia="en-GB"/>
        </w:rPr>
        <w:t>questions.</w:t>
      </w:r>
      <w:proofErr w:type="gramEnd"/>
      <w:r w:rsidRPr="0074370E">
        <w:rPr>
          <w:rFonts w:eastAsia="Times New Roman" w:cs="Segoe UI"/>
          <w:color w:val="212529"/>
          <w:sz w:val="24"/>
          <w:szCs w:val="24"/>
          <w:lang w:eastAsia="en-GB"/>
        </w:rPr>
        <w:t xml:space="preserve"> To give an answer on the sub questions, it is necessary to investigate the variables leadership and commitment.</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Regarding commitment it is important to know all the factors that may have an influence on the organizational commitment of employees.</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Leadership will be examined using two different styles. Namely transactional and transformational leadership. Also LMX-leadership will be explained because of the fact that it is important for the results later on in the paper.</w:t>
      </w:r>
    </w:p>
    <w:p w:rsidR="00A90B19" w:rsidRPr="0074370E" w:rsidRDefault="00A90B19" w:rsidP="0074370E">
      <w:pPr>
        <w:shd w:val="clear" w:color="auto" w:fill="FFFFFF"/>
        <w:spacing w:after="100" w:afterAutospacing="1" w:line="240" w:lineRule="auto"/>
        <w:jc w:val="both"/>
        <w:rPr>
          <w:rFonts w:eastAsia="Times New Roman" w:cs="Segoe UI"/>
          <w:color w:val="212529"/>
          <w:sz w:val="24"/>
          <w:szCs w:val="24"/>
          <w:lang w:eastAsia="en-GB"/>
        </w:rPr>
      </w:pPr>
      <w:r w:rsidRPr="0074370E">
        <w:rPr>
          <w:rFonts w:eastAsia="Times New Roman" w:cs="Segoe UI"/>
          <w:color w:val="212529"/>
          <w:sz w:val="24"/>
          <w:szCs w:val="24"/>
          <w:lang w:eastAsia="en-GB"/>
        </w:rPr>
        <w:t>After that it is possible to connect leadership with commitment. This will be the last chapter of the thesis and will give an answer on the main question.</w:t>
      </w:r>
    </w:p>
    <w:p w:rsidR="00F72490" w:rsidRPr="008458BC" w:rsidRDefault="00F72490" w:rsidP="008458BC">
      <w:pPr>
        <w:shd w:val="clear" w:color="auto" w:fill="FFFFFF"/>
        <w:spacing w:after="100" w:afterAutospacing="1" w:line="240" w:lineRule="auto"/>
        <w:jc w:val="both"/>
        <w:outlineLvl w:val="0"/>
        <w:rPr>
          <w:rFonts w:eastAsia="Times New Roman" w:cs="Segoe UI"/>
          <w:color w:val="212529"/>
          <w:kern w:val="36"/>
          <w:sz w:val="24"/>
          <w:szCs w:val="24"/>
          <w:lang w:eastAsia="en-GB"/>
        </w:rPr>
      </w:pPr>
      <w:r w:rsidRPr="008458BC">
        <w:rPr>
          <w:rFonts w:eastAsia="Times New Roman" w:cs="Segoe UI"/>
          <w:color w:val="212529"/>
          <w:kern w:val="36"/>
          <w:sz w:val="24"/>
          <w:szCs w:val="24"/>
          <w:lang w:eastAsia="en-GB"/>
        </w:rPr>
        <w:t>Research and introduction to cross cultural psychology</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Damen in his Culture Learning defined Culture as ‘the shared patterns of behavior and interactions and affective understanding learned through the process of socialization’ (Damen, 1987). Psychology is simply a field of study that concerns itself with behavior. Cross cultural psychology is therefore ‘the scientific study of human behavior and mental behavior and process, including both variability and invariance, under diverse cultural conditions,’ (Ho, &amp; Wu, 2001). It is a branch of psychology that studies the relationship between culture and human behavior (Matsumoto, 2000). This type of psychology delves in investigative studies to recognize cultural variation in behavior and such other variables as language and meanings. According to Walter J Loner while writing in the Journal: Eye on Psi Chi Cross, Cultural psychology is not an independent field within the entire sphere of psychology that revolves around in-depth examination of ‘emotions, language acquisition, personality, social behavior, family and social relationship’ Eye on Psi SChi 4(3). 22-26.Cross cultural psychology not only encompasses studies in both the similarities and the differences in psychological functioning in various cultural and ethnic set ups but also the relationships between such key variables as psychological, socio-cultural, ecological and biological. It considers culture as necessary for functioning, development and behavior in a cultural context. Diverse forms of comparative research are the major actions/exercises in understanding cross cultural psychology focused at making any distinctions in cultural factors directly related to development and behavior. According to Berry et al 1997, these ‘researches’ objectives is to explain cultures as composed of certain set of variables directly or indirectly influencing an individual’s behavior’</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Cross cultural psychology need not to be confused with cultural. Though related to some extent, some distinctions separate the two. The relationship between cultural and cross-cultural psychology like any other comparative studies, the relationship between cultural and cross-cultural psychology entail differences and similarities. These comparisons are discussed below.</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Differences</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While cross cultural psychology studies strive to determine any possible shared behavior and mental processes in cultures, cultural psychology is a field within psychology that hold the view that human behavior is dependent on individual’s unique values and their belief system. Variation in how “culture” is interpreted draws the boundary between ‘cultural psychology’ and ‘cross cultural psychology’. Since the two field derive their central them for the study of cultures, they overlap and most psychologist consider synonymous with each other. They however differ in more than ways (Lonner, 2000).</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 xml:space="preserve">While cultural psychology </w:t>
      </w:r>
      <w:r w:rsidR="00424FE2" w:rsidRPr="008458BC">
        <w:rPr>
          <w:rFonts w:eastAsia="Times New Roman" w:cs="Segoe UI"/>
          <w:color w:val="212529"/>
          <w:sz w:val="24"/>
          <w:szCs w:val="24"/>
          <w:lang w:eastAsia="en-GB"/>
        </w:rPr>
        <w:t>centres</w:t>
      </w:r>
      <w:r w:rsidRPr="008458BC">
        <w:rPr>
          <w:rFonts w:eastAsia="Times New Roman" w:cs="Segoe UI"/>
          <w:color w:val="212529"/>
          <w:sz w:val="24"/>
          <w:szCs w:val="24"/>
          <w:lang w:eastAsia="en-GB"/>
        </w:rPr>
        <w:t xml:space="preserve"> its studies on the different ethnic groups, cross cultural psychology digs in the differences or similarities between any two or more cultures. Besides, Lonner in his paper ‘Growth and Cultural Importance of Cross Cultural Psychology’ laments that cultural/ethnic psychology with roots in the United States has a shorter compare to cross cultural psychology.</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Similarities</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Despite the afore-mentioned evident differences in cultural psychology and cross culture, the two cannot be divorced from each other since they both share certain commonalities. Both studies are rooted from cultural studies of psychology which as discussed earlier, entail behavioral and mental analysis in context of varied cultural environment. While cultural psychology seeks to explore certain behavioral characteristics within a specific culture, cross cultural psychology compare these characteristic from one culture to another. These both studies focus on similar elements of culture. Also both studies employ similar techniques: quantitative and qualitative. For this reason most often the research approaches are almost similar.</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The role of critical thinking in cross-cultural psychology</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According to Shiraew &amp; Levy, critical thinking in cross cultural psychology is ‘the most vital and indispensable component of learning. To describe a phenomena in a cultural context, social phenomena such as a people’s language reflects their personal values, biases, likes, prejudices etc. This results in their language coded in such a way that the language ‘will reveals much about the cultures events, individuals or whatever group they are trying to describe’ (Shiraew &amp; Levy 2010).</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 xml:space="preserve">Through intuition, people automatically compare their own mental representation to identify or judge a given </w:t>
      </w:r>
      <w:r w:rsidR="00424FE2" w:rsidRPr="008458BC">
        <w:rPr>
          <w:rFonts w:eastAsia="Times New Roman" w:cs="Segoe UI"/>
          <w:color w:val="212529"/>
          <w:sz w:val="24"/>
          <w:szCs w:val="24"/>
          <w:lang w:eastAsia="en-GB"/>
        </w:rPr>
        <w:t>phenomenon</w:t>
      </w:r>
      <w:r w:rsidRPr="008458BC">
        <w:rPr>
          <w:rFonts w:eastAsia="Times New Roman" w:cs="Segoe UI"/>
          <w:color w:val="212529"/>
          <w:sz w:val="24"/>
          <w:szCs w:val="24"/>
          <w:lang w:eastAsia="en-GB"/>
        </w:rPr>
        <w:t xml:space="preserve">, i.e. they set their cultural values and believe systems as the standards to judge a given </w:t>
      </w:r>
      <w:r w:rsidR="00424FE2" w:rsidRPr="008458BC">
        <w:rPr>
          <w:rFonts w:eastAsia="Times New Roman" w:cs="Segoe UI"/>
          <w:color w:val="212529"/>
          <w:sz w:val="24"/>
          <w:szCs w:val="24"/>
          <w:lang w:eastAsia="en-GB"/>
        </w:rPr>
        <w:t>phenomenon</w:t>
      </w:r>
      <w:r w:rsidRPr="008458BC">
        <w:rPr>
          <w:rFonts w:eastAsia="Times New Roman" w:cs="Segoe UI"/>
          <w:color w:val="212529"/>
          <w:sz w:val="24"/>
          <w:szCs w:val="24"/>
          <w:lang w:eastAsia="en-GB"/>
        </w:rPr>
        <w:t>. This biased perspective results in lack of objectivity in assessing behavior and specific phenomena in other cultures. Psychologists claim that all cultures suffer from this problem. This explains intercultural conflicts in the society.</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Critical thinking in cross cultural psychology is not only a subject of study in examining cultures, but also a tool in analyzing and evaluating the way people think critically and behave in a given culture.</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The methodology associated with cross-cultural research</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Being a behavioral study, cross cultural psychology lacks ‘a clear and scientific research technique which poses the study with a serious problem’ (Escotet, March 25-27 1973). While scientific approaches depict modern trends, the evaluation of cultures has become complicated and highly subjective. Matsumoto &amp; Vijver, (2010) argue that ‘regardless of the method of measurement and approach, one of the basic issues researchers may become aware of is the relationship among cultural distance and the probability of generating differences’ Depending on the nature of the study, contextual factors such as education, age or socio-economic status of the participants affects the validity research approach and findings. ‘Including such factors in a study will not only enhance the validity, but also help in eliminating any biases.’ Matsumoto &amp; Vijver (2010).</w:t>
      </w:r>
    </w:p>
    <w:p w:rsidR="00F72490" w:rsidRPr="008458BC" w:rsidRDefault="00F72490" w:rsidP="008458BC">
      <w:pPr>
        <w:shd w:val="clear" w:color="auto" w:fill="FFFFFF"/>
        <w:spacing w:after="100" w:afterAutospacing="1" w:line="240" w:lineRule="auto"/>
        <w:jc w:val="both"/>
        <w:rPr>
          <w:rFonts w:eastAsia="Times New Roman" w:cs="Segoe UI"/>
          <w:color w:val="212529"/>
          <w:sz w:val="24"/>
          <w:szCs w:val="24"/>
          <w:lang w:eastAsia="en-GB"/>
        </w:rPr>
      </w:pPr>
      <w:r w:rsidRPr="008458BC">
        <w:rPr>
          <w:rFonts w:eastAsia="Times New Roman" w:cs="Segoe UI"/>
          <w:color w:val="212529"/>
          <w:sz w:val="24"/>
          <w:szCs w:val="24"/>
          <w:lang w:eastAsia="en-GB"/>
        </w:rPr>
        <w:t>Shiraev &amp; Levy advises purport there are two major divisions of research in these fields: qualitative and quantitative. While qualitative approaches ‘uses median, mode, variance and standard deviation etc to describe human behavior, qualitative technique uses unobservable human behavior such as dreams.’ Shiraew &amp; Levy (2010).</w:t>
      </w:r>
    </w:p>
    <w:p w:rsidR="00EC0736" w:rsidRPr="000A2379" w:rsidRDefault="00430129" w:rsidP="000A2379">
      <w:pPr>
        <w:shd w:val="clear" w:color="auto" w:fill="FFFFFF"/>
        <w:spacing w:after="100" w:afterAutospacing="1" w:line="240" w:lineRule="auto"/>
        <w:jc w:val="both"/>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(4) </w:t>
      </w:r>
      <w:r w:rsidR="00EC0736" w:rsidRPr="000A2379">
        <w:rPr>
          <w:rFonts w:eastAsia="Times New Roman" w:cs="Segoe UI"/>
          <w:b/>
          <w:color w:val="FF0000"/>
          <w:kern w:val="36"/>
          <w:sz w:val="24"/>
          <w:szCs w:val="24"/>
          <w:lang w:eastAsia="en-GB"/>
        </w:rPr>
        <w:t>Education dissertation introduction example</w:t>
      </w:r>
    </w:p>
    <w:p w:rsidR="00EC0736" w:rsidRPr="000A2379" w:rsidRDefault="00EC0736" w:rsidP="000A2379">
      <w:pPr>
        <w:shd w:val="clear" w:color="auto" w:fill="FFFFFF"/>
        <w:spacing w:after="100" w:afterAutospacing="1" w:line="240" w:lineRule="auto"/>
        <w:jc w:val="both"/>
        <w:outlineLvl w:val="1"/>
        <w:rPr>
          <w:rFonts w:eastAsia="Times New Roman" w:cs="Segoe UI"/>
          <w:color w:val="212529"/>
          <w:sz w:val="24"/>
          <w:szCs w:val="24"/>
          <w:lang w:eastAsia="en-GB"/>
        </w:rPr>
      </w:pPr>
      <w:r w:rsidRPr="000A2379">
        <w:rPr>
          <w:rFonts w:eastAsia="Times New Roman" w:cs="Segoe UI"/>
          <w:color w:val="212529"/>
          <w:sz w:val="24"/>
          <w:szCs w:val="24"/>
          <w:lang w:eastAsia="en-GB"/>
        </w:rPr>
        <w:t>An Investigation on Teachers’ Self-Efficacy towards Inclusive Education in Singapore Kindergarten Classrooms</w:t>
      </w:r>
    </w:p>
    <w:p w:rsidR="00EC0736" w:rsidRPr="00893340" w:rsidRDefault="00EC0736" w:rsidP="00893340">
      <w:pPr>
        <w:shd w:val="clear" w:color="auto" w:fill="FFFFFF"/>
        <w:spacing w:after="100" w:afterAutospacing="1" w:line="240" w:lineRule="auto"/>
        <w:jc w:val="both"/>
        <w:outlineLvl w:val="2"/>
        <w:rPr>
          <w:rFonts w:eastAsia="Times New Roman" w:cs="Segoe UI"/>
          <w:color w:val="212529"/>
          <w:sz w:val="24"/>
          <w:szCs w:val="24"/>
          <w:lang w:eastAsia="en-GB"/>
        </w:rPr>
      </w:pPr>
      <w:r w:rsidRPr="00893340">
        <w:rPr>
          <w:rFonts w:eastAsia="Times New Roman" w:cs="Segoe UI"/>
          <w:color w:val="212529"/>
          <w:sz w:val="24"/>
          <w:szCs w:val="24"/>
          <w:lang w:eastAsia="en-GB"/>
        </w:rPr>
        <w:t>Introduction</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This proposed study seeks to advance knowledge about how general education teachers, specifically kindergarten teachers, are responding to inclusive education in Singapore. Presently there is no legislation that mandates inclusive educational practices for special needs children. Nonetheless, in the recent years, the Ministry of Education (MOE) has invested considerable resources toward training teachers and providing infrastructure to integrate special needs children in the regular school system. Additionally, specifically to kindergarten education, MOE has published a curriculum framework for kindergartens in 2003 that aim to provide a learning environment for all children, acknowledging the fact that each individual has different ways of learning, with individual preferences and abilities. This, further augmented by the encouragement from the Ministry of Community Development, Youth and Sports (MCYS) for child care centres to integrate children with mild disabilities, lends an increasing support to having an inclusive education system that includes all children with their many differences and education needs.</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Children with differences and disabilities are a significant concern and responsibility of the community. Kindergarten teachers have a critical role in inclusive settings for facilitating the needs of these children. Such integrated settings can provide enriching experiences for all children. More importantly, it has been well-established that early intervention is critical for special learning needs children (Talay-Ongan, 2001). There is a need, therefore, to examine how kindergarten teachers are responding to this range of learning and behavioural needs in general education classrooms.</w:t>
      </w:r>
    </w:p>
    <w:p w:rsidR="00EC0736" w:rsidRPr="00893340" w:rsidRDefault="00EC0736" w:rsidP="00893340">
      <w:pPr>
        <w:shd w:val="clear" w:color="auto" w:fill="FFFFFF"/>
        <w:spacing w:after="100" w:afterAutospacing="1" w:line="240" w:lineRule="auto"/>
        <w:jc w:val="both"/>
        <w:outlineLvl w:val="3"/>
        <w:rPr>
          <w:rFonts w:eastAsia="Times New Roman" w:cs="Segoe UI"/>
          <w:color w:val="212529"/>
          <w:sz w:val="24"/>
          <w:szCs w:val="24"/>
          <w:lang w:eastAsia="en-GB"/>
        </w:rPr>
      </w:pPr>
      <w:r w:rsidRPr="00893340">
        <w:rPr>
          <w:rFonts w:eastAsia="Times New Roman" w:cs="Segoe UI"/>
          <w:color w:val="212529"/>
          <w:sz w:val="24"/>
          <w:szCs w:val="24"/>
          <w:lang w:eastAsia="en-GB"/>
        </w:rPr>
        <w:t>Research Problem</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Yet, to date, little research has been undertaken locally to understand what inclusion means to the kindergarten teachers and the extent to which their efficacy is towards teaching in an inclusive classroom. Research has long asserted that teachers’ self-efficacy, that is – teachers’ “judgment of his or her capabilities to bring about desired outcomes of student engagement and learning, even among those students who may be difficult or unmotivated” (Tschannen-Moran &amp; Woolfolk Hoy, 2001) – is an important determinant and predictor of teaching practices (cf. Dewey, 1929; Fenstermacher, 1986; Lortie, 1975; Pajares, 1992). Although there are numerous researches done on the investigation of teachers’ self-efficacy with respect to teaching outcomes, there have been few examinations performed between teachers’ self-efficacy and teaching in an inclusive nature (Brownell &amp; Pajares, 1999; Woolfson &amp; Brady, 2009).  Understanding the relationship between general education teachers’ efficacy beliefs to instruct and manage students with learning and behavioural difficulties and their perceptions of success in educating such students is important to inclusion efforts (Brownell &amp; Pajares, 1999; Woolfson &amp; Brady, 2009).</w:t>
      </w:r>
    </w:p>
    <w:p w:rsidR="00EC0736" w:rsidRPr="00893340" w:rsidRDefault="00EC0736" w:rsidP="00893340">
      <w:pPr>
        <w:shd w:val="clear" w:color="auto" w:fill="FFFFFF"/>
        <w:spacing w:after="100" w:afterAutospacing="1" w:line="240" w:lineRule="auto"/>
        <w:jc w:val="both"/>
        <w:outlineLvl w:val="3"/>
        <w:rPr>
          <w:rFonts w:eastAsia="Times New Roman" w:cs="Segoe UI"/>
          <w:color w:val="212529"/>
          <w:sz w:val="24"/>
          <w:szCs w:val="24"/>
          <w:lang w:eastAsia="en-GB"/>
        </w:rPr>
      </w:pPr>
      <w:r w:rsidRPr="00893340">
        <w:rPr>
          <w:rFonts w:eastAsia="Times New Roman" w:cs="Segoe UI"/>
          <w:color w:val="212529"/>
          <w:sz w:val="24"/>
          <w:szCs w:val="24"/>
          <w:lang w:eastAsia="en-GB"/>
        </w:rPr>
        <w:t>Research Aims</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 xml:space="preserve">Thus, </w:t>
      </w:r>
      <w:r w:rsidR="00C6330A" w:rsidRPr="00C6330A">
        <w:rPr>
          <w:rFonts w:eastAsia="Times New Roman" w:cs="Segoe UI"/>
          <w:b/>
          <w:color w:val="FF0000"/>
          <w:sz w:val="32"/>
          <w:szCs w:val="24"/>
          <w:lang w:eastAsia="en-GB"/>
        </w:rPr>
        <w:t>THE PURPOSE</w:t>
      </w:r>
      <w:r w:rsidRPr="00893340">
        <w:rPr>
          <w:rFonts w:eastAsia="Times New Roman" w:cs="Segoe UI"/>
          <w:color w:val="212529"/>
          <w:sz w:val="24"/>
          <w:szCs w:val="24"/>
          <w:lang w:eastAsia="en-GB"/>
        </w:rPr>
        <w:t xml:space="preserve"> of the study is to shed light on kindergarten teachers’ efficacy towards inclusive education as it is currently practiced with a view to uncovering strengths, limitations, and directions for possible refinement in teacher’s training and in-service professional development. Specific questions of interest are:</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1. How do the general education kindergarten teachers’ perceive their self-efficacy towards teaching in an inclusive environment?</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2. Is there any difference between the general education kindergarten teachers’ and special needs trained kindergarten teachers’ perceived self-efficacy towards teaching in an inclusive environment?</w:t>
      </w:r>
    </w:p>
    <w:p w:rsidR="00EC0736" w:rsidRPr="00893340" w:rsidRDefault="00EC0736" w:rsidP="0065617E">
      <w:pPr>
        <w:shd w:val="clear" w:color="auto" w:fill="FFFFFF"/>
        <w:spacing w:after="100" w:afterAutospacing="1" w:line="240" w:lineRule="auto"/>
        <w:jc w:val="both"/>
        <w:rPr>
          <w:rFonts w:eastAsia="Times New Roman" w:cs="Segoe UI"/>
          <w:sz w:val="24"/>
          <w:szCs w:val="24"/>
          <w:lang w:eastAsia="en-GB"/>
        </w:rPr>
      </w:pPr>
      <w:r w:rsidRPr="00893340">
        <w:rPr>
          <w:rFonts w:eastAsia="Times New Roman" w:cs="Segoe UI"/>
          <w:color w:val="212529"/>
          <w:sz w:val="24"/>
          <w:szCs w:val="24"/>
          <w:lang w:eastAsia="en-GB"/>
        </w:rPr>
        <w:t>3. What is the relationship between teacher experience and further professional development training and the outcome variable: self-efficacy beliefs regarding teaching students with learning difficulties?</w:t>
      </w:r>
      <w:r w:rsidR="0065617E" w:rsidRPr="00893340">
        <w:rPr>
          <w:rFonts w:eastAsia="Times New Roman" w:cs="Segoe UI"/>
          <w:sz w:val="24"/>
          <w:szCs w:val="24"/>
          <w:lang w:eastAsia="en-GB"/>
        </w:rPr>
        <w:t xml:space="preserve"> </w:t>
      </w:r>
    </w:p>
    <w:p w:rsidR="00EC0736" w:rsidRPr="00893340" w:rsidRDefault="00EC0736" w:rsidP="00893340">
      <w:pPr>
        <w:shd w:val="clear" w:color="auto" w:fill="FFFFFF"/>
        <w:spacing w:after="100" w:afterAutospacing="1" w:line="240" w:lineRule="auto"/>
        <w:jc w:val="both"/>
        <w:outlineLvl w:val="3"/>
        <w:rPr>
          <w:rFonts w:eastAsia="Times New Roman" w:cs="Segoe UI"/>
          <w:color w:val="212529"/>
          <w:sz w:val="24"/>
          <w:szCs w:val="24"/>
          <w:lang w:eastAsia="en-GB"/>
        </w:rPr>
      </w:pPr>
      <w:r w:rsidRPr="00893340">
        <w:rPr>
          <w:rFonts w:eastAsia="Times New Roman" w:cs="Segoe UI"/>
          <w:color w:val="212529"/>
          <w:sz w:val="24"/>
          <w:szCs w:val="24"/>
          <w:lang w:eastAsia="en-GB"/>
        </w:rPr>
        <w:t>Definitions</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b/>
          <w:bCs/>
          <w:i/>
          <w:iCs/>
          <w:color w:val="212529"/>
          <w:sz w:val="24"/>
          <w:szCs w:val="24"/>
          <w:lang w:eastAsia="en-GB"/>
        </w:rPr>
        <w:t>Inclusive Learning Environment</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 xml:space="preserve">Inclusion is commonly defined as serving students with a full range of abilities and disabilities in the general education classroom with appropriate in-class support (Crawford, 1994; Roach, 1995; </w:t>
      </w:r>
      <w:r w:rsidR="00083EEC" w:rsidRPr="00893340">
        <w:rPr>
          <w:rFonts w:eastAsia="Times New Roman" w:cs="Segoe UI"/>
          <w:color w:val="212529"/>
          <w:sz w:val="24"/>
          <w:szCs w:val="24"/>
          <w:lang w:eastAsia="en-GB"/>
        </w:rPr>
        <w:t>Lovett</w:t>
      </w:r>
      <w:r w:rsidRPr="00893340">
        <w:rPr>
          <w:rFonts w:eastAsia="Times New Roman" w:cs="Segoe UI"/>
          <w:color w:val="212529"/>
          <w:sz w:val="24"/>
          <w:szCs w:val="24"/>
          <w:lang w:eastAsia="en-GB"/>
        </w:rPr>
        <w:t>, 1996; Salend, 2001). Inclusion and inclusive education are concerned with the quest for equity, social justice, participation, and the removal of all forms of exclusionary assumptions and practices. It is based on a positive view of difference and has at its heart the principle that all students, including those who are ‘different’, are considered to be valued and respected members of the school community. As such, they contribute to the social structures of the school, to the curriculum and to the strategies used by teachers to teach all children. From this perspective, inclusive education is a complex process that requires a social view of disability and a deconstruction of ‘special educational needs’ as well as the restructuring and reorganization of each mainstream school and its curriculum and management structures in order to provide a culture and practice in which all barriers to participation can be identified and ultimately removed. The rationale for inclusive education is multifaceted and stems from legislative (at least in western countries such as United States of America), ethical, and empirical domains (cf. Cole, Mills, Dale, &amp; Jenkins, 1991; Peck, Donaldson, &amp; Pezzoli, 1990; UNESCO, 1994).</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b/>
          <w:bCs/>
          <w:i/>
          <w:iCs/>
          <w:color w:val="212529"/>
          <w:sz w:val="24"/>
          <w:szCs w:val="24"/>
          <w:lang w:eastAsia="en-GB"/>
        </w:rPr>
        <w:t>Difference between General Education and Special Education trained kindergarten teachers</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Common in the education and psychological literature is the appreciation that every child is different from every other child and that every child learns differently (Heward, 2003). Teacher preparation programs purport to address the issue of individual differences and to help teachers nurture each child to fullest potential. However, special education is still conceived of as distinct from general education in Singapore. The primary mission of special education teacher preparation programs has been to train special education teachers. In recent years, however, there is an increasing demand for teachers skilled in both general and special education (e.g., National Council of Social Service, 2004). There are a growing number of special schools that provide for students with special needs but who are able to cope with the general education, mainstream curriculum. These include schools for children with sensory impairment, physical disabilities, autism spectrum disorder, dyslexia, and attention deficit hyperactivity disorder.</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In general education (mainstream) schools, there is also a growing awareness of children with special learning and behavioural needs. However, provisions in special education at initial teacher preparation programs in Singapore reside at the awareness and introductory levels and in largely non-core areas of study. For example, pre-service teacher preparation programs do not require teachers to take a compulsory core unit on understanding learners with special needs. It is then not surprising to find that when thrust with a class of inclusive learners; the general education trained teachers are often perplexed by their limited understanding of the diverse needs of learners, not to mention the compounded complexity of making appropriate curriculum-based decisions grounded in an understanding of learner needs.</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b/>
          <w:bCs/>
          <w:i/>
          <w:iCs/>
          <w:color w:val="212529"/>
          <w:sz w:val="24"/>
          <w:szCs w:val="24"/>
          <w:lang w:eastAsia="en-GB"/>
        </w:rPr>
        <w:t>Teachers’ Self-Efficacy</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Social cognitive theory postulates that efficacy beliefs influence the choices people make, as well as the effort and perseverance with which they engage in tasks (Bandura, 1986). This suggests that individuals pursue activities and situations in which they feel competent and avoid situations in which they doubt their capability to perform successfully (cf. Bandura, 1993, 1997; Pajares, 1996). For example, classroom teachers who believe they can successfully instruct  students  who have  learning  or behavioural  problems  are  more likely  to include such students in their classroom than teachers  who doubt  their  ability  to instruct  or  motivate these students (Ashton &amp; Webb, 1986). Teachers’ efficacy beliefs therefore can be seen as contextual judgments of their capability to succeed in particular instructional endeavours (Tschannen-Moran &amp; Woolfolk Hoy, 2001).</w:t>
      </w:r>
    </w:p>
    <w:p w:rsidR="00EC0736" w:rsidRPr="00893340" w:rsidRDefault="00EC0736" w:rsidP="00893340">
      <w:pPr>
        <w:shd w:val="clear" w:color="auto" w:fill="FFFFFF"/>
        <w:spacing w:after="100" w:afterAutospacing="1" w:line="240" w:lineRule="auto"/>
        <w:jc w:val="both"/>
        <w:rPr>
          <w:rFonts w:eastAsia="Times New Roman" w:cs="Segoe UI"/>
          <w:color w:val="212529"/>
          <w:sz w:val="24"/>
          <w:szCs w:val="24"/>
          <w:lang w:eastAsia="en-GB"/>
        </w:rPr>
      </w:pPr>
      <w:r w:rsidRPr="00893340">
        <w:rPr>
          <w:rFonts w:eastAsia="Times New Roman" w:cs="Segoe UI"/>
          <w:color w:val="212529"/>
          <w:sz w:val="24"/>
          <w:szCs w:val="24"/>
          <w:lang w:eastAsia="en-GB"/>
        </w:rPr>
        <w:t>As teachers’ beliefs may be communicated directly or indirectly to their students (Dweck, Davidson, Nelson, &amp; Enna, 1978; Kurtz, Schneider, Carr, Borkowski, &amp; Rellinger, 1990), if students with learning difficulties are to experience the same positive aspects of education in inclusive settings as typically developing learners, they need to be taught by teachers who believe that they can produce positive educational outcomes for this group and who view themselves as capable of providing an effective instructional environment to bring this about. As teacher beliefs are likely to influence teacher behaviours (Kagan, 1992), it is important to investigate these to ensure that they do not unintentionally constitute barriers to inclusion in the mainstream for students with special needs.</w:t>
      </w:r>
    </w:p>
    <w:p w:rsidR="00C54005" w:rsidRPr="003E0B59" w:rsidRDefault="00984C6E" w:rsidP="003E0B59">
      <w:pPr>
        <w:shd w:val="clear" w:color="auto" w:fill="FFFFFF"/>
        <w:spacing w:after="100" w:afterAutospacing="1" w:line="240" w:lineRule="auto"/>
        <w:jc w:val="both"/>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(5) </w:t>
      </w:r>
      <w:r w:rsidR="00C54005" w:rsidRPr="003E0B59">
        <w:rPr>
          <w:rFonts w:eastAsia="Times New Roman" w:cs="Segoe UI"/>
          <w:b/>
          <w:color w:val="FF0000"/>
          <w:kern w:val="36"/>
          <w:sz w:val="24"/>
          <w:szCs w:val="24"/>
          <w:lang w:eastAsia="en-GB"/>
        </w:rPr>
        <w:t>Psychology dissertation introduction example</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b/>
          <w:bCs/>
          <w:i/>
          <w:iCs/>
          <w:color w:val="212529"/>
          <w:sz w:val="24"/>
          <w:szCs w:val="24"/>
          <w:lang w:eastAsia="en-GB"/>
        </w:rPr>
        <w:t xml:space="preserve">Emotional arousal and the Mozart Effect: An exploration of the power of music on </w:t>
      </w:r>
      <w:r w:rsidR="00083EEC" w:rsidRPr="003E0B59">
        <w:rPr>
          <w:rFonts w:eastAsia="Times New Roman" w:cs="Segoe UI"/>
          <w:b/>
          <w:bCs/>
          <w:i/>
          <w:iCs/>
          <w:color w:val="212529"/>
          <w:sz w:val="24"/>
          <w:szCs w:val="24"/>
          <w:lang w:eastAsia="en-GB"/>
        </w:rPr>
        <w:t>individual’s</w:t>
      </w:r>
      <w:r w:rsidRPr="003E0B59">
        <w:rPr>
          <w:rFonts w:eastAsia="Times New Roman" w:cs="Segoe UI"/>
          <w:b/>
          <w:bCs/>
          <w:i/>
          <w:iCs/>
          <w:color w:val="212529"/>
          <w:sz w:val="24"/>
          <w:szCs w:val="24"/>
          <w:lang w:eastAsia="en-GB"/>
        </w:rPr>
        <w:t xml:space="preserve"> spatial temporal reasoning ability in the context of 21st century contemporary music styles.</w:t>
      </w:r>
    </w:p>
    <w:p w:rsidR="00C54005" w:rsidRPr="003E0B59" w:rsidRDefault="00C54005" w:rsidP="003E0B59">
      <w:pPr>
        <w:shd w:val="clear" w:color="auto" w:fill="FFFFFF"/>
        <w:spacing w:after="100" w:afterAutospacing="1" w:line="240" w:lineRule="auto"/>
        <w:jc w:val="both"/>
        <w:outlineLvl w:val="1"/>
        <w:rPr>
          <w:rFonts w:eastAsia="Times New Roman" w:cs="Segoe UI"/>
          <w:color w:val="212529"/>
          <w:sz w:val="24"/>
          <w:szCs w:val="24"/>
          <w:lang w:eastAsia="en-GB"/>
        </w:rPr>
      </w:pPr>
      <w:r w:rsidRPr="003E0B59">
        <w:rPr>
          <w:rFonts w:eastAsia="Times New Roman" w:cs="Segoe UI"/>
          <w:color w:val="212529"/>
          <w:sz w:val="24"/>
          <w:szCs w:val="24"/>
          <w:lang w:eastAsia="en-GB"/>
        </w:rPr>
        <w:t>Introduction</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Previous research suggested that Listening to Mozart’s sonata for two pianos in D Maj causes a temporary increase on spatial temporal reasoning performance, Rauscher, Shaw &amp; Ky,</w:t>
      </w:r>
      <w:r w:rsidR="00083EEC"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(1993,</w:t>
      </w:r>
      <w:r w:rsidR="00083EEC"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1995). The Oxford dictionary of psychology defines spatial ability being “the capacity to perform tasks requiring the mental manipulation of spatial relationships”, most papers agree that spatial temporal reasoning is the ability to perform spatial transformations that take place in a time ordered sequence. Alfred Tomatis whose book ‘Pourquoi </w:t>
      </w:r>
      <w:r w:rsidR="00083EEC" w:rsidRPr="003E0B59">
        <w:rPr>
          <w:rFonts w:eastAsia="Times New Roman" w:cs="Segoe UI"/>
          <w:color w:val="212529"/>
          <w:sz w:val="24"/>
          <w:szCs w:val="24"/>
          <w:lang w:eastAsia="en-GB"/>
        </w:rPr>
        <w:t>Mozart’ (</w:t>
      </w:r>
      <w:r w:rsidRPr="003E0B59">
        <w:rPr>
          <w:rFonts w:eastAsia="Times New Roman" w:cs="Segoe UI"/>
          <w:color w:val="212529"/>
          <w:sz w:val="24"/>
          <w:szCs w:val="24"/>
          <w:lang w:eastAsia="en-GB"/>
        </w:rPr>
        <w:t>1991) explored the extent to which music could be used to retrain the ear in attempts to conquer a number of vocal disabilities. His research was predominantly based around Mozart’s pieces which He invested in the idea that the differing frequencies in his pieces promoted healing and development. This would lead Mozart’s music and to become the centre of attention in debates over our physiological relationship with music. Vernon Mountcastle (1955-1959) suggested that transmission between cortical structures is achieved through cortical structures known as columns; within these columns are a number of mini-columns. Mountcastle’s model of cortical structures described the columns neuronal connectivity as an organisation of the cerebral cortex made up of vertical groups of cells which made their way across a number of cellular layers, giving them the ability to generate multiple neuronal outputs after stimulation of localised cortical structures, producing a coded framework for neuronal activity to communicate across a number of different cortical structures. This is possible due to similar receptive fields in the columns and the horizontally overlapping characteristics of their receptive fields causing complex firing patterns.</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Guided by the Mountcastle’s organisational principle, Leng &amp; Wright</w:t>
      </w:r>
      <w:r w:rsidR="00FF62EE">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(1990) developed a conceptualisation known as the Trion Model which attempted to gain insight in to how the cortical column structure may underlie our ability to process higher cognitive abilities, especially those which require the handling of dynamic and abstract relations between patterns that are organised in to groups (i.e</w:t>
      </w:r>
      <w:r w:rsidR="00083EEC" w:rsidRPr="003E0B59">
        <w:rPr>
          <w:rFonts w:eastAsia="Times New Roman" w:cs="Segoe UI"/>
          <w:color w:val="212529"/>
          <w:sz w:val="24"/>
          <w:szCs w:val="24"/>
          <w:lang w:eastAsia="en-GB"/>
        </w:rPr>
        <w:t>.</w:t>
      </w:r>
      <w:r w:rsidRPr="003E0B59">
        <w:rPr>
          <w:rFonts w:eastAsia="Times New Roman" w:cs="Segoe UI"/>
          <w:color w:val="212529"/>
          <w:sz w:val="24"/>
          <w:szCs w:val="24"/>
          <w:lang w:eastAsia="en-GB"/>
        </w:rPr>
        <w:t xml:space="preserve"> musical cognition), they suggested that the inhibitory and excitory actions within the trions</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(localised groups of neurons within the columns) produce the formation and transformation of complex quasi stable temporal firing patterns, these firing patterns can be enhanced through slight changes in their connectivity according to the Hebb learning principle, neurons which are exposed to </w:t>
      </w:r>
      <w:r w:rsidR="003A2770" w:rsidRPr="003E0B59">
        <w:rPr>
          <w:rFonts w:eastAsia="Times New Roman" w:cs="Segoe UI"/>
          <w:color w:val="212529"/>
          <w:sz w:val="24"/>
          <w:szCs w:val="24"/>
          <w:lang w:eastAsia="en-GB"/>
        </w:rPr>
        <w:t>persistent</w:t>
      </w:r>
      <w:r w:rsidRPr="003E0B59">
        <w:rPr>
          <w:rFonts w:eastAsia="Times New Roman" w:cs="Segoe UI"/>
          <w:color w:val="212529"/>
          <w:sz w:val="24"/>
          <w:szCs w:val="24"/>
          <w:lang w:eastAsia="en-GB"/>
        </w:rPr>
        <w:t xml:space="preserve"> and repeated excitation undergo metabolic transformations which strengthen signal transmission. Hebb</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(1949). These enhancements lead to neuronal firing patterns that feed in to temporal sequences known as the Monte Carlo simulations. These have a longer lasting effect and are dispersed through most of the cortex, Shaw,</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Shenoy</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&amp; Mcgrann</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(1993). It is assumed from EEG correlation research that higher brain functions are localised, however they draw upon many other parts of the brain, Petsche, Richter,</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Von stein &amp; Filz</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(1993) Petsche, Von Stein &amp; Shaw(1997). It was suggested by Leng &amp; Shaw</w:t>
      </w:r>
      <w:r w:rsidR="00B55168">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(1991) that these Monte Carlo firing patterns stimulated by </w:t>
      </w:r>
      <w:r w:rsidR="003A2770" w:rsidRPr="003E0B59">
        <w:rPr>
          <w:rFonts w:eastAsia="Times New Roman" w:cs="Segoe UI"/>
          <w:color w:val="212529"/>
          <w:sz w:val="24"/>
          <w:szCs w:val="24"/>
          <w:lang w:eastAsia="en-GB"/>
        </w:rPr>
        <w:t>Mozart’s</w:t>
      </w:r>
      <w:r w:rsidRPr="003E0B59">
        <w:rPr>
          <w:rFonts w:eastAsia="Times New Roman" w:cs="Segoe UI"/>
          <w:color w:val="212529"/>
          <w:sz w:val="24"/>
          <w:szCs w:val="24"/>
          <w:lang w:eastAsia="en-GB"/>
        </w:rPr>
        <w:t xml:space="preserve"> music could organise the neural networking in to organisations that promote spatial temporal performance. This is due to the excitation of firing patterns that are also used during spatial temporal processing.</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It is due to our primary sense of hearing that we are able to perceive music in the first place. And this is due to the ears’ ability to perceive the different sound pressure waves in our atmosphere, Hodges &amp;</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Sebald (2011) from the ear through the auditory nerve information is scattered across diffused pathways which represent localised processing centres within the brain which analyse the information for particular features. All these information centres then re-convene on the auditory cortex and areas related to form a coherent sound experience with meaning. Beament, (2003) from the brain stem some fibres from an area called the ventral cochlear extend to another localised area known as the reticular formation. Here information is allowed to be passed across many areas of the brain including systems in the cortex and the spinal cord. It is important to consider these ideas as it gives evidence that music processing is a phenomenon that occurs across more than one region of the brain. The Primary audio cortex contains around 100 million auditory cells, Handel</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(1989)</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and through the intercommunication between these cells and specific auditory units that that we can respond to different types of sound stimuli, such as complex versus pure tones, Bendor &amp; Wang</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(2005), we start to get the idea that our auditory perception is no simple localised feature of our consciousness.</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Rauscher, Shaw and Ky (1993) found that just after listening to ten minutes of Mozart’s piece that they scored significantly higher on spatial temporal tasks compared to ten minutes of Relaxation tapes, and ten minutes of silence. Their Research was motivated by the lack of causal evidence between how we process music cognitively, and the relationship between these processes and higher brain functioning. Their work supported the Shaw &amp; Leng</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(1991) Trion model prediction, although early media publications of the report stayed true to the original piece of research. Shifts in media and public interest occurred with publications such as Don Campbell’s books “The Mozart effect: Tapping the Power of Music to Heal the Body, Strengthen the Mind, and Unlock the Creative Spirit (1997) and “The Mozart Effect for Children:</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Awakening Your Child’s Mind, Health and Creativity with Music (2000)” caused a “spike in media interest which began to diverge from the original significance of Raushcer et al</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(1993) report Bangerter &amp; Health</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(2004). Don Campbell’s books make a broad range of claims over the power of Mozart’s music and its ability to heal a number of biological and psychological difficulties and its function as a tool to expand people’s lives intellectually. Although respected as an “authority” on the matter of the Mozart effect, much of his work has been sceptically approached due to a lack of empirical research. The media frenzy that followed publishing’s on the Mozart effect was phenomenal considering the actual implications of Rauscher et al original study. In Georgia legislation was passed that made $105,000 available specifically for the purchase of classical music for the infants of the state, Sack</w:t>
      </w:r>
      <w:r w:rsidR="003A2770"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(1998), and other states following key with Florida passing law that meant music had to be played in Nurseries to accommodate the “necessary stimulation” for brain development at this crucial age, (State of Florida Senate Bill 660, May 21, 1998) Bangerter &amp; Health</w:t>
      </w:r>
      <w:r w:rsidR="00AB4667"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(2004) suggest how the Media quickly picked up on the term “Mozart effect” as an easy way of increasing a person’s general IQ. The Mozart effect has found itself in the middle of a scientific Legend Fraser &amp; Gaskell, (1990) who claims it is the “widespread belief that propagates in society, originally arising from scientific study, but that has been transformed to deviate in essential ways from the understanding of scientists”. Bangeerter &amp; Health</w:t>
      </w:r>
      <w:r w:rsidR="00AB4667"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(2004) study provided evidence that suggested the Mozart effect may have struck a chord within the population due to ideas such as “infantile determinism”, Kragen</w:t>
      </w:r>
      <w:r w:rsidR="00213B9E"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(1998). This is described as anxieties bound around the idea that early childhood education is essential years that are crucial for childhood development, an example of this is how Rauscher</w:t>
      </w:r>
      <w:r w:rsidR="00213B9E"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(1997) study of musicality in school children increased spatial temporal performance was blown out of focus, and how “infantile determinism” can lead the public’s focus to be on anxieties that may arise around infantile development.</w:t>
      </w:r>
    </w:p>
    <w:p w:rsidR="00C54005" w:rsidRPr="003E0B59" w:rsidRDefault="00C54005" w:rsidP="00FF62EE">
      <w:pPr>
        <w:shd w:val="clear" w:color="auto" w:fill="FFFFFF"/>
        <w:spacing w:after="100" w:afterAutospacing="1" w:line="240" w:lineRule="auto"/>
        <w:jc w:val="both"/>
        <w:rPr>
          <w:rFonts w:eastAsia="Times New Roman" w:cs="Segoe UI"/>
          <w:sz w:val="24"/>
          <w:szCs w:val="24"/>
          <w:lang w:eastAsia="en-GB"/>
        </w:rPr>
      </w:pPr>
      <w:r w:rsidRPr="003E0B59">
        <w:rPr>
          <w:rFonts w:eastAsia="Times New Roman" w:cs="Segoe UI"/>
          <w:color w:val="212529"/>
          <w:sz w:val="24"/>
          <w:szCs w:val="24"/>
          <w:lang w:eastAsia="en-GB"/>
        </w:rPr>
        <w:t xml:space="preserve">After Rauscher, Shaw &amp; </w:t>
      </w:r>
      <w:proofErr w:type="gramStart"/>
      <w:r w:rsidRPr="003E0B59">
        <w:rPr>
          <w:rFonts w:eastAsia="Times New Roman" w:cs="Segoe UI"/>
          <w:color w:val="212529"/>
          <w:sz w:val="24"/>
          <w:szCs w:val="24"/>
          <w:lang w:eastAsia="en-GB"/>
        </w:rPr>
        <w:t>K</w:t>
      </w:r>
      <w:r w:rsidR="00FF62EE">
        <w:rPr>
          <w:rFonts w:eastAsia="Times New Roman" w:cs="Segoe UI"/>
          <w:color w:val="212529"/>
          <w:sz w:val="24"/>
          <w:szCs w:val="24"/>
          <w:lang w:eastAsia="en-GB"/>
        </w:rPr>
        <w:t>y</w:t>
      </w:r>
      <w:proofErr w:type="gramEnd"/>
      <w:r w:rsidRPr="003E0B59">
        <w:rPr>
          <w:rFonts w:eastAsia="Times New Roman" w:cs="Segoe UI"/>
          <w:color w:val="212529"/>
          <w:sz w:val="24"/>
          <w:szCs w:val="24"/>
          <w:lang w:eastAsia="en-GB"/>
        </w:rPr>
        <w:t xml:space="preserve"> (1993) original study research focused on the reliability of their results through a number of replications. Rauscher and colleagues also received support from their findings through a number of replications carried out independently. Rideout &amp; Taylor(1997), Rideout, Dougherty &amp; Wernert (1998) Rideout &amp; Laubach</w:t>
      </w:r>
      <w:r w:rsidR="00213B9E"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(1996) and Rauscher, Shaw &amp; Ky</w:t>
      </w:r>
      <w:r w:rsidR="00FF62EE">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(1995) Thompson, Shellengberg, &amp; Husain(2006) However the controversy that falls over the “Mozart Effect” arises from the amount of literature that does not support the original hypothesis Chabris,(1999), Husain et al, (2002) McKelvie &amp; Low (2002); Nantais &amp; Schellenberg, (1999), Steele, (2003); Steele, Bass, &amp; Crook, (1999); Steele, Brown, &amp; Stoecker, (1999). Some studies suggest that the positive effect in spatial temporal reasoning that has been observed in past research is mediated by changes in emotional state. S</w:t>
      </w:r>
      <w:r w:rsidR="00213B9E" w:rsidRPr="003E0B59">
        <w:rPr>
          <w:rFonts w:eastAsia="Times New Roman" w:cs="Segoe UI"/>
          <w:color w:val="212529"/>
          <w:sz w:val="24"/>
          <w:szCs w:val="24"/>
          <w:lang w:eastAsia="en-GB"/>
        </w:rPr>
        <w:t>c</w:t>
      </w:r>
      <w:r w:rsidRPr="003E0B59">
        <w:rPr>
          <w:rFonts w:eastAsia="Times New Roman" w:cs="Segoe UI"/>
          <w:color w:val="212529"/>
          <w:sz w:val="24"/>
          <w:szCs w:val="24"/>
          <w:lang w:eastAsia="en-GB"/>
        </w:rPr>
        <w:t>hellenberg, Nakata, Hunter, and Tomato</w:t>
      </w:r>
      <w:r w:rsidR="00213B9E"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(2007) Research into music and emotional states has suggested that changes in cognitive performance caused by listening to music depend largely on arousal and mood changes. Based on Russell</w:t>
      </w:r>
      <w:r w:rsidR="00213B9E"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(1980) circuplex model of emotions, our emotional processing is split across two distinct dimensions. The first he labels as “arousal”, this is the degree to which an individual becomes physically and psychologically activated or refers to the physiological intensity of the emotional experience. The second dimension he labels as “Mood”, this dimension is expressed along a positive/negative continuum. Thompson et al (2001) invested in to the idea that emotions, both arousal and Mood effects, can have a substantial effect on cognitive performance. Chabris (1999) first suggested in his </w:t>
      </w:r>
      <w:r w:rsidR="00213B9E" w:rsidRPr="003E0B59">
        <w:rPr>
          <w:rFonts w:eastAsia="Times New Roman" w:cs="Segoe UI"/>
          <w:color w:val="212529"/>
          <w:sz w:val="24"/>
          <w:szCs w:val="24"/>
          <w:lang w:eastAsia="en-GB"/>
        </w:rPr>
        <w:t>Meta-analysis</w:t>
      </w:r>
      <w:r w:rsidRPr="003E0B59">
        <w:rPr>
          <w:rFonts w:eastAsia="Times New Roman" w:cs="Segoe UI"/>
          <w:color w:val="212529"/>
          <w:sz w:val="24"/>
          <w:szCs w:val="24"/>
          <w:lang w:eastAsia="en-GB"/>
        </w:rPr>
        <w:t xml:space="preserve"> of 16 studies related to cognitive performance and Mozart and concluded that the small effect that is there is driven by other neurological factors such as “enjoyment arousal” he claimed this was due to Rauscher, Shaw &amp; Ky</w:t>
      </w:r>
      <w:r w:rsidR="00213B9E" w:rsidRPr="003E0B5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(1993) methods which had seen the control conditions (silence, relaxation tape) simply being less arousing than the “music” conditions.</w:t>
      </w:r>
      <w:r w:rsidR="00FF62EE" w:rsidRPr="003E0B59">
        <w:rPr>
          <w:rFonts w:eastAsia="Times New Roman" w:cs="Segoe UI"/>
          <w:sz w:val="24"/>
          <w:szCs w:val="24"/>
          <w:lang w:eastAsia="en-GB"/>
        </w:rPr>
        <w:t xml:space="preserve"> </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Across the globe various cultures form unique tonal and musical structures. One thing they all have in common is some form of melody, Unyk (1992) Tonality in a piece of music is described as “The organisation of music around sets of pitches of which a central pitch is established by its frequent occurrence and appearance at salient points”, Hallam, Cross, Thaut (2009). It is the melodies tonality which defines a piece of music’s characteristic features. Each culture and musical style draws on a set of melodic intervals which become standard perceptual categories in which the defined tones are expected to occur. Rhythmical intervals follow a similar fashion. The sets of pitches constitute musical scales which the piece of music is usually limited to but do, however, have varying levels of perceptual stability defined within each style. These pitch and rhythm intervals act as cognitive landmarks for the listener. This establishes a perceptual framework for the listener to accommodate to</w:t>
      </w:r>
      <w:r w:rsidR="00D4531A">
        <w:rPr>
          <w:rFonts w:eastAsia="Times New Roman" w:cs="Segoe UI"/>
          <w:color w:val="212529"/>
          <w:sz w:val="24"/>
          <w:szCs w:val="24"/>
          <w:lang w:eastAsia="en-GB"/>
        </w:rPr>
        <w:t>,</w:t>
      </w:r>
      <w:r w:rsidRPr="003E0B59">
        <w:rPr>
          <w:rFonts w:eastAsia="Times New Roman" w:cs="Segoe UI"/>
          <w:color w:val="212529"/>
          <w:sz w:val="24"/>
          <w:szCs w:val="24"/>
          <w:lang w:eastAsia="en-GB"/>
        </w:rPr>
        <w:t xml:space="preserve"> Krumhansel (1990)</w:t>
      </w:r>
      <w:r w:rsidR="00D4531A">
        <w:rPr>
          <w:rFonts w:eastAsia="Times New Roman" w:cs="Segoe UI"/>
          <w:color w:val="212529"/>
          <w:sz w:val="24"/>
          <w:szCs w:val="24"/>
          <w:lang w:eastAsia="en-GB"/>
        </w:rPr>
        <w:t>.</w:t>
      </w:r>
      <w:r w:rsidRPr="003E0B59">
        <w:rPr>
          <w:rFonts w:eastAsia="Times New Roman" w:cs="Segoe UI"/>
          <w:color w:val="212529"/>
          <w:sz w:val="24"/>
          <w:szCs w:val="24"/>
          <w:lang w:eastAsia="en-GB"/>
        </w:rPr>
        <w:t xml:space="preserve"> As melodies are structures within our experience we should expect there to be schemas for certain types of melodies. These schemas are the result of musical representations that may be generalised across certain environments. When a group of musicians of a social network develop a number of musical concepts and schemas in a certain space of time, then they may be regarded as a “musical culture”, Snyder (2000). It is these schemas that provide a context for the perception and understanding of music across styles. Musical styles and cultures have prevailed across history each taking a particular schema of musical events and entwining them in their society. Each musical culture using the musical elements Rhythm, melody, harmony, and tone colour to create there characteristic musical perspective. The effects of music on spatial temporal reasoning have focussed around the effects of classical music, especially that of Mozart. This has given rise to the perceptive that classically composed musical styles offer a lot to our cognition in terms of positive effect.</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 xml:space="preserve">Classical compositions have commonly been associated with the function of emotional expression. It is often believed that the emotional reactions elected by classical pieces were intentional by the composer. Tonality has long been the backbone for classical styles from the 17th century, Etter (2001). The classical style usually adopts combinations of tones that conventionally lead to repose in the piece. Key is usually rooted to maintain these tones and the piece relies on functional harmonies. Beauty and nobility were key expressions fuelled by platonic ideas of good and bad that were also embedded culturally through the churches and Christian ideology where the music was most often embraced. Musical styles and expression arise in most cultures in time. However classical music was limited to the composers who were trained in the arts of tonality, harmony and musical structure to produce finite pieces of art that were refined expressions of creativity bound by rules and constraints that aimed to </w:t>
      </w:r>
      <w:r w:rsidR="00F00319" w:rsidRPr="003E0B59">
        <w:rPr>
          <w:rFonts w:eastAsia="Times New Roman" w:cs="Segoe UI"/>
          <w:color w:val="212529"/>
          <w:sz w:val="24"/>
          <w:szCs w:val="24"/>
          <w:lang w:eastAsia="en-GB"/>
        </w:rPr>
        <w:t>fulfil</w:t>
      </w:r>
      <w:r w:rsidRPr="003E0B59">
        <w:rPr>
          <w:rFonts w:eastAsia="Times New Roman" w:cs="Segoe UI"/>
          <w:color w:val="212529"/>
          <w:sz w:val="24"/>
          <w:szCs w:val="24"/>
          <w:lang w:eastAsia="en-GB"/>
        </w:rPr>
        <w:t xml:space="preserve"> the musical consonance and dismiss dissonance in the piece. Over time this style has been placed as an opposite to modern styles of music which have occurred through the need to find new ways of expression through experimental methods. Modern creativity therefore could even be conceptualised as the rejection of tradition. Musicians trying to explore sonic structures that classical styles dared not to take a role in in case of threat to its tonality or to avoid dissonance. Jazz for example is a style which can be improvised around really easily unlike classical compositions and takes pride in its attempts to make you question your expectations in a piece, while on the other hand 21st century electronic styles of music draw upon new technologies which allow completely revolutionary tonal compositions to be synthesized and form an expression that may have been unheard before. Modernist styles therefore can be seen as rejection of the importance of beauty and the expression of noble feeling, Etter</w:t>
      </w:r>
      <w:r w:rsidR="00F003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(2001). Musicians who work within modern contemporary styles are therefore attempt to manipulate any expression of “worth” drawing upon an infinite set of rules however still subordinated by the general rules of consonance and dissonance. These differences in origin of musical style are important to understand and defend modern music against the “elitists” stance that classical music has been given over other genres. Is there really features that are expression ally more profound in traditional styles than modern </w:t>
      </w:r>
      <w:proofErr w:type="gramStart"/>
      <w:r w:rsidRPr="003E0B59">
        <w:rPr>
          <w:rFonts w:eastAsia="Times New Roman" w:cs="Segoe UI"/>
          <w:color w:val="212529"/>
          <w:sz w:val="24"/>
          <w:szCs w:val="24"/>
          <w:lang w:eastAsia="en-GB"/>
        </w:rPr>
        <w:t>ones.</w:t>
      </w:r>
      <w:proofErr w:type="gramEnd"/>
      <w:r w:rsidRPr="003E0B59">
        <w:rPr>
          <w:rFonts w:eastAsia="Times New Roman" w:cs="Segoe UI"/>
          <w:color w:val="212529"/>
          <w:sz w:val="24"/>
          <w:szCs w:val="24"/>
          <w:lang w:eastAsia="en-GB"/>
        </w:rPr>
        <w:t xml:space="preserve"> And can these differences really surface as having the ability to propel a person’s cognition to function better after classical music than no music.</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Although research into the effects of tonality on our cognition is limited there is clear evidence for tonality holding some kind of emotional expression. “One of the primary roles of music is to convey emotion”, Halpern &amp; Reed</w:t>
      </w:r>
      <w:r w:rsidR="00F003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(2008). We can draw on the paradoxical idea that faster paced tempos with a major key are usually labelled as “happy” by non-musicians, and slow tempo music with a minor key is regarded as “sad”, demonstrating that even without the relevant musical theory being understood we can differentiate the difference between major and minor modes and that each convey different emotional content. Halpern &amp; Reed(2008) They also suggest that differentiating musical Key may not be done with accurate labels by non-musicians however it is clear that non-musicians can differentiate a piece of music by the emotional response that it elicits , such as the “happy” and “sad” labels that are commonly used by non-musicians. Although this study is not looking at Key recognition itself, it is important to understand that Key can have an effect on memory and recognition in musical melody and also conditions us in to expectation within the piece, Cuddy &amp; Lunney</w:t>
      </w:r>
      <w:r w:rsidR="00F003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(1995). The music contour (upward and downward movement of melodic intervals) which is only maintained by our ability to retain more than one pitch event at a time within our working memory This phenomenon allows listeners to construct the melody around a central pitch which forms cognitive cues that give clue to the hierarchical schematic structure of the pitches within a scale. Within this structure of pitches that are ordered temporally by the rhythm the listener is given memory aids triggered by specific pitches. Snyder (2000) this is further evidence that supports the idea of music having a real time effect on events taking place in the brain.</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The emotional impression music leaves on the listener is an important factor in understanding why people engage with music. Although there is no settled definition of emotions, it is mutually agreed that emotions can be “Described as brief (lasting minutes to a few hours) but intense responses to potentially important events or changes in the external or internal environment that involve a certain sub- components” these sub components can include appraisals, subjective feelings physiological responses, expressions, regulations and action tendencies. However the debate lies in conceptualising the synchronisation of these components, Juslin (2009). Cognitive scientists believe that this “emotional” reaction to our immediate environment is “expressed” through intentional cues which the listener cognitively recognises (“perceives) as an emotion. An emotivist’s approach dismisses any cognition being involved and suggests the effect is caused by the piece electing the “feeling” of emotion for an individual, Peretz</w:t>
      </w:r>
      <w:r w:rsidR="00F003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(2007), these divisions over the emotional response to music are important. Music may either be induced, or it may be perceived. The implications to research lie in the fact that the nature of emotions perceived in music may be different from those induced by music. The mechanisms that underlie these responses may also be very different. Therefore, the different levels of emotional awareness that exist should be taken into account when evaluating models of musical emotions. Research has shown that skin conductance rates are greater during music conditions compared to silence, Shaw &amp; Bodner</w:t>
      </w:r>
      <w:r w:rsidR="00F003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(1999). In the same experiment it was found that genre and tempo also have a significant effect together in electing astronomical arousal measured through skin conductance rates. Classical music at a fast tempo as well as rock music at a slow tempo induced the greatest arousal. This suggests that different musical styles may be the basis of specific emotional responses, Carpentier &amp; Potter(2007) more specifically it is found that fast tempo and a major key have a significantly greater effect on spatial temporal performance compared to slower tempos in a minor key, Husain, Thompson, &amp; Shellenberg</w:t>
      </w:r>
      <w:r w:rsidR="00F003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(2001) the distinction between mood and arousal separates long lasting moods which can have a direct effect on our cognition with arousal responses which are direct physiological emotional response’s. EEG correlates have also supported this distinction. These cases are important in understanding the causality involved with the positive effects that music can produce on our cognition. With an accurate understanding of the emotional link to certain keys, it allows the Mozart effect to be understood from both the cognitive explanations (i.e. Mountcastle’s theories) as well as </w:t>
      </w:r>
      <w:r w:rsidR="00B77619" w:rsidRPr="003E0B59">
        <w:rPr>
          <w:rFonts w:eastAsia="Times New Roman" w:cs="Segoe UI"/>
          <w:color w:val="212529"/>
          <w:sz w:val="24"/>
          <w:szCs w:val="24"/>
          <w:lang w:eastAsia="en-GB"/>
        </w:rPr>
        <w:t>emotivis</w:t>
      </w:r>
      <w:r w:rsidR="00B77619">
        <w:rPr>
          <w:rFonts w:eastAsia="Times New Roman" w:cs="Segoe UI"/>
          <w:color w:val="212529"/>
          <w:sz w:val="24"/>
          <w:szCs w:val="24"/>
          <w:lang w:eastAsia="en-GB"/>
        </w:rPr>
        <w:t>t</w:t>
      </w:r>
      <w:r w:rsidRPr="003E0B59">
        <w:rPr>
          <w:rFonts w:eastAsia="Times New Roman" w:cs="Segoe UI"/>
          <w:color w:val="212529"/>
          <w:sz w:val="24"/>
          <w:szCs w:val="24"/>
          <w:lang w:eastAsia="en-GB"/>
        </w:rPr>
        <w:t xml:space="preserve"> theories which can therefore be used in collaboration to give a multidimensional view of the complex interaction of music on our cognition. A number of studies have made the connection between mood and arousal in the positive effects on tasks that relied on cognitive ability, Thompson, (2001), “ several studies have indicated that very high or low levels of anxiety or arousal inhibit performance on cognitive tasks, whereas moderate levels facilitate performance, Sittiprapapor (2010) along with this evidence negative moods and boredom are found to show deficit in cognitive performance and learning, Koester &amp; Farley (1982) while positive moods and arousal are found to lead to improvements in performance on cognitive and problem solving tasks, Ashby, Isen &amp; Turken (1999). In the light of current debate these examples do raise questions over the differentiation between moods and emotions. Consideration of these theoretical positions highlights how our current cognitive state of being has some dictatorship over our cognitive performance. The mood/arousal hypothesis is related to Mozart effect by Hetland and Thompson paper who suggest that the Mozart effect is the result of mood and arousal factors which interact to increase spatial temporal task performance. Hetland and Thompson</w:t>
      </w:r>
      <w:r w:rsidR="00984C6E">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 </w:t>
      </w:r>
      <w:proofErr w:type="gramStart"/>
      <w:r w:rsidRPr="003E0B59">
        <w:rPr>
          <w:rFonts w:eastAsia="Times New Roman" w:cs="Segoe UI"/>
          <w:color w:val="212529"/>
          <w:sz w:val="24"/>
          <w:szCs w:val="24"/>
          <w:lang w:eastAsia="en-GB"/>
        </w:rPr>
        <w:t>when</w:t>
      </w:r>
      <w:proofErr w:type="gramEnd"/>
      <w:r w:rsidRPr="003E0B59">
        <w:rPr>
          <w:rFonts w:eastAsia="Times New Roman" w:cs="Segoe UI"/>
          <w:color w:val="212529"/>
          <w:sz w:val="24"/>
          <w:szCs w:val="24"/>
          <w:lang w:eastAsia="en-GB"/>
        </w:rPr>
        <w:t xml:space="preserve"> describing a piece of music as happy or sad it must be taken into account that they are denoting a specific emotional “state” onto the piece. These conclusions are based on respective structural musical parameters which vary in amount and degree. It is the production of perception of emotion in music which can dictate its subject awareness to the listener and this is what results in the given arousal that a piece of music may elicit in a person.</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The aim of this study is to confirm or not that the Mozart effect as traditionally defined is valid and to extend this to an understanding of the role of key in that effect as well as whether the effect occurs in contemporary as well as classic musical styles. Due to limitations brought on by the nature of this undergraduate piece of research it was impossible to explore all other aspects of musical style outside of classical music. Rideout et al (1998) suggest contemporary styles had a similar effect to classical styles. Rock music has been observed by</w:t>
      </w:r>
      <w:r w:rsidR="00B776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Flohr (1995) and to avail no effect was found however classical music once again proved to be a more salient enhancer of spatial temporal reasoning. And repetitive styles such as electro were found to have no power in increasing spatial temporal reasoning,</w:t>
      </w:r>
      <w:r w:rsidR="00B77619">
        <w:rPr>
          <w:rFonts w:eastAsia="Times New Roman" w:cs="Segoe UI"/>
          <w:color w:val="212529"/>
          <w:sz w:val="24"/>
          <w:szCs w:val="24"/>
          <w:lang w:eastAsia="en-GB"/>
        </w:rPr>
        <w:t xml:space="preserve"> </w:t>
      </w:r>
      <w:r w:rsidRPr="003E0B59">
        <w:rPr>
          <w:rFonts w:eastAsia="Times New Roman" w:cs="Segoe UI"/>
          <w:color w:val="212529"/>
          <w:sz w:val="24"/>
          <w:szCs w:val="24"/>
          <w:lang w:eastAsia="en-GB"/>
        </w:rPr>
        <w:t xml:space="preserve">Rauscher et al (1005).Therefore it begins to raise the question… if there is any effect at all. Is it limited to classical styles </w:t>
      </w:r>
      <w:r w:rsidR="00B77619" w:rsidRPr="003E0B59">
        <w:rPr>
          <w:rFonts w:eastAsia="Times New Roman" w:cs="Segoe UI"/>
          <w:color w:val="212529"/>
          <w:sz w:val="24"/>
          <w:szCs w:val="24"/>
          <w:lang w:eastAsia="en-GB"/>
        </w:rPr>
        <w:t>alone?</w:t>
      </w:r>
      <w:r w:rsidRPr="003E0B59">
        <w:rPr>
          <w:rFonts w:eastAsia="Times New Roman" w:cs="Segoe UI"/>
          <w:color w:val="212529"/>
          <w:sz w:val="24"/>
          <w:szCs w:val="24"/>
          <w:lang w:eastAsia="en-GB"/>
        </w:rPr>
        <w:t xml:space="preserve"> The Benefits of refining the scope of this effect could have implications within the educational system for children, as well as reaching in to music therapy to possibly open the window to specific musical structures and designs that can help those who’s spatial temporal reasoning is suffers from deficit. In the past efforts have been made to incorporate the findings of the original Raushcer, Shaw &amp; Ky study however they were misguided by misinterpretation of the original findings and misguiding media coverage. To represent the classical traditional styles two compositions by Mozart were used – a piece in major and a piece in minor. To represent the modern contemporary genres to be compared to the classical style were jazz, and hip hop. These two modern contemporary styles were chosen as their cultural roots lie in more African/African American roots that classical music has very little influence from. Jazz(Major)….like classical music still has complex arrangements with many instruments however is music that is made to dance to, the hip-hop(minor) track represents one of the most prominent music styles of the youth culture across the globe currently, its syncopated rhythms and heavy focus on rhythm is a strong contrast from the dynamic melodies of classical styles. It was hypothesised that for this particular study</w:t>
      </w:r>
    </w:p>
    <w:p w:rsidR="00C54005" w:rsidRPr="003E0B59" w:rsidRDefault="00C54005" w:rsidP="003E0B59">
      <w:pPr>
        <w:numPr>
          <w:ilvl w:val="0"/>
          <w:numId w:val="10"/>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There will a significant effect of listening to music, irrespective of style, on subsequent spatial-temporal reasoning</w:t>
      </w:r>
    </w:p>
    <w:p w:rsidR="00C54005" w:rsidRPr="003E0B59" w:rsidRDefault="00C54005" w:rsidP="003E0B59">
      <w:pPr>
        <w:numPr>
          <w:ilvl w:val="0"/>
          <w:numId w:val="10"/>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The effect of listening to contemporary, popular (non-classical) music will be as great as that of traditional classical music (because the former still involves to the same degree arousal as well as spatio-temporal structures)</w:t>
      </w:r>
    </w:p>
    <w:p w:rsidR="00C54005" w:rsidRPr="003E0B59" w:rsidRDefault="00C54005" w:rsidP="003E0B59">
      <w:pPr>
        <w:numPr>
          <w:ilvl w:val="0"/>
          <w:numId w:val="10"/>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Music in a major key will have greater effect of ST reasoning than music in a minor key</w:t>
      </w:r>
    </w:p>
    <w:p w:rsidR="00C54005" w:rsidRPr="003E0B59" w:rsidRDefault="00C54005" w:rsidP="003E0B59">
      <w:pPr>
        <w:shd w:val="clear" w:color="auto" w:fill="FFFFFF"/>
        <w:spacing w:after="100" w:afterAutospacing="1" w:line="240" w:lineRule="auto"/>
        <w:jc w:val="both"/>
        <w:rPr>
          <w:rFonts w:eastAsia="Times New Roman" w:cs="Segoe UI"/>
          <w:color w:val="212529"/>
          <w:sz w:val="24"/>
          <w:szCs w:val="24"/>
          <w:lang w:eastAsia="en-GB"/>
        </w:rPr>
      </w:pPr>
      <w:r w:rsidRPr="003E0B59">
        <w:rPr>
          <w:rFonts w:eastAsia="Times New Roman" w:cs="Segoe UI"/>
          <w:color w:val="212529"/>
          <w:sz w:val="24"/>
          <w:szCs w:val="24"/>
          <w:lang w:eastAsia="en-GB"/>
        </w:rPr>
        <w:t>These assumptions are guided by previous insights in to the effects of music on spatial reasoning. Is there an involvement of an emotional aspect to the Mozart effect and are modern musical styles also able to account for this phenomeno</w:t>
      </w:r>
      <w:r w:rsidR="00733D6B">
        <w:rPr>
          <w:rFonts w:eastAsia="Times New Roman" w:cs="Segoe UI"/>
          <w:color w:val="212529"/>
          <w:sz w:val="24"/>
          <w:szCs w:val="24"/>
          <w:lang w:eastAsia="en-GB"/>
        </w:rPr>
        <w:t>n.</w:t>
      </w:r>
      <w:r w:rsidRPr="003E0B59">
        <w:rPr>
          <w:rFonts w:eastAsia="Times New Roman" w:cs="Segoe UI"/>
          <w:color w:val="212529"/>
          <w:sz w:val="24"/>
          <w:szCs w:val="24"/>
          <w:lang w:eastAsia="en-GB"/>
        </w:rPr>
        <w:t xml:space="preserve"> 60 students from the South East of England all completed 8 spatial temporal reasoning tasks set out by the Stanford-Binet intelligence scale, were then subject to ten minutes of music (modern contemporary styles and classical) in a major or minor key and a no music exposure condition. Participants were then tested again on 8 different sets from the spatial temporal reasoning sets in the Stanford-Binet.</w:t>
      </w:r>
    </w:p>
    <w:p w:rsidR="00067902" w:rsidRPr="00051433" w:rsidRDefault="00984C6E" w:rsidP="00051433">
      <w:pPr>
        <w:shd w:val="clear" w:color="auto" w:fill="FFFFFF"/>
        <w:spacing w:after="100" w:afterAutospacing="1" w:line="240" w:lineRule="auto"/>
        <w:jc w:val="both"/>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(6) </w:t>
      </w:r>
      <w:r w:rsidR="00067902" w:rsidRPr="00051433">
        <w:rPr>
          <w:rFonts w:eastAsia="Times New Roman" w:cs="Segoe UI"/>
          <w:b/>
          <w:color w:val="FF0000"/>
          <w:kern w:val="36"/>
          <w:sz w:val="24"/>
          <w:szCs w:val="24"/>
          <w:lang w:eastAsia="en-GB"/>
        </w:rPr>
        <w:t>Engineering dissertation introduction example</w:t>
      </w:r>
    </w:p>
    <w:p w:rsidR="00067902" w:rsidRPr="00051433" w:rsidRDefault="00067902" w:rsidP="00051433">
      <w:pPr>
        <w:shd w:val="clear" w:color="auto" w:fill="FFFFFF"/>
        <w:spacing w:after="100" w:afterAutospacing="1" w:line="240" w:lineRule="auto"/>
        <w:jc w:val="both"/>
        <w:outlineLvl w:val="1"/>
        <w:rPr>
          <w:rFonts w:eastAsia="Times New Roman" w:cs="Segoe UI"/>
          <w:color w:val="212529"/>
          <w:sz w:val="24"/>
          <w:szCs w:val="24"/>
          <w:lang w:eastAsia="en-GB"/>
        </w:rPr>
      </w:pPr>
      <w:r w:rsidRPr="00051433">
        <w:rPr>
          <w:rFonts w:eastAsia="Times New Roman" w:cs="Segoe UI"/>
          <w:color w:val="212529"/>
          <w:sz w:val="24"/>
          <w:szCs w:val="24"/>
          <w:lang w:eastAsia="en-GB"/>
        </w:rPr>
        <w:t>Chapter 1</w:t>
      </w:r>
    </w:p>
    <w:p w:rsidR="00067902" w:rsidRPr="00051433" w:rsidRDefault="00067902" w:rsidP="00051433">
      <w:pPr>
        <w:shd w:val="clear" w:color="auto" w:fill="FFFFFF"/>
        <w:spacing w:after="100" w:afterAutospacing="1" w:line="240" w:lineRule="auto"/>
        <w:jc w:val="both"/>
        <w:outlineLvl w:val="2"/>
        <w:rPr>
          <w:rFonts w:eastAsia="Times New Roman" w:cs="Segoe UI"/>
          <w:color w:val="212529"/>
          <w:sz w:val="24"/>
          <w:szCs w:val="24"/>
          <w:lang w:eastAsia="en-GB"/>
        </w:rPr>
      </w:pPr>
      <w:r w:rsidRPr="00051433">
        <w:rPr>
          <w:rFonts w:eastAsia="Times New Roman" w:cs="Segoe UI"/>
          <w:color w:val="212529"/>
          <w:sz w:val="24"/>
          <w:szCs w:val="24"/>
          <w:lang w:eastAsia="en-GB"/>
        </w:rPr>
        <w:t>Introduction</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 advances in the hardware and wireless technologies have permitted inexpensive low power communication devices that can be deployed throughout a physical space, providing dense sensing close to physical phenomena, processing and communicating this information, and coordinating actions with other nodes. Such a deployment is termed as a Wireless Sensor Network (WSN). To realize such a network, there are a new set of challenges. The individual devices in a WSN are inherently resource constrained and these have limited processing speed, storage capacity, battery backup, and communication bandwidth. These devices have substantial processing capability in the aggregate, but not individually. These individual devices are named as </w:t>
      </w:r>
      <w:proofErr w:type="spellStart"/>
      <w:r w:rsidRPr="00051433">
        <w:rPr>
          <w:rFonts w:eastAsia="Times New Roman" w:cs="Segoe UI"/>
          <w:i/>
          <w:iCs/>
          <w:color w:val="212529"/>
          <w:sz w:val="24"/>
          <w:szCs w:val="24"/>
          <w:lang w:eastAsia="en-GB"/>
        </w:rPr>
        <w:t>motes</w:t>
      </w:r>
      <w:r w:rsidRPr="00051433">
        <w:rPr>
          <w:rFonts w:eastAsia="Times New Roman" w:cs="Segoe UI"/>
          <w:color w:val="212529"/>
          <w:sz w:val="24"/>
          <w:szCs w:val="24"/>
          <w:lang w:eastAsia="en-GB"/>
        </w:rPr>
        <w:t>in</w:t>
      </w:r>
      <w:proofErr w:type="spellEnd"/>
      <w:r w:rsidRPr="00051433">
        <w:rPr>
          <w:rFonts w:eastAsia="Times New Roman" w:cs="Segoe UI"/>
          <w:color w:val="212529"/>
          <w:sz w:val="24"/>
          <w:szCs w:val="24"/>
          <w:lang w:eastAsia="en-GB"/>
        </w:rPr>
        <w:t xml:space="preserve"> WSN.</w:t>
      </w:r>
    </w:p>
    <w:p w:rsidR="00067902" w:rsidRPr="00051433" w:rsidRDefault="00067902" w:rsidP="00051433">
      <w:pPr>
        <w:shd w:val="clear" w:color="auto" w:fill="FFFFFF"/>
        <w:spacing w:after="100" w:afterAutospacing="1" w:line="240" w:lineRule="auto"/>
        <w:jc w:val="both"/>
        <w:outlineLvl w:val="3"/>
        <w:rPr>
          <w:rFonts w:eastAsia="Times New Roman" w:cs="Segoe UI"/>
          <w:color w:val="212529"/>
          <w:sz w:val="24"/>
          <w:szCs w:val="24"/>
          <w:lang w:eastAsia="en-GB"/>
        </w:rPr>
      </w:pPr>
      <w:r w:rsidRPr="00051433">
        <w:rPr>
          <w:rFonts w:eastAsia="Times New Roman" w:cs="Segoe UI"/>
          <w:color w:val="212529"/>
          <w:sz w:val="24"/>
          <w:szCs w:val="24"/>
          <w:lang w:eastAsia="en-GB"/>
        </w:rPr>
        <w:t>1.1 Mote</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 xml:space="preserve">The term mote (a tiny particle or </w:t>
      </w:r>
      <w:proofErr w:type="spellStart"/>
      <w:r w:rsidRPr="00051433">
        <w:rPr>
          <w:rFonts w:eastAsia="Times New Roman" w:cs="Segoe UI"/>
          <w:color w:val="212529"/>
          <w:sz w:val="24"/>
          <w:szCs w:val="24"/>
          <w:lang w:eastAsia="en-GB"/>
        </w:rPr>
        <w:t>SmartDust</w:t>
      </w:r>
      <w:proofErr w:type="spellEnd"/>
      <w:r w:rsidRPr="00051433">
        <w:rPr>
          <w:rFonts w:eastAsia="Times New Roman" w:cs="Segoe UI"/>
          <w:color w:val="212529"/>
          <w:sz w:val="24"/>
          <w:szCs w:val="24"/>
          <w:lang w:eastAsia="en-GB"/>
        </w:rPr>
        <w:t>) – are in fact embedded devices typically used in a WSN and are essentially tiny in size and hence the name. These tiny nodes have processing and computational capability and generally consist of an RF transceiver, memory, on board sensors/actuators and a power source. Some of the requirements of a mote for their use in applications are as under:</w:t>
      </w:r>
    </w:p>
    <w:p w:rsidR="00067902" w:rsidRPr="00051433" w:rsidRDefault="00067902" w:rsidP="00051433">
      <w:pPr>
        <w:numPr>
          <w:ilvl w:val="0"/>
          <w:numId w:val="1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 ability to have some amount of on-board processing.</w:t>
      </w:r>
    </w:p>
    <w:p w:rsidR="00067902" w:rsidRPr="00051433" w:rsidRDefault="00067902" w:rsidP="00051433">
      <w:pPr>
        <w:numPr>
          <w:ilvl w:val="0"/>
          <w:numId w:val="1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They should be able to communicate over the air and also have some basic networking capability.</w:t>
      </w:r>
    </w:p>
    <w:p w:rsidR="00067902" w:rsidRPr="00051433" w:rsidRDefault="00067902" w:rsidP="00051433">
      <w:pPr>
        <w:numPr>
          <w:ilvl w:val="0"/>
          <w:numId w:val="1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 motes should be alive for extended periods (up to a few months to a year) of deployment. Therefore they should be able to operate at low power.</w:t>
      </w:r>
    </w:p>
    <w:p w:rsidR="00067902" w:rsidRPr="00051433" w:rsidRDefault="00067902" w:rsidP="00051433">
      <w:pPr>
        <w:numPr>
          <w:ilvl w:val="0"/>
          <w:numId w:val="1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They should have sensors/actuators embedded in them so as to interact with the environment in which they are deployed and communicate the sensed parameter to a central location.</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To be able to fulfil the basic requirements as mentioned above, a mote should have the following components: </w:t>
      </w:r>
    </w:p>
    <w:p w:rsidR="00067902" w:rsidRPr="00051433" w:rsidRDefault="00067902" w:rsidP="00051433">
      <w:pPr>
        <w:numPr>
          <w:ilvl w:val="0"/>
          <w:numId w:val="1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Microcontroller</w:t>
      </w:r>
    </w:p>
    <w:p w:rsidR="00067902" w:rsidRPr="00051433" w:rsidRDefault="00067902" w:rsidP="00051433">
      <w:pPr>
        <w:numPr>
          <w:ilvl w:val="0"/>
          <w:numId w:val="1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Radio</w:t>
      </w:r>
    </w:p>
    <w:p w:rsidR="00067902" w:rsidRPr="00051433" w:rsidRDefault="00067902" w:rsidP="00051433">
      <w:pPr>
        <w:numPr>
          <w:ilvl w:val="0"/>
          <w:numId w:val="1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An embedded sensor or the ability to connect to sensors/sensor boards.</w:t>
      </w:r>
    </w:p>
    <w:p w:rsidR="00067902" w:rsidRPr="00051433" w:rsidRDefault="00067902" w:rsidP="00051433">
      <w:pPr>
        <w:numPr>
          <w:ilvl w:val="0"/>
          <w:numId w:val="1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On board memory: RAM, Flash.</w:t>
      </w:r>
    </w:p>
    <w:p w:rsidR="00067902" w:rsidRPr="00051433" w:rsidRDefault="00067902" w:rsidP="00051433">
      <w:pPr>
        <w:numPr>
          <w:ilvl w:val="0"/>
          <w:numId w:val="1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Power source</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 usage of motes was originally intended for military applications but soon spread to other civilian applications like habitat monitoring [23, 27], environment monitoring [28, 26], volcano monitoring [30], wildlife tracking [20], industrial monitoring [22], structural monitoring [21] etc. These experimental deployments have enabled researchers and scientists across the globe to study effects / interactions in nature which was earlier not possible with wired technologies due to hurdles like hostile environment, physical obstacles in reaching a place etc.</w:t>
      </w:r>
    </w:p>
    <w:p w:rsidR="00067902" w:rsidRPr="00051433" w:rsidRDefault="00067902" w:rsidP="00051433">
      <w:pPr>
        <w:shd w:val="clear" w:color="auto" w:fill="FFFFFF"/>
        <w:spacing w:after="100" w:afterAutospacing="1" w:line="240" w:lineRule="auto"/>
        <w:jc w:val="both"/>
        <w:outlineLvl w:val="3"/>
        <w:rPr>
          <w:rFonts w:eastAsia="Times New Roman" w:cs="Segoe UI"/>
          <w:color w:val="212529"/>
          <w:sz w:val="24"/>
          <w:szCs w:val="24"/>
          <w:lang w:eastAsia="en-GB"/>
        </w:rPr>
      </w:pPr>
      <w:r w:rsidRPr="00051433">
        <w:rPr>
          <w:rFonts w:eastAsia="Times New Roman" w:cs="Segoe UI"/>
          <w:color w:val="212529"/>
          <w:sz w:val="24"/>
          <w:szCs w:val="24"/>
          <w:lang w:eastAsia="en-GB"/>
        </w:rPr>
        <w:t>1.2 Motivation and Problem Statement</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 xml:space="preserve">There are a number of commercial off-the shelf (COTS) motes available in the market today but none of them are readily and easily available in India. There has been a similar development at IIT Delhi [ ], wherein they developed Rete, a mote which operates at 433 </w:t>
      </w:r>
      <w:r w:rsidR="00051433" w:rsidRPr="00051433">
        <w:rPr>
          <w:rFonts w:eastAsia="Times New Roman" w:cs="Segoe UI"/>
          <w:color w:val="212529"/>
          <w:sz w:val="24"/>
          <w:szCs w:val="24"/>
          <w:lang w:eastAsia="en-GB"/>
        </w:rPr>
        <w:t>MHz</w:t>
      </w:r>
      <w:r w:rsidR="00051433">
        <w:rPr>
          <w:rFonts w:eastAsia="Times New Roman" w:cs="Segoe UI"/>
          <w:color w:val="212529"/>
          <w:sz w:val="24"/>
          <w:szCs w:val="24"/>
          <w:lang w:eastAsia="en-GB"/>
        </w:rPr>
        <w:t>.</w:t>
      </w:r>
      <w:r w:rsidRPr="00051433">
        <w:rPr>
          <w:rFonts w:eastAsia="Times New Roman" w:cs="Segoe UI"/>
          <w:color w:val="212529"/>
          <w:sz w:val="24"/>
          <w:szCs w:val="24"/>
          <w:lang w:eastAsia="en-GB"/>
        </w:rPr>
        <w:t xml:space="preserve"> However, these motes have their sales division in USA and are not readily available in India. Moreover, the COTS motes have to be imported and not all educational institutions in the country have administrative procedures in place that enable them to procure these devices easily as and when required. It is therefore important that such devices are readily available to the educational and research communities in India.</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Each of these motes costs a few thousands of rupees and thus are still costly enough to deter widespread use in educational and research institutes. Hence, the cost of these devices should be low enough to encourage their widespread use. With an increase in awareness about these devices, it is realistic to assume that new applications are developed which cater to the problems specific to India.</w:t>
      </w:r>
      <w:r w:rsidR="00051433" w:rsidRPr="00051433">
        <w:rPr>
          <w:rFonts w:eastAsia="Times New Roman" w:cs="Segoe UI"/>
          <w:color w:val="212529"/>
          <w:sz w:val="24"/>
          <w:szCs w:val="24"/>
          <w:lang w:eastAsia="en-GB"/>
        </w:rPr>
        <w:t xml:space="preserve"> </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b/>
          <w:bCs/>
          <w:color w:val="212529"/>
          <w:sz w:val="24"/>
          <w:szCs w:val="24"/>
          <w:lang w:eastAsia="en-GB"/>
        </w:rPr>
        <w:t>Problem statement</w:t>
      </w:r>
      <w:r w:rsidRPr="00051433">
        <w:rPr>
          <w:rFonts w:eastAsia="Times New Roman" w:cs="Segoe UI"/>
          <w:color w:val="212529"/>
          <w:sz w:val="24"/>
          <w:szCs w:val="24"/>
          <w:lang w:eastAsia="en-GB"/>
        </w:rPr>
        <w:t>:  Design and if possible also implement a low cost, low power hardware platform for use in wireless sensor networks. Therefore, the main areas this thesis addresses are the following:</w:t>
      </w:r>
    </w:p>
    <w:p w:rsidR="00067902" w:rsidRPr="00051433" w:rsidRDefault="00067902" w:rsidP="00051433">
      <w:pPr>
        <w:numPr>
          <w:ilvl w:val="0"/>
          <w:numId w:val="1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Design of a low cost, low power hardware platform for use in sensor networks.</w:t>
      </w:r>
    </w:p>
    <w:p w:rsidR="00067902" w:rsidRPr="00051433" w:rsidRDefault="00067902" w:rsidP="00051433">
      <w:pPr>
        <w:numPr>
          <w:ilvl w:val="0"/>
          <w:numId w:val="1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Build a simple working prototype that can be improved upon. The prototype though simple should be able to deliver all the functionalities possible with commercially available state of the art motes.</w:t>
      </w:r>
    </w:p>
    <w:p w:rsidR="00067902" w:rsidRPr="00051433" w:rsidRDefault="00067902" w:rsidP="00051433">
      <w:pPr>
        <w:numPr>
          <w:ilvl w:val="0"/>
          <w:numId w:val="1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 motes developed should be easily available for research and educational institutions.</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We have designed and implemented “ </w:t>
      </w:r>
      <w:r w:rsidRPr="00051433">
        <w:rPr>
          <w:rFonts w:eastAsia="Times New Roman" w:cs="Segoe UI"/>
          <w:i/>
          <w:iCs/>
          <w:color w:val="212529"/>
          <w:sz w:val="24"/>
          <w:szCs w:val="24"/>
          <w:lang w:eastAsia="en-GB"/>
        </w:rPr>
        <w:t>i-Mote</w:t>
      </w:r>
      <w:r w:rsidRPr="00051433">
        <w:rPr>
          <w:rFonts w:eastAsia="Times New Roman" w:cs="Segoe UI"/>
          <w:color w:val="212529"/>
          <w:sz w:val="24"/>
          <w:szCs w:val="24"/>
          <w:lang w:eastAsia="en-GB"/>
        </w:rPr>
        <w:t> “ which integrates an MSP430 microcontroller, a CC2420 radio chip which operates in the Industrial, Scientific and Medical (ISM) band (2.4 GHz). An 8 Mb flash for data logging and a temperature sensor have also been embedded into the platform. We have integrated with an</w:t>
      </w:r>
      <w:r w:rsidR="00B06E8F">
        <w:rPr>
          <w:rFonts w:eastAsia="Times New Roman" w:cs="Segoe UI"/>
          <w:color w:val="212529"/>
          <w:sz w:val="24"/>
          <w:szCs w:val="24"/>
          <w:lang w:eastAsia="en-GB"/>
        </w:rPr>
        <w:t xml:space="preserve"> </w:t>
      </w:r>
      <w:r w:rsidRPr="00051433">
        <w:rPr>
          <w:rFonts w:eastAsia="Times New Roman" w:cs="Segoe UI"/>
          <w:i/>
          <w:iCs/>
          <w:color w:val="212529"/>
          <w:sz w:val="24"/>
          <w:szCs w:val="24"/>
          <w:lang w:eastAsia="en-GB"/>
        </w:rPr>
        <w:t>i-Mote</w:t>
      </w:r>
      <w:r w:rsidRPr="00051433">
        <w:rPr>
          <w:rFonts w:eastAsia="Times New Roman" w:cs="Segoe UI"/>
          <w:color w:val="212529"/>
          <w:sz w:val="24"/>
          <w:szCs w:val="24"/>
          <w:lang w:eastAsia="en-GB"/>
        </w:rPr>
        <w:t> open source embedded operating system TinyOS so that it can be readily programmed for custom applications. The development cost of</w:t>
      </w:r>
      <w:r w:rsidRPr="00051433">
        <w:rPr>
          <w:rFonts w:eastAsia="Times New Roman" w:cs="Segoe UI"/>
          <w:i/>
          <w:iCs/>
          <w:color w:val="212529"/>
          <w:sz w:val="24"/>
          <w:szCs w:val="24"/>
          <w:lang w:eastAsia="en-GB"/>
        </w:rPr>
        <w:t> i-Mote</w:t>
      </w:r>
      <w:r w:rsidRPr="00051433">
        <w:rPr>
          <w:rFonts w:eastAsia="Times New Roman" w:cs="Segoe UI"/>
          <w:color w:val="212529"/>
          <w:sz w:val="24"/>
          <w:szCs w:val="24"/>
          <w:lang w:eastAsia="en-GB"/>
        </w:rPr>
        <w:t> is Rs 1625 and is less than one fourth the cost of the most popular commercially available mote, Tmote, which costs Rs 7740. We have designed the building blocks of the mote:  microcontroller and radio circuitry for their correct operation. We have also suggested out range measurements and have indicated ranges nearly twice that of Tmote. The </w:t>
      </w:r>
      <w:r w:rsidRPr="00051433">
        <w:rPr>
          <w:rFonts w:eastAsia="Times New Roman" w:cs="Segoe UI"/>
          <w:i/>
          <w:iCs/>
          <w:color w:val="212529"/>
          <w:sz w:val="24"/>
          <w:szCs w:val="24"/>
          <w:lang w:eastAsia="en-GB"/>
        </w:rPr>
        <w:t>i-Mote</w:t>
      </w:r>
      <w:r w:rsidRPr="00051433">
        <w:rPr>
          <w:rFonts w:eastAsia="Times New Roman" w:cs="Segoe UI"/>
          <w:b/>
          <w:bCs/>
          <w:color w:val="212529"/>
          <w:sz w:val="24"/>
          <w:szCs w:val="24"/>
          <w:lang w:eastAsia="en-GB"/>
        </w:rPr>
        <w:t> </w:t>
      </w:r>
      <w:r w:rsidRPr="00051433">
        <w:rPr>
          <w:rFonts w:eastAsia="Times New Roman" w:cs="Segoe UI"/>
          <w:color w:val="212529"/>
          <w:sz w:val="24"/>
          <w:szCs w:val="24"/>
          <w:lang w:eastAsia="en-GB"/>
        </w:rPr>
        <w:t>is powered by two AA batteries or 3.0 volts power source and consumes about 20 mA during transmission.</w:t>
      </w:r>
    </w:p>
    <w:p w:rsidR="00067902" w:rsidRPr="00051433" w:rsidRDefault="00067902" w:rsidP="00051433">
      <w:pPr>
        <w:shd w:val="clear" w:color="auto" w:fill="FFFFFF"/>
        <w:spacing w:after="100" w:afterAutospacing="1" w:line="240" w:lineRule="auto"/>
        <w:jc w:val="both"/>
        <w:outlineLvl w:val="3"/>
        <w:rPr>
          <w:rFonts w:eastAsia="Times New Roman" w:cs="Segoe UI"/>
          <w:color w:val="212529"/>
          <w:sz w:val="24"/>
          <w:szCs w:val="24"/>
          <w:lang w:eastAsia="en-GB"/>
        </w:rPr>
      </w:pPr>
      <w:r w:rsidRPr="00051433">
        <w:rPr>
          <w:rFonts w:eastAsia="Times New Roman" w:cs="Segoe UI"/>
          <w:color w:val="212529"/>
          <w:sz w:val="24"/>
          <w:szCs w:val="24"/>
          <w:lang w:eastAsia="en-GB"/>
        </w:rPr>
        <w:t>1.3 Thesis Organization</w:t>
      </w:r>
    </w:p>
    <w:p w:rsidR="00067902" w:rsidRPr="00051433" w:rsidRDefault="00067902" w:rsidP="00051433">
      <w:pPr>
        <w:shd w:val="clear" w:color="auto" w:fill="FFFFFF"/>
        <w:spacing w:after="100" w:afterAutospacing="1" w:line="240" w:lineRule="auto"/>
        <w:jc w:val="both"/>
        <w:rPr>
          <w:rFonts w:eastAsia="Times New Roman" w:cs="Segoe UI"/>
          <w:color w:val="212529"/>
          <w:sz w:val="24"/>
          <w:szCs w:val="24"/>
          <w:lang w:eastAsia="en-GB"/>
        </w:rPr>
      </w:pPr>
      <w:r w:rsidRPr="00051433">
        <w:rPr>
          <w:rFonts w:eastAsia="Times New Roman" w:cs="Segoe UI"/>
          <w:color w:val="212529"/>
          <w:sz w:val="24"/>
          <w:szCs w:val="24"/>
          <w:lang w:eastAsia="en-GB"/>
        </w:rPr>
        <w:t>The rest of the report is organized as follows. Chapter 2 discusses the essentials of wsn and literature survey and Background: evolution of various motes and comparison of commercially available motes. Chapter 3 discusses the hardware platform ICs. Chapter 4 discusses the design considerations and implementation of</w:t>
      </w:r>
      <w:r w:rsidRPr="00051433">
        <w:rPr>
          <w:rFonts w:eastAsia="Times New Roman" w:cs="Segoe UI"/>
          <w:b/>
          <w:bCs/>
          <w:i/>
          <w:iCs/>
          <w:color w:val="212529"/>
          <w:sz w:val="24"/>
          <w:szCs w:val="24"/>
          <w:lang w:eastAsia="en-GB"/>
        </w:rPr>
        <w:t> </w:t>
      </w:r>
      <w:r w:rsidRPr="00051433">
        <w:rPr>
          <w:rFonts w:eastAsia="Times New Roman" w:cs="Segoe UI"/>
          <w:i/>
          <w:iCs/>
          <w:color w:val="212529"/>
          <w:sz w:val="24"/>
          <w:szCs w:val="24"/>
          <w:lang w:eastAsia="en-GB"/>
        </w:rPr>
        <w:t>i-Mote.</w:t>
      </w:r>
      <w:r w:rsidRPr="00051433">
        <w:rPr>
          <w:rFonts w:eastAsia="Times New Roman" w:cs="Segoe UI"/>
          <w:b/>
          <w:bCs/>
          <w:i/>
          <w:iCs/>
          <w:color w:val="212529"/>
          <w:sz w:val="24"/>
          <w:szCs w:val="24"/>
          <w:lang w:eastAsia="en-GB"/>
        </w:rPr>
        <w:t> </w:t>
      </w:r>
      <w:r w:rsidRPr="00051433">
        <w:rPr>
          <w:rFonts w:eastAsia="Times New Roman" w:cs="Segoe UI"/>
          <w:color w:val="212529"/>
          <w:sz w:val="24"/>
          <w:szCs w:val="24"/>
          <w:lang w:eastAsia="en-GB"/>
        </w:rPr>
        <w:t>In this chapter we discuss the hardware choices available and the reasons for choosing the hardware used in. We also discuss the architecture of </w:t>
      </w:r>
      <w:r w:rsidRPr="00051433">
        <w:rPr>
          <w:rFonts w:eastAsia="Times New Roman" w:cs="Segoe UI"/>
          <w:i/>
          <w:iCs/>
          <w:color w:val="212529"/>
          <w:sz w:val="24"/>
          <w:szCs w:val="24"/>
          <w:lang w:eastAsia="en-GB"/>
        </w:rPr>
        <w:t>i-Mote</w:t>
      </w:r>
      <w:r w:rsidRPr="00051433">
        <w:rPr>
          <w:rFonts w:eastAsia="Times New Roman" w:cs="Segoe UI"/>
          <w:color w:val="212529"/>
          <w:sz w:val="24"/>
          <w:szCs w:val="24"/>
          <w:lang w:eastAsia="en-GB"/>
        </w:rPr>
        <w:t> and design issues while translating the paper design to a working model in the section on PCB design. Chapter 5 discusses the testing methodology of</w:t>
      </w:r>
      <w:r w:rsidRPr="00051433">
        <w:rPr>
          <w:rFonts w:eastAsia="Times New Roman" w:cs="Segoe UI"/>
          <w:b/>
          <w:bCs/>
          <w:i/>
          <w:iCs/>
          <w:color w:val="212529"/>
          <w:sz w:val="24"/>
          <w:szCs w:val="24"/>
          <w:lang w:eastAsia="en-GB"/>
        </w:rPr>
        <w:t> </w:t>
      </w:r>
      <w:r w:rsidRPr="00051433">
        <w:rPr>
          <w:rFonts w:eastAsia="Times New Roman" w:cs="Segoe UI"/>
          <w:i/>
          <w:iCs/>
          <w:color w:val="212529"/>
          <w:sz w:val="24"/>
          <w:szCs w:val="24"/>
          <w:lang w:eastAsia="en-GB"/>
        </w:rPr>
        <w:t>i-Mote</w:t>
      </w:r>
      <w:r w:rsidRPr="00051433">
        <w:rPr>
          <w:rFonts w:eastAsia="Times New Roman" w:cs="Segoe UI"/>
          <w:color w:val="212529"/>
          <w:sz w:val="24"/>
          <w:szCs w:val="24"/>
          <w:lang w:eastAsia="en-GB"/>
        </w:rPr>
        <w:t> and forecasted results that may be obtained during the range and power consumption tests. We finally summarize our work and discuss the future scope in Chapter 6. The appendices at the end of the report give detailed schematics of the mote, bill of material required, procedure for integration of mote with TinyOS and the procedure to connect an external antenna to the mote to achieve higher ranges.</w:t>
      </w:r>
    </w:p>
    <w:p w:rsidR="002E0318" w:rsidRPr="00BD3F5C" w:rsidRDefault="00984C6E" w:rsidP="00BD3F5C">
      <w:pPr>
        <w:spacing w:after="100" w:afterAutospacing="1" w:line="240" w:lineRule="auto"/>
        <w:jc w:val="both"/>
        <w:outlineLvl w:val="0"/>
        <w:rPr>
          <w:rFonts w:eastAsia="Times New Roman" w:cs="Times New Roman"/>
          <w:b/>
          <w:color w:val="FF0000"/>
          <w:kern w:val="36"/>
          <w:sz w:val="24"/>
          <w:szCs w:val="24"/>
          <w:lang w:eastAsia="en-GB"/>
        </w:rPr>
      </w:pPr>
      <w:r>
        <w:rPr>
          <w:rFonts w:eastAsia="Times New Roman" w:cs="Times New Roman"/>
          <w:b/>
          <w:color w:val="FF0000"/>
          <w:kern w:val="36"/>
          <w:sz w:val="24"/>
          <w:szCs w:val="24"/>
          <w:lang w:eastAsia="en-GB"/>
        </w:rPr>
        <w:t xml:space="preserve">(7) </w:t>
      </w:r>
      <w:r w:rsidR="002E0318" w:rsidRPr="00BD3F5C">
        <w:rPr>
          <w:rFonts w:eastAsia="Times New Roman" w:cs="Times New Roman"/>
          <w:b/>
          <w:color w:val="FF0000"/>
          <w:kern w:val="36"/>
          <w:sz w:val="24"/>
          <w:szCs w:val="24"/>
          <w:lang w:eastAsia="en-GB"/>
        </w:rPr>
        <w:t>Law dissertation introduction example</w:t>
      </w:r>
    </w:p>
    <w:p w:rsidR="002E0318" w:rsidRPr="00BD3F5C" w:rsidRDefault="002E0318" w:rsidP="00BD3F5C">
      <w:pPr>
        <w:spacing w:after="100" w:afterAutospacing="1" w:line="240" w:lineRule="auto"/>
        <w:jc w:val="both"/>
        <w:outlineLvl w:val="1"/>
        <w:rPr>
          <w:rFonts w:eastAsia="Times New Roman" w:cs="Times New Roman"/>
          <w:sz w:val="24"/>
          <w:szCs w:val="24"/>
          <w:lang w:eastAsia="en-GB"/>
        </w:rPr>
      </w:pPr>
      <w:r w:rsidRPr="00BD3F5C">
        <w:rPr>
          <w:rFonts w:eastAsia="Times New Roman" w:cs="Times New Roman"/>
          <w:sz w:val="24"/>
          <w:szCs w:val="24"/>
          <w:lang w:eastAsia="en-GB"/>
        </w:rPr>
        <w:t>CHAPTER – 1</w:t>
      </w:r>
    </w:p>
    <w:p w:rsidR="002E0318" w:rsidRPr="00BD3F5C" w:rsidRDefault="002E0318" w:rsidP="00BD3F5C">
      <w:pPr>
        <w:spacing w:after="100" w:afterAutospacing="1" w:line="240" w:lineRule="auto"/>
        <w:jc w:val="both"/>
        <w:outlineLvl w:val="2"/>
        <w:rPr>
          <w:rFonts w:eastAsia="Times New Roman" w:cs="Times New Roman"/>
          <w:sz w:val="24"/>
          <w:szCs w:val="24"/>
          <w:lang w:eastAsia="en-GB"/>
        </w:rPr>
      </w:pPr>
      <w:r w:rsidRPr="00BD3F5C">
        <w:rPr>
          <w:rFonts w:eastAsia="Times New Roman" w:cs="Times New Roman"/>
          <w:sz w:val="24"/>
          <w:szCs w:val="24"/>
          <w:lang w:eastAsia="en-GB"/>
        </w:rPr>
        <w:t>INTRODUCTION</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Limited Liability is one of the key elements that guaranteed the success of the modern company. Every person who invests his money in any business first of all, he has to see what profit should he get and how much he has to invest and what would be his liabilities if he does not get success? If the person has more liabilities then the profits he profits he earns, then he will not choose to invest his money and not ready to bear the loss more than his share. So, the concept of limited liability, though, it is accepted after the long dispute is really for the benefit of individuals and the companies. Today’s world is a mercantile world, everyone wants to get more and more profit but with less liabilities.</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Limited liability of the corporate shareholder is a traditional cornerstone in the corporation law of the civil system. The doctrine of limited liability protects the ultimate investor in the business from the liabilities of the enterprise in excess of the investor’s capital investment. Limited liability meant that the shareholders were only liable to the money they invested in the company rather than liable for their whole wealth</w:t>
      </w:r>
      <w:r w:rsidR="00EF1136">
        <w:rPr>
          <w:rFonts w:eastAsia="Times New Roman" w:cs="Times New Roman"/>
          <w:sz w:val="24"/>
          <w:szCs w:val="24"/>
          <w:lang w:eastAsia="en-GB"/>
        </w:rPr>
        <w:t xml:space="preserve"> </w:t>
      </w:r>
      <w:r w:rsidRPr="00BD3F5C">
        <w:rPr>
          <w:rFonts w:eastAsia="Times New Roman" w:cs="Times New Roman"/>
          <w:sz w:val="24"/>
          <w:szCs w:val="24"/>
          <w:lang w:eastAsia="en-GB"/>
        </w:rPr>
        <w:t>[1].</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Limited liability seems to have allowed a greater diversification of the body of shareholders. If shareholding exposed one to liability, it was good to restrict one’s shareholding to one or two companies. Once liability became limited, investors could spread their investments by buying smaller, non-controlling stakes in more companies. Shareholding became more affordable, attracting new investors to the market. These developments heralded the end of direct shareholder involvement in the management of companies. Management power gradually passed from the shareholders to a new group of professional company managers, thereby creating one of the corporate governance dilemmas of the modern company</w:t>
      </w:r>
      <w:r w:rsidR="00EF1136">
        <w:rPr>
          <w:rFonts w:eastAsia="Times New Roman" w:cs="Times New Roman"/>
          <w:sz w:val="24"/>
          <w:szCs w:val="24"/>
          <w:lang w:eastAsia="en-GB"/>
        </w:rPr>
        <w:t xml:space="preserve"> </w:t>
      </w:r>
      <w:r w:rsidRPr="00BD3F5C">
        <w:rPr>
          <w:rFonts w:eastAsia="Times New Roman" w:cs="Times New Roman"/>
          <w:sz w:val="24"/>
          <w:szCs w:val="24"/>
          <w:lang w:eastAsia="en-GB"/>
        </w:rPr>
        <w:t>[2].</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project will examine the past position as well as present position of the liability of the shareholders towards the company. When might be the shareholders of the limited company become liable to pay money to the company or the creditors of the company in excess of the amount which the shareholders have paid and agreed to pay to the company for its shares?</w:t>
      </w:r>
    </w:p>
    <w:p w:rsidR="002E0318" w:rsidRPr="00BD3F5C" w:rsidRDefault="002E0318" w:rsidP="00F40EF1">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Within Company law, the notion of limited liability is very technical and often gets misunderstood. Sometimes it has been wrongly referred as ‘Corporate’ Limited liability; it is the principle as a result of which the members of an insolvent company do not have to contribute their own money to the assets in the liquidation to meet the debts of the company. Under the Insolvency Act, 1986 the members have a liability to contribute to the assets of the company in the event of its assets in the liquidation being insufficient to meet the claims of the creditors. It is this liability which is limited. Traditionally, the doctrine of limited liability is conceived of as concerning itself with the protection of the shareholder’s assets, but functionally it can be seen as a wider concept. During the insolvency of the company, the creditors have the remedy that they can sue the company but the Shareholders even don’t have this right. They have to bear overall loss in the insolvency of the limited company. The main argument against the concept is that limited liability encourages recklessness in business ventures and innocent creditors have to bear the loss</w:t>
      </w:r>
      <w:r w:rsidR="00F40EF1">
        <w:rPr>
          <w:rFonts w:eastAsia="Times New Roman" w:cs="Times New Roman"/>
          <w:sz w:val="24"/>
          <w:szCs w:val="24"/>
          <w:lang w:eastAsia="en-GB"/>
        </w:rPr>
        <w:t xml:space="preserve"> </w:t>
      </w:r>
      <w:r w:rsidRPr="00BD3F5C">
        <w:rPr>
          <w:rFonts w:eastAsia="Times New Roman" w:cs="Times New Roman"/>
          <w:sz w:val="24"/>
          <w:szCs w:val="24"/>
          <w:lang w:eastAsia="en-GB"/>
        </w:rPr>
        <w:t>[3]. The project will examine the problems faced by the creditors of the company.</w:t>
      </w:r>
      <w:r w:rsidR="00F40EF1" w:rsidRPr="00BD3F5C">
        <w:rPr>
          <w:rFonts w:eastAsia="Times New Roman" w:cs="Times New Roman"/>
          <w:sz w:val="24"/>
          <w:szCs w:val="24"/>
          <w:lang w:eastAsia="en-GB"/>
        </w:rPr>
        <w:t xml:space="preserve"> </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In various situations, the shareholders have to become liable to pay money to the company or the creditors of the company such as if the company formation was done with the shareholder also being a director of the limited liability company and if the shareholder has subsequently given a personal guarantee of the limited company’s debts or obligations, the Shareholder could become personally and directly liable to the company’s creditors for such debts or obligations of the limited company. Limited Liability Company helps to run business even in the worst condition, that the company is unable to pay its debts even in that condition the company is running and its directors haven’t been affected by its insolvency and liquidation but the shareholders have the biggest effect in those condition as they have investments in those companies.</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Does the limited liability company still justify its original economic objective in benefitting the economy and society as a whole? An overview of the future of this area of the law will also be investigated.</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project will also explain corporate veil. Company as a separate legal entity distinct from its members. This principle is established in the famous case of Salomon v Salomon Ltd [1897] AC 22. Professor Sealy described Salomon principle as ‘the cornerstone of Company law’.</w:t>
      </w:r>
      <w:r w:rsidRPr="00324D45">
        <w:rPr>
          <w:rFonts w:eastAsia="Times New Roman" w:cs="Times New Roman"/>
          <w:b/>
          <w:color w:val="0070C0"/>
          <w:sz w:val="32"/>
          <w:szCs w:val="32"/>
          <w:lang w:eastAsia="en-GB"/>
        </w:rPr>
        <w:t xml:space="preserve"> </w:t>
      </w:r>
      <w:r w:rsidRPr="00324D45">
        <w:rPr>
          <w:rFonts w:eastAsia="Times New Roman" w:cs="Times New Roman"/>
          <w:b/>
          <w:color w:val="0070C0"/>
          <w:sz w:val="32"/>
          <w:szCs w:val="32"/>
          <w:highlight w:val="yellow"/>
          <w:lang w:eastAsia="en-GB"/>
        </w:rPr>
        <w:t>In this</w:t>
      </w:r>
      <w:r w:rsidRPr="00324D45">
        <w:rPr>
          <w:rFonts w:eastAsia="Times New Roman" w:cs="Times New Roman"/>
          <w:b/>
          <w:color w:val="0070C0"/>
          <w:sz w:val="32"/>
          <w:szCs w:val="32"/>
          <w:lang w:eastAsia="en-GB"/>
        </w:rPr>
        <w:t xml:space="preserve"> </w:t>
      </w:r>
      <w:r w:rsidRPr="00BD3F5C">
        <w:rPr>
          <w:rFonts w:eastAsia="Times New Roman" w:cs="Times New Roman"/>
          <w:sz w:val="24"/>
          <w:szCs w:val="24"/>
          <w:lang w:eastAsia="en-GB"/>
        </w:rPr>
        <w:t>project, we also discuss under what circumstances, the Courts can lift the corporate veil. What is the common law and statutory law says about the lifting of corporate veil? Is it an exception to the concept of limited liability or against it?</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Today’s world is a competitive world and many of the multinational companies organized in the form of a parent corporation with hundreds of subsidiary corporations. Most of the world’s business is conducted by the subsidiaries. When we talk about corporate groups, limited liability protects not only the ultimate investors from the debts of the enterprise, but also each of the corporations into which the enterprise has been fragmented. Each corporation is protected from liability for obligations of the other fragments of the enterprise. Limited liability for the business has become limited liability for each of the successive tiers within the enterprise. According to traditional doctrine, such corporate groups enjoy the same benefits of limited liability as the common law has historically afforded to the individual investor in a corporate enterprise. In light of recent environment disasters of worldwide dimensions, re</w:t>
      </w:r>
      <w:r w:rsidR="00F40EF1">
        <w:rPr>
          <w:rFonts w:eastAsia="Times New Roman" w:cs="Times New Roman"/>
          <w:sz w:val="24"/>
          <w:szCs w:val="24"/>
          <w:lang w:eastAsia="en-GB"/>
        </w:rPr>
        <w:t>-</w:t>
      </w:r>
      <w:r w:rsidRPr="00BD3F5C">
        <w:rPr>
          <w:rFonts w:eastAsia="Times New Roman" w:cs="Times New Roman"/>
          <w:sz w:val="24"/>
          <w:szCs w:val="24"/>
          <w:lang w:eastAsia="en-GB"/>
        </w:rPr>
        <w:t>examination of the traditional doctrine of limited liability as applied to corporate groups has emerged as an issue of major importance. [4]</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Limited liability serves certain underlying policies that are intended to achieve certain objectives. In certain circumstances in which the application of limited liability no longer appears to serve such policies or contribute to such objectives, limited liability, like any other legal rule that does not serve its presumed purposes, must be re</w:t>
      </w:r>
      <w:r w:rsidR="00F40EF1">
        <w:rPr>
          <w:rFonts w:eastAsia="Times New Roman" w:cs="Times New Roman"/>
          <w:sz w:val="24"/>
          <w:szCs w:val="24"/>
          <w:lang w:eastAsia="en-GB"/>
        </w:rPr>
        <w:t>-</w:t>
      </w:r>
      <w:r w:rsidRPr="00BD3F5C">
        <w:rPr>
          <w:rFonts w:eastAsia="Times New Roman" w:cs="Times New Roman"/>
          <w:sz w:val="24"/>
          <w:szCs w:val="24"/>
          <w:lang w:eastAsia="en-GB"/>
        </w:rPr>
        <w:t>examined critically. This re</w:t>
      </w:r>
      <w:r w:rsidR="00F40EF1">
        <w:rPr>
          <w:rFonts w:eastAsia="Times New Roman" w:cs="Times New Roman"/>
          <w:sz w:val="24"/>
          <w:szCs w:val="24"/>
          <w:lang w:eastAsia="en-GB"/>
        </w:rPr>
        <w:t>-</w:t>
      </w:r>
      <w:r w:rsidRPr="00BD3F5C">
        <w:rPr>
          <w:rFonts w:eastAsia="Times New Roman" w:cs="Times New Roman"/>
          <w:sz w:val="24"/>
          <w:szCs w:val="24"/>
          <w:lang w:eastAsia="en-GB"/>
        </w:rPr>
        <w:t xml:space="preserve"> examination is particularly important in the case of corporate group where entity law, the traditional view of corporation law, is already in the process of erosion in areas such as procedure and bankruptcy, where imposition of substantive liability and rejection of limited liability generally is not involved.</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Chapter 1 examines the history and origin of the limited liability company. This concept developed in the 17th century. Before this, people were scared to invest in companies because of the risk involved during which any investor in partnership organization could have been easily held accountable for all the debts and losses of the company. By that time concept of limited liability had not been associated with the corporate world. The universal concept is first adopted in the US in the early 19th century, then in English law in 1855 via Limited Liability Act and it is always be the universal feature of corporate form.</w:t>
      </w:r>
    </w:p>
    <w:p w:rsidR="002E0318" w:rsidRPr="00BD3F5C" w:rsidRDefault="002E0318" w:rsidP="00F40EF1">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Chapter 2 examines the corporate personality of the company. The company as a separate legal entity distinct from its members. The principle of separate identity is known as the ‘’veil of incorporation’’ and allows larger parent companies to own subsidiary companies, yet not to be responsible for any of their liabilities but where the court found that a parent company was responsible for the actions of a subsidiary in relation to an employee, it will not hesitate to lift the veil.</w:t>
      </w:r>
      <w:r w:rsidR="00F40EF1" w:rsidRPr="00BD3F5C">
        <w:rPr>
          <w:rFonts w:eastAsia="Times New Roman" w:cs="Times New Roman"/>
          <w:sz w:val="24"/>
          <w:szCs w:val="24"/>
          <w:lang w:eastAsia="en-GB"/>
        </w:rPr>
        <w:t xml:space="preserve"> </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Chapter 3 explains the corporate veil with the help of the famous case of Salomon v Salomon. What is the relevance of Salomon principle?</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Chapter 4 explains about the advantages and disadvantages of limited liability. Arguments for limited liability and legal responses to limited liability. I’ll try to suggest some reforms so that steps should be taken to improve or develop the concept or how the concept becomes more efficient and effective in the future. If no reforms suggested then our research will not be considered as complete or it is of no worth.</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Chapter 5 deals with the conclusion that what we achieve through our research and how far our objectives are fulfilled.</w:t>
      </w:r>
    </w:p>
    <w:p w:rsidR="002E0318" w:rsidRPr="00BD3F5C" w:rsidRDefault="002E0318" w:rsidP="00BD3F5C">
      <w:pPr>
        <w:spacing w:after="100" w:afterAutospacing="1" w:line="240" w:lineRule="auto"/>
        <w:jc w:val="both"/>
        <w:outlineLvl w:val="3"/>
        <w:rPr>
          <w:rFonts w:eastAsia="Times New Roman" w:cs="Times New Roman"/>
          <w:sz w:val="24"/>
          <w:szCs w:val="24"/>
          <w:lang w:eastAsia="en-GB"/>
        </w:rPr>
      </w:pPr>
      <w:r w:rsidRPr="00BD3F5C">
        <w:rPr>
          <w:rFonts w:eastAsia="Times New Roman" w:cs="Times New Roman"/>
          <w:sz w:val="24"/>
          <w:szCs w:val="24"/>
          <w:lang w:eastAsia="en-GB"/>
        </w:rPr>
        <w:t>History of limited liability</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 xml:space="preserve">The modern companies in their present form originate from the earliest form of corporate entity, namely the sole trader. From the </w:t>
      </w:r>
      <w:r w:rsidR="00F40EF1" w:rsidRPr="00BD3F5C">
        <w:rPr>
          <w:rFonts w:eastAsia="Times New Roman" w:cs="Times New Roman"/>
          <w:sz w:val="24"/>
          <w:szCs w:val="24"/>
          <w:lang w:eastAsia="en-GB"/>
        </w:rPr>
        <w:t>middle</w:t>
      </w:r>
      <w:r w:rsidRPr="00BD3F5C">
        <w:rPr>
          <w:rFonts w:eastAsia="Times New Roman" w:cs="Times New Roman"/>
          <w:sz w:val="24"/>
          <w:szCs w:val="24"/>
          <w:lang w:eastAsia="en-GB"/>
        </w:rPr>
        <w:t xml:space="preserve"> Ages, such traders were regulated by merchant guilds which oversaw a diversity of trades. The internationalization of trade, with traders venturing overseas, led gradually to regulated companies arising from the medieval guild system. Members of these early companies could trade their own shares in the company, which led ultimately to the formation of joint stock companies.</w:t>
      </w:r>
      <w:r w:rsidR="00F40EF1">
        <w:rPr>
          <w:rFonts w:eastAsia="Times New Roman" w:cs="Times New Roman"/>
          <w:sz w:val="24"/>
          <w:szCs w:val="24"/>
          <w:lang w:eastAsia="en-GB"/>
        </w:rPr>
        <w:t xml:space="preserve"> </w:t>
      </w:r>
      <w:r w:rsidRPr="00BD3F5C">
        <w:rPr>
          <w:rFonts w:eastAsia="Times New Roman" w:cs="Times New Roman"/>
          <w:sz w:val="24"/>
          <w:szCs w:val="24"/>
          <w:lang w:eastAsia="en-GB"/>
        </w:rPr>
        <w:t xml:space="preserve">[5] Incorporation by Royal Charter was relatively rarely given to traders. The original purpose of incorporation by Royal Charter seems to have been to confer protection and status. The grant was often for charitable purposes. Later, in the Elizabethan period, the dominant purpose was to regulate a particular trade. This became necessary when the guild system had declined and become the subject of abuse. Some of these grants amounted to monopolies. Underlying the grant was the idea of public purpose. The concept of public purpose and benefit in incorporation declined due to a number of factors- the Stuart abuse of the Royal prerogative, the increase of trade and manufacture and the growth of overseas trade, originally as privateering expeditions. This is the beginning of the rise of capitalistic enterprise whose dominant characteristics is to produce a more open economic group. With the development of overseas and colonial trade, merchant </w:t>
      </w:r>
      <w:r w:rsidR="001841E9" w:rsidRPr="00BD3F5C">
        <w:rPr>
          <w:rFonts w:eastAsia="Times New Roman" w:cs="Times New Roman"/>
          <w:sz w:val="24"/>
          <w:szCs w:val="24"/>
          <w:lang w:eastAsia="en-GB"/>
        </w:rPr>
        <w:t>venture’s</w:t>
      </w:r>
      <w:r w:rsidRPr="00BD3F5C">
        <w:rPr>
          <w:rFonts w:eastAsia="Times New Roman" w:cs="Times New Roman"/>
          <w:sz w:val="24"/>
          <w:szCs w:val="24"/>
          <w:lang w:eastAsia="en-GB"/>
        </w:rPr>
        <w:t xml:space="preserve"> also rise. The merchant ventures’ gave rise to ‘regulated companies’ which extended the guild system into overseas trade. From the beginning of the 15th century the Crown made extensive grants of privileges to companies of merchants trading overseas. Later these were Royal Charters providing for incorporation and a monopoly of trade in a particular region. The objects of such grants are to provide for proper organisation for the trade, to develop a new trade or colonisation. The interest of merchants was not in separate legal personality as such so much as the exercise of governmental power and trading privilege</w:t>
      </w:r>
      <w:r w:rsidR="00F40EF1">
        <w:rPr>
          <w:rFonts w:eastAsia="Times New Roman" w:cs="Times New Roman"/>
          <w:sz w:val="24"/>
          <w:szCs w:val="24"/>
          <w:lang w:eastAsia="en-GB"/>
        </w:rPr>
        <w:t xml:space="preserve"> </w:t>
      </w:r>
      <w:r w:rsidRPr="00BD3F5C">
        <w:rPr>
          <w:rFonts w:eastAsia="Times New Roman" w:cs="Times New Roman"/>
          <w:sz w:val="24"/>
          <w:szCs w:val="24"/>
          <w:lang w:eastAsia="en-GB"/>
        </w:rPr>
        <w:t>[6].</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concept of Joint stock came into being. This concept historically seems to have been linked with the grant of a monopoly. The grant is made to a ‘company’ of individuals who raise stock for the exploitation of the monopoly. Joint stock represents a combination of association and exploitation of a privilege. This concept was particularly useful with overseas trading ventures. The first company to combine incorporation, overseas trade and joint stock was the East India Company, which was granted a Royal Charter in 1600, for Merchants of London trading into the East Indies. This development was summed up well by a Committee of the House of Commons in 1604[7]. ‘A whole Company, by this means become as one man’. Although some joint stock ventures obtained incorporation, many did not and were in essence partnerships describing themselves loosely as ‘companies’. Stocks and shares in both incorporated and unincorporated ventures began to be dealt in on the developing stock market which Parliament found it necessary to regulate in 1696. By the beginning of the 18th Century, therefore, there was considerable diversity in the forms of business organisation and added to this there was some trade in the charters of defunct chartered corporations</w:t>
      </w:r>
      <w:r w:rsidR="00F40EF1">
        <w:rPr>
          <w:rFonts w:eastAsia="Times New Roman" w:cs="Times New Roman"/>
          <w:sz w:val="24"/>
          <w:szCs w:val="24"/>
          <w:lang w:eastAsia="en-GB"/>
        </w:rPr>
        <w:t xml:space="preserve"> </w:t>
      </w:r>
      <w:r w:rsidRPr="00BD3F5C">
        <w:rPr>
          <w:rFonts w:eastAsia="Times New Roman" w:cs="Times New Roman"/>
          <w:sz w:val="24"/>
          <w:szCs w:val="24"/>
          <w:lang w:eastAsia="en-GB"/>
        </w:rPr>
        <w:t>[8].</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International trade and interest in investment overseas led to the infamous South Sea Bubble of 1720, where the general public in Britain who had invested in ‘shares’ in the Company of Merchants of Great Britain Trading to the South Seas, realized they had lost their hard earned money in the first stock market overvaluation and subsequent collapse. At one point during the Bubble’s growth the amount invested in companies involved in the South Seas reached £500 million, double the value of all the land in England at the time. Investors did not realize the lack of solid foundation underlying their investment. The bubble in UK information technology stocks in the late 1990s was another example of investor irrationality and the ways in which the markets could be fooled. The Bubble Act followed the bursting of the South Sea Bubble prevented companies from acting as a body corporate and from raising money by selling shares without the legal authority of an Act of Parliament or Royal Charter. Inevitably, this stopped the development of joint stock companies. The South Sea Bubble and the resulting Bubble Act set back the development of joint stock companies for some time</w:t>
      </w:r>
      <w:r w:rsidR="00F40EF1">
        <w:rPr>
          <w:rFonts w:eastAsia="Times New Roman" w:cs="Times New Roman"/>
          <w:sz w:val="24"/>
          <w:szCs w:val="24"/>
          <w:lang w:eastAsia="en-GB"/>
        </w:rPr>
        <w:t xml:space="preserve"> </w:t>
      </w:r>
      <w:r w:rsidRPr="00BD3F5C">
        <w:rPr>
          <w:rFonts w:eastAsia="Times New Roman" w:cs="Times New Roman"/>
          <w:sz w:val="24"/>
          <w:szCs w:val="24"/>
          <w:lang w:eastAsia="en-GB"/>
        </w:rPr>
        <w:t>[9].</w:t>
      </w:r>
    </w:p>
    <w:p w:rsidR="002E0318" w:rsidRPr="00BD3F5C" w:rsidRDefault="002E0318" w:rsidP="008720A1">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‘deed of Settlement Company’ drafted so as to comply with the Bubble Act. This was a combination of trust and association. Its assets were held on trust by trustees but its business was managed by managers or directors. In the early nineteenth century, after a crop of cases on the Bubble Act, an enquiry was carried out into the working of the Act and it was eventually repealed in 1825 at the behest of the Board of Trade. There was nevertheless doubt as to the legality of deed of settlement companies at common law until 1843[10]. The deed of Settlement Company when registered was invested with the qualities and incidents of corporations, although the full effect of this was not recognised until later in the nineteenth century. The effect of this legislation was to shift from privilege of incorporation to the right of incorporation provided the statutory conditions were fulfilled</w:t>
      </w:r>
      <w:r w:rsidR="001841E9">
        <w:rPr>
          <w:rFonts w:eastAsia="Times New Roman" w:cs="Times New Roman"/>
          <w:sz w:val="24"/>
          <w:szCs w:val="24"/>
          <w:lang w:eastAsia="en-GB"/>
        </w:rPr>
        <w:t xml:space="preserve"> </w:t>
      </w:r>
      <w:r w:rsidRPr="00BD3F5C">
        <w:rPr>
          <w:rFonts w:eastAsia="Times New Roman" w:cs="Times New Roman"/>
          <w:sz w:val="24"/>
          <w:szCs w:val="24"/>
          <w:lang w:eastAsia="en-GB"/>
        </w:rPr>
        <w:t>[11].</w:t>
      </w:r>
      <w:r w:rsidR="008720A1" w:rsidRPr="00BD3F5C">
        <w:rPr>
          <w:rFonts w:eastAsia="Times New Roman" w:cs="Times New Roman"/>
          <w:color w:val="0B57A8"/>
          <w:sz w:val="24"/>
          <w:szCs w:val="24"/>
          <w:u w:val="single"/>
          <w:lang w:eastAsia="en-GB"/>
        </w:rPr>
        <w:t xml:space="preserve"> </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It was the development of the railway network in Britain in the 1800s that instigated the development of modern companies as they needed to attract funds to feed their growth. 910 companies were registered from the introduction of the first modern Joint Stock Companies Act in 1844. However, these companies were ‘unlimited’. This implied that their shareholders bore unlimited liability for their investee company’s debts and this was not an effective means of encouraging people to place their monies into the hands of company management. This came with the Limited liability Act of 1855. Limited liability implied that the shareholders could only lose the amount they had invested in the company, rather than be liable for their entire wealth as it happened in unlimited companies. These events represented a major breakthrough for the growth of capitalism. This was introduced as a progressive reform measure aimed at revitalizing British business, as at that time companies were seeking incorporation in the USA and France in preference to the UK in order to obtain limited liability for their shareholders. The number of incorporations rose dramatically</w:t>
      </w:r>
      <w:r w:rsidR="001841E9">
        <w:rPr>
          <w:rFonts w:eastAsia="Times New Roman" w:cs="Times New Roman"/>
          <w:sz w:val="24"/>
          <w:szCs w:val="24"/>
          <w:lang w:eastAsia="en-GB"/>
        </w:rPr>
        <w:t xml:space="preserve"> </w:t>
      </w:r>
      <w:r w:rsidRPr="00BD3F5C">
        <w:rPr>
          <w:rFonts w:eastAsia="Times New Roman" w:cs="Times New Roman"/>
          <w:sz w:val="24"/>
          <w:szCs w:val="24"/>
          <w:lang w:eastAsia="en-GB"/>
        </w:rPr>
        <w:t>[12].</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 xml:space="preserve">In accordance with the Limited Liability Act 1855, a company was required to have not less than three-quarters of its nominal capital subscribed and the word ‘limited’ added to its name. Liability was limited to the nominal value of the share. The 1855 Act was incorporated into the Joint Stock Companies Act 1856 which required an obligation on the part of a company to have and register constitutional documents namely the memorandum and articles of association. In order to encourage smaller business enterprises to register as a company, the 1856 Act removed the restrictions relating to the minimum amount of capital to be contributed by members of a company and also reduced to minimum number of members required for </w:t>
      </w:r>
      <w:r w:rsidR="00C6330A" w:rsidRPr="00C6330A">
        <w:rPr>
          <w:rFonts w:eastAsia="Times New Roman" w:cs="Times New Roman"/>
          <w:b/>
          <w:color w:val="FF0000"/>
          <w:sz w:val="32"/>
          <w:szCs w:val="24"/>
          <w:lang w:eastAsia="en-GB"/>
        </w:rPr>
        <w:t>THE PURPOSE</w:t>
      </w:r>
      <w:r w:rsidRPr="00BD3F5C">
        <w:rPr>
          <w:rFonts w:eastAsia="Times New Roman" w:cs="Times New Roman"/>
          <w:sz w:val="24"/>
          <w:szCs w:val="24"/>
          <w:lang w:eastAsia="en-GB"/>
        </w:rPr>
        <w:t>s of incorporation from 25 to 7 members</w:t>
      </w:r>
      <w:proofErr w:type="gramStart"/>
      <w:r w:rsidRPr="00BD3F5C">
        <w:rPr>
          <w:rFonts w:eastAsia="Times New Roman" w:cs="Times New Roman"/>
          <w:sz w:val="24"/>
          <w:szCs w:val="24"/>
          <w:lang w:eastAsia="en-GB"/>
        </w:rPr>
        <w:t>.[</w:t>
      </w:r>
      <w:proofErr w:type="gramEnd"/>
      <w:r w:rsidRPr="00BD3F5C">
        <w:rPr>
          <w:rFonts w:eastAsia="Times New Roman" w:cs="Times New Roman"/>
          <w:sz w:val="24"/>
          <w:szCs w:val="24"/>
          <w:lang w:eastAsia="en-GB"/>
        </w:rPr>
        <w:t>13]</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After the Limited Liability Act 1855, limited liability was provided as well as a simplification of the registration requirements for incorporation. In UK, two types of Limited Liability Companies i.e. ‘Ltd’ for a private company or ‘PLC’ for a public company attached to the company’s name to signify that the members of this company have limited liability. In other words they are not liable for the debts of the company. ‘Ltd’ or ‘PLC’ refers only to the member’s liability and not that of the company. The company itself is liable for its debts. The creditors cannot go after the member’s assets to satisfy their claim. Legal personality of the company and its members are different. The corporate assets belong to the company and the member’s assets are their own assets not belong to the company.</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1855 and 1856 Acts allowed entrepreneurs to freely set up Limited Liability Companies to get benefits. New businesses were formed and the expansion of the existing businesses took place for e</w:t>
      </w:r>
      <w:r w:rsidR="00082CFB">
        <w:rPr>
          <w:rFonts w:eastAsia="Times New Roman" w:cs="Times New Roman"/>
          <w:sz w:val="24"/>
          <w:szCs w:val="24"/>
          <w:lang w:eastAsia="en-GB"/>
        </w:rPr>
        <w:t>.</w:t>
      </w:r>
      <w:r w:rsidRPr="00BD3F5C">
        <w:rPr>
          <w:rFonts w:eastAsia="Times New Roman" w:cs="Times New Roman"/>
          <w:sz w:val="24"/>
          <w:szCs w:val="24"/>
          <w:lang w:eastAsia="en-GB"/>
        </w:rPr>
        <w:t>g. Vale of Belvoir and Newark Plaster, Cement and Mineral Company Ltd. In 1865, an established gypsum plaster manufacturer and a stockbroker identified an opportunity and immediately started building a large mine and factory which was largest in Europe at the time and financed by an offer to the general public of its shares but due to the Overend Gurney scandal</w:t>
      </w:r>
      <w:r w:rsidR="00082CFB">
        <w:rPr>
          <w:rFonts w:eastAsia="Times New Roman" w:cs="Times New Roman"/>
          <w:sz w:val="24"/>
          <w:szCs w:val="24"/>
          <w:lang w:eastAsia="en-GB"/>
        </w:rPr>
        <w:t xml:space="preserve"> </w:t>
      </w:r>
      <w:r w:rsidRPr="00BD3F5C">
        <w:rPr>
          <w:rFonts w:eastAsia="Times New Roman" w:cs="Times New Roman"/>
          <w:sz w:val="24"/>
          <w:szCs w:val="24"/>
          <w:lang w:eastAsia="en-GB"/>
        </w:rPr>
        <w:t>[14] and the sudden loss of popularity of limited liability the floatation was unsuccessful (Barnes and Firman, 2002)</w:t>
      </w:r>
      <w:proofErr w:type="gramStart"/>
      <w:r w:rsidRPr="00BD3F5C">
        <w:rPr>
          <w:rFonts w:eastAsia="Times New Roman" w:cs="Times New Roman"/>
          <w:sz w:val="24"/>
          <w:szCs w:val="24"/>
          <w:lang w:eastAsia="en-GB"/>
        </w:rPr>
        <w:t>.[</w:t>
      </w:r>
      <w:proofErr w:type="gramEnd"/>
      <w:r w:rsidRPr="00BD3F5C">
        <w:rPr>
          <w:rFonts w:eastAsia="Times New Roman" w:cs="Times New Roman"/>
          <w:sz w:val="24"/>
          <w:szCs w:val="24"/>
          <w:lang w:eastAsia="en-GB"/>
        </w:rPr>
        <w:t>15]</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Limited liability became effective under the 1856 Act. Between 1856 and 1862 nearly 2,500 limited liability Companies were registered and between 1863 and 1866 3,500 more of which 900 offered shares to the general public (Shannon, 1932). By 1865, The Times expressed that ‘the whole country, if not the world, was growing everyday into ‘’one vast mass of impersonalities.’’’ Crucially, it was led by the promotion of limited liability banks and finance companies in which Parisian fashions in finance blossomed.</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As The Times remarked, ‘There arose a new institution………….The Finance Companies or Discount companies, or general Trading Company, or simple bank, emerging from the straight – laced chrysa</w:t>
      </w:r>
      <w:r w:rsidR="00082CFB">
        <w:rPr>
          <w:rFonts w:eastAsia="Times New Roman" w:cs="Times New Roman"/>
          <w:sz w:val="24"/>
          <w:szCs w:val="24"/>
          <w:lang w:eastAsia="en-GB"/>
        </w:rPr>
        <w:t>l</w:t>
      </w:r>
      <w:r w:rsidRPr="00BD3F5C">
        <w:rPr>
          <w:rFonts w:eastAsia="Times New Roman" w:cs="Times New Roman"/>
          <w:sz w:val="24"/>
          <w:szCs w:val="24"/>
          <w:lang w:eastAsia="en-GB"/>
        </w:rPr>
        <w:t>is into the gaudy and volatile butterfly ,in the form of a company limited, and for the express purpose of sharing the profits of trade, [combined] in one bank, he discounter, the railway, the iron master, the merchant, the stock jobber and that specious form of limited liability which induces the hope of profits on a very large sum with the risk of a very small one.’ (May 1866)[16]</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Within the year, the 1856 joint stock companies Act had increased the availability of limited liability to ordinary and small businesses enormously. It not only dispensed with the minimum capital requirements but enabled associations of merely seven to incorporate. The significance of the Act was readily clear but few contemporaries realised how far it would enlarge the scope of the Company legal form.</w:t>
      </w:r>
      <w:r w:rsidR="00082CFB">
        <w:rPr>
          <w:rFonts w:eastAsia="Times New Roman" w:cs="Times New Roman"/>
          <w:sz w:val="24"/>
          <w:szCs w:val="24"/>
          <w:lang w:eastAsia="en-GB"/>
        </w:rPr>
        <w:t xml:space="preserve"> </w:t>
      </w:r>
      <w:r w:rsidRPr="00BD3F5C">
        <w:rPr>
          <w:rFonts w:eastAsia="Times New Roman" w:cs="Times New Roman"/>
          <w:sz w:val="24"/>
          <w:szCs w:val="24"/>
          <w:lang w:eastAsia="en-GB"/>
        </w:rPr>
        <w:t>[17]</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 xml:space="preserve">In spite of its permissiveness, it is proved that the proponents of the Joint Stock Companies Act, 1856 did not intend it to make the newly constituted company legal form available to ‘private’ partnerships or to sole traders. Robert Lowe, while introducing the joint stock companies bill to the Commons stressed that the joint stock companies bill was meant to amend the law relating to joint stock companies only and clearly rejects the extension of limited liability to partnerships and sole traders through the widening of its scope to associations of fewer than seven. He argued that in spite of granting limited liability to such enterprises just incorporate </w:t>
      </w:r>
      <w:proofErr w:type="gramStart"/>
      <w:r w:rsidRPr="00BD3F5C">
        <w:rPr>
          <w:rFonts w:eastAsia="Times New Roman" w:cs="Times New Roman"/>
          <w:sz w:val="24"/>
          <w:szCs w:val="24"/>
          <w:lang w:eastAsia="en-GB"/>
        </w:rPr>
        <w:t>them</w:t>
      </w:r>
      <w:proofErr w:type="gramEnd"/>
      <w:r w:rsidRPr="00BD3F5C">
        <w:rPr>
          <w:rFonts w:eastAsia="Times New Roman" w:cs="Times New Roman"/>
          <w:sz w:val="24"/>
          <w:szCs w:val="24"/>
          <w:lang w:eastAsia="en-GB"/>
        </w:rPr>
        <w:t xml:space="preserve"> and it would render their acts open to ‘constant ambiguity.’ Lowe also did not believe that the company legal form as reconstituted by the joint stock companies’ bill should accept small partnerships or sole traders nor that it would seven meant seven.</w:t>
      </w:r>
      <w:r w:rsidR="00082CFB">
        <w:rPr>
          <w:rFonts w:eastAsia="Times New Roman" w:cs="Times New Roman"/>
          <w:sz w:val="24"/>
          <w:szCs w:val="24"/>
          <w:lang w:eastAsia="en-GB"/>
        </w:rPr>
        <w:t xml:space="preserve"> </w:t>
      </w:r>
      <w:r w:rsidRPr="00BD3F5C">
        <w:rPr>
          <w:rFonts w:eastAsia="Times New Roman" w:cs="Times New Roman"/>
          <w:sz w:val="24"/>
          <w:szCs w:val="24"/>
          <w:lang w:eastAsia="en-GB"/>
        </w:rPr>
        <w:t>[18]</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Alexander Hastie, a staunch opponent of limited liability, argued that the Bill could be used or abused by associations fewer than seven or by small businesses in which an individual merely had to give a single share to six others. Its broad application was also recognised by many outside Parliament.</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Edward Cox, a barrister in his legal guide to the Act was also very critical. In his view, the improvements of the law were ‘at the price of enormous evils’ in which limited liability, ‘immoral in itself’, permitted a trader to speculate for unlimited gain without being liable for more than a small and definite loss.[19]</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Joint Stock Companies Act, 1856 soon precipitated a dramatic change in the legal organisational forms of British Industry. In the late 1860’s, therefore, the Company legal form was still being used by joint stock companies, all joint stock companies were now legal companies it means that the ‘company’ now had both economic and legal form i.e. the company was joint stock company as well as incorporated limited liability.[20]</w:t>
      </w:r>
    </w:p>
    <w:p w:rsidR="002E0318" w:rsidRPr="00BD3F5C" w:rsidRDefault="002E0318" w:rsidP="00D64566">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use of the term ‘private company’</w:t>
      </w:r>
      <w:r w:rsidR="00082CFB">
        <w:rPr>
          <w:rFonts w:eastAsia="Times New Roman" w:cs="Times New Roman"/>
          <w:sz w:val="24"/>
          <w:szCs w:val="24"/>
          <w:lang w:eastAsia="en-GB"/>
        </w:rPr>
        <w:t xml:space="preserve"> </w:t>
      </w:r>
      <w:r w:rsidRPr="00BD3F5C">
        <w:rPr>
          <w:rFonts w:eastAsia="Times New Roman" w:cs="Times New Roman"/>
          <w:sz w:val="24"/>
          <w:szCs w:val="24"/>
          <w:lang w:eastAsia="en-GB"/>
        </w:rPr>
        <w:t>[21] to describe incorporated small partnerships and sole traders was soon institutionalised. The rise of the private company in the 1880s was probably one of the main reasons behind the increase in company registrations. By the 1890s also, the limited company was becoming more common primarily because of the rise of the private company. The major shift to limited company legal form could not take place until ‘’ public opinion had been convinced that a company was as good as a private firm.’’ As the 1886 Royal Commission on the Depression in Trade and Industry revealed that there remained ‘’ some strange virtue surrounding the private firm which a company could not acquire’’, and the unlimited[22], ‘private’ partnership was defended against both the limited company legal form and the joint stock company economic form.[23]</w:t>
      </w:r>
      <w:r w:rsidR="00D64566" w:rsidRPr="00BD3F5C">
        <w:rPr>
          <w:rFonts w:eastAsia="Times New Roman" w:cs="Times New Roman"/>
          <w:sz w:val="24"/>
          <w:szCs w:val="24"/>
          <w:lang w:eastAsia="en-GB"/>
        </w:rPr>
        <w:t xml:space="preserve"> </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threat to the private company and further spread of the company legal form was double-pronged. First, there remained a minority who wished to confine the limited company form to enterprises of the joint stock type and to prevent its use by small partnerships and sole traders. Secondly, spread of the company legal form to economic partnerships and individual proprietorships came as a new breed of company frauds. But as the company legal form came to be utilised by individual proprietorships and economic partnerships seeking limited liability, it was increasingly creditors who became the victims of fraud as firms in financial difficulty incorporated. Critically, these new abuses strengthened the demand that all companies be made to publish an annual balance sheet and possibly even a profit loss account to protect creditors.</w:t>
      </w:r>
      <w:r w:rsidR="00082CFB">
        <w:rPr>
          <w:rFonts w:eastAsia="Times New Roman" w:cs="Times New Roman"/>
          <w:sz w:val="24"/>
          <w:szCs w:val="24"/>
          <w:lang w:eastAsia="en-GB"/>
        </w:rPr>
        <w:t xml:space="preserve"> </w:t>
      </w:r>
      <w:r w:rsidRPr="00BD3F5C">
        <w:rPr>
          <w:rFonts w:eastAsia="Times New Roman" w:cs="Times New Roman"/>
          <w:sz w:val="24"/>
          <w:szCs w:val="24"/>
          <w:lang w:eastAsia="en-GB"/>
        </w:rPr>
        <w:t>[24]</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To tackle such types of problems, the case of Salomon v Salomon</w:t>
      </w:r>
      <w:r w:rsidR="008720A1">
        <w:rPr>
          <w:rFonts w:eastAsia="Times New Roman" w:cs="Times New Roman"/>
          <w:sz w:val="24"/>
          <w:szCs w:val="24"/>
          <w:lang w:eastAsia="en-GB"/>
        </w:rPr>
        <w:t xml:space="preserve"> </w:t>
      </w:r>
      <w:r w:rsidRPr="00BD3F5C">
        <w:rPr>
          <w:rFonts w:eastAsia="Times New Roman" w:cs="Times New Roman"/>
          <w:sz w:val="24"/>
          <w:szCs w:val="24"/>
          <w:lang w:eastAsia="en-GB"/>
        </w:rPr>
        <w:t>[25] came to help. This case also established the applicability of the registered company as an acceptable and valid form of business, medium or small businesses.</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In this case, A. Salomon was a leather boot and shoe manufacturer. He had a wife, a daughter and five sons. Four of the sons with him and they wanted to be partners so, he turned the business into a limited company. The wife and five eldest children became subscribers and two eldest sons also directors. Mr. Salomon took 20,001 of the company’s 20,007 shares. The price fixed by the contract was £39,000 and the business was transferred on June 1, 1892. Purchase money for the business was paid, totalling £20,000 to Mr. Salomon. £10,000 was paid in debentures to Mr. Salomon as well. But soon after Mr. Salomon incorporated his business, there was economic trouble. Strikes in the shoe industry led the government. His warehouse was full of unsold stock. He and his wife lent the company money. He cancelled his debentures but the company needed more money. They sought £5000 from Edmund Broderip and gave him a debenture, the loan with 10% interest and secured by a floating charge. The business still failed and they could not keep up with the interest payments. In October 1893, Mr Broderip sued to enforce his security. The company was put into liquidation. Mr. Broderip was paid but other unsecured creditors were not. The liquidator met Broderip’s claim with a counter claim, joining Salomon as a defendant that the debentures were invalid for being issued as fraud. The liquidator claimed all the money back that was transferred when the company was started, agreement for the business transfer was rescinded, debentures were cancelled and repayment of the balance of the purchase money</w:t>
      </w:r>
      <w:r w:rsidR="00082CFB">
        <w:rPr>
          <w:rFonts w:eastAsia="Times New Roman" w:cs="Times New Roman"/>
          <w:sz w:val="24"/>
          <w:szCs w:val="24"/>
          <w:lang w:eastAsia="en-GB"/>
        </w:rPr>
        <w:t xml:space="preserve"> </w:t>
      </w:r>
      <w:r w:rsidRPr="00BD3F5C">
        <w:rPr>
          <w:rFonts w:eastAsia="Times New Roman" w:cs="Times New Roman"/>
          <w:sz w:val="24"/>
          <w:szCs w:val="24"/>
          <w:lang w:eastAsia="en-GB"/>
        </w:rPr>
        <w:t>[26].</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In this case, In the Court of Chancery, Vaughan William J. argued that the signatories of the memorandum were mere dummies and the business was Salomon’s, the Company ‘’a mere alias’’ and his agent and that he was bound to indemnify it. Salomon’s intention was to take the profits without running the risk of the debts and expenses and so one had to consider the position of the unsecured trading creditors. He further declared that the Company was Salomon’s agent, ‘’a mere nominee’’, and as such had a right of indemnity against Salomon for the debts which had been ‘’contracted at his bidding and for his benefit’’. There was no allegation of fraud,’’ but to allow a man who carried on business under another name to set up a debenture in priority to the claims of the creditors of the company would have the effect of defeating and delaying his creditors. There must be an implied agreement by Salomon to indemnify the company’’. The creditors of the company could have sued Salomon directly.</w:t>
      </w:r>
      <w:r w:rsidR="003D4A56">
        <w:rPr>
          <w:rFonts w:eastAsia="Times New Roman" w:cs="Times New Roman"/>
          <w:sz w:val="24"/>
          <w:szCs w:val="24"/>
          <w:lang w:eastAsia="en-GB"/>
        </w:rPr>
        <w:t xml:space="preserve"> </w:t>
      </w:r>
      <w:r w:rsidRPr="00BD3F5C">
        <w:rPr>
          <w:rFonts w:eastAsia="Times New Roman" w:cs="Times New Roman"/>
          <w:sz w:val="24"/>
          <w:szCs w:val="24"/>
          <w:lang w:eastAsia="en-GB"/>
        </w:rPr>
        <w:t>[27]</w:t>
      </w:r>
    </w:p>
    <w:p w:rsidR="002E0318" w:rsidRPr="00BD3F5C" w:rsidRDefault="002E0318" w:rsidP="00BD3F5C">
      <w:pPr>
        <w:spacing w:after="100" w:afterAutospacing="1" w:line="240" w:lineRule="auto"/>
        <w:jc w:val="both"/>
        <w:rPr>
          <w:rFonts w:eastAsia="Times New Roman" w:cs="Times New Roman"/>
          <w:sz w:val="24"/>
          <w:szCs w:val="24"/>
          <w:lang w:eastAsia="en-GB"/>
        </w:rPr>
      </w:pPr>
      <w:r w:rsidRPr="00BD3F5C">
        <w:rPr>
          <w:rFonts w:eastAsia="Times New Roman" w:cs="Times New Roman"/>
          <w:sz w:val="24"/>
          <w:szCs w:val="24"/>
          <w:lang w:eastAsia="en-GB"/>
        </w:rPr>
        <w:t>The Court of Appeal upheld the decision in the Broderip v Salomon. In his Judgment, Lindley L. J. recognised the importance of the appeal given the increasing number of one-man companies but insisted that an attempt had been made ‘’to use the machinery of the Companies Act, 1862 for a purpose for which it was never intended.’’ Parliament had never considered an extension of limited liability to sole traders or to less than seven. Admittedly, there were seven members in the present case, but ‘’it is manifest that six of them are members simply in order to enable the seventh himself to carry on business with limited liability’’. “The object of the whole arrangement”, he said, “is to do the very thing which the legislature intended not to be done”. It was a corporation “created for an illegitimate purpose”, “to attain a result not permitted by law”. He was also of the view that the relationship between Salomon and the Company was not that of principal and agent but that of trustee and cestui que trust</w:t>
      </w:r>
      <w:r w:rsidR="003D4A56">
        <w:rPr>
          <w:rFonts w:eastAsia="Times New Roman" w:cs="Times New Roman"/>
          <w:sz w:val="24"/>
          <w:szCs w:val="24"/>
          <w:lang w:eastAsia="en-GB"/>
        </w:rPr>
        <w:t xml:space="preserve"> </w:t>
      </w:r>
      <w:r w:rsidRPr="00BD3F5C">
        <w:rPr>
          <w:rFonts w:eastAsia="Times New Roman" w:cs="Times New Roman"/>
          <w:sz w:val="24"/>
          <w:szCs w:val="24"/>
          <w:lang w:eastAsia="en-GB"/>
        </w:rPr>
        <w:t>[28] and the creditors could not sue Salomon directly but had to reach him through the company. The decision, he asserted, would leave many small companies “quite unaffected”, but “there may possibly be some companies which, like this, are mere devices to enable a man to carry on trade with limited liability, to incur debts in the name of a registered company, and to sweep off the company’s assets by means of debentures, which he has caused to be issued to himself in order to defeat the claims of those who have been incautious enough to trade with the company without perceiving the trap which he has laid for them”.[29] Lindley LJ held that the Company was a trustee for Mr. Salomon, and as such was bound to indemnify the Company’s debts. Lopes L.J. and Kay L.J. variously described the Company as a myth and a fiction and said that the incorporation of the business by Mr. Salomon had been a mere scheme to enable him to carry on as before but with limited liability. The implications of the Court of Appeal decision for one-man and other private companies were much more serious than those of the lower court verdict</w:t>
      </w:r>
      <w:proofErr w:type="gramStart"/>
      <w:r w:rsidRPr="00BD3F5C">
        <w:rPr>
          <w:rFonts w:eastAsia="Times New Roman" w:cs="Times New Roman"/>
          <w:sz w:val="24"/>
          <w:szCs w:val="24"/>
          <w:lang w:eastAsia="en-GB"/>
        </w:rPr>
        <w:t>.[</w:t>
      </w:r>
      <w:proofErr w:type="gramEnd"/>
      <w:r w:rsidRPr="00BD3F5C">
        <w:rPr>
          <w:rFonts w:eastAsia="Times New Roman" w:cs="Times New Roman"/>
          <w:sz w:val="24"/>
          <w:szCs w:val="24"/>
          <w:lang w:eastAsia="en-GB"/>
        </w:rPr>
        <w:t>30]</w:t>
      </w:r>
    </w:p>
    <w:p w:rsidR="00536702" w:rsidRPr="00BD3F5C" w:rsidRDefault="002E0318" w:rsidP="00BD3F5C">
      <w:pPr>
        <w:spacing w:after="100" w:afterAutospacing="1" w:line="240" w:lineRule="auto"/>
        <w:jc w:val="both"/>
        <w:rPr>
          <w:b/>
          <w:color w:val="FF0000"/>
          <w:sz w:val="24"/>
          <w:szCs w:val="24"/>
        </w:rPr>
      </w:pPr>
      <w:r w:rsidRPr="00BD3F5C">
        <w:rPr>
          <w:rFonts w:eastAsia="Times New Roman" w:cs="Times New Roman"/>
          <w:sz w:val="24"/>
          <w:szCs w:val="24"/>
          <w:lang w:eastAsia="en-GB"/>
        </w:rPr>
        <w:t xml:space="preserve">The Salomon decision was appealed and proceeded to the House of Lords and the Law Lords reversed the two earlier decisions. In this appeal, all the six judges interpret the relevant sections of the 1862 Act. The Act required seven members holding at least one share each for a company to be formed; it said nothing about their being ‘substantially’ or ‘beneficially’ interested, nor that they should not be trustees or should have ‘a mind of their own’. Lord </w:t>
      </w:r>
      <w:r w:rsidR="003D4A56" w:rsidRPr="00BD3F5C">
        <w:rPr>
          <w:rFonts w:eastAsia="Times New Roman" w:cs="Times New Roman"/>
          <w:sz w:val="24"/>
          <w:szCs w:val="24"/>
          <w:lang w:eastAsia="en-GB"/>
        </w:rPr>
        <w:t>Herschel’s</w:t>
      </w:r>
      <w:r w:rsidRPr="00BD3F5C">
        <w:rPr>
          <w:rFonts w:eastAsia="Times New Roman" w:cs="Times New Roman"/>
          <w:sz w:val="24"/>
          <w:szCs w:val="24"/>
          <w:lang w:eastAsia="en-GB"/>
        </w:rPr>
        <w:t xml:space="preserve"> comments were representative: “I know of no means of ascertaining what is the intent and meaning of the Companies Act except by examining its provisions and finding what regulations it has imposed as a condition of trading with limited liability. The memorandum must state the amount of the capital of the Company and the number of shares into which it is divided, and no subscriber is to take less than one share. The shares may, however, be of as small a nominal value as those who form the company please; the statute prescribes no minimum; and though there must be seven shareholders, it is enough if each of them holds one share, however small its denomination. The Legislature, therefore, clearly sanctions a scheme by which all the shares except six are owned by a single individual and those six are of a value little more than nominal………..While Companies such as Salomon and Co. may not, he said, have been contemplated by the legislature when the Act authorising limited liability was passed, it made no difference: ‘’we have to interpret the law, not make help with your dissertation</w:t>
      </w:r>
    </w:p>
    <w:p w:rsidR="0058277D" w:rsidRPr="00577B42" w:rsidRDefault="00984C6E" w:rsidP="00577B42">
      <w:pPr>
        <w:shd w:val="clear" w:color="auto" w:fill="FFFFFF"/>
        <w:spacing w:after="100" w:afterAutospacing="1" w:line="240" w:lineRule="auto"/>
        <w:jc w:val="both"/>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(8) </w:t>
      </w:r>
      <w:r w:rsidR="0058277D" w:rsidRPr="00577B42">
        <w:rPr>
          <w:rFonts w:eastAsia="Times New Roman" w:cs="Segoe UI"/>
          <w:b/>
          <w:color w:val="FF0000"/>
          <w:kern w:val="36"/>
          <w:sz w:val="24"/>
          <w:szCs w:val="24"/>
          <w:lang w:eastAsia="en-GB"/>
        </w:rPr>
        <w:t xml:space="preserve">Petrochemical </w:t>
      </w:r>
      <w:r w:rsidR="00C5140A" w:rsidRPr="00577B42">
        <w:rPr>
          <w:rFonts w:eastAsia="Times New Roman" w:cs="Segoe UI"/>
          <w:b/>
          <w:color w:val="FF0000"/>
          <w:kern w:val="36"/>
          <w:sz w:val="24"/>
          <w:szCs w:val="24"/>
          <w:lang w:eastAsia="en-GB"/>
        </w:rPr>
        <w:t>a</w:t>
      </w:r>
      <w:r w:rsidR="0058277D" w:rsidRPr="00577B42">
        <w:rPr>
          <w:rFonts w:eastAsia="Times New Roman" w:cs="Segoe UI"/>
          <w:b/>
          <w:color w:val="FF0000"/>
          <w:kern w:val="36"/>
          <w:sz w:val="24"/>
          <w:szCs w:val="24"/>
          <w:lang w:eastAsia="en-GB"/>
        </w:rPr>
        <w:t xml:space="preserve">nd Cement Sectors </w:t>
      </w:r>
      <w:r w:rsidR="00C5140A" w:rsidRPr="00577B42">
        <w:rPr>
          <w:rFonts w:eastAsia="Times New Roman" w:cs="Segoe UI"/>
          <w:b/>
          <w:color w:val="FF0000"/>
          <w:kern w:val="36"/>
          <w:sz w:val="24"/>
          <w:szCs w:val="24"/>
          <w:lang w:eastAsia="en-GB"/>
        </w:rPr>
        <w:t>i</w:t>
      </w:r>
      <w:r w:rsidR="0058277D" w:rsidRPr="00577B42">
        <w:rPr>
          <w:rFonts w:eastAsia="Times New Roman" w:cs="Segoe UI"/>
          <w:b/>
          <w:color w:val="FF0000"/>
          <w:kern w:val="36"/>
          <w:sz w:val="24"/>
          <w:szCs w:val="24"/>
          <w:lang w:eastAsia="en-GB"/>
        </w:rPr>
        <w:t>n Saudi Listed Companies</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Corporate governance is very important to the success of any organization and has become one of the most common subjects these days in all companies and organizations around the world. This happened after the collapse of many companies in the last two decades; such as Enron, WorldCom, Bank Credit and Commerce International, and Barlow Clows and Levitt. All these financial crises have forced all companies around the world to think seriously about corporate governance since it is one of the main pillars that the economic units stand on. Furthermore, Kay and Silbertson</w:t>
      </w:r>
      <w:r w:rsidR="00ED3D74">
        <w:rPr>
          <w:rFonts w:eastAsia="Times New Roman" w:cs="Segoe UI"/>
          <w:color w:val="212529"/>
          <w:sz w:val="24"/>
          <w:szCs w:val="24"/>
          <w:lang w:eastAsia="en-GB"/>
        </w:rPr>
        <w:t xml:space="preserve"> </w:t>
      </w:r>
      <w:r w:rsidRPr="00577B42">
        <w:rPr>
          <w:rFonts w:eastAsia="Times New Roman" w:cs="Segoe UI"/>
          <w:color w:val="212529"/>
          <w:sz w:val="24"/>
          <w:szCs w:val="24"/>
          <w:lang w:eastAsia="en-GB"/>
        </w:rPr>
        <w:t>(1995) stated that the corporate fraud and corporate collapse around the world led to increase the attention on the term of corporate governance.</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However, there is no specific definition for corporate governance. OECD (Organization for Economic Co-operation and Development) Defined corporate governance as:</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“A set of relationships between a company’s management, its board, its shareholders and other stakeholders. It also provides the structure through which the objectives of the company are set, and the means of attaining those objectives and monitoring performance are determined”.</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However, there are a large amount of studies that are related to corporate governance and firms’ performance which focused on developed countries while a few amount of studies focused on developing and emerging countries so that make the researcher to study some of the Saudi listed firms as they considered this country as emerging economy to contribute to the previous studies and to determine if there is any relationship between corporate governance with firms performance as it has not been explored yet from my best knowledge.</w:t>
      </w:r>
    </w:p>
    <w:p w:rsidR="0058277D" w:rsidRPr="00577B42" w:rsidRDefault="0058277D"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Purpose of this study:</w:t>
      </w:r>
    </w:p>
    <w:p w:rsidR="0058277D" w:rsidRPr="00577B42" w:rsidRDefault="00C6330A" w:rsidP="00577B42">
      <w:pPr>
        <w:shd w:val="clear" w:color="auto" w:fill="FFFFFF"/>
        <w:spacing w:after="100" w:afterAutospacing="1" w:line="240" w:lineRule="auto"/>
        <w:jc w:val="both"/>
        <w:rPr>
          <w:rFonts w:eastAsia="Times New Roman" w:cs="Segoe UI"/>
          <w:color w:val="212529"/>
          <w:sz w:val="24"/>
          <w:szCs w:val="24"/>
          <w:lang w:eastAsia="en-GB"/>
        </w:rPr>
      </w:pPr>
      <w:r w:rsidRPr="00C6330A">
        <w:rPr>
          <w:rFonts w:eastAsia="Times New Roman" w:cs="Segoe UI"/>
          <w:b/>
          <w:color w:val="FF0000"/>
          <w:sz w:val="32"/>
          <w:szCs w:val="24"/>
          <w:lang w:eastAsia="en-GB"/>
        </w:rPr>
        <w:t>THE PURPOSE</w:t>
      </w:r>
      <w:r w:rsidR="0058277D" w:rsidRPr="00577B42">
        <w:rPr>
          <w:rFonts w:eastAsia="Times New Roman" w:cs="Segoe UI"/>
          <w:color w:val="212529"/>
          <w:sz w:val="24"/>
          <w:szCs w:val="24"/>
          <w:lang w:eastAsia="en-GB"/>
        </w:rPr>
        <w:t xml:space="preserve"> of this study is to examine the relationship between two corporate governance mechanisms (board size and CEO status) with firm performance. Therefore, this study will seek to answer the following question:</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What is the relationship between the two corporate governance mechanisms (Board size and CEO status) with the firm performance?</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However, there are two main contributions of this study as follow: First, this study will contribute to the existing debate about the relationship between corporate governance and firm performance and these different views will make us care about studying the Saudi environment because it is considered one of the emerging countries. Second, as for my best knowledge, there are few studies about corporate governance that have been conducted so far on the Saudi listed companies. Therefore, this study will aim to reduce the knowledge gap about corporate governance in Saudi Arabia.</w:t>
      </w:r>
    </w:p>
    <w:p w:rsidR="0058277D" w:rsidRPr="00577B42" w:rsidRDefault="0058277D"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Limitation:</w:t>
      </w:r>
    </w:p>
    <w:p w:rsidR="0058277D" w:rsidRPr="00577B42" w:rsidRDefault="0058277D" w:rsidP="00577B42">
      <w:pPr>
        <w:shd w:val="clear" w:color="auto" w:fill="FFFFFF"/>
        <w:spacing w:after="100" w:afterAutospacing="1" w:line="240" w:lineRule="auto"/>
        <w:jc w:val="both"/>
        <w:rPr>
          <w:rFonts w:eastAsia="Times New Roman" w:cs="Segoe UI"/>
          <w:sz w:val="24"/>
          <w:szCs w:val="24"/>
          <w:lang w:eastAsia="en-GB"/>
        </w:rPr>
      </w:pPr>
      <w:r w:rsidRPr="00577B42">
        <w:rPr>
          <w:rFonts w:eastAsia="Times New Roman" w:cs="Segoe UI"/>
          <w:color w:val="212529"/>
          <w:sz w:val="24"/>
          <w:szCs w:val="24"/>
          <w:lang w:eastAsia="en-GB"/>
        </w:rPr>
        <w:t>As any other study, this one does have limitations. The main one is that the studies and information available regarding to this subject in Saudi Arabia is very limited. Therefore, the researcher will try his best to cover this point from the Literature Review. The second limitation of this study is that it will only focus on the petrochemical and cement industries in the Saudi Stock Market which means that this research will not provide a comprehensive investigation about other sectors in the Saudi Stock Market. Finally, the data that will be collected for this study is limited and will cover the data for only 2009.</w:t>
      </w:r>
      <w:r w:rsidR="00577B42" w:rsidRPr="00577B42">
        <w:rPr>
          <w:rFonts w:eastAsia="Times New Roman" w:cs="Segoe UI"/>
          <w:sz w:val="24"/>
          <w:szCs w:val="24"/>
          <w:lang w:eastAsia="en-GB"/>
        </w:rPr>
        <w:t xml:space="preserve"> </w:t>
      </w:r>
    </w:p>
    <w:p w:rsidR="0058277D" w:rsidRPr="00577B42" w:rsidRDefault="0058277D"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Literature Review:</w:t>
      </w:r>
    </w:p>
    <w:p w:rsidR="0058277D" w:rsidRPr="00577B42" w:rsidRDefault="0058277D"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Theoretically:</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An agency theory suggests that a large board eliminates the corporate value. Therefore, the board size should be limited in order to make the relationship between the managements and shareholders good and smooth. By limiting the board size we limit the disagreements between the two parties: managements and shareholders. Proponents of small boards agree that limiting the board size to a certain level helps to improve the firm performance. Furthermore, it is easy to organize and manage a small board because the people in a limiting board size are more joint and unified which make it easier to deal with the top management and plays the role of controlling effectively. Jensen (1993) emphasizes that a small board can help to improve the firm’s performance.</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CEO Duality</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CEO duality means that the firm’s CEO also serves as the chairman on the board. In theory, the separation of the two positions will reduce agency costs in corporations and increase the performance. Accordingly, proponents of the separation between two positions agree that the chairman of the board should be independent from the management. They also raise the concern of how boards of directors can be effective monitors when the CEO is the chairman of the board (Lorsch and MacIver 1989; Jensen 1993). Thus, this dual role suggests a certain conflict of interest between the management and the board.</w:t>
      </w:r>
    </w:p>
    <w:p w:rsidR="0058277D" w:rsidRPr="00577B42" w:rsidRDefault="0058277D"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Empirical result:</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There is a huge debate focusing on the relationship between corporate governance and firm performance. For example, Guest (2009) found a statistically negative relationship between board size and firms’ performance by using 2,746 UK listed Firms from 1981 to 2002. In addition, Haniffa and Hudaib (2006) found a negative correlation between board size and firms’ performance by using 347 Malaysian Firms measured by Tobin’s Q. On the other hand; Sanda et al. (2005) found a positive relationship between board size and profitability by using a sample of 93 Nigerian listed firms measured by (ROE).</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Kiel and Nicholson (2003) found a positive correlation between CEO duality and firms’ performance with a sample of Australian listed firms measured by Tobin’s Q. In addition, Sanda et al. (2005) found that the firms performed better when they separate the position of the CEO and the Chairman of the board. However, Haniffa and Hudaib (2006) found no significant correlation between CEO duality and performance measured by Tobin’s Q.</w:t>
      </w:r>
    </w:p>
    <w:p w:rsidR="0058277D" w:rsidRPr="00577B42" w:rsidRDefault="0058277D"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Research Methodology:</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In this study the researcher will use the data that will be collected from the annual report and Tadawul (TDWL) website of 23 Saudi listed companies on the Saudi Stock Exchange on 2009. The main focus, however, would be the Petrochemical and Cement Industries in Saudi Stock Market. The choosing of the petrochemical and cement sectors because these two industries plays a major role in the economy of Saudi Arabia. However, the firm performance of these listed companies will be measured by using two ratios which are:</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Return on equity (ROE)</w:t>
      </w:r>
      <w:r w:rsidR="00577B42">
        <w:rPr>
          <w:rFonts w:eastAsia="Times New Roman" w:cs="Segoe UI"/>
          <w:color w:val="212529"/>
          <w:sz w:val="24"/>
          <w:szCs w:val="24"/>
          <w:lang w:eastAsia="en-GB"/>
        </w:rPr>
        <w:t xml:space="preserve"> </w:t>
      </w:r>
      <w:r w:rsidRPr="00577B42">
        <w:rPr>
          <w:rFonts w:eastAsia="Times New Roman" w:cs="Segoe UI"/>
          <w:color w:val="212529"/>
          <w:sz w:val="24"/>
          <w:szCs w:val="24"/>
          <w:lang w:eastAsia="en-GB"/>
        </w:rPr>
        <w:t>= net profit/ total equity</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Profit margin (PM)</w:t>
      </w:r>
      <w:r w:rsidR="00577B42">
        <w:rPr>
          <w:rFonts w:eastAsia="Times New Roman" w:cs="Segoe UI"/>
          <w:color w:val="212529"/>
          <w:sz w:val="24"/>
          <w:szCs w:val="24"/>
          <w:lang w:eastAsia="en-GB"/>
        </w:rPr>
        <w:t xml:space="preserve"> </w:t>
      </w:r>
      <w:r w:rsidRPr="00577B42">
        <w:rPr>
          <w:rFonts w:eastAsia="Times New Roman" w:cs="Segoe UI"/>
          <w:color w:val="212529"/>
          <w:sz w:val="24"/>
          <w:szCs w:val="24"/>
          <w:lang w:eastAsia="en-GB"/>
        </w:rPr>
        <w:t>= net profit/ revenue*100</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The research methodology will depend on the experimental method. The experimental method is chosen because this study is an empirical research and uses mainly quantitative data to investigate the correlation and relationship between two dependent variables (Return on Equity and Profit Margin) and two independent variables (corporate governance mechanisms (Board size and CEO duality)).</w:t>
      </w:r>
    </w:p>
    <w:p w:rsidR="0058277D" w:rsidRPr="00577B42" w:rsidRDefault="0058277D"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The main data analysis technique in this study is the regression analysis which seeks to test the relationship between one dependent variable and two independent variables as stated above by using the SPSS package. However, this study will follow the Kajola, Sunday study by adopting the economic model that he used to study the Nigerian companies and the economic model used in the study which was found in previous studies and is given as:</w:t>
      </w:r>
    </w:p>
    <w:p w:rsidR="001414FF" w:rsidRPr="00577B42" w:rsidRDefault="001414FF" w:rsidP="00577B42">
      <w:pPr>
        <w:shd w:val="clear" w:color="auto" w:fill="FFFFFF"/>
        <w:spacing w:after="100" w:afterAutospacing="1" w:line="240" w:lineRule="auto"/>
        <w:jc w:val="both"/>
        <w:outlineLvl w:val="0"/>
        <w:rPr>
          <w:rFonts w:eastAsia="Times New Roman" w:cs="Segoe UI"/>
          <w:color w:val="212529"/>
          <w:kern w:val="36"/>
          <w:sz w:val="24"/>
          <w:szCs w:val="24"/>
          <w:lang w:eastAsia="en-GB"/>
        </w:rPr>
      </w:pPr>
      <w:r w:rsidRPr="00577B42">
        <w:rPr>
          <w:rFonts w:eastAsia="Times New Roman" w:cs="Segoe UI"/>
          <w:color w:val="212529"/>
          <w:kern w:val="36"/>
          <w:sz w:val="24"/>
          <w:szCs w:val="24"/>
          <w:lang w:eastAsia="en-GB"/>
        </w:rPr>
        <w:t>A Preliminary Literature Review of Attitudes to HRT</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A preliminary literature search was conducted to access the feasibility of the topic and develop further insight into it. This comprehensive search using various databases and the internet brought in many</w:t>
      </w:r>
      <w:r w:rsidR="00775E19">
        <w:rPr>
          <w:rFonts w:eastAsia="Times New Roman" w:cs="Segoe UI"/>
          <w:color w:val="212529"/>
          <w:sz w:val="24"/>
          <w:szCs w:val="24"/>
          <w:lang w:eastAsia="en-GB"/>
        </w:rPr>
        <w:t xml:space="preserve"> </w:t>
      </w:r>
      <w:r w:rsidRPr="00577B42">
        <w:rPr>
          <w:rFonts w:eastAsia="Times New Roman" w:cs="Segoe UI"/>
          <w:color w:val="212529"/>
          <w:sz w:val="24"/>
          <w:szCs w:val="24"/>
          <w:lang w:eastAsia="en-GB"/>
        </w:rPr>
        <w:t>studies and information on the journey of HRT and the various aspects attached to the risk of</w:t>
      </w:r>
      <w:r w:rsidR="00775E19">
        <w:rPr>
          <w:rFonts w:eastAsia="Times New Roman" w:cs="Segoe UI"/>
          <w:color w:val="212529"/>
          <w:sz w:val="24"/>
          <w:szCs w:val="24"/>
          <w:lang w:eastAsia="en-GB"/>
        </w:rPr>
        <w:t xml:space="preserve"> </w:t>
      </w:r>
      <w:r w:rsidRPr="00577B42">
        <w:rPr>
          <w:rFonts w:eastAsia="Times New Roman" w:cs="Segoe UI"/>
          <w:color w:val="212529"/>
          <w:sz w:val="24"/>
          <w:szCs w:val="24"/>
          <w:lang w:eastAsia="en-GB"/>
        </w:rPr>
        <w:t>breast cancer.</w:t>
      </w:r>
    </w:p>
    <w:p w:rsidR="001414FF" w:rsidRPr="00577B42" w:rsidRDefault="001414FF"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EARLY HRT RESEARCH</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HRT has been used for its curative effects on menopausal symptoms since the late 1920s. The scientist then linked HRT not only to its benefits in treating menopausal symptoms but also for its beneficial effect in the psychotic manifestation of menopause (Sevringhaus, 1935). It was not much later that the speculation of a relation between HRT and its carcinogenic effect began. Some prospective studies were conducted to examine this issue, concluding that no significant relation exists between the two (Greene and Brewer, 1941).</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This view was followed by a study conducted later in 1962 by Wilson et al. to evaluate the possible carcinogenic effect of hormone therapy on the breast, which concluded that HRT does not induce cancer but is actually a protective factor (Wilson, 1962). He further emphasized his opinion in his best seller book “Feminine Forever” published in 1966 in which he gave the preventive status to menopause (Pinn, 2006;</w:t>
      </w:r>
      <w:r w:rsidR="00775E19">
        <w:rPr>
          <w:rFonts w:eastAsia="Times New Roman" w:cs="Segoe UI"/>
          <w:color w:val="212529"/>
          <w:sz w:val="24"/>
          <w:szCs w:val="24"/>
          <w:lang w:eastAsia="en-GB"/>
        </w:rPr>
        <w:t xml:space="preserve"> </w:t>
      </w:r>
      <w:r w:rsidRPr="00577B42">
        <w:rPr>
          <w:rFonts w:eastAsia="Times New Roman" w:cs="Segoe UI"/>
          <w:color w:val="212529"/>
          <w:sz w:val="24"/>
          <w:szCs w:val="24"/>
          <w:lang w:eastAsia="en-GB"/>
        </w:rPr>
        <w:t>Wilson, 1966).</w:t>
      </w:r>
    </w:p>
    <w:p w:rsidR="001414FF" w:rsidRPr="00577B42" w:rsidRDefault="001414FF"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RECENT HRT RESEARCH</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This practice of prescribing HRT for numerous ailments associated with menopause was supported by numerous observational and epidemiological studies conducted world</w:t>
      </w:r>
      <w:r w:rsidR="00775E19">
        <w:rPr>
          <w:rFonts w:eastAsia="Times New Roman" w:cs="Segoe UI"/>
          <w:color w:val="212529"/>
          <w:sz w:val="24"/>
          <w:szCs w:val="24"/>
          <w:lang w:eastAsia="en-GB"/>
        </w:rPr>
        <w:t>-</w:t>
      </w:r>
      <w:r w:rsidRPr="00577B42">
        <w:rPr>
          <w:rFonts w:eastAsia="Times New Roman" w:cs="Segoe UI"/>
          <w:color w:val="212529"/>
          <w:sz w:val="24"/>
          <w:szCs w:val="24"/>
          <w:lang w:eastAsia="en-GB"/>
        </w:rPr>
        <w:t>wide in the 1980’s and 1990’s (Pinn, 2006). In a study conducted to evaluate the effect of use of HRT on bone loss and reduction in fracture risk it was reported that HRT helped to reverse the osteoporotic change of menopause although the extent was unclear. They added that this was associated with a possible increase in breast cancer risk (Compston, 1997). Later, the findings of these studies was reviewed by an expert panel who concluded that HRT had little or no benefit in treating ailments other than menopause for which it is primarily prescribed (Lawrence, 2002).</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Around 100 epidemiological studies have linked the use of HRT to the increased risk of breast cancer (Beral et al, 1999). Earlier in the wake of a possible link between the use of HRT and the elevated risk of breast cancer, a large-scale reanalysis of 51 studies with data on 52,705 women with breast cancer and 108,411 women without breast cancer from 21 countries was conducted with the objective to evaluate this possible association. This study concluded that breast cancer risk increases with increasing duration of HRT treatment, however there was a need of more information on use of types of HRT (Collaborative group, 1997).</w:t>
      </w:r>
    </w:p>
    <w:p w:rsidR="001414FF" w:rsidRPr="00577B42" w:rsidRDefault="001414FF" w:rsidP="00577B42">
      <w:pPr>
        <w:shd w:val="clear" w:color="auto" w:fill="FFFFFF"/>
        <w:spacing w:after="100" w:afterAutospacing="1" w:line="240" w:lineRule="auto"/>
        <w:jc w:val="both"/>
        <w:rPr>
          <w:rFonts w:eastAsia="Times New Roman" w:cs="Segoe UI"/>
          <w:sz w:val="24"/>
          <w:szCs w:val="24"/>
          <w:lang w:eastAsia="en-GB"/>
        </w:rPr>
      </w:pPr>
      <w:r w:rsidRPr="00577B42">
        <w:rPr>
          <w:rFonts w:eastAsia="Times New Roman" w:cs="Segoe UI"/>
          <w:color w:val="212529"/>
          <w:sz w:val="24"/>
          <w:szCs w:val="24"/>
          <w:lang w:eastAsia="en-GB"/>
        </w:rPr>
        <w:t>The Women’s Health Initiative (WHI) (Rossouw et al, 2002) conducted a landmark randomized controlled clinical trial in the United States to evaluate the risk and benefits associated with the use of HRT. This study was ended prematurely, as the primary outcome was coronary heart disease (CHD) and the adverse outcome was invasive breast cancer. Stroke, pulmonary embolism (PE), endometrial cancer, colorectal cancer, hip fracture, and death due to other causes were also outcomes of this study (Rossouw et al. 2002).</w:t>
      </w:r>
      <w:r w:rsidR="00577B42" w:rsidRPr="00577B42">
        <w:rPr>
          <w:rFonts w:eastAsia="Times New Roman" w:cs="Segoe UI"/>
          <w:sz w:val="24"/>
          <w:szCs w:val="24"/>
          <w:lang w:eastAsia="en-GB"/>
        </w:rPr>
        <w:t xml:space="preserve"> </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Cancer Research UK and the National Health Service (NHS) Breast Screening program jointly conducted the ‘million women’ study in 2003 to investigate the link between HRT and Breast Cancer. This study enrolled one million women between the age of 50 to 64 years for a span of 5 years and 47 % of them had used HRT (Banks et al, 1999). This study concluded that there was little or virtually no increase in the relative risk of breast cancer in past users of HRT compared to current users and that current use of HRT is nullified within 5 years of stopping the use of HRT (Banks et al, 2003).</w:t>
      </w:r>
    </w:p>
    <w:p w:rsidR="001414FF" w:rsidRPr="00577B42" w:rsidRDefault="001414FF"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IMPACT OF HRT RESEARCH</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 xml:space="preserve">The landmark WHI (Rossouw et al, 2002) and million women (Banks et al, 2003) studies brought about considerable changes in the way women patients and </w:t>
      </w:r>
      <w:r w:rsidR="000A14F2" w:rsidRPr="00577B42">
        <w:rPr>
          <w:rFonts w:eastAsia="Times New Roman" w:cs="Segoe UI"/>
          <w:color w:val="212529"/>
          <w:sz w:val="24"/>
          <w:szCs w:val="24"/>
          <w:lang w:eastAsia="en-GB"/>
        </w:rPr>
        <w:t>gynaecologists</w:t>
      </w:r>
      <w:r w:rsidRPr="00577B42">
        <w:rPr>
          <w:rFonts w:eastAsia="Times New Roman" w:cs="Segoe UI"/>
          <w:color w:val="212529"/>
          <w:sz w:val="24"/>
          <w:szCs w:val="24"/>
          <w:lang w:eastAsia="en-GB"/>
        </w:rPr>
        <w:t xml:space="preserve"> approached the treatment of menopausal symptoms by HRT (Kumle, 2008).</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With study records suggesting that half million women were using HRT, as a precautionary measure in 2002 regulatory bodies recommended that HRT be used only for “as short a time as possible” and only to treat menopause related symptoms (Kumle, 2008). This suggested that HRT could be used with some attached advice within a well</w:t>
      </w:r>
      <w:r w:rsidR="000A14F2">
        <w:rPr>
          <w:rFonts w:eastAsia="Times New Roman" w:cs="Segoe UI"/>
          <w:color w:val="212529"/>
          <w:sz w:val="24"/>
          <w:szCs w:val="24"/>
          <w:lang w:eastAsia="en-GB"/>
        </w:rPr>
        <w:t>-</w:t>
      </w:r>
      <w:r w:rsidRPr="00577B42">
        <w:rPr>
          <w:rFonts w:eastAsia="Times New Roman" w:cs="Segoe UI"/>
          <w:color w:val="212529"/>
          <w:sz w:val="24"/>
          <w:szCs w:val="24"/>
          <w:lang w:eastAsia="en-GB"/>
        </w:rPr>
        <w:t>crafted prescribing strategy. With these recommendations, the incidence of breast cancer had decreased within a few years, which the medical fraternity linked to the decreased use of HRT (Kumle, 2008). Simultaneously the American Chemical Society reported that the sales of Premarin one of the best selling prescription drugs dropped from more than $2 billion in 2001 to $880 million in 2004 (Chemical and Engineering news, 2005). The Wyeth Women’s Health care was trying to reach their sales by educating women on appropriate low doses of the drug (Chemical and Engineering news, 2005).</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 xml:space="preserve">The symptoms of menopause which women were undergoing remained unchanged and as a result, more women were considering Alternative and Complementary Therapies (ACT) like Acupuncture, homoeopathic, Herbal medicine, dietary supplements like soy, massage therapy and </w:t>
      </w:r>
      <w:r w:rsidR="000A14F2" w:rsidRPr="00577B42">
        <w:rPr>
          <w:rFonts w:eastAsia="Times New Roman" w:cs="Segoe UI"/>
          <w:color w:val="212529"/>
          <w:sz w:val="24"/>
          <w:szCs w:val="24"/>
          <w:lang w:eastAsia="en-GB"/>
        </w:rPr>
        <w:t>chiropractic</w:t>
      </w:r>
      <w:r w:rsidRPr="00577B42">
        <w:rPr>
          <w:rFonts w:eastAsia="Times New Roman" w:cs="Segoe UI"/>
          <w:color w:val="212529"/>
          <w:sz w:val="24"/>
          <w:szCs w:val="24"/>
          <w:lang w:eastAsia="en-GB"/>
        </w:rPr>
        <w:t xml:space="preserve"> (Newton et al. 2002). In order to evaluate the usage of ACT by menopausal women, a telephone survey was conducted in United States (US) which found that the use of ACT was presumed to increase with the decline of HRT (Newton et al, 2002).</w:t>
      </w:r>
    </w:p>
    <w:p w:rsidR="001414FF" w:rsidRPr="00577B42" w:rsidRDefault="001414FF"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DOCTORS ATTITUDE</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As an outcome of these study reports not only did the outlook of women changed towards the use of HRT but also mixed attitude was seen in women gynecologists. In Israel a study was conducted to evaluate the outlook of women gynecologists towards the prevention of breast cancer, treatment by HRT in respect to themselves and their prescriptions for HRT (Weissman-Brenner et al. 2010). Results saw a great impact of the WHI (Rossouw et al, 2002) study as it was observed that HRT was not being routinely prescribed to menopausal women by women Israeli gynecologists and the prescriptions of HRT had declined (Weissman-Brenner et al. 2010). A similar survey was conducted in Belgium (Ena and Rozenberg, 2003). Despite the findings of WHI (Rossouw et al, 2002) which suggested that the risk of prescribing HRT outweighed the benefits, it was found that Belgian gynecologists intended to continue prescribing HRT even for a long duration though this would vary for different regimens (Ena and Rozenberg, 2003).</w:t>
      </w:r>
    </w:p>
    <w:p w:rsidR="001414FF" w:rsidRPr="00577B42" w:rsidRDefault="001414FF" w:rsidP="00577B42">
      <w:pPr>
        <w:shd w:val="clear" w:color="auto" w:fill="FFFFFF"/>
        <w:spacing w:after="100" w:afterAutospacing="1" w:line="240" w:lineRule="auto"/>
        <w:jc w:val="both"/>
        <w:outlineLvl w:val="1"/>
        <w:rPr>
          <w:rFonts w:eastAsia="Times New Roman" w:cs="Segoe UI"/>
          <w:color w:val="212529"/>
          <w:sz w:val="24"/>
          <w:szCs w:val="24"/>
          <w:lang w:eastAsia="en-GB"/>
        </w:rPr>
      </w:pPr>
      <w:r w:rsidRPr="00577B42">
        <w:rPr>
          <w:rFonts w:eastAsia="Times New Roman" w:cs="Segoe UI"/>
          <w:color w:val="212529"/>
          <w:sz w:val="24"/>
          <w:szCs w:val="24"/>
          <w:lang w:eastAsia="en-GB"/>
        </w:rPr>
        <w:t>WOMENS ATTITUDE</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It is important to know the outlook of women in context to their health, awareness and need of HRT. A small grounded theory study with 16 women was conducted to understand the decision-making processes of women regarding menopausal concerns (Gourley, 2001). The study concluded that the patient’s background, knowledge and outlook were integral and guided the decision-making process (Gourley, 2001). It also reported that menopause was looked upon as an aliment in the US which needs to be treated with HRT as compared to other parts of the world where it was considered as an ongoing part of the aging process. As a result, menopausal women were being prescribed HRT on a routine basis which left them with fewer options and was further narrowed by their inadequate knowledge of the safety issues of using HRT (Gourley, 2001). This study also suggested that to capacitate the women and actively involve them in the decision making a model could be made to assist both the doctors and the patients (Gourley, 2001).</w:t>
      </w:r>
    </w:p>
    <w:p w:rsidR="001414FF" w:rsidRPr="00577B42" w:rsidRDefault="001414FF" w:rsidP="00577B42">
      <w:pPr>
        <w:shd w:val="clear" w:color="auto" w:fill="FFFFFF"/>
        <w:spacing w:after="100" w:afterAutospacing="1" w:line="240" w:lineRule="auto"/>
        <w:jc w:val="both"/>
        <w:rPr>
          <w:rFonts w:eastAsia="Times New Roman" w:cs="Segoe UI"/>
          <w:sz w:val="24"/>
          <w:szCs w:val="24"/>
          <w:lang w:eastAsia="en-GB"/>
        </w:rPr>
      </w:pPr>
      <w:r w:rsidRPr="00577B42">
        <w:rPr>
          <w:rFonts w:eastAsia="Times New Roman" w:cs="Segoe UI"/>
          <w:color w:val="212529"/>
          <w:sz w:val="24"/>
          <w:szCs w:val="24"/>
          <w:lang w:eastAsia="en-GB"/>
        </w:rPr>
        <w:t>There have also been studies conducted in other parts of the world exploring how women perceive or view menopause. In one such study conducted in Taiwan to understand the attitude of women towards menopause it was learnt that women weren’t regretful of not having periods and had a positive attitude towards it (Cheng et al., 2005). In a similar study conducted in Canada, women perceived menopause as a liberating experience and added positive meanings to it with no fear of unwanted pregnancy attached to it. They also considered it as a natural part of ageing (Bonetta, 2001).</w:t>
      </w:r>
      <w:r w:rsidR="00577B42" w:rsidRPr="00577B42">
        <w:rPr>
          <w:rFonts w:eastAsia="Times New Roman" w:cs="Segoe UI"/>
          <w:sz w:val="24"/>
          <w:szCs w:val="24"/>
          <w:lang w:eastAsia="en-GB"/>
        </w:rPr>
        <w:t xml:space="preserve"> </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In terms of medical treatment, it was generally perceived that women were discontinuing the use of HRT due to the elevated risk of breast cancer (Kumle, 2008), but actually withdrawal bleeding was found to be the prime reason for women not to adhere to the regime (Sarrel, 1999). It was proposed that effective doctor-patient communication would help patient understand their treatment and adherence and side effects could be well managed (Sarrel, 1999). However, HRT is prescribed to patients despite the complications. It is fairly evident that there are some associated factors and considerable benefits given this picture which drives these actions.</w:t>
      </w:r>
    </w:p>
    <w:p w:rsidR="001414FF" w:rsidRPr="00577B42" w:rsidRDefault="001414FF" w:rsidP="00577B42">
      <w:pPr>
        <w:shd w:val="clear" w:color="auto" w:fill="FFFFFF"/>
        <w:spacing w:after="100" w:afterAutospacing="1" w:line="240" w:lineRule="auto"/>
        <w:jc w:val="both"/>
        <w:rPr>
          <w:rFonts w:eastAsia="Times New Roman" w:cs="Segoe UI"/>
          <w:color w:val="212529"/>
          <w:sz w:val="24"/>
          <w:szCs w:val="24"/>
          <w:lang w:eastAsia="en-GB"/>
        </w:rPr>
      </w:pPr>
      <w:r w:rsidRPr="00577B42">
        <w:rPr>
          <w:rFonts w:eastAsia="Times New Roman" w:cs="Segoe UI"/>
          <w:color w:val="212529"/>
          <w:sz w:val="24"/>
          <w:szCs w:val="24"/>
          <w:lang w:eastAsia="en-GB"/>
        </w:rPr>
        <w:t>This preliminary literature search presented the findings of studies which helped develop insight into the subject for the research question. These issues will be explored further in this dissertation.</w:t>
      </w:r>
    </w:p>
    <w:p w:rsidR="006216F6" w:rsidRPr="00946FC2" w:rsidRDefault="00F35FB1" w:rsidP="00946FC2">
      <w:pPr>
        <w:shd w:val="clear" w:color="auto" w:fill="FFFFFF"/>
        <w:spacing w:after="100" w:afterAutospacing="1" w:line="240" w:lineRule="auto"/>
        <w:jc w:val="both"/>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(9) </w:t>
      </w:r>
      <w:r w:rsidR="006216F6" w:rsidRPr="00946FC2">
        <w:rPr>
          <w:rFonts w:eastAsia="Times New Roman" w:cs="Segoe UI"/>
          <w:b/>
          <w:color w:val="FF0000"/>
          <w:kern w:val="36"/>
          <w:sz w:val="24"/>
          <w:szCs w:val="24"/>
          <w:lang w:eastAsia="en-GB"/>
        </w:rPr>
        <w:t>Finance dissertation introduction example</w:t>
      </w:r>
    </w:p>
    <w:p w:rsidR="006216F6" w:rsidRPr="00946FC2" w:rsidRDefault="006216F6" w:rsidP="00946FC2">
      <w:pPr>
        <w:shd w:val="clear" w:color="auto" w:fill="FFFFFF"/>
        <w:spacing w:after="100" w:afterAutospacing="1" w:line="240" w:lineRule="auto"/>
        <w:jc w:val="both"/>
        <w:outlineLvl w:val="1"/>
        <w:rPr>
          <w:rFonts w:eastAsia="Times New Roman" w:cs="Segoe UI"/>
          <w:color w:val="212529"/>
          <w:sz w:val="24"/>
          <w:szCs w:val="24"/>
          <w:lang w:eastAsia="en-GB"/>
        </w:rPr>
      </w:pPr>
      <w:r w:rsidRPr="00946FC2">
        <w:rPr>
          <w:rFonts w:eastAsia="Times New Roman" w:cs="Segoe UI"/>
          <w:color w:val="212529"/>
          <w:sz w:val="24"/>
          <w:szCs w:val="24"/>
          <w:lang w:eastAsia="en-GB"/>
        </w:rPr>
        <w:t>CHAPTER ONE</w:t>
      </w:r>
    </w:p>
    <w:p w:rsidR="006216F6" w:rsidRPr="00946FC2" w:rsidRDefault="006216F6" w:rsidP="00946FC2">
      <w:pPr>
        <w:shd w:val="clear" w:color="auto" w:fill="FFFFFF"/>
        <w:spacing w:after="100" w:afterAutospacing="1" w:line="240" w:lineRule="auto"/>
        <w:jc w:val="both"/>
        <w:outlineLvl w:val="2"/>
        <w:rPr>
          <w:rFonts w:eastAsia="Times New Roman" w:cs="Segoe UI"/>
          <w:color w:val="212529"/>
          <w:sz w:val="24"/>
          <w:szCs w:val="24"/>
          <w:lang w:eastAsia="en-GB"/>
        </w:rPr>
      </w:pPr>
      <w:r w:rsidRPr="00946FC2">
        <w:rPr>
          <w:rFonts w:eastAsia="Times New Roman" w:cs="Segoe UI"/>
          <w:color w:val="212529"/>
          <w:sz w:val="24"/>
          <w:szCs w:val="24"/>
          <w:lang w:eastAsia="en-GB"/>
        </w:rPr>
        <w:t>INTRODUCTION</w:t>
      </w:r>
    </w:p>
    <w:p w:rsidR="006216F6" w:rsidRPr="00946FC2" w:rsidRDefault="006216F6" w:rsidP="00946FC2">
      <w:pPr>
        <w:shd w:val="clear" w:color="auto" w:fill="FFFFFF"/>
        <w:spacing w:after="100" w:afterAutospacing="1" w:line="240" w:lineRule="auto"/>
        <w:jc w:val="both"/>
        <w:outlineLvl w:val="3"/>
        <w:rPr>
          <w:rFonts w:eastAsia="Times New Roman" w:cs="Segoe UI"/>
          <w:color w:val="212529"/>
          <w:sz w:val="24"/>
          <w:szCs w:val="24"/>
          <w:lang w:eastAsia="en-GB"/>
        </w:rPr>
      </w:pPr>
      <w:r w:rsidRPr="00946FC2">
        <w:rPr>
          <w:rFonts w:eastAsia="Times New Roman" w:cs="Segoe UI"/>
          <w:color w:val="212529"/>
          <w:sz w:val="24"/>
          <w:szCs w:val="24"/>
          <w:lang w:eastAsia="en-GB"/>
        </w:rPr>
        <w:t>1.1 Background</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Ghana has an average per capita income of $397 (according to the Ghana Living Standards Survey (GLSS) 5, 2008), implying that the average Ghanaian lives on less than $1.10 (with a dollar to cedi ratio of 0.92) a day. The report also indicates that the per capita expenditure is also $592.48. About 40% of Ghanaians live below the official poverty line of $1 a day (ILO Report, 2004, TUC Report, 2004) although the incidence of poverty has been found to be about 80% in the northern part of the country (TUC Report, 2004). This statistics is interesting considering the fact that Ghanaians spend more than they actually earn; it is no surprise that Ghanaians are referred as ‘economic magicians’. However, the real interest lies in the fact that there is an economic opportunity among the 40% poor people who live on about $1 a day for companies willing to be innovative and adopt unconventional business practices. This market in Ghana seems to present about a three billion dollar opportunity annually.</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The concept of bottom of the pyramid (BOP) markets considers how organizations particularly multinational corporations (MNCs) can serve poor markets like those in the lowest quintile in the Ghanaian economy. Prahalad (2005) proposes that MNCs should be innovative and co-create products and services for these markets with other stakeholders (these are development and aid organizations, BOP consumers and entrepreneurs, civil society organizations and local government). Although Prahalad (2005) suggests that the MNCs should be proactive in developing products for these markets, in Ghana the reverse may be seen to exist as micro-entrepreneurs in these markets have always led MNCs in delivering the products and services that consumers in this market want. Classical examples are in the telecommunications and Fast Moving Consumer Goods (FMCG) markets. In the mobile telecoms in the early 2000s mobile phone top-up was as high as $3 per recharge voucher; it was the micro-entrepreneurs in poor markets that started what became known as “space-to-space” (communication centre booths) helping the poor access mobile telephony services at a price they can afford. Later the mobile telecommunications companies saw the opportunity in serving this market and devised a strategy to serve the poor by introducing credit transfer of as low as $0.35 for the poor to be able to purchase. In the FMCG market, Key Soap, one of Unilever Ghana’s ‘cash cows’ used to be in long bars until micro-entrepreneurs started buying the large bars and ‘cutting’ them into smaller units to sell for the poor who could not invest his/her</w:t>
      </w:r>
      <w:r w:rsidR="00946FC2">
        <w:rPr>
          <w:rFonts w:eastAsia="Times New Roman" w:cs="Segoe UI"/>
          <w:color w:val="212529"/>
          <w:sz w:val="24"/>
          <w:szCs w:val="24"/>
          <w:lang w:eastAsia="en-GB"/>
        </w:rPr>
        <w:t xml:space="preserve"> </w:t>
      </w:r>
      <w:r w:rsidRPr="00946FC2">
        <w:rPr>
          <w:rFonts w:eastAsia="Times New Roman" w:cs="Segoe UI"/>
          <w:color w:val="212529"/>
          <w:sz w:val="24"/>
          <w:szCs w:val="24"/>
          <w:lang w:eastAsia="en-GB"/>
        </w:rPr>
        <w:t>meag</w:t>
      </w:r>
      <w:r w:rsidR="00946FC2">
        <w:rPr>
          <w:rFonts w:eastAsia="Times New Roman" w:cs="Segoe UI"/>
          <w:color w:val="212529"/>
          <w:sz w:val="24"/>
          <w:szCs w:val="24"/>
          <w:lang w:eastAsia="en-GB"/>
        </w:rPr>
        <w:t>re</w:t>
      </w:r>
      <w:r w:rsidRPr="00946FC2">
        <w:rPr>
          <w:rFonts w:eastAsia="Times New Roman" w:cs="Segoe UI"/>
          <w:color w:val="212529"/>
          <w:sz w:val="24"/>
          <w:szCs w:val="24"/>
          <w:lang w:eastAsia="en-GB"/>
        </w:rPr>
        <w:t xml:space="preserve"> resources into the large bars; it was then only that Unilever Ghana start making smaller bars of their Key Soap brand that could cater for the poor.</w:t>
      </w:r>
    </w:p>
    <w:p w:rsidR="006216F6" w:rsidRPr="00946FC2" w:rsidRDefault="006216F6" w:rsidP="00946FC2">
      <w:pPr>
        <w:shd w:val="clear" w:color="auto" w:fill="FFFFFF"/>
        <w:spacing w:after="100" w:afterAutospacing="1" w:line="240" w:lineRule="auto"/>
        <w:jc w:val="both"/>
        <w:rPr>
          <w:rFonts w:eastAsia="Times New Roman" w:cs="Segoe UI"/>
          <w:sz w:val="24"/>
          <w:szCs w:val="24"/>
          <w:lang w:eastAsia="en-GB"/>
        </w:rPr>
      </w:pPr>
      <w:r w:rsidRPr="00946FC2">
        <w:rPr>
          <w:rFonts w:eastAsia="Times New Roman" w:cs="Segoe UI"/>
          <w:color w:val="212529"/>
          <w:sz w:val="24"/>
          <w:szCs w:val="24"/>
          <w:lang w:eastAsia="en-GB"/>
        </w:rPr>
        <w:t>This makes it significant to study this segment of the consumer market usually ignored by marketers and the activity of micro-entrepreneurs who currently serve this market. Knowledge of this market can be used by multinationals who want to enter the market. From the earlier examples above it is clear that micro-entrepreneurs in Ghana seem to lead the way in terms of market development and distribution and an understanding of their activities will help both practitioners and academics understand how micro-entrepreneurs operate in BOP markets. Significant challenges however arise from firms trying to serve the poor. These include distribution which results from the widespread span (geographically) within which poor people can be found. Significant challenges mainly conceptual also arise when conducting such a study as both BOP and entrepreneurship concepts seem to be in their early stages and there are no readily available models to fall on as well as a difficult in defining a poor person; with some authors considering the BOP concept as a mirage (Karnani, 2007a). Nonetheless the study will seek to add to the existing literature on both subject matters; particularly from a developing country context which provides different cultural dimensions.</w:t>
      </w:r>
      <w:r w:rsidR="00946FC2" w:rsidRPr="00946FC2">
        <w:rPr>
          <w:rFonts w:eastAsia="Times New Roman" w:cs="Segoe UI"/>
          <w:sz w:val="24"/>
          <w:szCs w:val="24"/>
          <w:lang w:eastAsia="en-GB"/>
        </w:rPr>
        <w:t xml:space="preserve"> </w:t>
      </w:r>
    </w:p>
    <w:p w:rsidR="006216F6" w:rsidRPr="00946FC2" w:rsidRDefault="006216F6" w:rsidP="00946FC2">
      <w:pPr>
        <w:shd w:val="clear" w:color="auto" w:fill="FFFFFF"/>
        <w:spacing w:after="100" w:afterAutospacing="1" w:line="240" w:lineRule="auto"/>
        <w:jc w:val="both"/>
        <w:outlineLvl w:val="3"/>
        <w:rPr>
          <w:rFonts w:eastAsia="Times New Roman" w:cs="Segoe UI"/>
          <w:color w:val="212529"/>
          <w:sz w:val="24"/>
          <w:szCs w:val="24"/>
          <w:lang w:eastAsia="en-GB"/>
        </w:rPr>
      </w:pPr>
      <w:r w:rsidRPr="00946FC2">
        <w:rPr>
          <w:rFonts w:eastAsia="Times New Roman" w:cs="Segoe UI"/>
          <w:color w:val="212529"/>
          <w:sz w:val="24"/>
          <w:szCs w:val="24"/>
          <w:lang w:eastAsia="en-GB"/>
        </w:rPr>
        <w:t>1.2 Statement of Problem</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Markets in the traditional “top of the economic pyramid” are saturating globally and Multinational Corporations (MNCs) are looking for new markets for their goods and services (Prahalad, 2005). Prahalad (2005) proposes that there is a market at the “bottom of the economic pyramid” where MNCs can move into. This market Prahalad argues has about four billion people who earn $1,500 and less annually presenting about a six trillion dollar market opportunity annually. However, for MNCs to succeed in this market they need to have an “ecosystem of entrepreneurs” also the “BOP innovators” to help them navigate the nuances of this market. These BOP innovators will help MNCs break down the challenges of geographical span, culture, needs assessment and of broader distribution that this market presents as this market cannot be considered a monolith (Prahalad, 2005). Hence an understanding of these BOP entrepreneurs is invaluable to the success of MNCs in this market. However, knowledge and literature on these BOP entrepreneurs or BOP innovators seems to scant or non-existent although elsewhere there have been several studies on BOP markets (Anderson and Billou, 2007; Fletcher, 2005; Guesalaga and Marshall, 2008; Kourula and Halme, 2008; Nielsen and Samia, 2008; Pitta et al, 2008; Sridharan and Viswanathan, 2008; Prahalad, 2005; and Wood et al, 2008) and on entrepreneurship (Babu and Pinstrip-Andersen, 2007; Brush et al, 2009; Keogh and Polonsky, 1999; Sathiabama, 2010; Morrison, 2000; Machan, 1999, and Zheng et al, 2009). Again, no study has combined both concepts (entrepreneurship and BOP) in one study especially focusing on the BOP entrepreneurs and what their triggers are, what relationships exist between various factors in the market. This study will seek to fill this gap by studying the “ecosystem” of entrepreneurs in the BOP market in Ghana.</w:t>
      </w:r>
    </w:p>
    <w:p w:rsidR="006216F6" w:rsidRPr="00946FC2" w:rsidRDefault="006216F6" w:rsidP="00946FC2">
      <w:pPr>
        <w:shd w:val="clear" w:color="auto" w:fill="FFFFFF"/>
        <w:spacing w:after="100" w:afterAutospacing="1" w:line="240" w:lineRule="auto"/>
        <w:jc w:val="both"/>
        <w:outlineLvl w:val="3"/>
        <w:rPr>
          <w:rFonts w:eastAsia="Times New Roman" w:cs="Segoe UI"/>
          <w:color w:val="212529"/>
          <w:sz w:val="24"/>
          <w:szCs w:val="24"/>
          <w:lang w:eastAsia="en-GB"/>
        </w:rPr>
      </w:pPr>
      <w:r w:rsidRPr="00946FC2">
        <w:rPr>
          <w:rFonts w:eastAsia="Times New Roman" w:cs="Segoe UI"/>
          <w:color w:val="212529"/>
          <w:sz w:val="24"/>
          <w:szCs w:val="24"/>
          <w:lang w:eastAsia="en-GB"/>
        </w:rPr>
        <w:t>1.3 Research Objectives</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In order to address the problem statement discussed above; the objectives of the study are as follows:</w:t>
      </w:r>
    </w:p>
    <w:p w:rsidR="006216F6" w:rsidRPr="00946FC2" w:rsidRDefault="006216F6" w:rsidP="00946FC2">
      <w:pPr>
        <w:numPr>
          <w:ilvl w:val="0"/>
          <w:numId w:val="2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To determine the relationship between antecedents of entrepreneurship in BOP markets and nature BOP market</w:t>
      </w:r>
    </w:p>
    <w:p w:rsidR="006216F6" w:rsidRPr="00946FC2" w:rsidRDefault="006216F6" w:rsidP="00946FC2">
      <w:pPr>
        <w:numPr>
          <w:ilvl w:val="0"/>
          <w:numId w:val="2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To determine the relationship between nature of BOP market and entrepreneurial benefits</w:t>
      </w:r>
    </w:p>
    <w:p w:rsidR="006216F6" w:rsidRPr="00946FC2" w:rsidRDefault="006216F6" w:rsidP="00946FC2">
      <w:pPr>
        <w:numPr>
          <w:ilvl w:val="0"/>
          <w:numId w:val="2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To relationship between entrepreneurial antecedents and entrepreneurial benefits</w:t>
      </w:r>
    </w:p>
    <w:p w:rsidR="006216F6" w:rsidRPr="00946FC2" w:rsidRDefault="006216F6" w:rsidP="00946FC2">
      <w:pPr>
        <w:shd w:val="clear" w:color="auto" w:fill="FFFFFF"/>
        <w:spacing w:after="100" w:afterAutospacing="1" w:line="240" w:lineRule="auto"/>
        <w:jc w:val="both"/>
        <w:outlineLvl w:val="3"/>
        <w:rPr>
          <w:rFonts w:eastAsia="Times New Roman" w:cs="Segoe UI"/>
          <w:color w:val="212529"/>
          <w:sz w:val="24"/>
          <w:szCs w:val="24"/>
          <w:lang w:eastAsia="en-GB"/>
        </w:rPr>
      </w:pPr>
      <w:r w:rsidRPr="00946FC2">
        <w:rPr>
          <w:rFonts w:eastAsia="Times New Roman" w:cs="Segoe UI"/>
          <w:color w:val="212529"/>
          <w:sz w:val="24"/>
          <w:szCs w:val="24"/>
          <w:lang w:eastAsia="en-GB"/>
        </w:rPr>
        <w:t>1.4 Research Questions</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To achieve the set objectives of this research further questions are being asked to guide the literature review, information gathering and the rest of the research activities. The following questions are therefore being asked:</w:t>
      </w:r>
    </w:p>
    <w:p w:rsidR="006216F6" w:rsidRPr="00946FC2" w:rsidRDefault="006216F6" w:rsidP="00946FC2">
      <w:pPr>
        <w:numPr>
          <w:ilvl w:val="0"/>
          <w:numId w:val="2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What is the relationship between antecedents of entrepreneurship in BOP markets and nature BOP market?</w:t>
      </w:r>
    </w:p>
    <w:p w:rsidR="006216F6" w:rsidRPr="00946FC2" w:rsidRDefault="006216F6" w:rsidP="00946FC2">
      <w:pPr>
        <w:numPr>
          <w:ilvl w:val="0"/>
          <w:numId w:val="2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What is the relationship between nature of BOP market and entrepreneurial benefits?</w:t>
      </w:r>
    </w:p>
    <w:p w:rsidR="006216F6" w:rsidRPr="00946FC2" w:rsidRDefault="006216F6" w:rsidP="00946FC2">
      <w:pPr>
        <w:numPr>
          <w:ilvl w:val="0"/>
          <w:numId w:val="2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What is the relationship between entrepreneurial antecedents and nature of BOP market?</w:t>
      </w:r>
    </w:p>
    <w:p w:rsidR="006216F6" w:rsidRPr="00946FC2" w:rsidRDefault="006216F6" w:rsidP="00946FC2">
      <w:pPr>
        <w:shd w:val="clear" w:color="auto" w:fill="FFFFFF"/>
        <w:spacing w:after="100" w:afterAutospacing="1" w:line="240" w:lineRule="auto"/>
        <w:jc w:val="both"/>
        <w:outlineLvl w:val="3"/>
        <w:rPr>
          <w:rFonts w:eastAsia="Times New Roman" w:cs="Segoe UI"/>
          <w:color w:val="212529"/>
          <w:sz w:val="24"/>
          <w:szCs w:val="24"/>
          <w:lang w:eastAsia="en-GB"/>
        </w:rPr>
      </w:pPr>
      <w:r w:rsidRPr="00946FC2">
        <w:rPr>
          <w:rFonts w:eastAsia="Times New Roman" w:cs="Segoe UI"/>
          <w:color w:val="212529"/>
          <w:sz w:val="24"/>
          <w:szCs w:val="24"/>
          <w:lang w:eastAsia="en-GB"/>
        </w:rPr>
        <w:t>1.5 Research Methodology</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The research purpose is to establish the nature of entrepreneurship in bottom of the pyramid markets. The research paradigm that was adopted was that of critical realism which Saunders et al (2007) argues is the best for management research. The study adopted a quantitative approach which comes from the deductive school of thought. Survey was the research strategy that was employed in the study with questionnaire been the research method used to collect primary data. The research approach, method, and strategy were all underpinned by an objectivity criterion that seeks to achieve both internal and external validity. Data was collected from 287 BOP entrepreneurs. A combination of inferential and descriptive statistics was used in analyzing and interpreting the data collected.</w:t>
      </w:r>
    </w:p>
    <w:p w:rsidR="006216F6" w:rsidRPr="00946FC2" w:rsidRDefault="006216F6" w:rsidP="00946FC2">
      <w:pPr>
        <w:shd w:val="clear" w:color="auto" w:fill="FFFFFF"/>
        <w:spacing w:after="100" w:afterAutospacing="1" w:line="240" w:lineRule="auto"/>
        <w:jc w:val="both"/>
        <w:outlineLvl w:val="3"/>
        <w:rPr>
          <w:rFonts w:eastAsia="Times New Roman" w:cs="Segoe UI"/>
          <w:color w:val="212529"/>
          <w:sz w:val="24"/>
          <w:szCs w:val="24"/>
          <w:lang w:eastAsia="en-GB"/>
        </w:rPr>
      </w:pPr>
      <w:r w:rsidRPr="00946FC2">
        <w:rPr>
          <w:rFonts w:eastAsia="Times New Roman" w:cs="Segoe UI"/>
          <w:color w:val="212529"/>
          <w:sz w:val="24"/>
          <w:szCs w:val="24"/>
          <w:lang w:eastAsia="en-GB"/>
        </w:rPr>
        <w:t>1.6 Significance of Study</w:t>
      </w:r>
    </w:p>
    <w:p w:rsidR="006216F6" w:rsidRPr="00946FC2" w:rsidRDefault="006216F6" w:rsidP="008A302C">
      <w:pPr>
        <w:shd w:val="clear" w:color="auto" w:fill="FFFFFF"/>
        <w:spacing w:after="100" w:afterAutospacing="1" w:line="240" w:lineRule="auto"/>
        <w:jc w:val="both"/>
        <w:rPr>
          <w:rFonts w:eastAsia="Times New Roman" w:cs="Segoe UI"/>
          <w:sz w:val="24"/>
          <w:szCs w:val="24"/>
          <w:lang w:eastAsia="en-GB"/>
        </w:rPr>
      </w:pPr>
      <w:r w:rsidRPr="00946FC2">
        <w:rPr>
          <w:rFonts w:eastAsia="Times New Roman" w:cs="Segoe UI"/>
          <w:color w:val="212529"/>
          <w:sz w:val="24"/>
          <w:szCs w:val="24"/>
          <w:lang w:eastAsia="en-GB"/>
        </w:rPr>
        <w:t>The study is significant for four broad groups; that is, managers of multinational corporations, governments, non-governmental organizations (NGOs) and academicians. Both BOP and entrepreneurship concepts have been touted by several authors (Buame, 2007 and Prahalad, 2005) as ways by which nations can eradicate poverty. Hence for governments in the developing world a study that seeks to combine both concepts should be invaluable. NGOs that engage in capacity training programmes for micro-enterprises in rural and poor areas of the country can fall on the study to identify what models of entrepreneurship works and what does not work in poor markets. The study is useful to multinational corporations as they seek to expand their markets. The top of the pyramid is saturating and most firms are looking for opportunities in developing markets in which most of the people are poor. The study provides an understanding of micro-entrepreneurs in this market who serve as an “ecosystem” (Prahalad, 2005) for distributing goods and services in these markets. For academics the study presents another valuable addition to both concepts of entrepreneurship and BOP especially BOP that still has a lot of critics and has yet to be accepted fully by academics (Prahalad, 2005). The study will present the African perspective especially to the concept of BOP and how an ecosystem of micro-entrepreneurs can help in market development.</w:t>
      </w:r>
      <w:r w:rsidR="008A302C" w:rsidRPr="00946FC2">
        <w:rPr>
          <w:rFonts w:eastAsia="Times New Roman" w:cs="Segoe UI"/>
          <w:sz w:val="24"/>
          <w:szCs w:val="24"/>
          <w:lang w:eastAsia="en-GB"/>
        </w:rPr>
        <w:t xml:space="preserve"> </w:t>
      </w:r>
    </w:p>
    <w:p w:rsidR="006216F6" w:rsidRPr="00946FC2" w:rsidRDefault="006216F6" w:rsidP="00946FC2">
      <w:pPr>
        <w:shd w:val="clear" w:color="auto" w:fill="FFFFFF"/>
        <w:spacing w:after="100" w:afterAutospacing="1" w:line="240" w:lineRule="auto"/>
        <w:jc w:val="both"/>
        <w:outlineLvl w:val="3"/>
        <w:rPr>
          <w:rFonts w:eastAsia="Times New Roman" w:cs="Segoe UI"/>
          <w:color w:val="212529"/>
          <w:sz w:val="24"/>
          <w:szCs w:val="24"/>
          <w:lang w:eastAsia="en-GB"/>
        </w:rPr>
      </w:pPr>
      <w:r w:rsidRPr="00946FC2">
        <w:rPr>
          <w:rFonts w:eastAsia="Times New Roman" w:cs="Segoe UI"/>
          <w:color w:val="212529"/>
          <w:sz w:val="24"/>
          <w:szCs w:val="24"/>
          <w:lang w:eastAsia="en-GB"/>
        </w:rPr>
        <w:t>1.7 Disposition of the Study</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This thesis is organized into six (5) chapters, the details of which are outlined below.</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b/>
          <w:bCs/>
          <w:color w:val="212529"/>
          <w:sz w:val="24"/>
          <w:szCs w:val="24"/>
          <w:lang w:eastAsia="en-GB"/>
        </w:rPr>
        <w:t>Chapter One: Introduction</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 xml:space="preserve">This chapter seeks to give a general description on the topic. This is the introduction to the entire thesis and presents the context of the research. It covers the general description of the area of concern, definition of important terms and concepts, </w:t>
      </w:r>
      <w:r w:rsidR="00C6330A" w:rsidRPr="00C6330A">
        <w:rPr>
          <w:rFonts w:eastAsia="Times New Roman" w:cs="Segoe UI"/>
          <w:b/>
          <w:color w:val="FF0000"/>
          <w:sz w:val="32"/>
          <w:szCs w:val="24"/>
          <w:lang w:eastAsia="en-GB"/>
        </w:rPr>
        <w:t>THE PURPOSE</w:t>
      </w:r>
      <w:r w:rsidRPr="00946FC2">
        <w:rPr>
          <w:rFonts w:eastAsia="Times New Roman" w:cs="Segoe UI"/>
          <w:color w:val="212529"/>
          <w:sz w:val="24"/>
          <w:szCs w:val="24"/>
          <w:lang w:eastAsia="en-GB"/>
        </w:rPr>
        <w:t xml:space="preserve"> of the proposed study, background to the study, the statement of the research problem and the significance the research.</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b/>
          <w:bCs/>
          <w:color w:val="212529"/>
          <w:sz w:val="24"/>
          <w:szCs w:val="24"/>
          <w:lang w:eastAsia="en-GB"/>
        </w:rPr>
        <w:t>Chapter Two: Literature Review, and Conceptual Framework</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Chapter two is devoted to presenting existing related literature on conceptual issues addressed in this thesis. These include the concept of entrepreneurship and bottom of the pyramid; the objectives, principles and strategies of entrepreneurship and bottom of the pyramid markets. The literature review also discusses various existing models and arguments on both concepts.</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b/>
          <w:bCs/>
          <w:color w:val="212529"/>
          <w:sz w:val="24"/>
          <w:szCs w:val="24"/>
          <w:lang w:eastAsia="en-GB"/>
        </w:rPr>
        <w:t>Chapter Three: Research Methodology</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Chapter three discusses the methodological approach to be employed and the methods to be used to collect data for the research. The chapter shall comprise of the presentation of techniques to be used for data collection and research methodology and scope and limitations of the study.</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b/>
          <w:bCs/>
          <w:color w:val="212529"/>
          <w:sz w:val="24"/>
          <w:szCs w:val="24"/>
          <w:lang w:eastAsia="en-GB"/>
        </w:rPr>
        <w:t>Chapter Four: Data Analysis</w:t>
      </w:r>
    </w:p>
    <w:p w:rsidR="006216F6" w:rsidRPr="00946FC2" w:rsidRDefault="006216F6" w:rsidP="00946FC2">
      <w:pPr>
        <w:shd w:val="clear" w:color="auto" w:fill="FFFFFF"/>
        <w:spacing w:after="100" w:afterAutospacing="1" w:line="240" w:lineRule="auto"/>
        <w:jc w:val="both"/>
        <w:rPr>
          <w:rFonts w:eastAsia="Times New Roman" w:cs="Segoe UI"/>
          <w:color w:val="212529"/>
          <w:sz w:val="24"/>
          <w:szCs w:val="24"/>
          <w:lang w:eastAsia="en-GB"/>
        </w:rPr>
      </w:pPr>
      <w:r w:rsidRPr="00946FC2">
        <w:rPr>
          <w:rFonts w:eastAsia="Times New Roman" w:cs="Segoe UI"/>
          <w:color w:val="212529"/>
          <w:sz w:val="24"/>
          <w:szCs w:val="24"/>
          <w:lang w:eastAsia="en-GB"/>
        </w:rPr>
        <w:t>This chapter is an analysis of the data collected for the study. The data is tabulated and presented in forms that can be easily interpreted whilst discussing the relationship among variables and developing/designing an appropriate model for entrepreneurship in bottom of the pyramid markets.</w:t>
      </w:r>
    </w:p>
    <w:p w:rsidR="00AD60A0" w:rsidRPr="00366979" w:rsidRDefault="00ED6464" w:rsidP="00366979">
      <w:pPr>
        <w:shd w:val="clear" w:color="auto" w:fill="FFFFFF"/>
        <w:spacing w:after="100" w:afterAutospacing="1" w:line="240" w:lineRule="auto"/>
        <w:jc w:val="both"/>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(10) </w:t>
      </w:r>
      <w:r w:rsidR="00AD60A0" w:rsidRPr="00366979">
        <w:rPr>
          <w:rFonts w:eastAsia="Times New Roman" w:cs="Segoe UI"/>
          <w:b/>
          <w:color w:val="FF0000"/>
          <w:kern w:val="36"/>
          <w:sz w:val="24"/>
          <w:szCs w:val="24"/>
          <w:lang w:eastAsia="en-GB"/>
        </w:rPr>
        <w:t>PhD Dissertation on the effectiveness of Intensive Nutrition Education</w:t>
      </w:r>
    </w:p>
    <w:p w:rsidR="00AD60A0" w:rsidRPr="00366979" w:rsidRDefault="00AD60A0" w:rsidP="00366979">
      <w:pPr>
        <w:shd w:val="clear" w:color="auto" w:fill="FFFFFF"/>
        <w:spacing w:after="100" w:afterAutospacing="1" w:line="240" w:lineRule="auto"/>
        <w:jc w:val="both"/>
        <w:outlineLvl w:val="1"/>
        <w:rPr>
          <w:rFonts w:eastAsia="Times New Roman" w:cs="Segoe UI"/>
          <w:color w:val="212529"/>
          <w:sz w:val="24"/>
          <w:szCs w:val="24"/>
          <w:lang w:eastAsia="en-GB"/>
        </w:rPr>
      </w:pPr>
      <w:r w:rsidRPr="00366979">
        <w:rPr>
          <w:rFonts w:eastAsia="Times New Roman" w:cs="Segoe UI"/>
          <w:color w:val="212529"/>
          <w:sz w:val="24"/>
          <w:szCs w:val="24"/>
          <w:lang w:eastAsia="en-GB"/>
        </w:rPr>
        <w:t>1. General Introduction</w:t>
      </w:r>
    </w:p>
    <w:p w:rsidR="00AD60A0" w:rsidRPr="00366979" w:rsidRDefault="00AD60A0" w:rsidP="00366979">
      <w:pPr>
        <w:shd w:val="clear" w:color="auto" w:fill="FFFFFF"/>
        <w:spacing w:after="100" w:afterAutospacing="1" w:line="240" w:lineRule="auto"/>
        <w:jc w:val="both"/>
        <w:outlineLvl w:val="1"/>
        <w:rPr>
          <w:rFonts w:eastAsia="Times New Roman" w:cs="Segoe UI"/>
          <w:color w:val="212529"/>
          <w:sz w:val="24"/>
          <w:szCs w:val="24"/>
          <w:lang w:eastAsia="en-GB"/>
        </w:rPr>
      </w:pPr>
      <w:r w:rsidRPr="00366979">
        <w:rPr>
          <w:rFonts w:eastAsia="Times New Roman" w:cs="Segoe UI"/>
          <w:color w:val="212529"/>
          <w:sz w:val="24"/>
          <w:szCs w:val="24"/>
          <w:lang w:eastAsia="en-GB"/>
        </w:rPr>
        <w:t>1.1 Outline of the PhD dissertation</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This PhD dissertation on the effectiveness of intensive nutrition education (INE) with or without provision of multi micronutrient powder (MNP) for in-home use on the nutritional status of mildly wasted children in community-based setting in Nias Island, Indonesia concentrates on several different aspects in the following chapters. Chapter 1 includes with the general introduction, the relevance of the research, and the objectives of the study. Chapter 2 comprises literature review related with the research topic, the current worldwide situation of malnutrition, the intervention programs for malnourished young children as well as history, theory, and research on nutrition education. Chapter 3 contains a detailed methodology of the research study. Chapter 4 presents the results of the INE study with or without provision of multi micronutrient powder (MNP) for in-home use on the nutritional status of mildly wasted children in Nias Island, Indonesia. Main outcomes of the four different programs for children who reached discharged criterion (RDC children) as well as comparison of nutritional/anthropometric-related outcomes of RDC children and non-RDC children are reported in this chapter. Furthermore, reasons for not reaching discharged criteria are also discussed. Chapter 5 illustrates the impact of educational intervention on the level of knowledge and practice of caregivers of respected children. The comparison of knowledge and practice score of the two different NE type interventions, namely INE and NNE, at admission and after intervention time are also presented. Chapter 6 discusses the role of the two different educational interventions with feeding encouragement models which accompanied locally-produced Ready to Use Supplementary Food (RUF), namely RUF-Nias biscuits, in improving the nutritional status of moderately/mildly wasted children under five years old in Nias Island, Indonesia. Chapter 7 presents the results of dietary intake of mildly wasted children in the study areas. Chapter 8 integrates all previous study results and other related information into a general review and discussion regarding the situation of micronutrients intervention globally. Furthermore, several nutrition education issues specifically dealing with the local setting, was highlighted. General limitations of the study are also presented. Chapter 9 includes the general summary of this study and related recommendations.</w:t>
      </w:r>
    </w:p>
    <w:p w:rsidR="00AD60A0" w:rsidRPr="00366979" w:rsidRDefault="00AD60A0" w:rsidP="00366979">
      <w:pPr>
        <w:shd w:val="clear" w:color="auto" w:fill="FFFFFF"/>
        <w:spacing w:after="100" w:afterAutospacing="1" w:line="240" w:lineRule="auto"/>
        <w:jc w:val="both"/>
        <w:outlineLvl w:val="1"/>
        <w:rPr>
          <w:rFonts w:eastAsia="Times New Roman" w:cs="Segoe UI"/>
          <w:color w:val="212529"/>
          <w:sz w:val="24"/>
          <w:szCs w:val="24"/>
          <w:lang w:eastAsia="en-GB"/>
        </w:rPr>
      </w:pPr>
      <w:r w:rsidRPr="00366979">
        <w:rPr>
          <w:rFonts w:eastAsia="Times New Roman" w:cs="Segoe UI"/>
          <w:color w:val="212529"/>
          <w:sz w:val="24"/>
          <w:szCs w:val="24"/>
          <w:lang w:eastAsia="en-GB"/>
        </w:rPr>
        <w:t>1.2 Relevance of the topic</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Malnutrition (by means of under nutrition) is a state in which the physical function of an individual is impaired to the point where he or she can no longer maintain adequate bodily performance process such as growth (WFP 2005). It can result from a lack of macronutrients (carbohydrates, protein and fat), micronutrients (vitamins and minerals), or both (WHO/UNICEF 2009; WFP 2005; UNICEF 1998; King et al. 1993). The body has an adaptation mechanism for macronutrient deficiencies by decreasing activity and increasing the use of energy reserves (muscle and fat) or decreased growth. However, for micronutrients malnutrition (hidden hunger) no such compensation mechanism is found considering that vitamins are essential and cannot be synthesis by the own body. This occurs when the vital vitamin and/or minerals are not present in sufficient amounts in the diet (WFP 2005).</w:t>
      </w:r>
    </w:p>
    <w:p w:rsidR="00AD60A0" w:rsidRPr="00366979" w:rsidRDefault="00AD60A0" w:rsidP="00366979">
      <w:pPr>
        <w:shd w:val="clear" w:color="auto" w:fill="FFFFFF"/>
        <w:spacing w:after="100" w:afterAutospacing="1" w:line="240" w:lineRule="auto"/>
        <w:jc w:val="both"/>
        <w:rPr>
          <w:rFonts w:eastAsia="Times New Roman" w:cs="Segoe UI"/>
          <w:sz w:val="24"/>
          <w:szCs w:val="24"/>
          <w:lang w:eastAsia="en-GB"/>
        </w:rPr>
      </w:pPr>
      <w:r w:rsidRPr="00366979">
        <w:rPr>
          <w:rFonts w:eastAsia="Times New Roman" w:cs="Segoe UI"/>
          <w:color w:val="212529"/>
          <w:sz w:val="24"/>
          <w:szCs w:val="24"/>
          <w:lang w:eastAsia="en-GB"/>
        </w:rPr>
        <w:t>The most pronounced micronutrient deficiencies are iron, iodine, vitamin A, and zinc (Bhutta 2008) and the most vulnerable groups suffering from malnutrition are pregnant women and their foetus, lactating women, and children up to the age of three. Furthermore, young children who receive nutritionally inadequate diets and care are more prone to frequent illness, to becoming malnourished (UNICEF 1998).</w:t>
      </w:r>
      <w:r w:rsidR="00366979" w:rsidRPr="00366979">
        <w:rPr>
          <w:rFonts w:eastAsia="Times New Roman" w:cs="Segoe UI"/>
          <w:sz w:val="24"/>
          <w:szCs w:val="24"/>
          <w:lang w:eastAsia="en-GB"/>
        </w:rPr>
        <w:t xml:space="preserve"> </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The first two years of children’s lives provide a critical window of opportunity for ensuring children’s appropriate growth and development through optimal feeding. Malnutrition during this period of age can cause stunting, leading to the adult being shorter than the potential height (IEG- World Bank 2010). Unfortunately, childhood malnutrition remains a widespread persistent public health problem in the developing countries, particularly in south Asia and Africa (Ashworth et al. 2009; Bhutta et al. 2008; Bhandari et al. 2001; UNICEF 1998). Stunting rates increase significantly at 6 months of age when complementary foods are introduced (Bhandari et al. 2004; Dewey 2001; Guldan et al. 2000; UNICEF 1998). A poor quality and inappropriate quantity of complementary foods as a result of insufficient complementary feeding practices have been identified as the most pronounced causes of malnutrition in young children (Dewey 2001; Bhandari et al. 2004; Shi et al. 2010; UNICEF 1998).</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Malnourished children are prone to frequent infections that are more severe and longer-lasting than those in well-nourished and may lead to a spiral of ever-worsening nutritional status (Ashworth et al. 2009). They are also much more likely to die as a result of a common childhood disease than those who are adequately nourished (UNICEF 1998). Additionally, malnutrition in this period of age is also linked to long-term impairment in mental, motor and cognitive development (Grantham-Mc Gregor et al. 1997) by reducing the amount of interaction children have both with those who provide care and the environment (WHO/UNICEF 2009; UNICEF 1998). Delaying psychomotor development and lowering IQ by about 9 points is a well-known impact of iron deficiency anaemia in infancy and early childhood. In addition, varying degrees of mental retardation in young children is caused by iodine deficiency of an expectant mother (UNICEF 1998).</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In the developing world, about forty six million children under-five years of age are wasted (low weight for height), 177 million are stunted (low height for age), and 112 million are underweight (low weight for age) (Victora et al. 2010). One third of the estimated 9.5 million deaths that occurred in 2006 among under-five children are directly and indirectly caused by poor nutrition (WHO/UNICEF 2009).</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A survey lead by the Government of Indonesia (GOI) found that the number of underweight under-five children was 18%, whereas stunting and wasting were 37% and 14% in 2007 (MOHRI 2008). Data from Result of National Basic Health Research (Riskesdas) in 2007 revealed that North Sumatra Province was one of the 19 provinces in Indonesia with a higher prevalence of underweight (22.7%) compared to the national prevalence (18.4%); 8.4% were classified as severely underweight (MOHRI 2008).</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Every second child in Nias Island in North Sumatra Province was stunted (prevalence of chronic malnutrition 50.7% in Nias, 45.4% in Southern Nias versus 43.1% in North Sumatra and 36.8% in Indonesia) and underweight (prevalence of underweight 51.8% in Nias and 45.8% in Southern Nias versus 22.7% in North Sumatra and 18.4% in Indonesia).</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Wasting was also a serious problem in this area. In 2005, a survey lead by UNICEF showed that the prevalence of Global Acute Malnutrition (GAM) in Nias Island varied among districts with a high prevalence found in Southern Nias (17.1%) and oedema was observed among 20 of 24 children who were surveyed. According to CWS (2007), the prevalence of wasting was 11.9% in Nias Island (versus 17.0% in North Sumatra and 13.6% in Indonesia). It is above the emergency threshold of 10% for wasting (Victora et al. 2010; WFP 2005). Therefore, appropriate actions are required to treat severely malnourished cases and prevent moderately or even mildly malnourished children from becoming severe cases in this area.</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Anaemia in children (Hb &lt;11.0 g %) is also highly prevalent on Nias Island. Nearly half (51.7% in Nias and 54.0% in Southern Nias) of the children from 6 to 59 months suffer from anaemia (UNICEF 2005) while the country wide data for children under five in Indonesia is 44.5%. The current prevalence of anaemia indicates a severe public health problem.</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In Indonesia, sub-clinical vitamin A deficiency (serum retinol 0.35 – 0.7 µ</w:t>
      </w:r>
      <w:proofErr w:type="spellStart"/>
      <w:r w:rsidRPr="00366979">
        <w:rPr>
          <w:rFonts w:eastAsia="Times New Roman" w:cs="Segoe UI"/>
          <w:color w:val="212529"/>
          <w:sz w:val="24"/>
          <w:szCs w:val="24"/>
          <w:lang w:eastAsia="en-GB"/>
        </w:rPr>
        <w:t>mol</w:t>
      </w:r>
      <w:proofErr w:type="spellEnd"/>
      <w:r w:rsidRPr="00366979">
        <w:rPr>
          <w:rFonts w:eastAsia="Times New Roman" w:cs="Segoe UI"/>
          <w:color w:val="212529"/>
          <w:sz w:val="24"/>
          <w:szCs w:val="24"/>
          <w:lang w:eastAsia="en-GB"/>
        </w:rPr>
        <w:t>/L) is still high (~50.0%) in children aged 12-60 months (MOHRI 2003). In 2000, Hadi et al. showed that 15.4% of pre-school children had very low serum retinol concentrations (&lt;0.35 µ</w:t>
      </w:r>
      <w:proofErr w:type="spellStart"/>
      <w:r w:rsidRPr="00366979">
        <w:rPr>
          <w:rFonts w:eastAsia="Times New Roman" w:cs="Segoe UI"/>
          <w:color w:val="212529"/>
          <w:sz w:val="24"/>
          <w:szCs w:val="24"/>
          <w:lang w:eastAsia="en-GB"/>
        </w:rPr>
        <w:t>mol</w:t>
      </w:r>
      <w:proofErr w:type="spellEnd"/>
      <w:r w:rsidRPr="00366979">
        <w:rPr>
          <w:rFonts w:eastAsia="Times New Roman" w:cs="Segoe UI"/>
          <w:color w:val="212529"/>
          <w:sz w:val="24"/>
          <w:szCs w:val="24"/>
          <w:lang w:eastAsia="en-GB"/>
        </w:rPr>
        <w:t>/L) and 52.0% had low serum retinol concentrations (0.35-0.7 µ</w:t>
      </w:r>
      <w:proofErr w:type="spellStart"/>
      <w:r w:rsidRPr="00366979">
        <w:rPr>
          <w:rFonts w:eastAsia="Times New Roman" w:cs="Segoe UI"/>
          <w:color w:val="212529"/>
          <w:sz w:val="24"/>
          <w:szCs w:val="24"/>
          <w:lang w:eastAsia="en-GB"/>
        </w:rPr>
        <w:t>mol</w:t>
      </w:r>
      <w:proofErr w:type="spellEnd"/>
      <w:r w:rsidRPr="00366979">
        <w:rPr>
          <w:rFonts w:eastAsia="Times New Roman" w:cs="Segoe UI"/>
          <w:color w:val="212529"/>
          <w:sz w:val="24"/>
          <w:szCs w:val="24"/>
          <w:lang w:eastAsia="en-GB"/>
        </w:rPr>
        <w:t>/L). A study conducted by Dijkhuizen et al. (2001a, 2001b) in West Java revealed that 54.0% of the children were suffering from sub-clinical vitamin A deficiency. The available data indicate that vitamin A deficiency is a severe public health problem (about 20.0% of values are &lt;0.70 µ</w:t>
      </w:r>
      <w:proofErr w:type="spellStart"/>
      <w:r w:rsidRPr="00366979">
        <w:rPr>
          <w:rFonts w:eastAsia="Times New Roman" w:cs="Segoe UI"/>
          <w:color w:val="212529"/>
          <w:sz w:val="24"/>
          <w:szCs w:val="24"/>
          <w:lang w:eastAsia="en-GB"/>
        </w:rPr>
        <w:t>mol</w:t>
      </w:r>
      <w:proofErr w:type="spellEnd"/>
      <w:r w:rsidRPr="00366979">
        <w:rPr>
          <w:rFonts w:eastAsia="Times New Roman" w:cs="Segoe UI"/>
          <w:color w:val="212529"/>
          <w:sz w:val="24"/>
          <w:szCs w:val="24"/>
          <w:lang w:eastAsia="en-GB"/>
        </w:rPr>
        <w:t>/L) in Indonesia. Up to now, there is no data available about the situation in Nias Island. Lind et al. (2004) and Lind et al. (2003) revealed that 78.0% of children in Central Java had also low serum zinc levels (&lt;10.7 µ</w:t>
      </w:r>
      <w:proofErr w:type="spellStart"/>
      <w:r w:rsidRPr="00366979">
        <w:rPr>
          <w:rFonts w:eastAsia="Times New Roman" w:cs="Segoe UI"/>
          <w:color w:val="212529"/>
          <w:sz w:val="24"/>
          <w:szCs w:val="24"/>
          <w:lang w:eastAsia="en-GB"/>
        </w:rPr>
        <w:t>mol</w:t>
      </w:r>
      <w:proofErr w:type="spellEnd"/>
      <w:r w:rsidRPr="00366979">
        <w:rPr>
          <w:rFonts w:eastAsia="Times New Roman" w:cs="Segoe UI"/>
          <w:color w:val="212529"/>
          <w:sz w:val="24"/>
          <w:szCs w:val="24"/>
          <w:lang w:eastAsia="en-GB"/>
        </w:rPr>
        <w:t>/L). There is lacking data to date on zinc deficiency on Nias Island.</w:t>
      </w:r>
    </w:p>
    <w:p w:rsidR="00AD60A0" w:rsidRPr="00366979" w:rsidRDefault="00AD60A0" w:rsidP="00366979">
      <w:pPr>
        <w:shd w:val="clear" w:color="auto" w:fill="FFFFFF"/>
        <w:spacing w:after="100" w:afterAutospacing="1" w:line="240" w:lineRule="auto"/>
        <w:jc w:val="both"/>
        <w:rPr>
          <w:rFonts w:eastAsia="Times New Roman" w:cs="Segoe UI"/>
          <w:sz w:val="24"/>
          <w:szCs w:val="24"/>
          <w:lang w:eastAsia="en-GB"/>
        </w:rPr>
      </w:pPr>
      <w:r w:rsidRPr="00366979">
        <w:rPr>
          <w:rFonts w:eastAsia="Times New Roman" w:cs="Segoe UI"/>
          <w:color w:val="212529"/>
          <w:sz w:val="24"/>
          <w:szCs w:val="24"/>
          <w:lang w:eastAsia="en-GB"/>
        </w:rPr>
        <w:t>A monotonous diet and certain socioeconomic factors are associated with deficiencies in numerous micronutrients (Wieringa et al. 2001). In many developing countries, diets are mainly cereal-based, low in animal products, and high in phytate, which can increase the risk for micronutrient deficiencies. Dietary deficiencies also develop easily during an emergency situation or can even be made worse if they are already present. Deficiencies are enhanced by or can occur when livelihoods and food crops are lost; food supplies are interrupted; diarrhoeal diseases break out, resulting in malabsorption and nutrient losses; and infectious diseases suppress the appetite whilst increasing the need for micronutrients to help fight illness (WHO/WFP/UNICEF 2006). In Indonesia, deficiencies in iron, vitamin A, and zinc are highly prevalent and often occur together (Dijkhuizen et al. 2001). Considering the high prevalence of anaemia on Nias Island, vitamin A and zinc deficiency may coexist in the same children.</w:t>
      </w:r>
      <w:r w:rsidR="00366979" w:rsidRPr="00366979">
        <w:rPr>
          <w:rFonts w:eastAsia="Times New Roman" w:cs="Segoe UI"/>
          <w:sz w:val="24"/>
          <w:szCs w:val="24"/>
          <w:lang w:eastAsia="en-GB"/>
        </w:rPr>
        <w:t xml:space="preserve"> </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Many various organizations have tried to improve the situation found in Nias Island, but the problem of malnutrition seems to be persistent. For this reason, a multi factorial approach might be appropriate to address the problem, which would include food-based approaches such as food fortification, food supplementation, MNP distribution and non</w:t>
      </w:r>
      <w:r w:rsidR="009C0BEA">
        <w:rPr>
          <w:rFonts w:eastAsia="Times New Roman" w:cs="Segoe UI"/>
          <w:color w:val="212529"/>
          <w:sz w:val="24"/>
          <w:szCs w:val="24"/>
          <w:lang w:eastAsia="en-GB"/>
        </w:rPr>
        <w:t>-</w:t>
      </w:r>
      <w:r w:rsidRPr="00366979">
        <w:rPr>
          <w:rFonts w:eastAsia="Times New Roman" w:cs="Segoe UI"/>
          <w:color w:val="212529"/>
          <w:sz w:val="24"/>
          <w:szCs w:val="24"/>
          <w:lang w:eastAsia="en-GB"/>
        </w:rPr>
        <w:t>food-based approaches such as nutrition education.</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To the best of our knowledge, there is limited information available of the impact of intensive nutrition education (INE) with or without the provision of multi micronutrients powder (MNP) for in-home use on the nutritional status of mildly wasted children on Nias Island. In previous studies, limited information was found on the impact of INE approach to maternal nutrition-related knowledge and practice. However, there is an urgent need to improve nutrition rehabilitation and to develop appropriate nutrition education material based on local needs on Nias Island.</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In this study, the impact of INE sessions with mothers of mildly wasted children which was further augmented by MNP for in-home use was investigated. Additionally, the study intended to improve feeding recommendations and assist the development of guidelines for treating mildly malnourished children in Indonesia.</w:t>
      </w:r>
    </w:p>
    <w:p w:rsidR="00AD60A0" w:rsidRPr="00366979" w:rsidRDefault="00AD60A0" w:rsidP="00366979">
      <w:pPr>
        <w:shd w:val="clear" w:color="auto" w:fill="FFFFFF"/>
        <w:spacing w:after="100" w:afterAutospacing="1" w:line="240" w:lineRule="auto"/>
        <w:jc w:val="both"/>
        <w:outlineLvl w:val="1"/>
        <w:rPr>
          <w:rFonts w:eastAsia="Times New Roman" w:cs="Segoe UI"/>
          <w:color w:val="212529"/>
          <w:sz w:val="24"/>
          <w:szCs w:val="24"/>
          <w:lang w:eastAsia="en-GB"/>
        </w:rPr>
      </w:pPr>
      <w:r w:rsidRPr="00366979">
        <w:rPr>
          <w:rFonts w:eastAsia="Times New Roman" w:cs="Segoe UI"/>
          <w:color w:val="212529"/>
          <w:sz w:val="24"/>
          <w:szCs w:val="24"/>
          <w:lang w:eastAsia="en-GB"/>
        </w:rPr>
        <w:t>1.5 Conceptual framework of the study</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The conceptual framework of this study is presented in Figure 1.2. The study framework proposed the importance of a quality child care in improving the nutritional status of the child. The quality child care was defined to be influenced by feeding practices given to the child. Nutrition education intervention was implemented to increase nutrition-health related knowledge and to promote improved child feeding practices.</w:t>
      </w:r>
    </w:p>
    <w:p w:rsidR="00AD60A0" w:rsidRPr="00366979" w:rsidRDefault="00AD60A0" w:rsidP="00366979">
      <w:pPr>
        <w:shd w:val="clear" w:color="auto" w:fill="FFFFFF"/>
        <w:spacing w:after="100" w:afterAutospacing="1" w:line="240" w:lineRule="auto"/>
        <w:jc w:val="both"/>
        <w:rPr>
          <w:rFonts w:eastAsia="Times New Roman" w:cs="Segoe UI"/>
          <w:color w:val="212529"/>
          <w:sz w:val="24"/>
          <w:szCs w:val="24"/>
          <w:lang w:eastAsia="en-GB"/>
        </w:rPr>
      </w:pPr>
      <w:r w:rsidRPr="00366979">
        <w:rPr>
          <w:rFonts w:eastAsia="Times New Roman" w:cs="Segoe UI"/>
          <w:color w:val="212529"/>
          <w:sz w:val="24"/>
          <w:szCs w:val="24"/>
          <w:lang w:eastAsia="en-GB"/>
        </w:rPr>
        <w:t>MNP Sprinkles was given as home food fortification of daily consumed food and assumed to positively influence appetite and health status of children. The improvement of the nutritional status of the child is influenced by dietary intake and health status. Dietary intake is assumed to be associated with household food security and the quality of child care given by the caregiver/mother. The health status of a child plays an important role to dietary intake (and vice versa). A child’s health status is influenced by quality child care and health services /environment.</w:t>
      </w:r>
    </w:p>
    <w:p w:rsidR="00906645" w:rsidRPr="000457BF" w:rsidRDefault="00ED6464" w:rsidP="000457BF">
      <w:pPr>
        <w:spacing w:after="100" w:afterAutospacing="1" w:line="240" w:lineRule="auto"/>
        <w:jc w:val="both"/>
        <w:outlineLvl w:val="0"/>
        <w:rPr>
          <w:rFonts w:eastAsia="Times New Roman" w:cs="Times New Roman"/>
          <w:b/>
          <w:color w:val="FF0000"/>
          <w:kern w:val="36"/>
          <w:sz w:val="24"/>
          <w:szCs w:val="24"/>
          <w:lang w:eastAsia="en-GB"/>
        </w:rPr>
      </w:pPr>
      <w:r>
        <w:rPr>
          <w:rFonts w:eastAsia="Times New Roman" w:cs="Times New Roman"/>
          <w:b/>
          <w:color w:val="FF0000"/>
          <w:kern w:val="36"/>
          <w:sz w:val="24"/>
          <w:szCs w:val="24"/>
          <w:lang w:eastAsia="en-GB"/>
        </w:rPr>
        <w:t xml:space="preserve">(11) </w:t>
      </w:r>
      <w:r w:rsidR="00906645" w:rsidRPr="000457BF">
        <w:rPr>
          <w:rFonts w:eastAsia="Times New Roman" w:cs="Times New Roman"/>
          <w:b/>
          <w:color w:val="FF0000"/>
          <w:kern w:val="36"/>
          <w:sz w:val="24"/>
          <w:szCs w:val="24"/>
          <w:lang w:eastAsia="en-GB"/>
        </w:rPr>
        <w:t>Nursing dissertation introduction example</w:t>
      </w:r>
    </w:p>
    <w:p w:rsidR="00906645" w:rsidRPr="000457BF" w:rsidRDefault="00906645" w:rsidP="000457BF">
      <w:pPr>
        <w:spacing w:after="100" w:afterAutospacing="1" w:line="240" w:lineRule="auto"/>
        <w:jc w:val="both"/>
        <w:outlineLvl w:val="1"/>
        <w:rPr>
          <w:rFonts w:eastAsia="Times New Roman" w:cs="Times New Roman"/>
          <w:sz w:val="24"/>
          <w:szCs w:val="24"/>
          <w:lang w:eastAsia="en-GB"/>
        </w:rPr>
      </w:pPr>
      <w:r w:rsidRPr="000457BF">
        <w:rPr>
          <w:rFonts w:eastAsia="Times New Roman" w:cs="Times New Roman"/>
          <w:sz w:val="24"/>
          <w:szCs w:val="24"/>
          <w:lang w:eastAsia="en-GB"/>
        </w:rPr>
        <w:t>Introduction</w:t>
      </w:r>
    </w:p>
    <w:p w:rsidR="00906645" w:rsidRPr="000457BF" w:rsidRDefault="00C6330A" w:rsidP="000457BF">
      <w:pPr>
        <w:spacing w:after="100" w:afterAutospacing="1" w:line="240" w:lineRule="auto"/>
        <w:jc w:val="both"/>
        <w:rPr>
          <w:rFonts w:eastAsia="Times New Roman" w:cs="Times New Roman"/>
          <w:sz w:val="24"/>
          <w:szCs w:val="24"/>
          <w:lang w:eastAsia="en-GB"/>
        </w:rPr>
      </w:pPr>
      <w:r w:rsidRPr="00C6330A">
        <w:rPr>
          <w:rFonts w:eastAsia="Times New Roman" w:cs="Times New Roman"/>
          <w:b/>
          <w:color w:val="FF0000"/>
          <w:sz w:val="32"/>
          <w:szCs w:val="24"/>
          <w:lang w:eastAsia="en-GB"/>
        </w:rPr>
        <w:t>THE PURPOSE</w:t>
      </w:r>
      <w:r w:rsidR="00906645" w:rsidRPr="000457BF">
        <w:rPr>
          <w:rFonts w:eastAsia="Times New Roman" w:cs="Times New Roman"/>
          <w:sz w:val="24"/>
          <w:szCs w:val="24"/>
          <w:lang w:eastAsia="en-GB"/>
        </w:rPr>
        <w:t xml:space="preserve"> of this paper is to complete a diagnostic assessment and analysis to determine organisational readiness for an evidence-based service change linked to an action plan within Outer North East London Community Services (ONEL CS) Inpatient Unit within the London Borough of Havering. This paper will discuss how change can be achieved through completion of a diagnostic analysis. The evidence based change to be implemented and discussed in the paper, is the introduction of a Dementia Care bundle to improve dementia nursing care on the inpatient wards within Havering – ONELCS. Through the use of a service improvement audit conducted within the Inpatient Unit; this paper will reflect upon the application of research methodologies that can support the diagnostic analysis; and the development and implementation of the action plan developed to achieve service innovation.</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The paper begins by giving the background information on the area of health care selected for review and service innovation. This will include the rationale for choosing this area, it importance and the explanation and definition of the key terms that will be used throughout the paper. The process by which the literature review was conducted will be detailed so that it could be replicated by the reader where necessary. Following on from this, the evidence pertaining to the chosen area of improvement will be critically appraised to identify its merit in informing the diagnostic analysis assessment.</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Diagnostic analysis is the process of gathering information prior to the implementation of change, and is designed to identify the barriers and facilitators for change within an organisation; assessing organisational readiness for change (Hamilton, McLaren and Hamilton 2007). Theories and models relating to organisational change will be discussed; with the aim to informing and developing a strategy or action plan tailored to the local context for implementation.</w:t>
      </w:r>
    </w:p>
    <w:p w:rsidR="00906645" w:rsidRPr="000457BF" w:rsidRDefault="00906645" w:rsidP="000457BF">
      <w:pPr>
        <w:spacing w:after="100" w:afterAutospacing="1" w:line="240" w:lineRule="auto"/>
        <w:jc w:val="both"/>
        <w:outlineLvl w:val="2"/>
        <w:rPr>
          <w:rFonts w:eastAsia="Times New Roman" w:cs="Times New Roman"/>
          <w:sz w:val="24"/>
          <w:szCs w:val="24"/>
          <w:lang w:eastAsia="en-GB"/>
        </w:rPr>
      </w:pPr>
      <w:r w:rsidRPr="000457BF">
        <w:rPr>
          <w:rFonts w:eastAsia="Times New Roman" w:cs="Times New Roman"/>
          <w:sz w:val="24"/>
          <w:szCs w:val="24"/>
          <w:lang w:eastAsia="en-GB"/>
        </w:rPr>
        <w:t>Background</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Dementia care is generally often overlooked on the acute inpatient hospital wards (Leung and Todd 2010). Up to 70% of acute hospital beds are occupied by older people (Department of Health (DOH) 2001; Alzheimer’s Society 2009). It is estimated that up to a of these patients, up to half of these patients in general acute care at any one time may have cognitive impairment including delirium and dementia (Royal College of Psychiatrists 2005). The unacceptable variation in the quality of dementia care provided on general wards in hospitals across England is well documented in numerous reports such as the ‘Counting the Cost: Caring for people with Dementia on Hospital Wards’ report</w:t>
      </w:r>
      <w:r w:rsidR="003D2B4B">
        <w:rPr>
          <w:rFonts w:eastAsia="Times New Roman" w:cs="Times New Roman"/>
          <w:sz w:val="24"/>
          <w:szCs w:val="24"/>
          <w:lang w:eastAsia="en-GB"/>
        </w:rPr>
        <w:t xml:space="preserve"> </w:t>
      </w:r>
      <w:r w:rsidRPr="000457BF">
        <w:rPr>
          <w:rFonts w:eastAsia="Times New Roman" w:cs="Times New Roman"/>
          <w:sz w:val="24"/>
          <w:szCs w:val="24"/>
          <w:lang w:eastAsia="en-GB"/>
        </w:rPr>
        <w:t>(Alzheimer’s Society 2009). The ‘Healthcare for London: A framework for Action’ document (2007) and the National Audit Office report ‘Improving services and support for people with dementia’ (2007), highlight the fact that services were not provided consistently well across London for people with dementia and their carers; that people with dementia in general hospitals have worst outcomes in terms of length of stay, mortality and institutionalisation. In fact, the National Audit Office (NAO 2007)mentioned earlier- which is responsible for scrutinising the use of public money note in their report that dementia care is as poor as cancer care was in the 1950s.</w:t>
      </w:r>
      <w:r w:rsidR="000457BF" w:rsidRPr="000457BF">
        <w:rPr>
          <w:rFonts w:eastAsia="Times New Roman" w:cs="Times New Roman"/>
          <w:sz w:val="24"/>
          <w:szCs w:val="24"/>
          <w:lang w:eastAsia="en-GB"/>
        </w:rPr>
        <w:t xml:space="preserve"> </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Patients with dementia and their carers experience, have confirmed the above reports: patient feedback has highlighted an urgent need for research into care for older persons in general hospitals as is recently reported in media reports and Parliamentary and Health Service Ombudsman</w:t>
      </w:r>
      <w:r w:rsidR="000457BF">
        <w:rPr>
          <w:rFonts w:eastAsia="Times New Roman" w:cs="Times New Roman"/>
          <w:sz w:val="24"/>
          <w:szCs w:val="24"/>
          <w:lang w:eastAsia="en-GB"/>
        </w:rPr>
        <w:t xml:space="preserve"> </w:t>
      </w:r>
      <w:r w:rsidRPr="000457BF">
        <w:rPr>
          <w:rFonts w:eastAsia="Times New Roman" w:cs="Times New Roman"/>
          <w:sz w:val="24"/>
          <w:szCs w:val="24"/>
          <w:lang w:eastAsia="en-GB"/>
        </w:rPr>
        <w:t>2011) report investigating ten complaints into National Health Service(NHS) care of older people. Furthermore the National Audit Office(NOA) report (NOA 2007) provides potent evidence of the current costs of care for those with dementia diagnosis in the hospital setting; and highlights that acute general hospitals are not delivering a ‘value for money’ service.</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As a result of this evidence the National Dementia Strategy</w:t>
      </w:r>
      <w:r w:rsidR="000457BF">
        <w:rPr>
          <w:rFonts w:eastAsia="Times New Roman" w:cs="Times New Roman"/>
          <w:sz w:val="24"/>
          <w:szCs w:val="24"/>
          <w:lang w:eastAsia="en-GB"/>
        </w:rPr>
        <w:t xml:space="preserve"> </w:t>
      </w:r>
      <w:r w:rsidRPr="000457BF">
        <w:rPr>
          <w:rFonts w:eastAsia="Times New Roman" w:cs="Times New Roman"/>
          <w:sz w:val="24"/>
          <w:szCs w:val="24"/>
          <w:lang w:eastAsia="en-GB"/>
        </w:rPr>
        <w:t>(DOH 2009) was developed by the Department of Health. The policy document sets out a five year transformation plan for dementia under four themes: raising awareness and understanding; early diagnosis and support; living well with dementia and making the change</w:t>
      </w:r>
      <w:r w:rsidR="000457BF">
        <w:rPr>
          <w:rFonts w:eastAsia="Times New Roman" w:cs="Times New Roman"/>
          <w:sz w:val="24"/>
          <w:szCs w:val="24"/>
          <w:lang w:eastAsia="en-GB"/>
        </w:rPr>
        <w:t xml:space="preserve"> </w:t>
      </w:r>
      <w:r w:rsidRPr="000457BF">
        <w:rPr>
          <w:rFonts w:eastAsia="Times New Roman" w:cs="Times New Roman"/>
          <w:sz w:val="24"/>
          <w:szCs w:val="24"/>
          <w:lang w:eastAsia="en-GB"/>
        </w:rPr>
        <w:t>(DOH 2009). Dementia has been included in the NHS Operating Framework for 2009/10 as one of the areas where the Department of Health will expect to see and monitor progress</w:t>
      </w:r>
      <w:r w:rsidR="000457BF">
        <w:rPr>
          <w:rFonts w:eastAsia="Times New Roman" w:cs="Times New Roman"/>
          <w:sz w:val="24"/>
          <w:szCs w:val="24"/>
          <w:lang w:eastAsia="en-GB"/>
        </w:rPr>
        <w:t xml:space="preserve"> </w:t>
      </w:r>
      <w:r w:rsidRPr="000457BF">
        <w:rPr>
          <w:rFonts w:eastAsia="Times New Roman" w:cs="Times New Roman"/>
          <w:sz w:val="24"/>
          <w:szCs w:val="24"/>
          <w:lang w:eastAsia="en-GB"/>
        </w:rPr>
        <w:t>(DOH 2008). Following on from this, Dementia is one of only five areas where specific world class commissioning guidance has been produced</w:t>
      </w:r>
      <w:r w:rsidR="000457BF">
        <w:rPr>
          <w:rFonts w:eastAsia="Times New Roman" w:cs="Times New Roman"/>
          <w:sz w:val="24"/>
          <w:szCs w:val="24"/>
          <w:lang w:eastAsia="en-GB"/>
        </w:rPr>
        <w:t xml:space="preserve"> </w:t>
      </w:r>
      <w:r w:rsidRPr="000457BF">
        <w:rPr>
          <w:rFonts w:eastAsia="Times New Roman" w:cs="Times New Roman"/>
          <w:sz w:val="24"/>
          <w:szCs w:val="24"/>
          <w:lang w:eastAsia="en-GB"/>
        </w:rPr>
        <w:t xml:space="preserve">(Commissioning Support for London 2009, DOH 2009). Given the significant numbers of people with dementia using health and social care services, transforming services for people with dementia will be fundamental to Commissioners in achieving world class commissioning, personalisation and the recommendations of the </w:t>
      </w:r>
      <w:proofErr w:type="spellStart"/>
      <w:r w:rsidRPr="000457BF">
        <w:rPr>
          <w:rFonts w:eastAsia="Times New Roman" w:cs="Times New Roman"/>
          <w:sz w:val="24"/>
          <w:szCs w:val="24"/>
          <w:lang w:eastAsia="en-GB"/>
        </w:rPr>
        <w:t>Darzi</w:t>
      </w:r>
      <w:proofErr w:type="spellEnd"/>
      <w:r w:rsidRPr="000457BF">
        <w:rPr>
          <w:rFonts w:eastAsia="Times New Roman" w:cs="Times New Roman"/>
          <w:sz w:val="24"/>
          <w:szCs w:val="24"/>
          <w:lang w:eastAsia="en-GB"/>
        </w:rPr>
        <w:t xml:space="preserve"> review (DOH 2008). This meant for St George’s Hospital as provider services for NHS Havering Commissioners, the inpatient service need to align themselves strategically with commissioning priorities for dementia services within Havering(see appendix one). The aims of this paper sit well with Objective 8 and 13 of the National Dementia Strategy (DOH 2009). It was against this backdrop that this paper was developed; to focus on the improving dementia nursing care provided on the inpatient wards by implementing a dementia nursing care bundle.</w:t>
      </w:r>
    </w:p>
    <w:p w:rsidR="00906645" w:rsidRPr="000457BF" w:rsidRDefault="00906645" w:rsidP="000457BF">
      <w:pPr>
        <w:spacing w:after="100" w:afterAutospacing="1" w:line="240" w:lineRule="auto"/>
        <w:jc w:val="both"/>
        <w:outlineLvl w:val="2"/>
        <w:rPr>
          <w:rFonts w:eastAsia="Times New Roman" w:cs="Times New Roman"/>
          <w:sz w:val="24"/>
          <w:szCs w:val="24"/>
          <w:lang w:eastAsia="en-GB"/>
        </w:rPr>
      </w:pPr>
      <w:r w:rsidRPr="000457BF">
        <w:rPr>
          <w:rFonts w:eastAsia="Times New Roman" w:cs="Times New Roman"/>
          <w:sz w:val="24"/>
          <w:szCs w:val="24"/>
          <w:lang w:eastAsia="en-GB"/>
        </w:rPr>
        <w:t>Definition of key terms:</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 xml:space="preserve">For </w:t>
      </w:r>
      <w:r w:rsidR="00C6330A" w:rsidRPr="00C6330A">
        <w:rPr>
          <w:rFonts w:eastAsia="Times New Roman" w:cs="Times New Roman"/>
          <w:b/>
          <w:color w:val="FF0000"/>
          <w:sz w:val="32"/>
          <w:szCs w:val="24"/>
          <w:lang w:eastAsia="en-GB"/>
        </w:rPr>
        <w:t>THE PURPOSE</w:t>
      </w:r>
      <w:r w:rsidRPr="000457BF">
        <w:rPr>
          <w:rFonts w:eastAsia="Times New Roman" w:cs="Times New Roman"/>
          <w:sz w:val="24"/>
          <w:szCs w:val="24"/>
          <w:lang w:eastAsia="en-GB"/>
        </w:rPr>
        <w:t xml:space="preserve"> of this paper key terms have been defined in particular the meaning of Dementia and the concept of Care Bundles.</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b/>
          <w:bCs/>
          <w:sz w:val="24"/>
          <w:szCs w:val="24"/>
          <w:lang w:eastAsia="en-GB"/>
        </w:rPr>
        <w:t>What is Dementia?</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The term dementia is used to describe a collection of symptoms, a syndrome which includes changes in memory, reasoning and communication skills, with a gradual loss of ability to carry out daily activities (Alzheimer’s Society 2009, Commissioning Support for London 2009; DOH 2009 NDS-a/b). There are a number of different types of dementia; with the most common being Alzheimer’s disease that accounts for about 60% of cases (Gupta, Fiertag and Warner 2009).</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b/>
          <w:bCs/>
          <w:sz w:val="24"/>
          <w:szCs w:val="24"/>
          <w:lang w:eastAsia="en-GB"/>
        </w:rPr>
        <w:t>The Different Types of Dementia</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i. Alzheimer’s disease changes the chemistry and structure of the brain, causing brain cells to die (DOH 2009). Alongside this decline, the person will show symptoms including difficulty with eating, swallowing, continence and experience loss of communication skills such as speech, becoming increasingly dependent on others</w:t>
      </w:r>
      <w:r w:rsidR="003D2B4B">
        <w:rPr>
          <w:rFonts w:eastAsia="Times New Roman" w:cs="Times New Roman"/>
          <w:sz w:val="24"/>
          <w:szCs w:val="24"/>
          <w:lang w:eastAsia="en-GB"/>
        </w:rPr>
        <w:t xml:space="preserve"> </w:t>
      </w:r>
      <w:r w:rsidRPr="000457BF">
        <w:rPr>
          <w:rFonts w:eastAsia="Times New Roman" w:cs="Times New Roman"/>
          <w:sz w:val="24"/>
          <w:szCs w:val="24"/>
          <w:lang w:eastAsia="en-GB"/>
        </w:rPr>
        <w:t>(Alzheimer’s Society 2009, DOH 2009).</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ii. Vascular dementia is as a result of strokes or small vessel disease, which affects the supply of oxygen to the brain</w:t>
      </w:r>
      <w:r w:rsidR="003D2B4B">
        <w:rPr>
          <w:rFonts w:eastAsia="Times New Roman" w:cs="Times New Roman"/>
          <w:sz w:val="24"/>
          <w:szCs w:val="24"/>
          <w:lang w:eastAsia="en-GB"/>
        </w:rPr>
        <w:t xml:space="preserve"> </w:t>
      </w:r>
      <w:r w:rsidRPr="000457BF">
        <w:rPr>
          <w:rFonts w:eastAsia="Times New Roman" w:cs="Times New Roman"/>
          <w:sz w:val="24"/>
          <w:szCs w:val="24"/>
          <w:lang w:eastAsia="en-GB"/>
        </w:rPr>
        <w:t>(DOH 2009). Similar to Alzheimer’s disease but progression is often ‘stepped’ rather than gradual</w:t>
      </w:r>
      <w:r w:rsidR="003D2B4B">
        <w:rPr>
          <w:rFonts w:eastAsia="Times New Roman" w:cs="Times New Roman"/>
          <w:sz w:val="24"/>
          <w:szCs w:val="24"/>
          <w:lang w:eastAsia="en-GB"/>
        </w:rPr>
        <w:t xml:space="preserve"> </w:t>
      </w:r>
      <w:r w:rsidRPr="000457BF">
        <w:rPr>
          <w:rFonts w:eastAsia="Times New Roman" w:cs="Times New Roman"/>
          <w:sz w:val="24"/>
          <w:szCs w:val="24"/>
          <w:lang w:eastAsia="en-GB"/>
        </w:rPr>
        <w:t>(DOH 2009).</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iii. Fronto-temporal dementia is a rare form of dementia affecting the front of the brain. It includes Pick’s disease and most commonly affects people under 65(DOH 2009). In the early stages the memory may remain intact while the person’s behaviours and personality change</w:t>
      </w:r>
      <w:r w:rsidR="003D2B4B">
        <w:rPr>
          <w:rFonts w:eastAsia="Times New Roman" w:cs="Times New Roman"/>
          <w:sz w:val="24"/>
          <w:szCs w:val="24"/>
          <w:lang w:eastAsia="en-GB"/>
        </w:rPr>
        <w:t xml:space="preserve"> </w:t>
      </w:r>
      <w:r w:rsidRPr="000457BF">
        <w:rPr>
          <w:rFonts w:eastAsia="Times New Roman" w:cs="Times New Roman"/>
          <w:sz w:val="24"/>
          <w:szCs w:val="24"/>
          <w:lang w:eastAsia="en-GB"/>
        </w:rPr>
        <w:t>(DOH 2009).</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iv. Dementia with Lewy bodies is caused by tiny spherical protein deposits that develop inside nerve cells in the brain</w:t>
      </w:r>
      <w:r w:rsidR="003D2B4B">
        <w:rPr>
          <w:rFonts w:eastAsia="Times New Roman" w:cs="Times New Roman"/>
          <w:sz w:val="24"/>
          <w:szCs w:val="24"/>
          <w:lang w:eastAsia="en-GB"/>
        </w:rPr>
        <w:t xml:space="preserve"> </w:t>
      </w:r>
      <w:r w:rsidRPr="000457BF">
        <w:rPr>
          <w:rFonts w:eastAsia="Times New Roman" w:cs="Times New Roman"/>
          <w:sz w:val="24"/>
          <w:szCs w:val="24"/>
          <w:lang w:eastAsia="en-GB"/>
        </w:rPr>
        <w:t>(DOH 2009). These interrupt the brain’s normal functioning, affecting the person’s memory, concentration and language skills</w:t>
      </w:r>
      <w:r w:rsidR="003D2B4B">
        <w:rPr>
          <w:rFonts w:eastAsia="Times New Roman" w:cs="Times New Roman"/>
          <w:sz w:val="24"/>
          <w:szCs w:val="24"/>
          <w:lang w:eastAsia="en-GB"/>
        </w:rPr>
        <w:t xml:space="preserve"> </w:t>
      </w:r>
      <w:r w:rsidRPr="000457BF">
        <w:rPr>
          <w:rFonts w:eastAsia="Times New Roman" w:cs="Times New Roman"/>
          <w:sz w:val="24"/>
          <w:szCs w:val="24"/>
          <w:lang w:eastAsia="en-GB"/>
        </w:rPr>
        <w:t>(DOH 2009). This type of dementia has symptoms similar to those of Parkinson’s disease such as tremors and slowness of movement (DOH 2009).</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b/>
          <w:bCs/>
          <w:sz w:val="24"/>
          <w:szCs w:val="24"/>
          <w:lang w:eastAsia="en-GB"/>
        </w:rPr>
        <w:t>Dementia in Havering- the local picture</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Dementia presents a unique challenge for London; with estimates of around 65000 people over the age of 65 in London diagnosed with dementia(Commissioning Support for London 2009); projections suggest that the number of people over 80 in London with dementia can be expected to rise by almost 50 per cent to 96000 by 2030(POPPI 2010).</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 xml:space="preserve">Dementia is an under-diagnosed condition in the London Borough of Havering. This paper focuses on improving inpatient nursing care delivered for dementia patients at St Georges Hospital. St Georges Hospital is a community hospital within Havering. Predominately for patients aged 65 and over it consists of a day hospital and 45 in-patient beds across two wards. There is one rehabilitation/assessment ward; and a stroke unit. In common with all members of the community, people with dementia can become physically unwell and require general hospital care. St Georges Hospital admits patients with dementia from the neighbouring acute hospital, Barking Havering and Redbridge University Hospital NHS Trust. Demographic changes and an ageing population in Havering mean there will be a disproportionate increase in the common conditions of old age, such as cancer, stroke, and dementia; therefore it is expected that the majority of patients admitted to St Georges Hospital inpatient wards may have or have a current diagnosis of dementia. A Freedom of Information (FOI) Request revealed that the estimated number of people with dementia is 1015. </w:t>
      </w:r>
      <w:r w:rsidR="003D2B4B">
        <w:rPr>
          <w:rFonts w:eastAsia="Times New Roman" w:cs="Times New Roman"/>
          <w:sz w:val="24"/>
          <w:szCs w:val="24"/>
          <w:lang w:eastAsia="en-GB"/>
        </w:rPr>
        <w:t>T</w:t>
      </w:r>
      <w:r w:rsidRPr="000457BF">
        <w:rPr>
          <w:rFonts w:eastAsia="Times New Roman" w:cs="Times New Roman"/>
          <w:sz w:val="24"/>
          <w:szCs w:val="24"/>
          <w:lang w:eastAsia="en-GB"/>
        </w:rPr>
        <w:t>his represents 0.4% of all registered General Practitioner population and is below the national average of 1.1%. This figure is anticipated to rise and as is outlined by Appendix one. The evidenced based change to be introduced is a nursing dementia care bundle with the aim of improving the nursing care provided on the inpatient wards.</w:t>
      </w:r>
      <w:r w:rsidR="000457BF" w:rsidRPr="000457BF">
        <w:rPr>
          <w:rFonts w:eastAsia="Times New Roman" w:cs="Times New Roman"/>
          <w:sz w:val="24"/>
          <w:szCs w:val="24"/>
          <w:lang w:eastAsia="en-GB"/>
        </w:rPr>
        <w:t xml:space="preserve"> </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b/>
          <w:bCs/>
          <w:sz w:val="24"/>
          <w:szCs w:val="24"/>
          <w:lang w:eastAsia="en-GB"/>
        </w:rPr>
        <w:t>What Is A Care Bundle?</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A “care bundle” is an evidence based protocol (Resar, Pronovost and Haraden, Simmonds, Rainey and Nolan 2005). Successfully used in Critical Care; it is a collection of interventions (usually three to five) that may be applied to the management of a particular condition (Fulbrook, and Mooney 2003, Resar, Pronovost Harden et al 2005; Belt 2006). The theory behind care bundles is that when several evidence-based interventions are grouped together in a single protocol, it will improve patient outcome (Resar, Pronovost and Haraden, et al 2005). The concept of care bundles was introduced by the NHS Modernisation Agency (DOH 2004) and continues to be fully supported by the Department of Health. A heavy reliance on the use of care bundles is evidenced the development and recent review of High Impact Interventions in reducing Healthcare Associated Infections by the Department of Health</w:t>
      </w:r>
      <w:r w:rsidR="00C44D24">
        <w:rPr>
          <w:rFonts w:eastAsia="Times New Roman" w:cs="Times New Roman"/>
          <w:sz w:val="24"/>
          <w:szCs w:val="24"/>
          <w:lang w:eastAsia="en-GB"/>
        </w:rPr>
        <w:t xml:space="preserve"> </w:t>
      </w:r>
      <w:r w:rsidRPr="000457BF">
        <w:rPr>
          <w:rFonts w:eastAsia="Times New Roman" w:cs="Times New Roman"/>
          <w:sz w:val="24"/>
          <w:szCs w:val="24"/>
          <w:lang w:eastAsia="en-GB"/>
        </w:rPr>
        <w:t>(DOH 2010).</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 xml:space="preserve">Care bundles have a number of attractions. In particular they can be used as tools to improve the quality of patient care, and they sit comfortably with the NICE definition of clinical audit and </w:t>
      </w:r>
      <w:r w:rsidR="00C6330A" w:rsidRPr="00C6330A">
        <w:rPr>
          <w:rFonts w:eastAsia="Times New Roman" w:cs="Times New Roman"/>
          <w:b/>
          <w:color w:val="FF0000"/>
          <w:sz w:val="32"/>
          <w:szCs w:val="24"/>
          <w:lang w:eastAsia="en-GB"/>
        </w:rPr>
        <w:t>THE PURPOSE</w:t>
      </w:r>
      <w:r w:rsidRPr="000457BF">
        <w:rPr>
          <w:rFonts w:eastAsia="Times New Roman" w:cs="Times New Roman"/>
          <w:sz w:val="24"/>
          <w:szCs w:val="24"/>
          <w:lang w:eastAsia="en-GB"/>
        </w:rPr>
        <w:t xml:space="preserve"> of this paper:</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‘Clinical audit is a quality improvement process that seeks to improve patient care and outcomes through systematic review of care against explicit criteria and the implementation of change. Aspects of the structure, processes and outcomes of care are selected and systematically evaluated against explicit criteria. Where indicated changes are implemented at an individual team or service level and further monitoring is used to confirm improvement in health care delivery’ (NICE 2002)</w:t>
      </w:r>
    </w:p>
    <w:p w:rsidR="00906645" w:rsidRPr="000457BF" w:rsidRDefault="00906645" w:rsidP="000457BF">
      <w:pPr>
        <w:spacing w:after="100" w:afterAutospacing="1" w:line="240" w:lineRule="auto"/>
        <w:jc w:val="both"/>
        <w:rPr>
          <w:rFonts w:eastAsia="Times New Roman" w:cs="Times New Roman"/>
          <w:sz w:val="24"/>
          <w:szCs w:val="24"/>
          <w:lang w:eastAsia="en-GB"/>
        </w:rPr>
      </w:pPr>
      <w:r w:rsidRPr="000457BF">
        <w:rPr>
          <w:rFonts w:eastAsia="Times New Roman" w:cs="Times New Roman"/>
          <w:sz w:val="24"/>
          <w:szCs w:val="24"/>
          <w:lang w:eastAsia="en-GB"/>
        </w:rPr>
        <w:t>Care bundles are a way of reducing the gap between research and practice in clinical areas and in theory they will improve clinical effectiveness. Although most specialities are using ‘care bundles’ for the dementia care they are relatively a new concept. It is expected that by grouping dementia related evidence based practices or interventions together, within a single protocol that guides patient management, the overall quality of care nursing care delivered to dementia patients will improve. A dementia nursing care bundle has been developed by the Royal Wolverhampton Hospitals NHS Trust, through a freedom of Information (FOI) Request (Appendix three); a copy was requested and was to be locally adapted for the inpatient unit at St Georges Hospital ONELCS-Havering.</w:t>
      </w:r>
    </w:p>
    <w:p w:rsidR="00906645" w:rsidRPr="000457BF" w:rsidRDefault="00906645" w:rsidP="000457BF">
      <w:pPr>
        <w:spacing w:after="100" w:afterAutospacing="1" w:line="240" w:lineRule="auto"/>
        <w:jc w:val="both"/>
        <w:outlineLvl w:val="2"/>
        <w:rPr>
          <w:rFonts w:eastAsia="Times New Roman" w:cs="Times New Roman"/>
          <w:sz w:val="24"/>
          <w:szCs w:val="24"/>
          <w:lang w:eastAsia="en-GB"/>
        </w:rPr>
      </w:pPr>
      <w:r w:rsidRPr="000457BF">
        <w:rPr>
          <w:rFonts w:eastAsia="Times New Roman" w:cs="Times New Roman"/>
          <w:sz w:val="24"/>
          <w:szCs w:val="24"/>
          <w:lang w:eastAsia="en-GB"/>
        </w:rPr>
        <w:t>Method of Searching for Literature</w:t>
      </w:r>
    </w:p>
    <w:p w:rsidR="00E67904" w:rsidRPr="000457BF" w:rsidRDefault="00906645" w:rsidP="000457BF">
      <w:pPr>
        <w:spacing w:after="100" w:afterAutospacing="1" w:line="240" w:lineRule="auto"/>
        <w:jc w:val="both"/>
        <w:rPr>
          <w:b/>
          <w:color w:val="FF0000"/>
          <w:sz w:val="24"/>
          <w:szCs w:val="24"/>
        </w:rPr>
      </w:pPr>
      <w:r w:rsidRPr="000457BF">
        <w:rPr>
          <w:rFonts w:eastAsia="Times New Roman" w:cs="Times New Roman"/>
          <w:sz w:val="24"/>
          <w:szCs w:val="24"/>
          <w:lang w:eastAsia="en-GB"/>
        </w:rPr>
        <w:t>An electronic search of the literature was undertaken on dementia care on hospital wards on the 30th of January 2011. Using an Athens NHS Log in details and advanced search of healthcare databases using the</w:t>
      </w:r>
      <w:r w:rsidR="00180087">
        <w:rPr>
          <w:rFonts w:eastAsia="Times New Roman" w:cs="Times New Roman"/>
          <w:sz w:val="24"/>
          <w:szCs w:val="24"/>
          <w:lang w:eastAsia="en-GB"/>
        </w:rPr>
        <w:t xml:space="preserve"> </w:t>
      </w:r>
      <w:r w:rsidRPr="000457BF">
        <w:rPr>
          <w:rFonts w:eastAsia="Times New Roman" w:cs="Times New Roman"/>
          <w:sz w:val="24"/>
          <w:szCs w:val="24"/>
          <w:lang w:eastAsia="en-GB"/>
        </w:rPr>
        <w:t xml:space="preserve">Cumulative Index to Nursing and Allied Health Literature (CINAHL) was completed. Appendix four outlines how literature was identified and selected for appraisal. </w:t>
      </w:r>
    </w:p>
    <w:p w:rsidR="00A916B8" w:rsidRPr="00180087" w:rsidRDefault="00ED6464" w:rsidP="00180087">
      <w:pPr>
        <w:shd w:val="clear" w:color="auto" w:fill="FFFFFF"/>
        <w:spacing w:after="100" w:afterAutospacing="1" w:line="240" w:lineRule="auto"/>
        <w:jc w:val="both"/>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(12) </w:t>
      </w:r>
      <w:r w:rsidR="00A916B8" w:rsidRPr="00180087">
        <w:rPr>
          <w:rFonts w:eastAsia="Times New Roman" w:cs="Segoe UI"/>
          <w:b/>
          <w:color w:val="FF0000"/>
          <w:kern w:val="36"/>
          <w:sz w:val="24"/>
          <w:szCs w:val="24"/>
          <w:lang w:eastAsia="en-GB"/>
        </w:rPr>
        <w:t>Management dissertation introduction example</w:t>
      </w:r>
    </w:p>
    <w:p w:rsidR="00A916B8" w:rsidRPr="00180087" w:rsidRDefault="00A916B8" w:rsidP="00180087">
      <w:pPr>
        <w:shd w:val="clear" w:color="auto" w:fill="FFFFFF"/>
        <w:spacing w:after="100" w:afterAutospacing="1" w:line="240" w:lineRule="auto"/>
        <w:jc w:val="both"/>
        <w:outlineLvl w:val="1"/>
        <w:rPr>
          <w:rFonts w:eastAsia="Times New Roman" w:cs="Segoe UI"/>
          <w:color w:val="212529"/>
          <w:sz w:val="24"/>
          <w:szCs w:val="24"/>
          <w:lang w:eastAsia="en-GB"/>
        </w:rPr>
      </w:pPr>
      <w:r w:rsidRPr="00180087">
        <w:rPr>
          <w:rFonts w:eastAsia="Times New Roman" w:cs="Segoe UI"/>
          <w:color w:val="212529"/>
          <w:sz w:val="24"/>
          <w:szCs w:val="24"/>
          <w:lang w:eastAsia="en-GB"/>
        </w:rPr>
        <w:t>CHAPTER 1</w:t>
      </w:r>
    </w:p>
    <w:p w:rsidR="00A916B8" w:rsidRPr="00180087" w:rsidRDefault="00A916B8" w:rsidP="00180087">
      <w:pPr>
        <w:shd w:val="clear" w:color="auto" w:fill="FFFFFF"/>
        <w:spacing w:after="100" w:afterAutospacing="1" w:line="240" w:lineRule="auto"/>
        <w:jc w:val="both"/>
        <w:outlineLvl w:val="2"/>
        <w:rPr>
          <w:rFonts w:eastAsia="Times New Roman" w:cs="Segoe UI"/>
          <w:color w:val="212529"/>
          <w:sz w:val="24"/>
          <w:szCs w:val="24"/>
          <w:lang w:eastAsia="en-GB"/>
        </w:rPr>
      </w:pPr>
      <w:r w:rsidRPr="00180087">
        <w:rPr>
          <w:rFonts w:eastAsia="Times New Roman" w:cs="Segoe UI"/>
          <w:color w:val="212529"/>
          <w:sz w:val="24"/>
          <w:szCs w:val="24"/>
          <w:lang w:eastAsia="en-GB"/>
        </w:rPr>
        <w:t>INTRODUCTION</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Introduction to Customer Retention</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Customer retention is one of the important strategies which any company or organization must pay attention to (Colgate and Danaher 1996), from private companies to government enterprises, from service sector to financial banking sector (Trubik and Smith, 2000). The relationship between marketing and customer retention also play important role. At first, starting a normal customer, they, then, became an actual customer, loyal customer and finally, supporters (Christopher, Payne, and Ballantyne, 1991)</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Normally, the existing client is always better than new customer who contributes in some activities including increase add value, fall costs and encourage world-of-mouth of communication (Gremler and Brown, 1998). For instance, Reichheld and Sasser (1990) proved that average customer value increases 125% if company can improve customer retention about 5%. In addition, they also recommended that profit in company rises with to the length of exist client.</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Rust, Zahorik and Keiningham (1995) suggested that the cost of activities retaining existing customer is lower than that of attracting customer activities. For instance, the financial cost for keeping old customer may be less than five times acquiring new customers. In some cases, the bank might lose number of satisfied customers because the customer can retire or move. Thus, high level satisfaction does not mean high level loyal. If a bank has strong customer relationship, customers probably ignore competitor’s activities like advertisement, promotion and discount (Liljiander and Strandvik, 1995). Consequently, the objective of customer retention is to improve the cost of attracting new clients and lead to higher profitability, therefore Reichhed (1996) demonstrated main purpose of any company is minimum defection of profitable client as can as possible.</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1.1 Background of Economy and Banking in Vietnam and Singapore</w:t>
      </w:r>
    </w:p>
    <w:p w:rsidR="00A916B8" w:rsidRPr="00180087" w:rsidRDefault="00A916B8" w:rsidP="00180087">
      <w:pPr>
        <w:shd w:val="clear" w:color="auto" w:fill="FFFFFF"/>
        <w:spacing w:after="100" w:afterAutospacing="1" w:line="240" w:lineRule="auto"/>
        <w:jc w:val="both"/>
        <w:outlineLvl w:val="4"/>
        <w:rPr>
          <w:rFonts w:eastAsia="Times New Roman" w:cs="Segoe UI"/>
          <w:color w:val="212529"/>
          <w:sz w:val="24"/>
          <w:szCs w:val="24"/>
          <w:lang w:eastAsia="en-GB"/>
        </w:rPr>
      </w:pPr>
      <w:r w:rsidRPr="00180087">
        <w:rPr>
          <w:rFonts w:eastAsia="Times New Roman" w:cs="Segoe UI"/>
          <w:color w:val="212529"/>
          <w:sz w:val="24"/>
          <w:szCs w:val="24"/>
          <w:lang w:eastAsia="en-GB"/>
        </w:rPr>
        <w:t>1.1.1 Development of Vietnam Economy</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Vietnamis a developing</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market. Since 1986, Vietnamese government undertook open policy with outside trading and until now, Vietnam has many of innovative policies. In long term plans of Vietnam, this country has changed from a</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highly centralized</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policy economy to government oriented market economy. During the period from 18th to 19th century, economy of Vietnam has depicted a dramatic growth. In present period, Vietnam is engaging into global economy and becomes a member of this global house.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among Asian nations, Vietnam becomes a leader market in agricultural exporter sector. In addition, Vietnam publishes many new policies which attract not only Asian investors but also investors on over the world</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Figure 1: Annual GDP Growth Rate of Asian Countries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 Asian Development Bank,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2010, Vietnam that is evaluated as small Southeast Asian economy has improved economic growth. According to Asian Development Bank, in 2010 the Vietnam economy growth was 6.7% due to the rebound in world trade and depreciation of the Vietnamese dong. This economy is predicted continue to grow to 7% in next one year. In 2010, the nominal GDP reaches $104.6 billion,</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with nominal</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GDP per capita</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of $1,218. According to a prediction of Goldman-Sachs, Vietnam will become one of the biggest economies in 2025 with GDP of $436 and GDP per capital of 4,357 USD (Asian Development Bank, 2010). On the other hand, the Price Water House Coopers also forecasts that in 2025, Vietnam will witness a fastest growth of one of the new emerging economies with annual growth approximately 10% (Nawaz, 2008)</w:t>
      </w:r>
      <w:r w:rsidR="00180087" w:rsidRPr="00180087">
        <w:rPr>
          <w:rFonts w:eastAsia="Times New Roman" w:cs="Segoe UI"/>
          <w:color w:val="212529"/>
          <w:sz w:val="24"/>
          <w:szCs w:val="24"/>
          <w:lang w:eastAsia="en-GB"/>
        </w:rPr>
        <w:t xml:space="preserve"> </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conclusion, The Vietnam economy is developing step by step and joints with the global economy. The companies and government enterprises operate effectively and they also pay more attentions either in business development strategies and customer retention strategies. Thus, customer retention strategy is crucial in development and existing of all companies and government enterprise, especially in the now economy.</w:t>
      </w:r>
    </w:p>
    <w:p w:rsidR="00A916B8" w:rsidRPr="00180087" w:rsidRDefault="00A916B8" w:rsidP="00180087">
      <w:pPr>
        <w:shd w:val="clear" w:color="auto" w:fill="FFFFFF"/>
        <w:spacing w:after="100" w:afterAutospacing="1" w:line="240" w:lineRule="auto"/>
        <w:jc w:val="both"/>
        <w:outlineLvl w:val="4"/>
        <w:rPr>
          <w:rFonts w:eastAsia="Times New Roman" w:cs="Segoe UI"/>
          <w:color w:val="212529"/>
          <w:sz w:val="24"/>
          <w:szCs w:val="24"/>
          <w:lang w:eastAsia="en-GB"/>
        </w:rPr>
      </w:pPr>
      <w:r w:rsidRPr="00180087">
        <w:rPr>
          <w:rFonts w:eastAsia="Times New Roman" w:cs="Segoe UI"/>
          <w:color w:val="212529"/>
          <w:sz w:val="24"/>
          <w:szCs w:val="24"/>
          <w:lang w:eastAsia="en-GB"/>
        </w:rPr>
        <w:t>1.1.2 Retail Banking in Vietnam</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Figure 2: Market Share of Vietnam Banks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 Vietnam Business New,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From 1976, State Bank of Vietnam was established and it has become unique central bank of the country. State Bank of Vietnam has hold national financial responsibility and also assumed duties for the commercial banks. Since 1988, Vietnam has four important banks consisted of Bank for Foreign Trade of Vietnam (Vietcomebank), Vietnam Joint Stock Commercial Bank for Industry and Trade (Vietinbank), Bank of Investment Development of Vietnam (BIDV bank) and Bank for Agricultural Development (Agribank) and now they still are largest own-state banks in Vietnam. In addition, the banking system in Vietnam has presence of Joint Stock Commercial Banks, Foreign Banks and other financial organizations. However, four own-state banks are exceeding in market share nearly 60 percentages about deposit and lending services. Joint Stock Commercial banks occupy approximately 25 percentages and other financial institutions are about 25 percentages (Vietnam Business New,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short, in recent years, bank sector becomes key sector in Vietnam economy and motivates the economy develop. In which, deposit and lending services are primary services and</w:t>
      </w:r>
    </w:p>
    <w:p w:rsidR="00A916B8" w:rsidRPr="00180087" w:rsidRDefault="00A916B8" w:rsidP="00180087">
      <w:pPr>
        <w:shd w:val="clear" w:color="auto" w:fill="FFFFFF"/>
        <w:spacing w:after="100" w:afterAutospacing="1" w:line="240" w:lineRule="auto"/>
        <w:jc w:val="both"/>
        <w:outlineLvl w:val="4"/>
        <w:rPr>
          <w:rFonts w:eastAsia="Times New Roman" w:cs="Segoe UI"/>
          <w:color w:val="212529"/>
          <w:sz w:val="24"/>
          <w:szCs w:val="24"/>
          <w:lang w:eastAsia="en-GB"/>
        </w:rPr>
      </w:pPr>
      <w:r w:rsidRPr="00180087">
        <w:rPr>
          <w:rFonts w:eastAsia="Times New Roman" w:cs="Segoe UI"/>
          <w:color w:val="212529"/>
          <w:sz w:val="24"/>
          <w:szCs w:val="24"/>
          <w:lang w:eastAsia="en-GB"/>
        </w:rPr>
        <w:t>1.1.3 Development of Singapore Economy</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Table 1: Gross Domestic Product of Singapore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Year Gross Domestic</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Product</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 xml:space="preserve">($ millions) US Dollar Exchange </w:t>
      </w:r>
      <w:r w:rsidR="00180087">
        <w:rPr>
          <w:rFonts w:eastAsia="Times New Roman" w:cs="Segoe UI"/>
          <w:color w:val="212529"/>
          <w:sz w:val="24"/>
          <w:szCs w:val="24"/>
          <w:lang w:eastAsia="en-GB"/>
        </w:rPr>
        <w:t>p</w:t>
      </w:r>
      <w:r w:rsidRPr="00180087">
        <w:rPr>
          <w:rFonts w:eastAsia="Times New Roman" w:cs="Segoe UI"/>
          <w:color w:val="212529"/>
          <w:sz w:val="24"/>
          <w:szCs w:val="24"/>
          <w:lang w:eastAsia="en-GB"/>
        </w:rPr>
        <w:t>er Capita Income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w:t>
      </w:r>
      <w:r w:rsidR="00BB5E25">
        <w:rPr>
          <w:rFonts w:eastAsia="Times New Roman" w:cs="Segoe UI"/>
          <w:color w:val="212529"/>
          <w:sz w:val="24"/>
          <w:szCs w:val="24"/>
          <w:lang w:eastAsia="en-GB"/>
        </w:rPr>
        <w:t>A</w:t>
      </w:r>
      <w:r w:rsidRPr="00180087">
        <w:rPr>
          <w:rFonts w:eastAsia="Times New Roman" w:cs="Segoe UI"/>
          <w:color w:val="212529"/>
          <w:sz w:val="24"/>
          <w:szCs w:val="24"/>
          <w:lang w:eastAsia="en-GB"/>
        </w:rPr>
        <w:t>s</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 of USA)</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2007 224,412 1.42 SGD Dollars 74.61</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2008 235,632 1.37 SGD Dollars 73.71</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2009 268,900 1.50 SGD Dollars 78.53</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2010 309,400 1.32 SGD Dollars 82.13</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Sources: International Monetary Fund,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2007, the economic growth rate of Singapore was 7.9% which was higher than establishing 0.2%. The value of GDP in 2007 was SGD 224,412 million and this figure in 2010 was SGD 309,400 million, increased nearly 38% compare 2007. According to International Monetary Fund, Singapore becomes one of the fastest growing economies in the world with the growth rate of 17.9% (International Monetary Fund,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 xml:space="preserve">Singapore is given a nickname “Singapore Model” which has a free market combines with good economic planning. Singapore is a state capital mixed economy with own approximately 60 percentages from the government in most important companies. The strength of Singapore economy is service, education, travel and financial sector. With position of intermediary trade, financial institutions and banks in Singapore become key industry and motivate for the development of the whole country. Thus, how to develop a good customer relationship and retain them for the long time is </w:t>
      </w:r>
      <w:r w:rsidR="00C6330A" w:rsidRPr="00C6330A">
        <w:rPr>
          <w:rFonts w:eastAsia="Times New Roman" w:cs="Segoe UI"/>
          <w:b/>
          <w:color w:val="FF0000"/>
          <w:sz w:val="32"/>
          <w:szCs w:val="24"/>
          <w:lang w:eastAsia="en-GB"/>
        </w:rPr>
        <w:t>THE PURPOSE</w:t>
      </w:r>
      <w:r w:rsidRPr="00180087">
        <w:rPr>
          <w:rFonts w:eastAsia="Times New Roman" w:cs="Segoe UI"/>
          <w:color w:val="212529"/>
          <w:sz w:val="24"/>
          <w:szCs w:val="24"/>
          <w:lang w:eastAsia="en-GB"/>
        </w:rPr>
        <w:t xml:space="preserve"> of all Singapore banks.</w:t>
      </w:r>
    </w:p>
    <w:p w:rsidR="00A916B8" w:rsidRPr="00180087" w:rsidRDefault="00A916B8" w:rsidP="00180087">
      <w:pPr>
        <w:shd w:val="clear" w:color="auto" w:fill="FFFFFF"/>
        <w:spacing w:after="100" w:afterAutospacing="1" w:line="240" w:lineRule="auto"/>
        <w:jc w:val="both"/>
        <w:outlineLvl w:val="4"/>
        <w:rPr>
          <w:rFonts w:eastAsia="Times New Roman" w:cs="Segoe UI"/>
          <w:color w:val="212529"/>
          <w:sz w:val="24"/>
          <w:szCs w:val="24"/>
          <w:lang w:eastAsia="en-GB"/>
        </w:rPr>
      </w:pPr>
      <w:r w:rsidRPr="00180087">
        <w:rPr>
          <w:rFonts w:eastAsia="Times New Roman" w:cs="Segoe UI"/>
          <w:color w:val="212529"/>
          <w:sz w:val="24"/>
          <w:szCs w:val="24"/>
          <w:lang w:eastAsia="en-GB"/>
        </w:rPr>
        <w:t>1.1.4 Retail Banking in Singapore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Figure 3: Market Deposit in Singapore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 Wikinvest, 2008</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Singapore banking system presents concentration with 3 largest banks namely Development</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Bank</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of</w:t>
      </w:r>
      <w:r w:rsidR="00180087">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Singapore (DBS), Overseas Chinese Bank Corporation (OCBC), United Overseas Bank (UOB) which control more than 67% of the market share of Singapore (World Retail Banking Report, 2008). Banking system in Singapore has many applying modern technology in retail banking. The demand of products or services also grows fast because Singapore is a trade country.</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deposit market, DBS, UOB and OCBC also exceed in the market among DBS is the leader with more than 25% market share and serves over 4 million customers under the brand name of DBS and POSB. UOB is the second rival of DBS in term of loan and deposit with occupation of 20% in the Singapore market. It not only provides comprehensive commercial but also personal financial services. Its key markets are Singapore, Malaysia, Thailand, China and Philippine. The last largest banks in Singapore are OCBC which held from 17% to 20% in loan and deposit of market (Wikinvest, 2008)</w:t>
      </w:r>
    </w:p>
    <w:p w:rsidR="00A916B8" w:rsidRPr="00180087" w:rsidRDefault="00A916B8" w:rsidP="00180087">
      <w:pPr>
        <w:shd w:val="clear" w:color="auto" w:fill="FFFFFF"/>
        <w:spacing w:after="100" w:afterAutospacing="1" w:line="240" w:lineRule="auto"/>
        <w:jc w:val="both"/>
        <w:outlineLvl w:val="4"/>
        <w:rPr>
          <w:rFonts w:eastAsia="Times New Roman" w:cs="Segoe UI"/>
          <w:color w:val="212529"/>
          <w:sz w:val="24"/>
          <w:szCs w:val="24"/>
          <w:lang w:eastAsia="en-GB"/>
        </w:rPr>
      </w:pPr>
      <w:r w:rsidRPr="00180087">
        <w:rPr>
          <w:rFonts w:eastAsia="Times New Roman" w:cs="Segoe UI"/>
          <w:color w:val="212529"/>
          <w:sz w:val="24"/>
          <w:szCs w:val="24"/>
          <w:lang w:eastAsia="en-GB"/>
        </w:rPr>
        <w:t>1.1.5 Comparison Deposit Services between Vietcombank, ACB Bank and Eximbank</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Vietcombank was established on April 1st, 1963 as a State-owned Commercial Bank. In 2009, total assets are approximately VND 255.5 trillion and increased to 15.04% compare with 2008. In present, Vietcombank has total 321 branches and transaction offices with expansion network in over 13 cities and provinces. In 2010, Vietcombank continues to improve both internal and external like controlling internal and improving external investment opportunities. Since Vietcombank was listed on Ho Chi Minh Stock Exchange, the information about its business and operation is published gradually. The income before tax in 2010 was VND 5,004 billion and higher than 2009 by nearly 40%. This was lead to increase of ROE by approximately 26%. With wide network on over cities and provinces, Vietcombank can attract a large number of customers with total fund mobilized increased by 17.5% compared 2009. The mobilized funds reached VND 169,457 billion. In high competitive environment, Vietcombank copy with many competitors both in bank and non-bank but the customer deposit still grow of nearly 35% in 2009 which thanks to mobilization program and wide expanded branches (Vietcombank annual report, 2010)</w:t>
      </w:r>
      <w:r w:rsidR="00180087" w:rsidRPr="00180087">
        <w:rPr>
          <w:rFonts w:eastAsia="Times New Roman" w:cs="Segoe UI"/>
          <w:color w:val="212529"/>
          <w:sz w:val="24"/>
          <w:szCs w:val="24"/>
          <w:lang w:eastAsia="en-GB"/>
        </w:rPr>
        <w:t xml:space="preserve"> </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Asia Commercial Joint-Stock Bank (ACB) was established on 04 June 1993. ACB bank is a best managed-bank in attraction of deposit, loan and effective services in Vietnam commercial banking system. By using about 173 brands or sub-brands on whole nation, the ACB plans to use the network as distribution platform for the wide range of products for the retail customer.</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2009 the ACB capital raised VND 1,458 billion by conversion of bonds and issuance of bonus shares from a capital enrichment fund. After the capital increase, the circulation of bank is approximately 781,413,755 common shares. At the end of 2009, ACB became one of the largest joint stock banks in Vietnam with charter capital of VND 7,814 billion.</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 xml:space="preserve">The development goal in profitability and growth is fulfilled by ACB </w:t>
      </w:r>
      <w:proofErr w:type="spellStart"/>
      <w:r w:rsidRPr="00180087">
        <w:rPr>
          <w:rFonts w:eastAsia="Times New Roman" w:cs="Segoe UI"/>
          <w:color w:val="212529"/>
          <w:sz w:val="24"/>
          <w:szCs w:val="24"/>
          <w:lang w:eastAsia="en-GB"/>
        </w:rPr>
        <w:t>sbank</w:t>
      </w:r>
      <w:proofErr w:type="spellEnd"/>
      <w:r w:rsidRPr="00180087">
        <w:rPr>
          <w:rFonts w:eastAsia="Times New Roman" w:cs="Segoe UI"/>
          <w:color w:val="212529"/>
          <w:sz w:val="24"/>
          <w:szCs w:val="24"/>
          <w:lang w:eastAsia="en-GB"/>
        </w:rPr>
        <w:t>; therefore ACB achieved six award of “Best bank of Vietnam” in 2009 from six prestigious international financial magazines: Asiamoney, Finance</w:t>
      </w:r>
      <w:r w:rsidR="0033034A">
        <w:rPr>
          <w:rFonts w:eastAsia="Times New Roman" w:cs="Segoe UI"/>
          <w:color w:val="212529"/>
          <w:sz w:val="24"/>
          <w:szCs w:val="24"/>
          <w:lang w:eastAsia="en-GB"/>
        </w:rPr>
        <w:t xml:space="preserve"> </w:t>
      </w:r>
      <w:r w:rsidRPr="00180087">
        <w:rPr>
          <w:rFonts w:eastAsia="Times New Roman" w:cs="Segoe UI"/>
          <w:color w:val="212529"/>
          <w:sz w:val="24"/>
          <w:szCs w:val="24"/>
          <w:lang w:eastAsia="en-GB"/>
        </w:rPr>
        <w:t>Asia, Euromoney, Global Finance, The Asset and The Banker. The lending and deposit market share of the bank also increased by 2.49% and 0.84%, respectively, over the figure at the beginning of the year (ACB Annual Report, 2009)</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Table 2: Profitability of the ACB Bank 2009</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Items 2009 2008 2007 2006</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Pre-tax profit/ Average equity (ROE) 31.8% 2.1% 36.7% 2.6%</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Pre-tax profit/ Average total assets (ROA) 53.8% 3.3% 46.8% 2.0%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 ACB Annual Report, 2009.</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For the profitability, the pre-tax profit was reported about VND 2,838 billion which is higher than 5% the plan while the others profitability rations was reasonable. The average number of ROA remained over 2% and ROE ration around 31.8% which was higher than the long term commitment. Similarly, the figure of revenue was also increasingly diversified. As of the end of 2009, the income of credit activities, services and money market (gold, foreign currency and pre-tax profit) were also grow dramatically approximately 20%, 26% and 37% respectively.</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the present, the number of employees of ACB is nearly 7,000 but in 2009, ACB reduced the numbers of staff-company by 5% because of restructuring organization. Company staff decrease due to the transfer and streamlining of jobs, while the business scale of the bank increased by 45% to nearly 80% in respect to key areas. ACB bank completed this human resources program to target increase productivity and working result, evaluate exactly the employee ability in work place.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Vietnam Export Import Commercial bank (Eximbank) is established on May 24, 1989 under the name of VIETNAM EXPORT IMPORT BANK and being one of the first joint-stock commercial banks of Vietnam. Nowadays, it is one of the biggest commercial joint stock banks by owner’s equity in Vietnam. It presents in nationwide network in almost cities and provinces of Vietnam from Ho Chi Minh, Ha</w:t>
      </w:r>
      <w:r w:rsidR="0033034A">
        <w:rPr>
          <w:rFonts w:eastAsia="Times New Roman" w:cs="Segoe UI"/>
          <w:color w:val="212529"/>
          <w:sz w:val="24"/>
          <w:szCs w:val="24"/>
          <w:lang w:eastAsia="en-GB"/>
        </w:rPr>
        <w:t>n</w:t>
      </w:r>
      <w:r w:rsidRPr="00180087">
        <w:rPr>
          <w:rFonts w:eastAsia="Times New Roman" w:cs="Segoe UI"/>
          <w:color w:val="212529"/>
          <w:sz w:val="24"/>
          <w:szCs w:val="24"/>
          <w:lang w:eastAsia="en-GB"/>
        </w:rPr>
        <w:t>oi and more than 124 branches in other cities. In addition, it also build solid banking relationship with over 735 banks in 72 countries worldwide like United State, England, France and etc (Eximbank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 xml:space="preserve">Eximbank is always aware that customers’ trust and support is the most important for its success. Therefore, customers’ satisfaction is focused all time on all services and products of bank and this becomes a target for Eximbank to be creative, innovative and dynamic. Eximbank always to enhance services quality as well as services style. With </w:t>
      </w:r>
      <w:r w:rsidR="0033034A" w:rsidRPr="00180087">
        <w:rPr>
          <w:rFonts w:eastAsia="Times New Roman" w:cs="Segoe UI"/>
          <w:color w:val="212529"/>
          <w:sz w:val="24"/>
          <w:szCs w:val="24"/>
          <w:lang w:eastAsia="en-GB"/>
        </w:rPr>
        <w:t>its</w:t>
      </w:r>
      <w:r w:rsidRPr="00180087">
        <w:rPr>
          <w:rFonts w:eastAsia="Times New Roman" w:cs="Segoe UI"/>
          <w:color w:val="212529"/>
          <w:sz w:val="24"/>
          <w:szCs w:val="24"/>
          <w:lang w:eastAsia="en-GB"/>
        </w:rPr>
        <w:t xml:space="preserve"> slogan “Behind your success”, Eximbank try to do the best thing for customers and considers customers’ success as that of its own.</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Nowadays, in harsh competitive environment, the maintenance and retention of customers is not simple and easy at all. However, in last year, 2010, Eximbank gained nearly 86 thousand new customers, increasing total figure of customers having transaction relationship with the bank to 308,000 people, higher than 39% compare with 2009 (Eximbank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Figure 4: Number of Customer Deposit of Eximbank from 2009 to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 Eximbank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Eximbank was rewarded and arranged by many famous national and foreign organizations like Association of Development Financing Institutions in Asia and the Pacific (ADFIAP), JP Morgan Chase Bank) about its qualities and services. Like many other banks, Eximbank offers many different products and services; especially it was evaluated highly by deposit services. In many years ago, eximbank was named “The Best Bank in Vietnam in Deposit services” by the Banker Magazine.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Generally, Vietcombank, Eximbank and ACB bank are large banks in Vietnam and achieve a lot of success in business process, especially in deposit service. Vietcombank is always leader market in deposit market. Cietcombank has wide network with more than hundred brand and sub-brand, good preside and strong brand name, therefore it can attract a large number of customers on the whole nation. According to Vietcombank annual report, the figure of deposit services of bank continues to increase over three years and usually doubled compare with ACB bank and more than five times compare with Eximbank. The total deposit of Vietcombank in 2008 was VND 157,067 billion and increased to VND 182,597 billion. Following ACB bank, which stood at VND 112,954 billion in 2008 was double than 2008. Finally, Eximbank is smaller than Vietcombank and ACB bank in customer deposit. The customer service in 2008 of the Eximbank was only VND 30,877 billion and rose to 52% in next two years (Vietcombank, ACB and Eximbank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Figure 5: Deposit Services in Vietcombank, ACB Bank and Eximbank</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 Vietcombank, ACB bank and Eximbank annual report, 2010.</w:t>
      </w:r>
    </w:p>
    <w:p w:rsidR="00A916B8" w:rsidRPr="00180087" w:rsidRDefault="00A916B8" w:rsidP="00180087">
      <w:pPr>
        <w:shd w:val="clear" w:color="auto" w:fill="FFFFFF"/>
        <w:spacing w:after="100" w:afterAutospacing="1" w:line="240" w:lineRule="auto"/>
        <w:jc w:val="both"/>
        <w:outlineLvl w:val="4"/>
        <w:rPr>
          <w:rFonts w:eastAsia="Times New Roman" w:cs="Segoe UI"/>
          <w:color w:val="212529"/>
          <w:sz w:val="24"/>
          <w:szCs w:val="24"/>
          <w:lang w:eastAsia="en-GB"/>
        </w:rPr>
      </w:pPr>
      <w:r w:rsidRPr="00180087">
        <w:rPr>
          <w:rFonts w:eastAsia="Times New Roman" w:cs="Segoe UI"/>
          <w:color w:val="212529"/>
          <w:sz w:val="24"/>
          <w:szCs w:val="24"/>
          <w:lang w:eastAsia="en-GB"/>
        </w:rPr>
        <w:t>1.1.6 Comparison between Deposit Services in DBS bank, UOB bank and OCBC bank</w:t>
      </w:r>
    </w:p>
    <w:p w:rsidR="00A916B8" w:rsidRPr="00180087" w:rsidRDefault="00A916B8" w:rsidP="0033034A">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Development Bank of Singapore (DBS bank) is one of the largest commercial bank in Singapore and in Southeast Asia with the total asset about SGD$256 billion (2009). The market of DBS is 16 various countries, especially in Asia with private sectors such as retail banking, commercial banking and investment banking. The private customers are mostly from Singapore, Hong Kong, China, India, Indonesia, Malaysia, The Philippines, and Thailand. Two largest markets to DBS bank are Singapore and Hong Kong which occupies around 57% and 22% respectively in its profit. The revenue of DBS in 2009 was S$6.6 billion, higher than 9% compare with 2008. Input of DBS mostly from consumer and commercial deposit. In the present, The DBS bank has 80 branches and 930 Automatic Technology Machines (ATMs), it operates in Singapore under branch name DBS and POSB bank.</w:t>
      </w:r>
      <w:r w:rsidR="0033034A" w:rsidRPr="00180087">
        <w:rPr>
          <w:rFonts w:eastAsia="Times New Roman" w:cs="Segoe UI"/>
          <w:color w:val="212529"/>
          <w:sz w:val="24"/>
          <w:szCs w:val="24"/>
          <w:lang w:eastAsia="en-GB"/>
        </w:rPr>
        <w:t xml:space="preserve"> </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second largest market, Hong Kong, DBS offers wide network of more than 50 branches and over 70 ATMs. Beside loan and deposit, mortgage and credit card also develop in this country. DBS also expand thank to acquiring and merge some banks from many various banks. For instance, in 2008, DBS acquires Bowa bank in Taiwan and opens more than 40 outlets in Taiwan. Furthermore, DBS is the first bank to incorporate in China which owns 13 branches in largest population country (DBS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The second largest bank is United Overseas bank (UOB bank) was established on 6 August, 1935. It presents in 19 countries and over 500 offices and main areas like Asia, Western Europe and North America.</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The key products and services such as personal ﬁnancial services, private banking, commercial and corporate banking, investment banking, corporate ﬁnance, capital market activities, treasury services, futures broking, asset management, venture capital management, insurance and stock broking services. UOB offers wide range of product and service via expand network of branches, office and subsidiaries. UOB has strength in credit card and home loan, especially in small and medium firms.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UOB receives many awards and was ranged by many famous organizations like Moody’s Investors Service, Aa1 for the long term deposit and prime 1 for the short term deposit. In addition, UOB also focuses on community like children education and the art (UOB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The last one in Singapore is Oversea Chinese Bank Corporate (OCBC bank) which was established on 31 October 1932. OCBC operates in banking and finance sector with offering financial services and financial solution in consumer banking, business banking, international banking, global treasury and investment management.</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the present, the OCBC has a wide network of over 370 branches and presence in over 15 different countries such as Singapore, Malaysia, Indonesia, Vietnam, China, Hong Kong SAR, Brunei, Japan, Australia, UK and USA. More than 250 branches and offices present in Indonesia under brand name of OCBC bank. The key customers are individual, private and publish corporate.</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The current asset of OCBC bank is S$151 billion in 2010, following to DBS bank in term of total value of asset. Like DBS, UOB also want to expand its network by acquiring small bank and financial organization in various countries. For example, in 2001, the OCBC bank acquires Keppel Capital Holdings Ltd and in next one year, in 2002, OCBC Bank and Keppel Tat Lee Bank were operationally and legally integrated (OCBC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Generally, DBS, UOB and OCBC are top banks in Singapore and many neighbo</w:t>
      </w:r>
      <w:r w:rsidR="0033034A">
        <w:rPr>
          <w:rFonts w:eastAsia="Times New Roman" w:cs="Segoe UI"/>
          <w:color w:val="212529"/>
          <w:sz w:val="24"/>
          <w:szCs w:val="24"/>
          <w:lang w:eastAsia="en-GB"/>
        </w:rPr>
        <w:t>u</w:t>
      </w:r>
      <w:r w:rsidRPr="00180087">
        <w:rPr>
          <w:rFonts w:eastAsia="Times New Roman" w:cs="Segoe UI"/>
          <w:color w:val="212529"/>
          <w:sz w:val="24"/>
          <w:szCs w:val="24"/>
          <w:lang w:eastAsia="en-GB"/>
        </w:rPr>
        <w:t>r countries such as Malaysia, Indonesia, China, India and etc. Even though in recent years, the Asian countries have some difficulties in financial crisis but Singapore financial market develops, especial in deposit market.</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DBS and POSB are leader market in term of deposit services. In 2007, the total of customer deposit in DBS and POSB was about S$153,572 million and increase to 20% in 2009. Following to UOB, which stand at S$106,967 million (2007) and increase to S$121,502 million (2009). Similarly, the figure of customer services of OCBC bank also increased dramatically from S$88,788 million and achieve at S$100,633 million (DBS, UOB and OCBC Annual Report, 2010)</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Figure 6: Deposit Service in DBS, UOB and OCBC Banks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Source: DBS, UOB and OCBC Annual Report, 2010</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1.2 STATEMENT OF PROBLEMS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strongly competitive environment of banking sector, every bank attempts to attract more customers under various forms, especially in deposit services because it is considered a input material for all bank’s operation in Vietnam and Singapore. However, it is facing with some problems in process of deposit-taker.</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Firstly, in global market, the competitions in battles are more intense between banks with each other and with non-banks financial organization (Hull, 2002). Secondly, the primary demand on deposit services is decreasing because people tend to invest other profitable sectors such as stock, real estimated or gold, etc. Thirdly, increase deregulation from government’s policies is also trouble to banks. Therefore, how to maintain stable capital input ensure bank’s business operation is private objective. In this research, researcher tries to find the key determinants of customer retention in banking sector between Vietnam and Singapore in order to help this industry to have overall look for keeping loyal customer.</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1.3 RESEARCH OBJECTIVES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Based on mention problems, this paper tries to find some solutions for these problems through solving following purposes</w:t>
      </w:r>
    </w:p>
    <w:p w:rsidR="00A916B8" w:rsidRPr="00180087" w:rsidRDefault="00A916B8" w:rsidP="00180087">
      <w:pPr>
        <w:numPr>
          <w:ilvl w:val="0"/>
          <w:numId w:val="3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Firstly, analyze the influence of competitive advantage, customer satisfaction, customer value, corporate image and switching barrier on customer retention.</w:t>
      </w:r>
    </w:p>
    <w:p w:rsidR="00A916B8" w:rsidRPr="00180087" w:rsidRDefault="00A916B8" w:rsidP="00180087">
      <w:pPr>
        <w:numPr>
          <w:ilvl w:val="0"/>
          <w:numId w:val="3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Secondly, evaluate relationship between customer’s behavior intention and customer retention.</w:t>
      </w:r>
    </w:p>
    <w:p w:rsidR="00A916B8" w:rsidRPr="00180087" w:rsidRDefault="00A916B8" w:rsidP="00180087">
      <w:pPr>
        <w:numPr>
          <w:ilvl w:val="0"/>
          <w:numId w:val="3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Thirdly, evaluate relationship between customer loyalty and customer retention.</w:t>
      </w:r>
    </w:p>
    <w:p w:rsidR="00A916B8" w:rsidRPr="00180087" w:rsidRDefault="00A916B8" w:rsidP="00180087">
      <w:pPr>
        <w:numPr>
          <w:ilvl w:val="0"/>
          <w:numId w:val="33"/>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Fourth, recommend on increase customer retention strategies.</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1.4 SIGNIFICANCE OF RESEARCH</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Customer retention strategy is the goal of many successful banks. Retaining customers means bank can earn more profit from its business. Moreover, based on this study result, the managers can understand customer’s need, want and expectation. Bank can know clearly what factor influence on customer’s decision whether they stay or leave current bank. Hence, bank managers can make suitable strategies to improve its weakness and keep customers. Generally, in scope of this study, it may help the bank managers operate more efficiently. This study not only benefit for bank manager but also for the researcher. Through this study, researcher knows clearly about bank’s operation and customer’s thinking via specific product or service. That is valuable experience for future studies.</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1.5 RESEARCH QUESTIONS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In order to solve mention purposes, some detail questions need to build such as</w:t>
      </w:r>
    </w:p>
    <w:p w:rsidR="00A916B8" w:rsidRPr="00180087" w:rsidRDefault="00A916B8" w:rsidP="00180087">
      <w:pPr>
        <w:numPr>
          <w:ilvl w:val="0"/>
          <w:numId w:val="3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RQ1: Does competitive advantage influence the customer retention in banking sector of Vietnam and Singapore?</w:t>
      </w:r>
    </w:p>
    <w:p w:rsidR="00A916B8" w:rsidRPr="00180087" w:rsidRDefault="00A916B8" w:rsidP="00180087">
      <w:pPr>
        <w:numPr>
          <w:ilvl w:val="0"/>
          <w:numId w:val="3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RQ2: Does customer satisfaction influence the customer retention in banking sector of Vietnam and Singapore?</w:t>
      </w:r>
    </w:p>
    <w:p w:rsidR="00A916B8" w:rsidRPr="00180087" w:rsidRDefault="00A916B8" w:rsidP="00180087">
      <w:pPr>
        <w:numPr>
          <w:ilvl w:val="0"/>
          <w:numId w:val="3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RQ3: Does customer value influence the customer retention in banking sector of Vietnam and Singapore?</w:t>
      </w:r>
    </w:p>
    <w:p w:rsidR="00A916B8" w:rsidRPr="00180087" w:rsidRDefault="00A916B8" w:rsidP="00180087">
      <w:pPr>
        <w:numPr>
          <w:ilvl w:val="0"/>
          <w:numId w:val="3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RQ4: Does corporate image influence the customer retention in banking sector of Vietnam and Singapore?</w:t>
      </w:r>
    </w:p>
    <w:p w:rsidR="00A916B8" w:rsidRPr="00180087" w:rsidRDefault="00A916B8" w:rsidP="00180087">
      <w:pPr>
        <w:numPr>
          <w:ilvl w:val="0"/>
          <w:numId w:val="34"/>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RQ5: Does switching barrier influence the customer retention in banking sector of Vietnam and Singapore?</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1.6 RESEARCH HYPOTHESES</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Based on above questions, the following hypotheses are therefore proposed</w:t>
      </w:r>
    </w:p>
    <w:p w:rsidR="00A916B8" w:rsidRPr="00180087" w:rsidRDefault="00A916B8" w:rsidP="00180087">
      <w:pPr>
        <w:numPr>
          <w:ilvl w:val="0"/>
          <w:numId w:val="35"/>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H1: Perceived competitive advantage has a positive effect on customer retention.</w:t>
      </w:r>
    </w:p>
    <w:p w:rsidR="00A916B8" w:rsidRPr="00180087" w:rsidRDefault="00A916B8" w:rsidP="00180087">
      <w:pPr>
        <w:numPr>
          <w:ilvl w:val="0"/>
          <w:numId w:val="35"/>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H2: Higher levels of customer satisfaction lead to higher levels of customer retention.</w:t>
      </w:r>
    </w:p>
    <w:p w:rsidR="00A916B8" w:rsidRPr="00180087" w:rsidRDefault="00A916B8" w:rsidP="00180087">
      <w:pPr>
        <w:numPr>
          <w:ilvl w:val="0"/>
          <w:numId w:val="35"/>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H3: Higher levels of customer value lead to higher levels of customer retention</w:t>
      </w:r>
    </w:p>
    <w:p w:rsidR="00A916B8" w:rsidRPr="00180087" w:rsidRDefault="00A916B8" w:rsidP="00180087">
      <w:pPr>
        <w:numPr>
          <w:ilvl w:val="0"/>
          <w:numId w:val="35"/>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H5: Higher levels of switching barrier lead to higher levels of customer retention.</w:t>
      </w:r>
    </w:p>
    <w:p w:rsidR="00A916B8" w:rsidRPr="00180087" w:rsidRDefault="00A916B8" w:rsidP="00180087">
      <w:pPr>
        <w:shd w:val="clear" w:color="auto" w:fill="FFFFFF"/>
        <w:spacing w:after="100" w:afterAutospacing="1" w:line="240" w:lineRule="auto"/>
        <w:jc w:val="both"/>
        <w:outlineLvl w:val="3"/>
        <w:rPr>
          <w:rFonts w:eastAsia="Times New Roman" w:cs="Segoe UI"/>
          <w:color w:val="212529"/>
          <w:sz w:val="24"/>
          <w:szCs w:val="24"/>
          <w:lang w:eastAsia="en-GB"/>
        </w:rPr>
      </w:pPr>
      <w:r w:rsidRPr="00180087">
        <w:rPr>
          <w:rFonts w:eastAsia="Times New Roman" w:cs="Segoe UI"/>
          <w:color w:val="212529"/>
          <w:sz w:val="24"/>
          <w:szCs w:val="24"/>
          <w:lang w:eastAsia="en-GB"/>
        </w:rPr>
        <w:t>1.7 ORGANIZATION OF DISSERTATION</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 xml:space="preserve">This chapter presented an introduction to the research study. </w:t>
      </w:r>
      <w:r w:rsidR="00C6330A" w:rsidRPr="00C6330A">
        <w:rPr>
          <w:rFonts w:eastAsia="Times New Roman" w:cs="Segoe UI"/>
          <w:b/>
          <w:color w:val="FF0000"/>
          <w:sz w:val="32"/>
          <w:szCs w:val="24"/>
          <w:lang w:eastAsia="en-GB"/>
        </w:rPr>
        <w:t>THE PURPOSE</w:t>
      </w:r>
      <w:r w:rsidRPr="00180087">
        <w:rPr>
          <w:rFonts w:eastAsia="Times New Roman" w:cs="Segoe UI"/>
          <w:color w:val="212529"/>
          <w:sz w:val="24"/>
          <w:szCs w:val="24"/>
          <w:lang w:eastAsia="en-GB"/>
        </w:rPr>
        <w:t xml:space="preserve"> of this chapter provides an overview of this research, its significance and the background information of retail banking and customer retention. This chapter is used to direct the path for following chapters</w:t>
      </w:r>
    </w:p>
    <w:p w:rsidR="00A916B8" w:rsidRPr="00180087" w:rsidRDefault="00A916B8" w:rsidP="0033034A">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Chapter 2 states the literature review of the previous researches. An overview of development of retail banking in Vietnam and Singapore is discussed. Moreover, general of deposit services and success element in customer retention strategies are also reviewed.</w:t>
      </w:r>
      <w:r w:rsidR="0033034A" w:rsidRPr="00180087">
        <w:rPr>
          <w:rFonts w:eastAsia="Times New Roman" w:cs="Segoe UI"/>
          <w:color w:val="212529"/>
          <w:sz w:val="24"/>
          <w:szCs w:val="24"/>
          <w:lang w:eastAsia="en-GB"/>
        </w:rPr>
        <w:t xml:space="preserve"> </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Chapter 3 depicts the research design used for this study. This related with description and justification of quantitative techniques, sampling and data collection.</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Chapter 4 examines the finding of this study. This study will analyze the survey and interview data and compare with the established literature review. Finally, result will be concluded through insight analyzing and build a new model.</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Chapter 5 summaries and concludes for the whole dissertation. Then, recommendations are given</w:t>
      </w:r>
    </w:p>
    <w:p w:rsidR="00A916B8" w:rsidRPr="00180087" w:rsidRDefault="00A916B8" w:rsidP="00180087">
      <w:pPr>
        <w:shd w:val="clear" w:color="auto" w:fill="FFFFFF"/>
        <w:spacing w:after="100" w:afterAutospacing="1" w:line="240" w:lineRule="auto"/>
        <w:jc w:val="both"/>
        <w:rPr>
          <w:rFonts w:eastAsia="Times New Roman" w:cs="Segoe UI"/>
          <w:color w:val="212529"/>
          <w:sz w:val="24"/>
          <w:szCs w:val="24"/>
          <w:lang w:eastAsia="en-GB"/>
        </w:rPr>
      </w:pPr>
      <w:r w:rsidRPr="00180087">
        <w:rPr>
          <w:rFonts w:eastAsia="Times New Roman" w:cs="Segoe UI"/>
          <w:color w:val="212529"/>
          <w:sz w:val="24"/>
          <w:szCs w:val="24"/>
          <w:lang w:eastAsia="en-GB"/>
        </w:rPr>
        <w:t xml:space="preserve">The diagram will be given an overview of this chapter and entire dissertation and </w:t>
      </w:r>
      <w:proofErr w:type="gramStart"/>
      <w:r w:rsidRPr="00180087">
        <w:rPr>
          <w:rFonts w:eastAsia="Times New Roman" w:cs="Segoe UI"/>
          <w:color w:val="212529"/>
          <w:sz w:val="24"/>
          <w:szCs w:val="24"/>
          <w:lang w:eastAsia="en-GB"/>
        </w:rPr>
        <w:t>its</w:t>
      </w:r>
      <w:proofErr w:type="gramEnd"/>
      <w:r w:rsidRPr="00180087">
        <w:rPr>
          <w:rFonts w:eastAsia="Times New Roman" w:cs="Segoe UI"/>
          <w:color w:val="212529"/>
          <w:sz w:val="24"/>
          <w:szCs w:val="24"/>
          <w:lang w:eastAsia="en-GB"/>
        </w:rPr>
        <w:t xml:space="preserve"> utilize in showing the direction of the dissertation.</w:t>
      </w:r>
    </w:p>
    <w:p w:rsidR="00E75FC0" w:rsidRPr="009D794F" w:rsidRDefault="00D24A60" w:rsidP="00E75FC0">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(13) </w:t>
      </w:r>
      <w:r w:rsidR="00E75FC0" w:rsidRPr="009D794F">
        <w:rPr>
          <w:rFonts w:eastAsia="Times New Roman" w:cs="Segoe UI"/>
          <w:b/>
          <w:color w:val="FF0000"/>
          <w:kern w:val="36"/>
          <w:sz w:val="24"/>
          <w:szCs w:val="24"/>
          <w:lang w:eastAsia="en-GB"/>
        </w:rPr>
        <w:t>Adaptation and Implementation of Total Quality Management</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There seem to be disparities in the implementation of management strategies in both the public and private sector. Whiles Dent et al. (2004) claimed that the private sector organisations have adopted stra</w:t>
      </w:r>
      <w:r w:rsidR="009D794F" w:rsidRPr="009D794F">
        <w:rPr>
          <w:rFonts w:eastAsia="Times New Roman" w:cs="Segoe UI"/>
          <w:color w:val="212529"/>
          <w:sz w:val="24"/>
          <w:szCs w:val="24"/>
          <w:lang w:eastAsia="en-GB"/>
        </w:rPr>
        <w:t>t</w:t>
      </w:r>
      <w:r w:rsidRPr="009D794F">
        <w:rPr>
          <w:rFonts w:eastAsia="Times New Roman" w:cs="Segoe UI"/>
          <w:color w:val="212529"/>
          <w:sz w:val="24"/>
          <w:szCs w:val="24"/>
          <w:lang w:eastAsia="en-GB"/>
        </w:rPr>
        <w:t>egies that makes the productive and can effective and efficiently maximise their resources, Moore (2004) argue that the public sector is denied of the performance and private maximisation tool afforded to the private sector. The issue raised is that will both sector experience varying degree of increase were the public sector is to implement and exploit modern management practices. Focusing on the management dissimilarities between the public and private sector and the prevailing organisational structure, the aim of the dissertation is to illustrate the trend of the public sector to adhere to inefficient management models compared to the best practices models adopted within the private sector.</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The gap between the private and public management styles is justified through reference to organisational structural differences. Even though there may exist structural differences between the private and public sector organisa</w:t>
      </w:r>
      <w:r w:rsidR="009D794F">
        <w:rPr>
          <w:rFonts w:eastAsia="Times New Roman" w:cs="Segoe UI"/>
          <w:color w:val="212529"/>
          <w:sz w:val="24"/>
          <w:szCs w:val="24"/>
          <w:lang w:eastAsia="en-GB"/>
        </w:rPr>
        <w:t>t</w:t>
      </w:r>
      <w:r w:rsidRPr="009D794F">
        <w:rPr>
          <w:rFonts w:eastAsia="Times New Roman" w:cs="Segoe UI"/>
          <w:color w:val="212529"/>
          <w:sz w:val="24"/>
          <w:szCs w:val="24"/>
          <w:lang w:eastAsia="en-GB"/>
        </w:rPr>
        <w:t>ions, the dissertation takes a contrary position whereby the differences are not to prevent the successful execution of the paradigms in public sector and private sector management strategies. The literature on the public and private sector organisations and contemporary management strategies will be reviewed to validate the statements and arguments to be discussed and then solidified through the results of the field study.</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RESEARCH QUESTIONS AND</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The study intend to examine the differences and similarities between the private and public sector to determine if private sector management strategies will withstand successful adaptation to and working in the private sector, from within a framework of research questions. The research questions are:</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Can management tools, paradigms and strategies connected to the private sector be applied to the public sector?</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How can TQM as a strategic management concept be introduced successfully in the public sector?</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RELEVANCE OF THE TOPIC</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The primary purpose of the dissertation is to demonstrate the possibilities and essentials of the public sector’s embracing of private sector management strategies. The dissertation which focuses on total quality management obtains greater primary significance considering the relationship between the private and public sector organisations. Flynn (2002) stated that private and public sector do not operate separated from each other or do not occupy different spaces but rather the sectors operate within the space, market, community and economy with continuous interaction with each other on a business level. The study is important because it will acknowledge the comparison between the public and private sector and deem necessary to remove the bottlenecks to the effective and efficient operation of the public sector.</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RESEARCH METHODOLOGY</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As the aim of the dissertation is to explore the private and public sector strategy, the author will conduct four interviews within two organisation (both the public and private sector). The field research will be limited to the semi-structure interviews.</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1.4 DISSERTATION OUTLINE</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The dissertation will comprise of six chapters.</w:t>
      </w:r>
    </w:p>
    <w:p w:rsidR="00E75FC0" w:rsidRPr="009D794F" w:rsidRDefault="00E75FC0" w:rsidP="009D794F">
      <w:pPr>
        <w:shd w:val="clear" w:color="auto" w:fill="FFFFFF"/>
        <w:spacing w:after="100" w:afterAutospacing="1" w:line="240" w:lineRule="auto"/>
        <w:jc w:val="both"/>
        <w:rPr>
          <w:rFonts w:eastAsia="Times New Roman" w:cs="Segoe UI"/>
          <w:sz w:val="24"/>
          <w:szCs w:val="24"/>
          <w:lang w:eastAsia="en-GB"/>
        </w:rPr>
      </w:pPr>
      <w:r w:rsidRPr="009D794F">
        <w:rPr>
          <w:rFonts w:eastAsia="Times New Roman" w:cs="Segoe UI"/>
          <w:color w:val="212529"/>
          <w:sz w:val="24"/>
          <w:szCs w:val="24"/>
          <w:lang w:eastAsia="en-GB"/>
        </w:rPr>
        <w:t>Chapter one is for the general introduction of the study, which outlines the nature of the study.</w:t>
      </w:r>
      <w:r w:rsidR="009D794F" w:rsidRPr="009D794F">
        <w:rPr>
          <w:rFonts w:eastAsia="Times New Roman" w:cs="Segoe UI"/>
          <w:sz w:val="24"/>
          <w:szCs w:val="24"/>
          <w:lang w:eastAsia="en-GB"/>
        </w:rPr>
        <w:t xml:space="preserve"> </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Chapter two will present reviews from the extensive literature on modern business management strategies as in the private versus public sector organisations and then outline and discussing the theoretical principles and its implementation which will be attention to TQM.</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Chapter three will present and defend the methodology selected for the dissertation.</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Chapter four will present the findings of the field research, discuss and analyse the research results in light of the objectives.</w:t>
      </w:r>
    </w:p>
    <w:p w:rsidR="00E75FC0" w:rsidRPr="009D794F" w:rsidRDefault="00E75FC0" w:rsidP="009D794F">
      <w:pPr>
        <w:shd w:val="clear" w:color="auto" w:fill="FFFFFF"/>
        <w:spacing w:after="100" w:afterAutospacing="1" w:line="240" w:lineRule="auto"/>
        <w:jc w:val="both"/>
        <w:rPr>
          <w:rFonts w:eastAsia="Times New Roman" w:cs="Segoe UI"/>
          <w:color w:val="212529"/>
          <w:sz w:val="24"/>
          <w:szCs w:val="24"/>
          <w:lang w:eastAsia="en-GB"/>
        </w:rPr>
      </w:pPr>
      <w:r w:rsidRPr="009D794F">
        <w:rPr>
          <w:rFonts w:eastAsia="Times New Roman" w:cs="Segoe UI"/>
          <w:color w:val="212529"/>
          <w:sz w:val="24"/>
          <w:szCs w:val="24"/>
          <w:lang w:eastAsia="en-GB"/>
        </w:rPr>
        <w:t>Finally, chapter five will conclude the study through an articulation of the research findings, a discussion of the implications of these findings and presents some recommendations out of the findings discussed.</w:t>
      </w:r>
    </w:p>
    <w:p w:rsidR="00E75FC0" w:rsidRPr="00DE73E3" w:rsidRDefault="00D24A60" w:rsidP="00E75FC0">
      <w:pPr>
        <w:shd w:val="clear" w:color="auto" w:fill="FFFFFF"/>
        <w:spacing w:after="100" w:afterAutospacing="1" w:line="240" w:lineRule="auto"/>
        <w:rPr>
          <w:rFonts w:eastAsia="Times New Roman" w:cs="Segoe UI"/>
          <w:b/>
          <w:color w:val="FF0000"/>
          <w:sz w:val="24"/>
          <w:szCs w:val="24"/>
          <w:lang w:eastAsia="en-GB"/>
        </w:rPr>
      </w:pPr>
      <w:r>
        <w:rPr>
          <w:rFonts w:eastAsia="Times New Roman" w:cs="Segoe UI"/>
          <w:b/>
          <w:color w:val="FF0000"/>
          <w:sz w:val="24"/>
          <w:szCs w:val="24"/>
          <w:lang w:eastAsia="en-GB"/>
        </w:rPr>
        <w:t xml:space="preserve">(14) </w:t>
      </w:r>
      <w:r w:rsidR="00E75FC0" w:rsidRPr="00DE73E3">
        <w:rPr>
          <w:rFonts w:eastAsia="Times New Roman" w:cs="Segoe UI"/>
          <w:b/>
          <w:color w:val="FF0000"/>
          <w:sz w:val="24"/>
          <w:szCs w:val="24"/>
          <w:lang w:eastAsia="en-GB"/>
        </w:rPr>
        <w:t>CHAPTER TWO</w:t>
      </w:r>
    </w:p>
    <w:p w:rsidR="00E75FC0" w:rsidRPr="00DE73E3" w:rsidRDefault="00E75FC0" w:rsidP="00E75FC0">
      <w:pPr>
        <w:shd w:val="clear" w:color="auto" w:fill="FFFFFF"/>
        <w:spacing w:after="100" w:afterAutospacing="1" w:line="240" w:lineRule="auto"/>
        <w:outlineLvl w:val="1"/>
        <w:rPr>
          <w:rFonts w:eastAsia="Times New Roman" w:cs="Segoe UI"/>
          <w:b/>
          <w:color w:val="FF0000"/>
          <w:sz w:val="24"/>
          <w:szCs w:val="24"/>
          <w:lang w:eastAsia="en-GB"/>
        </w:rPr>
      </w:pPr>
      <w:r w:rsidRPr="00DE73E3">
        <w:rPr>
          <w:rFonts w:eastAsia="Times New Roman" w:cs="Segoe UI"/>
          <w:b/>
          <w:color w:val="FF0000"/>
          <w:sz w:val="24"/>
          <w:szCs w:val="24"/>
          <w:lang w:eastAsia="en-GB"/>
        </w:rPr>
        <w:t>CONTEMPORARY MANAGMENT PRACTICES: ORGANISATION DEVELOPMENT, STRUCTURE AND MANAGEMENT TOOLS</w:t>
      </w:r>
    </w:p>
    <w:p w:rsidR="00E75FC0" w:rsidRPr="00DE73E3" w:rsidRDefault="00E75FC0" w:rsidP="00E75FC0">
      <w:pPr>
        <w:shd w:val="clear" w:color="auto" w:fill="FFFFFF"/>
        <w:spacing w:after="100" w:afterAutospacing="1" w:line="240" w:lineRule="auto"/>
        <w:outlineLvl w:val="1"/>
        <w:rPr>
          <w:rFonts w:eastAsia="Times New Roman" w:cs="Segoe UI"/>
          <w:b/>
          <w:color w:val="FF0000"/>
          <w:sz w:val="24"/>
          <w:szCs w:val="24"/>
          <w:lang w:eastAsia="en-GB"/>
        </w:rPr>
      </w:pPr>
      <w:r w:rsidRPr="00DE73E3">
        <w:rPr>
          <w:rFonts w:eastAsia="Times New Roman" w:cs="Segoe UI"/>
          <w:b/>
          <w:color w:val="FF0000"/>
          <w:sz w:val="24"/>
          <w:szCs w:val="24"/>
          <w:lang w:eastAsia="en-GB"/>
        </w:rPr>
        <w:t>2.0 INTRODUCTION</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The growing intense of the hyper-competitive market coupled with the relentless quality requirements from customers is shaping the business landscape whereby quality has become the order of the day. Quality is defines as the totality of the features of a product or service that bears on its ability to satisfy implied or stated needs (Render and Heizer, 2009). Ma</w:t>
      </w:r>
      <w:r w:rsidR="00DE73E3">
        <w:rPr>
          <w:rFonts w:eastAsia="Times New Roman" w:cs="Segoe UI"/>
          <w:color w:val="212529"/>
          <w:sz w:val="24"/>
          <w:szCs w:val="24"/>
          <w:lang w:eastAsia="en-GB"/>
        </w:rPr>
        <w:t>ca</w:t>
      </w:r>
      <w:r w:rsidRPr="00DE73E3">
        <w:rPr>
          <w:rFonts w:eastAsia="Times New Roman" w:cs="Segoe UI"/>
          <w:color w:val="212529"/>
          <w:sz w:val="24"/>
          <w:szCs w:val="24"/>
          <w:lang w:eastAsia="en-GB"/>
        </w:rPr>
        <w:t xml:space="preserve">dam et al. (2004) assert that the private sector organisations in the industrialised world especially both the West and UK have accepted the significance of management programme of which they have either implemented or are in the process of implementing whereas greater majority of the of some public sector </w:t>
      </w:r>
      <w:r w:rsidR="00DE73E3" w:rsidRPr="00DE73E3">
        <w:rPr>
          <w:rFonts w:eastAsia="Times New Roman" w:cs="Segoe UI"/>
          <w:color w:val="212529"/>
          <w:sz w:val="24"/>
          <w:szCs w:val="24"/>
          <w:lang w:eastAsia="en-GB"/>
        </w:rPr>
        <w:t>organisations</w:t>
      </w:r>
      <w:r w:rsidRPr="00DE73E3">
        <w:rPr>
          <w:rFonts w:eastAsia="Times New Roman" w:cs="Segoe UI"/>
          <w:color w:val="212529"/>
          <w:sz w:val="24"/>
          <w:szCs w:val="24"/>
          <w:lang w:eastAsia="en-GB"/>
        </w:rPr>
        <w:t xml:space="preserve"> and government entities who have pledge to quality management programmes have not implemented it (Lawrie et al., 2004). The result is the lower efficiency level of the public sectors’ operations compared to the private sector. Consequently, Rosenbloom et al., (2001) are calling for the public sector to implement strategic management tools such as TQM due to their poor performance as measured through their strategic business outcomes.</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The transfer and implementation of the private sector management tools and strategies to the public sector are not expected to be seamless or successful, rather the</w:t>
      </w:r>
      <w:r w:rsidR="00DE73E3">
        <w:rPr>
          <w:rFonts w:eastAsia="Times New Roman" w:cs="Segoe UI"/>
          <w:color w:val="212529"/>
          <w:sz w:val="24"/>
          <w:szCs w:val="24"/>
          <w:lang w:eastAsia="en-GB"/>
        </w:rPr>
        <w:t>y</w:t>
      </w:r>
      <w:r w:rsidRPr="00DE73E3">
        <w:rPr>
          <w:rFonts w:eastAsia="Times New Roman" w:cs="Segoe UI"/>
          <w:color w:val="212529"/>
          <w:sz w:val="24"/>
          <w:szCs w:val="24"/>
          <w:lang w:eastAsia="en-GB"/>
        </w:rPr>
        <w:t xml:space="preserve"> must be implemented based on the features and needs of both sectors as well as the organisation in question. Considering the expression of the distinction between the prevailing management methodologies and private and public sector organisational structures, the literature will look for the significance of the growth stage, the decision making and the essentials of using strategic management tools.</w:t>
      </w:r>
    </w:p>
    <w:p w:rsidR="00E75FC0" w:rsidRPr="00DE73E3" w:rsidRDefault="00E75FC0" w:rsidP="00DE73E3">
      <w:pPr>
        <w:shd w:val="clear" w:color="auto" w:fill="FFFFFF"/>
        <w:spacing w:after="100" w:afterAutospacing="1" w:line="240" w:lineRule="auto"/>
        <w:jc w:val="both"/>
        <w:outlineLvl w:val="1"/>
        <w:rPr>
          <w:rFonts w:eastAsia="Times New Roman" w:cs="Segoe UI"/>
          <w:color w:val="212529"/>
          <w:sz w:val="24"/>
          <w:szCs w:val="24"/>
          <w:lang w:eastAsia="en-GB"/>
        </w:rPr>
      </w:pPr>
      <w:r w:rsidRPr="00DE73E3">
        <w:rPr>
          <w:rFonts w:eastAsia="Times New Roman" w:cs="Segoe UI"/>
          <w:color w:val="212529"/>
          <w:sz w:val="24"/>
          <w:szCs w:val="24"/>
          <w:lang w:eastAsia="en-GB"/>
        </w:rPr>
        <w:t>Private and Public Sector Organisational Management</w:t>
      </w:r>
    </w:p>
    <w:p w:rsidR="00E75FC0" w:rsidRPr="00DE73E3" w:rsidRDefault="00E75FC0" w:rsidP="00DE73E3">
      <w:pPr>
        <w:shd w:val="clear" w:color="auto" w:fill="FFFFFF"/>
        <w:spacing w:after="100" w:afterAutospacing="1" w:line="240" w:lineRule="auto"/>
        <w:jc w:val="both"/>
        <w:outlineLvl w:val="1"/>
        <w:rPr>
          <w:rFonts w:eastAsia="Times New Roman" w:cs="Segoe UI"/>
          <w:color w:val="212529"/>
          <w:sz w:val="24"/>
          <w:szCs w:val="24"/>
          <w:lang w:eastAsia="en-GB"/>
        </w:rPr>
      </w:pPr>
      <w:r w:rsidRPr="00DE73E3">
        <w:rPr>
          <w:rFonts w:eastAsia="Times New Roman" w:cs="Segoe UI"/>
          <w:color w:val="212529"/>
          <w:sz w:val="24"/>
          <w:szCs w:val="24"/>
          <w:lang w:eastAsia="en-GB"/>
        </w:rPr>
        <w:t>Features of Public Sector Organisations</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Weber determined the public sector organisations as largely modelled organisational structure after traditional bureaucratic organisational structure. The bureaucratic traditionalist management theory seem to shape the organisational structure into four components namely; span of control, decision-making, labour division and departmentalisation (Chandler and Barry, 2004). Within the public sector organisation, the labour division is highly specialised. The employees are hired and furnished with their job description and assigned to a special task because based on their limited initial skills (Bourn and Bourn, 1995). Bourgeois (1984) stated that the explicit job descriptions specifies the employees understanding to the job to be performed as well as the territories of their professional duties whiles the specialisation of the employees denotes their job is been match to their skill-sets.</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Authors, such as Kearny and Berman (1999) criticize the management of the public sector claiming that the obstacles towards the efficient and effective organisational functioning is as a result of their functional departmentalisation trend. The advantage of assembling employees based on a common set of skills is for departmental efficiency. On the contrary, the disadvantage rest on the narrowing departmental vision, communication and operations among the various departments (Gibson, 1966). This disconnection will prevent the functional leaders and employees from achieving their objective.</w:t>
      </w:r>
    </w:p>
    <w:p w:rsidR="00E75FC0" w:rsidRPr="00DE73E3" w:rsidRDefault="00DE73E3" w:rsidP="00DE73E3">
      <w:pPr>
        <w:shd w:val="clear" w:color="auto" w:fill="FFFFFF"/>
        <w:spacing w:after="100" w:afterAutospacing="1" w:line="240" w:lineRule="auto"/>
        <w:jc w:val="both"/>
        <w:rPr>
          <w:rFonts w:eastAsia="Times New Roman" w:cs="Segoe UI"/>
          <w:color w:val="212529"/>
          <w:sz w:val="24"/>
          <w:szCs w:val="24"/>
          <w:lang w:eastAsia="en-GB"/>
        </w:rPr>
      </w:pPr>
      <w:r>
        <w:rPr>
          <w:rFonts w:eastAsia="Times New Roman" w:cs="Segoe UI"/>
          <w:color w:val="212529"/>
          <w:sz w:val="24"/>
          <w:szCs w:val="24"/>
          <w:lang w:eastAsia="en-GB"/>
        </w:rPr>
        <w:t>T</w:t>
      </w:r>
      <w:r w:rsidR="00E75FC0" w:rsidRPr="00DE73E3">
        <w:rPr>
          <w:rFonts w:eastAsia="Times New Roman" w:cs="Segoe UI"/>
          <w:color w:val="212529"/>
          <w:sz w:val="24"/>
          <w:szCs w:val="24"/>
          <w:lang w:eastAsia="en-GB"/>
        </w:rPr>
        <w:t xml:space="preserve">he above information indicates that there is a centralisation of authority and control in the traditional organisational structure typically of the public sector. In this case, the decision-making seems to be autocratic with the command from top – down. The final </w:t>
      </w:r>
      <w:r>
        <w:rPr>
          <w:rFonts w:eastAsia="Times New Roman" w:cs="Segoe UI"/>
          <w:color w:val="212529"/>
          <w:sz w:val="24"/>
          <w:szCs w:val="24"/>
          <w:lang w:eastAsia="en-GB"/>
        </w:rPr>
        <w:t>decision</w:t>
      </w:r>
      <w:r w:rsidR="00E75FC0" w:rsidRPr="00DE73E3">
        <w:rPr>
          <w:rFonts w:eastAsia="Times New Roman" w:cs="Segoe UI"/>
          <w:color w:val="212529"/>
          <w:sz w:val="24"/>
          <w:szCs w:val="24"/>
          <w:lang w:eastAsia="en-GB"/>
        </w:rPr>
        <w:t xml:space="preserve"> is made by the top management excluding the employees. So the vertical hierarchical structure distinguished the public sector from the private sector (</w:t>
      </w:r>
      <w:r w:rsidR="00972A36" w:rsidRPr="00DE73E3">
        <w:rPr>
          <w:rFonts w:eastAsia="Times New Roman" w:cs="Segoe UI"/>
          <w:color w:val="212529"/>
          <w:sz w:val="24"/>
          <w:szCs w:val="24"/>
          <w:lang w:eastAsia="en-GB"/>
        </w:rPr>
        <w:t>McTavish</w:t>
      </w:r>
      <w:r w:rsidR="00E75FC0" w:rsidRPr="00DE73E3">
        <w:rPr>
          <w:rFonts w:eastAsia="Times New Roman" w:cs="Segoe UI"/>
          <w:color w:val="212529"/>
          <w:sz w:val="24"/>
          <w:szCs w:val="24"/>
          <w:lang w:eastAsia="en-GB"/>
        </w:rPr>
        <w:t>, 2004).</w:t>
      </w:r>
    </w:p>
    <w:p w:rsidR="00E75FC0" w:rsidRPr="00DE73E3" w:rsidRDefault="00E75FC0" w:rsidP="00DE73E3">
      <w:pPr>
        <w:shd w:val="clear" w:color="auto" w:fill="FFFFFF"/>
        <w:spacing w:after="100" w:afterAutospacing="1" w:line="240" w:lineRule="auto"/>
        <w:jc w:val="both"/>
        <w:rPr>
          <w:rFonts w:eastAsia="Times New Roman" w:cs="Segoe UI"/>
          <w:sz w:val="24"/>
          <w:szCs w:val="24"/>
          <w:lang w:eastAsia="en-GB"/>
        </w:rPr>
      </w:pPr>
      <w:r w:rsidRPr="00DE73E3">
        <w:rPr>
          <w:rFonts w:eastAsia="Times New Roman" w:cs="Segoe UI"/>
          <w:color w:val="212529"/>
          <w:sz w:val="24"/>
          <w:szCs w:val="24"/>
          <w:lang w:eastAsia="en-GB"/>
        </w:rPr>
        <w:t>Bourgeois (1984) claim that the public sector organisations is problematic due to its bureaucratic tradition which leads to mechanistic organisations thereby weakening its operations. The mechanistic structure refers to the centralised control, repetition of task and rigidity of the public sector which makes the organisation unable to take action on external emergent demand or environmental changes. And it is under this stiff blueprint the employees are meant to implement the business strategies (Chandler and Barry, 2004). However, the implementation of the business strategies and task assign to the employees will not be effective even if they are carried out with a high degree of efficiency in the sense that the strategies will not tackle or influence the actuality of the external environment (Kearney and Berman, 1999).</w:t>
      </w:r>
      <w:r w:rsidR="00DE73E3" w:rsidRPr="00DE73E3">
        <w:rPr>
          <w:rFonts w:eastAsia="Times New Roman" w:cs="Segoe UI"/>
          <w:sz w:val="24"/>
          <w:szCs w:val="24"/>
          <w:lang w:eastAsia="en-GB"/>
        </w:rPr>
        <w:t xml:space="preserve"> </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It is evidently clear from the literature reviewed that the public sector management and organisational structure will not be able to continue to exist in the intense and dynamic hyper-competitive market due to its irregularity in its practice which fails to react quickly to the environmental forces.</w:t>
      </w:r>
    </w:p>
    <w:p w:rsidR="00E75FC0" w:rsidRPr="00DE73E3" w:rsidRDefault="00E75FC0" w:rsidP="00DE73E3">
      <w:pPr>
        <w:shd w:val="clear" w:color="auto" w:fill="FFFFFF"/>
        <w:spacing w:after="100" w:afterAutospacing="1" w:line="240" w:lineRule="auto"/>
        <w:jc w:val="both"/>
        <w:outlineLvl w:val="1"/>
        <w:rPr>
          <w:rFonts w:eastAsia="Times New Roman" w:cs="Segoe UI"/>
          <w:color w:val="212529"/>
          <w:sz w:val="24"/>
          <w:szCs w:val="24"/>
          <w:lang w:eastAsia="en-GB"/>
        </w:rPr>
      </w:pPr>
      <w:r w:rsidRPr="00DE73E3">
        <w:rPr>
          <w:rFonts w:eastAsia="Times New Roman" w:cs="Segoe UI"/>
          <w:color w:val="212529"/>
          <w:sz w:val="24"/>
          <w:szCs w:val="24"/>
          <w:lang w:eastAsia="en-GB"/>
        </w:rPr>
        <w:t>Features of Private Sector Organisations</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Birkinshaw and Hagstrom (2002) viewed private sector organisations as decentralised and flexible vertical structures that focus on specialisation with diversify sets of skills. They are of the opinion that it will be mistaken to presume that the organisational structure and strategic characteristics of the private sector are the same. And even though several workers are made to participate in the decision-making process, there will still be some variance within the public sector’s management, structure and strategy (Coglianese and Nash, 2005).</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According to Erridge et al. (2001) the success of the private sector organisations is due to the visible variance of their management structure and strategies which are customise to create higher consistency in their internal structure as well as responding quickly to the emergent demand or external environmental forces. Moreover, it</w:t>
      </w:r>
      <w:r w:rsidR="00180204">
        <w:rPr>
          <w:rFonts w:eastAsia="Times New Roman" w:cs="Segoe UI"/>
          <w:color w:val="212529"/>
          <w:sz w:val="24"/>
          <w:szCs w:val="24"/>
          <w:lang w:eastAsia="en-GB"/>
        </w:rPr>
        <w:t xml:space="preserve"> i</w:t>
      </w:r>
      <w:r w:rsidRPr="00DE73E3">
        <w:rPr>
          <w:rFonts w:eastAsia="Times New Roman" w:cs="Segoe UI"/>
          <w:color w:val="212529"/>
          <w:sz w:val="24"/>
          <w:szCs w:val="24"/>
          <w:lang w:eastAsia="en-GB"/>
        </w:rPr>
        <w:t>s a small number of successful private sector companies who actively engage in the design of its model even if they carry out a blind adoption of existent management formats (Erridge et al., 2001).</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In addition Kearns (1995) stated that the decentralisation, promotion of shared decision-making and the selection of the management business model based on the varied skill-sets of the employees within the private sector organisation are continuously re-articulated in consideration of their growth stage in order to design a flexible management structure and strategies.</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Having provided a concise review on the features of the private and public sector, the following sections shall review literatures focus on organisational development stages and strategy. The justification of discussion is due to the prominent elements they contain in designing both the TQM hypothesis and private sector management strategies. There will be no ‘one-size fits all’ management hypothesis in the subsequent sections as the management hypotheses must be considered as a framework that offers organisations the necessary parameter in planning the management hypothesis that tackles their needs and requirements. Within that context, the TQM will not appears as a hypothesis but rather as a framework that offers organisations with the strategies and tools needed of the design of the TQM management hypothesis. Lots of factors would be considered in planning this model which are discussed below.</w:t>
      </w:r>
    </w:p>
    <w:p w:rsidR="00E75FC0" w:rsidRPr="00DE73E3" w:rsidRDefault="00E75FC0" w:rsidP="00DE73E3">
      <w:pPr>
        <w:shd w:val="clear" w:color="auto" w:fill="FFFFFF"/>
        <w:spacing w:after="100" w:afterAutospacing="1" w:line="240" w:lineRule="auto"/>
        <w:jc w:val="both"/>
        <w:outlineLvl w:val="1"/>
        <w:rPr>
          <w:rFonts w:eastAsia="Times New Roman" w:cs="Segoe UI"/>
          <w:color w:val="212529"/>
          <w:sz w:val="24"/>
          <w:szCs w:val="24"/>
          <w:lang w:eastAsia="en-GB"/>
        </w:rPr>
      </w:pPr>
      <w:r w:rsidRPr="00DE73E3">
        <w:rPr>
          <w:rFonts w:eastAsia="Times New Roman" w:cs="Segoe UI"/>
          <w:color w:val="212529"/>
          <w:sz w:val="24"/>
          <w:szCs w:val="24"/>
          <w:lang w:eastAsia="en-GB"/>
        </w:rPr>
        <w:t>Development Stages and Challenges</w:t>
      </w:r>
    </w:p>
    <w:p w:rsidR="00E75FC0" w:rsidRPr="00DE73E3" w:rsidRDefault="00E75FC0" w:rsidP="00DE73E3">
      <w:pPr>
        <w:shd w:val="clear" w:color="auto" w:fill="FFFFFF"/>
        <w:spacing w:after="100" w:afterAutospacing="1" w:line="240" w:lineRule="auto"/>
        <w:jc w:val="both"/>
        <w:outlineLvl w:val="1"/>
        <w:rPr>
          <w:rFonts w:eastAsia="Times New Roman" w:cs="Segoe UI"/>
          <w:color w:val="212529"/>
          <w:sz w:val="24"/>
          <w:szCs w:val="24"/>
          <w:lang w:eastAsia="en-GB"/>
        </w:rPr>
      </w:pPr>
      <w:r w:rsidRPr="00DE73E3">
        <w:rPr>
          <w:rFonts w:eastAsia="Times New Roman" w:cs="Segoe UI"/>
          <w:color w:val="212529"/>
          <w:sz w:val="24"/>
          <w:szCs w:val="24"/>
          <w:lang w:eastAsia="en-GB"/>
        </w:rPr>
        <w:t>Strategies</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Developing strategy generally is observed as two-dimensional process of formulation, rational and implementation. Though in reality its complex in relation to the interactive processes being influenced by organisational cultures, management values and politicians (Beaver and Prince, 2004).</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Authors, Baker et al. (1993) conducted a survey on the benefits of strategic planning and this include:</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Profitability 94% of companies reporting improvement</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Decision making 93%</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Communication and unity 93%</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Marketing/product mix 93%</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Industry leadership 93%</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Operations management 92%</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Motivation 92%</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Controls 91%</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Allocation of resources 91%</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Asset growth 88%</w:t>
      </w:r>
    </w:p>
    <w:p w:rsidR="00E75FC0" w:rsidRPr="00DE73E3" w:rsidRDefault="00E75FC0" w:rsidP="00DE73E3">
      <w:pPr>
        <w:shd w:val="clear" w:color="auto" w:fill="FFFFFF"/>
        <w:spacing w:after="100" w:afterAutospacing="1" w:line="240" w:lineRule="auto"/>
        <w:jc w:val="both"/>
        <w:rPr>
          <w:rFonts w:eastAsia="Times New Roman" w:cs="Segoe UI"/>
          <w:color w:val="212529"/>
          <w:sz w:val="24"/>
          <w:szCs w:val="24"/>
          <w:lang w:eastAsia="en-GB"/>
        </w:rPr>
      </w:pPr>
      <w:r w:rsidRPr="00DE73E3">
        <w:rPr>
          <w:rFonts w:eastAsia="Times New Roman" w:cs="Segoe UI"/>
          <w:color w:val="212529"/>
          <w:sz w:val="24"/>
          <w:szCs w:val="24"/>
          <w:lang w:eastAsia="en-GB"/>
        </w:rPr>
        <w:t xml:space="preserve">Joyce and Woods (2003) discovered that the bigger the organisations become, the lack of monitoring process and a strategy building may become restrictive. This is regular with Churchill and Lewis (1993) growth model. However, Mumford (2000) emphasised that strategy ought to be observed as broad framework and not to be treated as thorough parameter for organisational action. And in such case, there will be harsh restriction on the </w:t>
      </w:r>
      <w:r w:rsidR="00180204" w:rsidRPr="00DE73E3">
        <w:rPr>
          <w:rFonts w:eastAsia="Times New Roman" w:cs="Segoe UI"/>
          <w:color w:val="212529"/>
          <w:sz w:val="24"/>
          <w:szCs w:val="24"/>
          <w:lang w:eastAsia="en-GB"/>
        </w:rPr>
        <w:t>organisation’s</w:t>
      </w:r>
      <w:r w:rsidRPr="00DE73E3">
        <w:rPr>
          <w:rFonts w:eastAsia="Times New Roman" w:cs="Segoe UI"/>
          <w:color w:val="212529"/>
          <w:sz w:val="24"/>
          <w:szCs w:val="24"/>
          <w:lang w:eastAsia="en-GB"/>
        </w:rPr>
        <w:t xml:space="preserve"> ability to react flexibly to the emergent environmental forces both internally and externally.</w:t>
      </w:r>
    </w:p>
    <w:p w:rsidR="00E75FC0" w:rsidRPr="00A74BD1" w:rsidRDefault="00D24A60" w:rsidP="00A74BD1">
      <w:pPr>
        <w:shd w:val="clear" w:color="auto" w:fill="FFFFFF"/>
        <w:spacing w:after="100" w:afterAutospacing="1" w:line="240" w:lineRule="auto"/>
        <w:jc w:val="both"/>
        <w:outlineLvl w:val="1"/>
        <w:rPr>
          <w:rFonts w:eastAsia="Times New Roman" w:cs="Segoe UI"/>
          <w:b/>
          <w:color w:val="FF0000"/>
          <w:sz w:val="24"/>
          <w:szCs w:val="24"/>
          <w:lang w:eastAsia="en-GB"/>
        </w:rPr>
      </w:pPr>
      <w:r>
        <w:rPr>
          <w:rFonts w:eastAsia="Times New Roman" w:cs="Segoe UI"/>
          <w:b/>
          <w:color w:val="FF0000"/>
          <w:sz w:val="24"/>
          <w:szCs w:val="24"/>
          <w:lang w:eastAsia="en-GB"/>
        </w:rPr>
        <w:t xml:space="preserve">(15) </w:t>
      </w:r>
      <w:r w:rsidR="00E75FC0" w:rsidRPr="00A74BD1">
        <w:rPr>
          <w:rFonts w:eastAsia="Times New Roman" w:cs="Segoe UI"/>
          <w:b/>
          <w:color w:val="FF0000"/>
          <w:sz w:val="24"/>
          <w:szCs w:val="24"/>
          <w:lang w:eastAsia="en-GB"/>
        </w:rPr>
        <w:t>THE CONCEPTUAL AND THEORETICAL FUNDAMENTALS OF TQM</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TQM was first introduced as a competitive challenge between the USA and Japanese companies (Prajogo, 2005). It is design to motivate organisational dynamism whether in the public or private sector. Saylor (1996) in his opinion express the parameters of TQM as;</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Total refers to the whole human resources and personnel of an organisation with diverse responsibilities being worked to achieve quality.</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Quality connected to the organisation’s ability to adjust continually to operate in order to satisfy the customer</w:t>
      </w:r>
      <w:r w:rsidR="00A74BD1">
        <w:rPr>
          <w:rFonts w:eastAsia="Times New Roman" w:cs="Segoe UI"/>
          <w:color w:val="212529"/>
          <w:sz w:val="24"/>
          <w:szCs w:val="24"/>
          <w:lang w:eastAsia="en-GB"/>
        </w:rPr>
        <w:t>’</w:t>
      </w:r>
      <w:r w:rsidRPr="00A74BD1">
        <w:rPr>
          <w:rFonts w:eastAsia="Times New Roman" w:cs="Segoe UI"/>
          <w:color w:val="212529"/>
          <w:sz w:val="24"/>
          <w:szCs w:val="24"/>
          <w:lang w:eastAsia="en-GB"/>
        </w:rPr>
        <w:t>s needs and expectation through understanding of the market knowledge and consumer research.</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Management act as a model of and drive to motivate the attainment of excellent quality performance.</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Harvey and Brown, (2001, p. 336) define Total Quality Management as “an organisational strategy of commitment to improve customer satisfaction by developing procedures to carefully manage output quality”.</w:t>
      </w:r>
    </w:p>
    <w:p w:rsidR="00E75FC0" w:rsidRPr="00A74BD1" w:rsidRDefault="00E75FC0" w:rsidP="00A74BD1">
      <w:pPr>
        <w:shd w:val="clear" w:color="auto" w:fill="FFFFFF"/>
        <w:spacing w:after="100" w:afterAutospacing="1" w:line="240" w:lineRule="auto"/>
        <w:jc w:val="both"/>
        <w:outlineLvl w:val="1"/>
        <w:rPr>
          <w:rFonts w:eastAsia="Times New Roman" w:cs="Segoe UI"/>
          <w:color w:val="212529"/>
          <w:sz w:val="24"/>
          <w:szCs w:val="24"/>
          <w:lang w:eastAsia="en-GB"/>
        </w:rPr>
      </w:pPr>
      <w:r w:rsidRPr="00A74BD1">
        <w:rPr>
          <w:rFonts w:eastAsia="Times New Roman" w:cs="Segoe UI"/>
          <w:color w:val="212529"/>
          <w:sz w:val="24"/>
          <w:szCs w:val="24"/>
          <w:lang w:eastAsia="en-GB"/>
        </w:rPr>
        <w:t>TQM principles</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The definition of TQM is centred on three principles including; customer focus, teamwork and continuous improvement which should be embedded into the activities of the functions of an organisation (Ishikawa, 1985). Customer focus is the first principle of TQM. According to Slack et al. (2007) the main objective of an organisation is to provide the goods and services that satisfies their customer</w:t>
      </w:r>
      <w:r w:rsidR="00A74BD1">
        <w:rPr>
          <w:rFonts w:eastAsia="Times New Roman" w:cs="Segoe UI"/>
          <w:color w:val="212529"/>
          <w:sz w:val="24"/>
          <w:szCs w:val="24"/>
          <w:lang w:eastAsia="en-GB"/>
        </w:rPr>
        <w:t>’</w:t>
      </w:r>
      <w:r w:rsidRPr="00A74BD1">
        <w:rPr>
          <w:rFonts w:eastAsia="Times New Roman" w:cs="Segoe UI"/>
          <w:color w:val="212529"/>
          <w:sz w:val="24"/>
          <w:szCs w:val="24"/>
          <w:lang w:eastAsia="en-GB"/>
        </w:rPr>
        <w:t>s needs. And then organisations have the chance of increasing their profits and revenues through customer loyalty by means of maximising their customer</w:t>
      </w:r>
      <w:r w:rsidR="00A74BD1">
        <w:rPr>
          <w:rFonts w:eastAsia="Times New Roman" w:cs="Segoe UI"/>
          <w:color w:val="212529"/>
          <w:sz w:val="24"/>
          <w:szCs w:val="24"/>
          <w:lang w:eastAsia="en-GB"/>
        </w:rPr>
        <w:t>’</w:t>
      </w:r>
      <w:r w:rsidRPr="00A74BD1">
        <w:rPr>
          <w:rFonts w:eastAsia="Times New Roman" w:cs="Segoe UI"/>
          <w:color w:val="212529"/>
          <w:sz w:val="24"/>
          <w:szCs w:val="24"/>
          <w:lang w:eastAsia="en-GB"/>
        </w:rPr>
        <w:t>s satisfaction. Cardy and Dobbins (1996) recognises the customer focus as the key element in measuring the performance and determining the standards the employees offers to the customers. So employees are should be in the position to anticipate customer’s expectations which also enables the employee to use such information to change those operations.</w:t>
      </w:r>
    </w:p>
    <w:p w:rsidR="00E75FC0" w:rsidRPr="00A74BD1" w:rsidRDefault="00E75FC0" w:rsidP="00A74BD1">
      <w:pPr>
        <w:shd w:val="clear" w:color="auto" w:fill="FFFFFF"/>
        <w:spacing w:after="100" w:afterAutospacing="1" w:line="240" w:lineRule="auto"/>
        <w:jc w:val="both"/>
        <w:rPr>
          <w:rFonts w:eastAsia="Times New Roman" w:cs="Segoe UI"/>
          <w:sz w:val="24"/>
          <w:szCs w:val="24"/>
          <w:lang w:eastAsia="en-GB"/>
        </w:rPr>
      </w:pPr>
      <w:r w:rsidRPr="00A74BD1">
        <w:rPr>
          <w:rFonts w:eastAsia="Times New Roman" w:cs="Segoe UI"/>
          <w:color w:val="212529"/>
          <w:sz w:val="24"/>
          <w:szCs w:val="24"/>
          <w:lang w:eastAsia="en-GB"/>
        </w:rPr>
        <w:t>The second principle of TQM, teamwork emphasize on the performance of work through collaboration. Teamwork is geared towards all employee involvement in achieving organisational goal which is quality (Spencer, 1994). Dean and Bowen (1994) opine that teamwork also invo</w:t>
      </w:r>
      <w:r w:rsidR="00A74BD1">
        <w:rPr>
          <w:rFonts w:eastAsia="Times New Roman" w:cs="Segoe UI"/>
          <w:color w:val="212529"/>
          <w:sz w:val="24"/>
          <w:szCs w:val="24"/>
          <w:lang w:eastAsia="en-GB"/>
        </w:rPr>
        <w:t>l</w:t>
      </w:r>
      <w:r w:rsidRPr="00A74BD1">
        <w:rPr>
          <w:rFonts w:eastAsia="Times New Roman" w:cs="Segoe UI"/>
          <w:color w:val="212529"/>
          <w:sz w:val="24"/>
          <w:szCs w:val="24"/>
          <w:lang w:eastAsia="en-GB"/>
        </w:rPr>
        <w:t xml:space="preserve">ves the </w:t>
      </w:r>
      <w:r w:rsidR="00A74BD1" w:rsidRPr="00A74BD1">
        <w:rPr>
          <w:rFonts w:eastAsia="Times New Roman" w:cs="Segoe UI"/>
          <w:color w:val="212529"/>
          <w:sz w:val="24"/>
          <w:szCs w:val="24"/>
          <w:lang w:eastAsia="en-GB"/>
        </w:rPr>
        <w:t>organisation’s</w:t>
      </w:r>
      <w:r w:rsidRPr="00A74BD1">
        <w:rPr>
          <w:rFonts w:eastAsia="Times New Roman" w:cs="Segoe UI"/>
          <w:color w:val="212529"/>
          <w:sz w:val="24"/>
          <w:szCs w:val="24"/>
          <w:lang w:eastAsia="en-GB"/>
        </w:rPr>
        <w:t xml:space="preserve"> suppliers. Teamwork involves sharing of information between members, collaborative decisions making and agreeing on how to evaluate the quality of work. Finally, continuous improvement which is the third TQM principle focuses on finding better ways of distributing goods and services through continuous review of the administrative and technical processes. The employees throughout the organisational functions are to be trained to use tools in controlling the processes so that greater customer satisfaction is achieved (Cardy and Dobbins, 1996). It is important to note that the three principles can be used as guide by the employees in checking their work-related decisions and behaviours.</w:t>
      </w:r>
      <w:r w:rsidR="00A74BD1" w:rsidRPr="00A74BD1">
        <w:rPr>
          <w:rFonts w:eastAsia="Times New Roman" w:cs="Segoe UI"/>
          <w:sz w:val="24"/>
          <w:szCs w:val="24"/>
          <w:lang w:eastAsia="en-GB"/>
        </w:rPr>
        <w:t xml:space="preserve"> </w:t>
      </w:r>
    </w:p>
    <w:p w:rsidR="00E75FC0" w:rsidRPr="00A74BD1" w:rsidRDefault="00E75FC0" w:rsidP="00A74BD1">
      <w:pPr>
        <w:shd w:val="clear" w:color="auto" w:fill="FFFFFF"/>
        <w:spacing w:after="100" w:afterAutospacing="1" w:line="240" w:lineRule="auto"/>
        <w:jc w:val="both"/>
        <w:outlineLvl w:val="1"/>
        <w:rPr>
          <w:rFonts w:eastAsia="Times New Roman" w:cs="Segoe UI"/>
          <w:color w:val="212529"/>
          <w:sz w:val="24"/>
          <w:szCs w:val="24"/>
          <w:lang w:eastAsia="en-GB"/>
        </w:rPr>
      </w:pPr>
      <w:r w:rsidRPr="00A74BD1">
        <w:rPr>
          <w:rFonts w:eastAsia="Times New Roman" w:cs="Segoe UI"/>
          <w:color w:val="212529"/>
          <w:sz w:val="24"/>
          <w:szCs w:val="24"/>
          <w:lang w:eastAsia="en-GB"/>
        </w:rPr>
        <w:t>Theoretical Underpinning</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TQM is observed as broad organisational management system which is dependent on the combination of many managerial theories, perspectives and approaches (Easton and Jarrell, 1998). However the implementation of TQM does not mean it may support the desertion of or replace strategic planning and project management tool, instead TQM should compl</w:t>
      </w:r>
      <w:r w:rsidR="00A74BD1">
        <w:rPr>
          <w:rFonts w:eastAsia="Times New Roman" w:cs="Segoe UI"/>
          <w:color w:val="212529"/>
          <w:sz w:val="24"/>
          <w:szCs w:val="24"/>
          <w:lang w:eastAsia="en-GB"/>
        </w:rPr>
        <w:t>e</w:t>
      </w:r>
      <w:r w:rsidRPr="00A74BD1">
        <w:rPr>
          <w:rFonts w:eastAsia="Times New Roman" w:cs="Segoe UI"/>
          <w:color w:val="212529"/>
          <w:sz w:val="24"/>
          <w:szCs w:val="24"/>
          <w:lang w:eastAsia="en-GB"/>
        </w:rPr>
        <w:t xml:space="preserve">ment the management systems (Longo, 2000). These validate TQM as a management philosophy categorically embraces numerous organisational development theories and usefully utilize their tools and strength for the formulation of a single management philosophy. Shingo (1986) and Savage (1990) recognised TQM as several theoretical approaches including project management, strategic planning, </w:t>
      </w:r>
      <w:r w:rsidR="00A74BD1" w:rsidRPr="00A74BD1">
        <w:rPr>
          <w:rFonts w:eastAsia="Times New Roman" w:cs="Segoe UI"/>
          <w:color w:val="212529"/>
          <w:sz w:val="24"/>
          <w:szCs w:val="24"/>
          <w:lang w:eastAsia="en-GB"/>
        </w:rPr>
        <w:t>and system</w:t>
      </w:r>
      <w:r w:rsidRPr="00A74BD1">
        <w:rPr>
          <w:rFonts w:eastAsia="Times New Roman" w:cs="Segoe UI"/>
          <w:color w:val="212529"/>
          <w:sz w:val="24"/>
          <w:szCs w:val="24"/>
          <w:lang w:eastAsia="en-GB"/>
        </w:rPr>
        <w:t xml:space="preserve"> management and performance measurement. As a means of explaining and structuring the theoretical parameters of TQM, the theoretical approaches shall be defined.</w:t>
      </w:r>
    </w:p>
    <w:p w:rsidR="00E75FC0" w:rsidRPr="00A74BD1" w:rsidRDefault="00E75FC0" w:rsidP="00A74BD1">
      <w:pPr>
        <w:shd w:val="clear" w:color="auto" w:fill="FFFFFF"/>
        <w:spacing w:after="100" w:afterAutospacing="1" w:line="240" w:lineRule="auto"/>
        <w:jc w:val="both"/>
        <w:outlineLvl w:val="1"/>
        <w:rPr>
          <w:rFonts w:eastAsia="Times New Roman" w:cs="Segoe UI"/>
          <w:color w:val="212529"/>
          <w:sz w:val="24"/>
          <w:szCs w:val="24"/>
          <w:lang w:eastAsia="en-GB"/>
        </w:rPr>
      </w:pPr>
      <w:r w:rsidRPr="00A74BD1">
        <w:rPr>
          <w:rFonts w:eastAsia="Times New Roman" w:cs="Segoe UI"/>
          <w:color w:val="212529"/>
          <w:sz w:val="24"/>
          <w:szCs w:val="24"/>
          <w:lang w:eastAsia="en-GB"/>
        </w:rPr>
        <w:t>Total Systems Theory</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TQM is essentially founded based on the total system theory perspective. The management scholars Kast and Rosenzweig (1972) define total system theory as an inherently scientific approach to organisational management, immediately drawing from set up and indisputable biological concepts and the physical sciences.</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Upon agreeing to the above, Chen (1975) argue that the total system approach to organisational management acknowledges the fact that units disconnected from one another results in some level of inefficiency within an organisation since organisations as a whole operates based on well specified goals and objectives. And the adoption of the total system is the keystone for an organisation to function as a whole. This approach allows the each and every organisation to be handled distinctively, but a whole, organism, that eventually permits the creation of management ideas, strategic goals and objectives as well as taking into accounts the distinct culture of the organisation, features of its human resource and talents, and the external context of its operations. Furthermore, the approach leads to internal harmonisation and departmental amalgamation in an intra-organisation whereby each unit executes particular function for the benefit of the organisation as a whole (Chen, 1975).</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Mealiea and Lee (1979) claim that the total system theory is an exceptional organisational management idea that recognises the co-dependency among the quality in organisational functioning and performance and the integration of intra- and extra-organisation. Management scholars such as ………… opine that TQM and total system theory are extremely intertwine and that the they provide the creation of dynamic organisations capable of responding to customer</w:t>
      </w:r>
      <w:r w:rsidR="006A706C">
        <w:rPr>
          <w:rFonts w:eastAsia="Times New Roman" w:cs="Segoe UI"/>
          <w:color w:val="212529"/>
          <w:sz w:val="24"/>
          <w:szCs w:val="24"/>
          <w:lang w:eastAsia="en-GB"/>
        </w:rPr>
        <w:t>’</w:t>
      </w:r>
      <w:r w:rsidRPr="00A74BD1">
        <w:rPr>
          <w:rFonts w:eastAsia="Times New Roman" w:cs="Segoe UI"/>
          <w:color w:val="212529"/>
          <w:sz w:val="24"/>
          <w:szCs w:val="24"/>
          <w:lang w:eastAsia="en-GB"/>
        </w:rPr>
        <w:t>s requirements and needs satisfactorily (Goyal and Gunasekaran, 1990).</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Having recognise that TQM principles embraces the essentials of the total systems theoretical approach (Flood, 1995), Rwelamila and Hall (1995) in supports assert that the total systems establishes the appearance of management philosophy which is modified for each and every organisation whereby TQM happens as a malleable management idea. Furthermore, Manz and Stewart (1997) stated that the features of TQM enable it to endure its adoption within any given industry.</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According to Westphal et al. (1997) TQM also affects change from within as it works from within the matrix of the existent human resources and managerial competencies and talents and from within the limitations of the organisational culture. This implies that TQM can be used as a strategy for internal and independent organisational change and an organisational management philosophy because it motivates change from within Easton and Jarrell, 1998).</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Proceeding from the principle that TQM is flexible (Walton, 1997), Vadera et al. (1998) re-emphasise that TQM can be adopted within any organisational context. In support of this Reed et al (1996) opine that the positive effect on the effectiveness and efficiency of the implementation of TQM in enhancing the performance of organisation is based upon the organisation distinct internal environmental features. Nevertheless the possibility for succeeding exceedingly is high if the human resource capabilities and constraints, management operative ideas, organisational structure and extra-human resource availability are considered and used to inform the TQM hypothesis under design (Reed et al, 1996; Zberacki, 1998). This attest to the fact that TQM embraces the model guidelines particular to total systems’ theory.</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Strategic Planning</w:t>
      </w:r>
    </w:p>
    <w:p w:rsidR="00E75FC0" w:rsidRPr="00A74BD1" w:rsidRDefault="00E75FC0" w:rsidP="00A74BD1">
      <w:pPr>
        <w:shd w:val="clear" w:color="auto" w:fill="FFFFFF"/>
        <w:spacing w:after="100" w:afterAutospacing="1" w:line="240" w:lineRule="auto"/>
        <w:jc w:val="both"/>
        <w:rPr>
          <w:rFonts w:eastAsia="Times New Roman" w:cs="Segoe UI"/>
          <w:color w:val="212529"/>
          <w:sz w:val="24"/>
          <w:szCs w:val="24"/>
          <w:lang w:eastAsia="en-GB"/>
        </w:rPr>
      </w:pPr>
      <w:r w:rsidRPr="00A74BD1">
        <w:rPr>
          <w:rFonts w:eastAsia="Times New Roman" w:cs="Segoe UI"/>
          <w:color w:val="212529"/>
          <w:sz w:val="24"/>
          <w:szCs w:val="24"/>
          <w:lang w:eastAsia="en-GB"/>
        </w:rPr>
        <w:t>Strategic management which is an essential componential part of the TQM philosophy is defined by Bryson (1998, p. 26) as “a discipline effort to produce fundamental decisions and actions shaping the nature and direction of an organisation’s activities within legal bounds”.</w:t>
      </w:r>
    </w:p>
    <w:p w:rsidR="0046364B" w:rsidRPr="006A706C" w:rsidRDefault="00D24A60" w:rsidP="0046364B">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(16) </w:t>
      </w:r>
      <w:r w:rsidR="0046364B" w:rsidRPr="006A706C">
        <w:rPr>
          <w:rFonts w:eastAsia="Times New Roman" w:cs="Segoe UI"/>
          <w:b/>
          <w:color w:val="FF0000"/>
          <w:kern w:val="36"/>
          <w:sz w:val="24"/>
          <w:szCs w:val="24"/>
          <w:lang w:eastAsia="en-GB"/>
        </w:rPr>
        <w:t>Information systems dissertation introduction example</w:t>
      </w:r>
    </w:p>
    <w:p w:rsidR="0046364B" w:rsidRPr="006A706C" w:rsidRDefault="0046364B" w:rsidP="006A706C">
      <w:pPr>
        <w:shd w:val="clear" w:color="auto" w:fill="FFFFFF"/>
        <w:spacing w:after="100" w:afterAutospacing="1" w:line="240" w:lineRule="auto"/>
        <w:jc w:val="both"/>
        <w:outlineLvl w:val="1"/>
        <w:rPr>
          <w:rFonts w:eastAsia="Times New Roman" w:cs="Segoe UI"/>
          <w:color w:val="212529"/>
          <w:sz w:val="24"/>
          <w:szCs w:val="24"/>
          <w:lang w:eastAsia="en-GB"/>
        </w:rPr>
      </w:pPr>
      <w:r w:rsidRPr="006A706C">
        <w:rPr>
          <w:rFonts w:eastAsia="Times New Roman" w:cs="Segoe UI"/>
          <w:color w:val="212529"/>
          <w:sz w:val="24"/>
          <w:szCs w:val="24"/>
          <w:lang w:eastAsia="en-GB"/>
        </w:rPr>
        <w:t>Chapter One</w:t>
      </w:r>
    </w:p>
    <w:p w:rsidR="0046364B" w:rsidRPr="006A706C" w:rsidRDefault="0046364B" w:rsidP="006A706C">
      <w:pPr>
        <w:shd w:val="clear" w:color="auto" w:fill="FFFFFF"/>
        <w:spacing w:after="100" w:afterAutospacing="1" w:line="240" w:lineRule="auto"/>
        <w:jc w:val="both"/>
        <w:outlineLvl w:val="2"/>
        <w:rPr>
          <w:rFonts w:eastAsia="Times New Roman" w:cs="Segoe UI"/>
          <w:color w:val="212529"/>
          <w:sz w:val="24"/>
          <w:szCs w:val="24"/>
          <w:lang w:eastAsia="en-GB"/>
        </w:rPr>
      </w:pPr>
      <w:r w:rsidRPr="006A706C">
        <w:rPr>
          <w:rFonts w:eastAsia="Times New Roman" w:cs="Segoe UI"/>
          <w:color w:val="212529"/>
          <w:sz w:val="24"/>
          <w:szCs w:val="24"/>
          <w:lang w:eastAsia="en-GB"/>
        </w:rPr>
        <w:t>INTRODUCTION</w:t>
      </w:r>
    </w:p>
    <w:p w:rsidR="0046364B" w:rsidRPr="006A706C" w:rsidRDefault="0046364B" w:rsidP="006A706C">
      <w:pPr>
        <w:shd w:val="clear" w:color="auto" w:fill="FFFFFF"/>
        <w:spacing w:after="100" w:afterAutospacing="1" w:line="240" w:lineRule="auto"/>
        <w:jc w:val="both"/>
        <w:outlineLvl w:val="3"/>
        <w:rPr>
          <w:rFonts w:eastAsia="Times New Roman" w:cs="Segoe UI"/>
          <w:color w:val="212529"/>
          <w:sz w:val="24"/>
          <w:szCs w:val="24"/>
          <w:lang w:eastAsia="en-GB"/>
        </w:rPr>
      </w:pPr>
      <w:r w:rsidRPr="006A706C">
        <w:rPr>
          <w:rFonts w:eastAsia="Times New Roman" w:cs="Segoe UI"/>
          <w:color w:val="212529"/>
          <w:sz w:val="24"/>
          <w:szCs w:val="24"/>
          <w:lang w:eastAsia="en-GB"/>
        </w:rPr>
        <w:t>1.0 Introduction to research background</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This chapter will provide the background for the research to be conducted highlighting the problems, aims and objectives, research overview with the research questions, proposed methodologies and the structure of the final report of the research to be conducted.</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E-learning is one of the fastest growing technologies. The educational institutes and business organizations are utilizing the potentiality of growing technological opportunities to achieve their organizational goals being more competitive. Each institute or organization has adopted individual technological tools. To support learning and teaching, University of Huddersfield has implemented Blackboard Learning System as a tool to support e-learning and enhance traditional learning. Often e-learning is strongly connected with Virtual Learning Environments (VLE) developed as part of e-learning development process.</w:t>
      </w:r>
    </w:p>
    <w:p w:rsidR="0046364B" w:rsidRPr="006A706C" w:rsidRDefault="0046364B" w:rsidP="006A706C">
      <w:pPr>
        <w:shd w:val="clear" w:color="auto" w:fill="FFFFFF"/>
        <w:spacing w:after="100" w:afterAutospacing="1" w:line="240" w:lineRule="auto"/>
        <w:jc w:val="both"/>
        <w:outlineLvl w:val="3"/>
        <w:rPr>
          <w:rFonts w:eastAsia="Times New Roman" w:cs="Segoe UI"/>
          <w:color w:val="212529"/>
          <w:sz w:val="24"/>
          <w:szCs w:val="24"/>
          <w:lang w:eastAsia="en-GB"/>
        </w:rPr>
      </w:pPr>
      <w:r w:rsidRPr="006A706C">
        <w:rPr>
          <w:rFonts w:eastAsia="Times New Roman" w:cs="Segoe UI"/>
          <w:color w:val="212529"/>
          <w:sz w:val="24"/>
          <w:szCs w:val="24"/>
          <w:lang w:eastAsia="en-GB"/>
        </w:rPr>
        <w:t>1.1 Problem Statement</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University of Huddersfield has implemented e-learning technology Blackboard Learning System as its Virtual Learning Environment (VLE). This has allowed students and staff to access the course materials and the required academic information using the internet. However, very less attempts have been made to evaluate the effectiveness of the implementation of the Blackboard at University of Huddersfield. The University of Huddersfield was one of the oldest institutions to adopt the e-learning technologies and it can be considered as the first institution to use Blackboard Learning system in the United Kingdom. University of Huddersfield (2008).</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University has planned and developed a strategy for implementing e-learning with the use of latest technologies. This has been planned in order to support student learning experience making basis of sound pedagogical values and principles. The university’s vision about its e-learning strategy as a supporting technological tool rather than replacing the whole technology. To what extent, the implementation of Blackboard Learning System as a Virtual Learning Environment has been successful? What are the achievement rates of learning using them locally, nationally and internationally? How do students perceive about learning using VLEs? How do tutors perceive using VLE’s in designing and delivering the course material? These questions are keys for the further developed and should be critically examined and findings upon them should be analyzed and evaluated.</w:t>
      </w:r>
    </w:p>
    <w:p w:rsidR="0046364B" w:rsidRPr="006A706C" w:rsidRDefault="0046364B" w:rsidP="006A706C">
      <w:pPr>
        <w:shd w:val="clear" w:color="auto" w:fill="FFFFFF"/>
        <w:spacing w:after="100" w:afterAutospacing="1" w:line="240" w:lineRule="auto"/>
        <w:jc w:val="both"/>
        <w:outlineLvl w:val="3"/>
        <w:rPr>
          <w:rFonts w:eastAsia="Times New Roman" w:cs="Segoe UI"/>
          <w:color w:val="212529"/>
          <w:sz w:val="24"/>
          <w:szCs w:val="24"/>
          <w:lang w:eastAsia="en-GB"/>
        </w:rPr>
      </w:pPr>
      <w:r w:rsidRPr="006A706C">
        <w:rPr>
          <w:rFonts w:eastAsia="Times New Roman" w:cs="Segoe UI"/>
          <w:color w:val="212529"/>
          <w:sz w:val="24"/>
          <w:szCs w:val="24"/>
          <w:lang w:eastAsia="en-GB"/>
        </w:rPr>
        <w:t>1.2 Description of Client and its Strategy</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Figure 1.1: “An e-learning strategy for the University of Huddersfield 2008-2013” (University of Huddersfield, 2008)</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The University of Huddersfield has developed its Teaching and Learning Strategy with a vision as follows: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“Teaching and learning will be part of making Huddersfield an inspiring, innovative University of international renown.”</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It has set its aims as “to deliver inspirational teaching and learning, to provide opportunities for all who can benefit and to produce employable and enterprising graduates.” University of Huddersfield (2011). It has focused in aiming to implement “highly distinctive professionally-oriented practice and research-based teaching and learning, supportive and accessible to all who can benefit, and complementary to the Research and Enterprise agenda, ensuring innovation and inspiration in the student experience, student satisfaction, and positive career outcomes.”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(University of Huddersfield, 2011)</w:t>
      </w:r>
    </w:p>
    <w:p w:rsidR="0046364B" w:rsidRPr="006A706C" w:rsidRDefault="0046364B" w:rsidP="006A706C">
      <w:pPr>
        <w:shd w:val="clear" w:color="auto" w:fill="FFFFFF"/>
        <w:spacing w:after="100" w:afterAutospacing="1" w:line="240" w:lineRule="auto"/>
        <w:jc w:val="both"/>
        <w:rPr>
          <w:rFonts w:eastAsia="Times New Roman" w:cs="Segoe UI"/>
          <w:sz w:val="24"/>
          <w:szCs w:val="24"/>
          <w:lang w:eastAsia="en-GB"/>
        </w:rPr>
      </w:pPr>
      <w:r w:rsidRPr="006A706C">
        <w:rPr>
          <w:rFonts w:eastAsia="Times New Roman" w:cs="Segoe UI"/>
          <w:color w:val="212529"/>
          <w:sz w:val="24"/>
          <w:szCs w:val="24"/>
          <w:lang w:eastAsia="en-GB"/>
        </w:rPr>
        <w:t>Teaching and learning is the key role of any university and being innovative, inspiring and making the University of Hudderfield known internationally has been the vision of the university. To be able to give right and consistent direction to its vision, the quality should be maintained. Quality can be achieved by constant evaluation and review and improvement on the services and products. Total Quality Management (TQM) is one of the key subject area in the field of management which is often highly focused by each organization whether it may be related to sell any products or providing services in educational area. Stakeholders of the business are also interested in measuring the performance using key performance indicator (KPI) which are related to critical success factors (CSFs). Hence, research in evaluating e-learning technologies with the evaluation of Blackboard can help find its effectiveness to assist the management, all the faculties or departments using e-learning for teaching and learning and rest of the stakeholders to make the right decisions.</w:t>
      </w:r>
      <w:r w:rsidR="006A706C" w:rsidRPr="006A706C">
        <w:rPr>
          <w:rFonts w:eastAsia="Times New Roman" w:cs="Segoe UI"/>
          <w:sz w:val="24"/>
          <w:szCs w:val="24"/>
          <w:lang w:eastAsia="en-GB"/>
        </w:rPr>
        <w:t xml:space="preserve"> </w:t>
      </w:r>
    </w:p>
    <w:p w:rsidR="0046364B" w:rsidRPr="006A706C" w:rsidRDefault="0046364B" w:rsidP="006A706C">
      <w:pPr>
        <w:shd w:val="clear" w:color="auto" w:fill="FFFFFF"/>
        <w:spacing w:after="100" w:afterAutospacing="1" w:line="240" w:lineRule="auto"/>
        <w:jc w:val="both"/>
        <w:outlineLvl w:val="3"/>
        <w:rPr>
          <w:rFonts w:eastAsia="Times New Roman" w:cs="Segoe UI"/>
          <w:color w:val="212529"/>
          <w:sz w:val="24"/>
          <w:szCs w:val="24"/>
          <w:lang w:eastAsia="en-GB"/>
        </w:rPr>
      </w:pPr>
      <w:r w:rsidRPr="006A706C">
        <w:rPr>
          <w:rFonts w:eastAsia="Times New Roman" w:cs="Segoe UI"/>
          <w:color w:val="212529"/>
          <w:sz w:val="24"/>
          <w:szCs w:val="24"/>
          <w:lang w:eastAsia="en-GB"/>
        </w:rPr>
        <w:t>1.3 Research Overview</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In the past 15 years, University of Huddersfield has developed its e-learning infrastructure with the use of current technology. Blackboard Learning System has been widely used by the students and teachers. There are other existing systems in different area of e-learning. It is essential to that review of this system is needed to find out how effective it is compared to traditional system. The key research questions for this project will as follows: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I. To what extent Blackboard as an e-learning tool has helped to improve students’ learning?</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II. To what extent Blackboard as an e-learning tool has helped to improve teaching?</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III. To what extent Blackboard relate to the traditional learning approaches, theories and model?</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IV. How can pedagogical pattern be improved with the use of Blackboard as e-learning tool using Web 2.0 tools?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Research Question 1(RQ1): How has it helped in pedagogy?</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Research Question 2(RQ2): Has it improved the distance learning system and blended system?</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Research Question 3(RQ3): How satisfied are the students and teacher using this kind of technology?</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Research Question 4(RQ4): What are the challenges remaining?</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Research Question 5(RQ5): What are the main current debates in the use of Virtual Learning Environment?</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Research Question 6(RQ6): What recommendations can be made for improving teaching and learning using Blackboard Learning System at University of Huddersfield?</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A thorough research will be carried out to answer these questions. The main purpose of this research is to identify them and to explore the relationship between the learning model and Blackboard learning system in evaluating its effectiveness at University of Huddersfield.</w:t>
      </w:r>
    </w:p>
    <w:p w:rsidR="0046364B" w:rsidRPr="006A706C" w:rsidRDefault="0046364B" w:rsidP="006A706C">
      <w:pPr>
        <w:shd w:val="clear" w:color="auto" w:fill="FFFFFF"/>
        <w:spacing w:after="100" w:afterAutospacing="1" w:line="240" w:lineRule="auto"/>
        <w:jc w:val="both"/>
        <w:outlineLvl w:val="3"/>
        <w:rPr>
          <w:rFonts w:eastAsia="Times New Roman" w:cs="Segoe UI"/>
          <w:color w:val="212529"/>
          <w:sz w:val="24"/>
          <w:szCs w:val="24"/>
          <w:lang w:eastAsia="en-GB"/>
        </w:rPr>
      </w:pPr>
      <w:r w:rsidRPr="006A706C">
        <w:rPr>
          <w:rFonts w:eastAsia="Times New Roman" w:cs="Segoe UI"/>
          <w:color w:val="212529"/>
          <w:sz w:val="24"/>
          <w:szCs w:val="24"/>
          <w:lang w:eastAsia="en-GB"/>
        </w:rPr>
        <w:t>1.4 Aims and Objectives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The main aim of my project is to evaluate critically the effectiveness of the implementation Blackboard Learning system as a tool for e-learning and provide recommendations to the management board of university of Huddersfield. The different areas of e-learning will be identified. The related theories and principles associated with the implementation of e-learning technologies will be used for evaluation. The effectiveness will be evaluated to find the following the following research questions.</w:t>
      </w:r>
    </w:p>
    <w:p w:rsidR="0046364B" w:rsidRPr="006A706C" w:rsidRDefault="0046364B" w:rsidP="006A706C">
      <w:pPr>
        <w:shd w:val="clear" w:color="auto" w:fill="FFFFFF"/>
        <w:spacing w:after="100" w:afterAutospacing="1" w:line="240" w:lineRule="auto"/>
        <w:jc w:val="both"/>
        <w:outlineLvl w:val="4"/>
        <w:rPr>
          <w:rFonts w:eastAsia="Times New Roman" w:cs="Segoe UI"/>
          <w:color w:val="212529"/>
          <w:sz w:val="24"/>
          <w:szCs w:val="24"/>
          <w:lang w:eastAsia="en-GB"/>
        </w:rPr>
      </w:pPr>
      <w:r w:rsidRPr="006A706C">
        <w:rPr>
          <w:rFonts w:eastAsia="Times New Roman" w:cs="Segoe UI"/>
          <w:color w:val="212529"/>
          <w:sz w:val="24"/>
          <w:szCs w:val="24"/>
          <w:lang w:eastAsia="en-GB"/>
        </w:rPr>
        <w:t>1.4.1 Aims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evaluate and analyse to what extent e-learning technologies such as use of Blackboard System has been effective from teaching, learning, administrative and social point of view among the different mode of teaching such as Distance Learning, Collaborative Learning and Blended Learning at University of Huddersfield in the past 15 years.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develop newer approach which can help improve the learning and teaching strategies at University of Huddersfield.</w:t>
      </w:r>
    </w:p>
    <w:p w:rsidR="0046364B" w:rsidRPr="006A706C" w:rsidRDefault="0046364B" w:rsidP="006A706C">
      <w:pPr>
        <w:shd w:val="clear" w:color="auto" w:fill="FFFFFF"/>
        <w:spacing w:after="100" w:afterAutospacing="1" w:line="240" w:lineRule="auto"/>
        <w:jc w:val="both"/>
        <w:outlineLvl w:val="4"/>
        <w:rPr>
          <w:rFonts w:eastAsia="Times New Roman" w:cs="Segoe UI"/>
          <w:color w:val="212529"/>
          <w:sz w:val="24"/>
          <w:szCs w:val="24"/>
          <w:lang w:eastAsia="en-GB"/>
        </w:rPr>
      </w:pPr>
      <w:r w:rsidRPr="006A706C">
        <w:rPr>
          <w:rFonts w:eastAsia="Times New Roman" w:cs="Segoe UI"/>
          <w:color w:val="212529"/>
          <w:sz w:val="24"/>
          <w:szCs w:val="24"/>
          <w:lang w:eastAsia="en-GB"/>
        </w:rPr>
        <w:t>1.3.2 Objectives</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Figure 1.2: Mind Map of the Objectives</w:t>
      </w:r>
    </w:p>
    <w:p w:rsidR="0046364B" w:rsidRPr="006A706C" w:rsidRDefault="0046364B" w:rsidP="006A706C">
      <w:pPr>
        <w:numPr>
          <w:ilvl w:val="0"/>
          <w:numId w:val="4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explore into the different aspects of e-learning including the learning theories, approaches and the models and different models of learning.</w:t>
      </w:r>
    </w:p>
    <w:p w:rsidR="0046364B" w:rsidRPr="006A706C" w:rsidRDefault="0046364B" w:rsidP="006A706C">
      <w:pPr>
        <w:numPr>
          <w:ilvl w:val="0"/>
          <w:numId w:val="4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review briefly the current situation of e-learning technologies for Higher Education in UK.</w:t>
      </w:r>
    </w:p>
    <w:p w:rsidR="0046364B" w:rsidRPr="006A706C" w:rsidRDefault="0046364B" w:rsidP="006A706C">
      <w:pPr>
        <w:numPr>
          <w:ilvl w:val="0"/>
          <w:numId w:val="4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relate Blackboard Learning System as an e-learning tool supporting in different stages of learning.</w:t>
      </w:r>
    </w:p>
    <w:p w:rsidR="0046364B" w:rsidRPr="006A706C" w:rsidRDefault="0046364B" w:rsidP="006A706C">
      <w:pPr>
        <w:numPr>
          <w:ilvl w:val="0"/>
          <w:numId w:val="4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identify and explore students perception about learning using Blackboard Learning System at University of Huddersfield.</w:t>
      </w:r>
    </w:p>
    <w:p w:rsidR="0046364B" w:rsidRPr="006A706C" w:rsidRDefault="0046364B" w:rsidP="006A706C">
      <w:pPr>
        <w:numPr>
          <w:ilvl w:val="0"/>
          <w:numId w:val="4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explore and evaluate Blackboard Learning System from teaching point of view.</w:t>
      </w:r>
    </w:p>
    <w:p w:rsidR="0046364B" w:rsidRPr="006A706C" w:rsidRDefault="0046364B" w:rsidP="006A706C">
      <w:pPr>
        <w:numPr>
          <w:ilvl w:val="0"/>
          <w:numId w:val="4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determine whether the quality of the learning and teaching has been enhanced using Blackboard Learning System.</w:t>
      </w:r>
    </w:p>
    <w:p w:rsidR="0046364B" w:rsidRPr="006A706C" w:rsidRDefault="0046364B" w:rsidP="006A706C">
      <w:pPr>
        <w:numPr>
          <w:ilvl w:val="0"/>
          <w:numId w:val="41"/>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To provide recommendations on improving teaching and learning using Blackboard System as a tool in e-Learning at University of Huddersfield.</w:t>
      </w:r>
    </w:p>
    <w:p w:rsidR="0046364B" w:rsidRPr="006A706C" w:rsidRDefault="0046364B" w:rsidP="006A706C">
      <w:pPr>
        <w:shd w:val="clear" w:color="auto" w:fill="FFFFFF"/>
        <w:spacing w:after="100" w:afterAutospacing="1" w:line="240" w:lineRule="auto"/>
        <w:jc w:val="both"/>
        <w:outlineLvl w:val="3"/>
        <w:rPr>
          <w:rFonts w:eastAsia="Times New Roman" w:cs="Segoe UI"/>
          <w:color w:val="212529"/>
          <w:sz w:val="24"/>
          <w:szCs w:val="24"/>
          <w:lang w:eastAsia="en-GB"/>
        </w:rPr>
      </w:pPr>
      <w:r w:rsidRPr="006A706C">
        <w:rPr>
          <w:rFonts w:eastAsia="Times New Roman" w:cs="Segoe UI"/>
          <w:color w:val="212529"/>
          <w:sz w:val="24"/>
          <w:szCs w:val="24"/>
          <w:lang w:eastAsia="en-GB"/>
        </w:rPr>
        <w:t>1.6 Structure of Report</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The report is structured providing different chapter headings which have been clearly separated. The report has the following Chapters:</w:t>
      </w:r>
    </w:p>
    <w:p w:rsidR="0046364B" w:rsidRPr="006A706C" w:rsidRDefault="0046364B" w:rsidP="006A706C">
      <w:pPr>
        <w:numPr>
          <w:ilvl w:val="0"/>
          <w:numId w:val="4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Chapter 1 gives the introduction of the problem, client description, aims and objectives of the problems. It is very important to find out the research problems in advance with clarity.</w:t>
      </w:r>
    </w:p>
    <w:p w:rsidR="0046364B" w:rsidRPr="006A706C" w:rsidRDefault="0046364B" w:rsidP="006A706C">
      <w:pPr>
        <w:numPr>
          <w:ilvl w:val="0"/>
          <w:numId w:val="4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Chapter 2 discusses the literature available in the chosen research field with similar works and research carried out in the past.</w:t>
      </w:r>
    </w:p>
    <w:p w:rsidR="0046364B" w:rsidRPr="006A706C" w:rsidRDefault="0046364B" w:rsidP="006A706C">
      <w:pPr>
        <w:numPr>
          <w:ilvl w:val="0"/>
          <w:numId w:val="4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Chapter 3 provides the overview of the methodology proposed and used for the research undertaken.</w:t>
      </w:r>
    </w:p>
    <w:p w:rsidR="0046364B" w:rsidRPr="006A706C" w:rsidRDefault="0046364B" w:rsidP="006A706C">
      <w:pPr>
        <w:numPr>
          <w:ilvl w:val="0"/>
          <w:numId w:val="4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Chapter 4 provides the findings of the data collected based on the methodology proposed on Chap 3.</w:t>
      </w:r>
    </w:p>
    <w:p w:rsidR="0046364B" w:rsidRPr="006A706C" w:rsidRDefault="0046364B" w:rsidP="006A706C">
      <w:pPr>
        <w:numPr>
          <w:ilvl w:val="0"/>
          <w:numId w:val="4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Chapter 5 presents the evaluation of the findings gathered and discussed in Chap 4. The evaluation will be based on the consistency, coherency, criticality, and contemporarily characteristics.</w:t>
      </w:r>
    </w:p>
    <w:p w:rsidR="0046364B" w:rsidRPr="006A706C" w:rsidRDefault="0046364B" w:rsidP="006A706C">
      <w:pPr>
        <w:numPr>
          <w:ilvl w:val="0"/>
          <w:numId w:val="4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Chapter 6 discusses the issues encountered in the professional and ethical practice while carrying the research.</w:t>
      </w:r>
    </w:p>
    <w:p w:rsidR="0046364B" w:rsidRPr="006A706C" w:rsidRDefault="0046364B" w:rsidP="006A706C">
      <w:pPr>
        <w:numPr>
          <w:ilvl w:val="0"/>
          <w:numId w:val="42"/>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Chapter 7 consists of the recommendations, future work in evaluating e-learning technologies which can be considered by future researchers to work with. It also provides the concluding summary.</w:t>
      </w:r>
    </w:p>
    <w:p w:rsidR="0046364B" w:rsidRPr="006A706C" w:rsidRDefault="0046364B" w:rsidP="006A706C">
      <w:pPr>
        <w:shd w:val="clear" w:color="auto" w:fill="FFFFFF"/>
        <w:spacing w:after="100" w:afterAutospacing="1" w:line="240" w:lineRule="auto"/>
        <w:jc w:val="both"/>
        <w:outlineLvl w:val="3"/>
        <w:rPr>
          <w:rFonts w:eastAsia="Times New Roman" w:cs="Segoe UI"/>
          <w:color w:val="212529"/>
          <w:sz w:val="24"/>
          <w:szCs w:val="24"/>
          <w:lang w:eastAsia="en-GB"/>
        </w:rPr>
      </w:pPr>
      <w:r w:rsidRPr="006A706C">
        <w:rPr>
          <w:rFonts w:eastAsia="Times New Roman" w:cs="Segoe UI"/>
          <w:color w:val="212529"/>
          <w:sz w:val="24"/>
          <w:szCs w:val="24"/>
          <w:lang w:eastAsia="en-GB"/>
        </w:rPr>
        <w:t>1.7 Scope of the Research Project</w:t>
      </w:r>
    </w:p>
    <w:p w:rsidR="0046364B" w:rsidRPr="006A706C" w:rsidRDefault="0046364B" w:rsidP="006A706C">
      <w:pPr>
        <w:shd w:val="clear" w:color="auto" w:fill="FFFFFF"/>
        <w:spacing w:after="100" w:afterAutospacing="1" w:line="240" w:lineRule="auto"/>
        <w:jc w:val="both"/>
        <w:rPr>
          <w:rFonts w:eastAsia="Times New Roman" w:cs="Segoe UI"/>
          <w:color w:val="212529"/>
          <w:sz w:val="24"/>
          <w:szCs w:val="24"/>
          <w:lang w:eastAsia="en-GB"/>
        </w:rPr>
      </w:pPr>
      <w:r w:rsidRPr="006A706C">
        <w:rPr>
          <w:rFonts w:eastAsia="Times New Roman" w:cs="Segoe UI"/>
          <w:color w:val="212529"/>
          <w:sz w:val="24"/>
          <w:szCs w:val="24"/>
          <w:lang w:eastAsia="en-GB"/>
        </w:rPr>
        <w:t>There are several aspects that are interrelated to the topic chosen.</w:t>
      </w:r>
    </w:p>
    <w:p w:rsidR="00921A7C" w:rsidRPr="00F424F2" w:rsidRDefault="00D24A60" w:rsidP="00921A7C">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(17) </w:t>
      </w:r>
      <w:r w:rsidR="00921A7C" w:rsidRPr="00F424F2">
        <w:rPr>
          <w:rFonts w:eastAsia="Times New Roman" w:cs="Segoe UI"/>
          <w:b/>
          <w:color w:val="FF0000"/>
          <w:kern w:val="36"/>
          <w:sz w:val="24"/>
          <w:szCs w:val="24"/>
          <w:lang w:eastAsia="en-GB"/>
        </w:rPr>
        <w:t>Impact of Implementing the IT System</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This dissertation project is based on the implementation of a new IT system known as ‘XXX’ in ABC Ltd. a leading bank in Sri Lanka. The department in which this dissertation is based on is the Fund Administration department, which is involved in carrying out daily reconciliation packs of various financial instruments. This is somewhat of a professional service offered by the bank to its clients.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The system which is to be implemented is a tailor made software which compliments the activities carried out by a fund administrator in ABC Ltd.</w:t>
      </w:r>
    </w:p>
    <w:p w:rsidR="00921A7C" w:rsidRPr="00F424F2" w:rsidRDefault="00C6330A" w:rsidP="00F424F2">
      <w:pPr>
        <w:shd w:val="clear" w:color="auto" w:fill="FFFFFF"/>
        <w:spacing w:after="100" w:afterAutospacing="1" w:line="240" w:lineRule="auto"/>
        <w:jc w:val="both"/>
        <w:rPr>
          <w:rFonts w:eastAsia="Times New Roman" w:cs="Segoe UI"/>
          <w:color w:val="212529"/>
          <w:sz w:val="24"/>
          <w:szCs w:val="24"/>
          <w:lang w:eastAsia="en-GB"/>
        </w:rPr>
      </w:pPr>
      <w:r w:rsidRPr="00C6330A">
        <w:rPr>
          <w:rFonts w:eastAsia="Times New Roman" w:cs="Segoe UI"/>
          <w:b/>
          <w:color w:val="FF0000"/>
          <w:sz w:val="32"/>
          <w:szCs w:val="24"/>
          <w:lang w:eastAsia="en-GB"/>
        </w:rPr>
        <w:t>THE PURPOSE</w:t>
      </w:r>
      <w:r w:rsidR="00921A7C" w:rsidRPr="00F424F2">
        <w:rPr>
          <w:rFonts w:eastAsia="Times New Roman" w:cs="Segoe UI"/>
          <w:color w:val="212529"/>
          <w:sz w:val="24"/>
          <w:szCs w:val="24"/>
          <w:lang w:eastAsia="en-GB"/>
        </w:rPr>
        <w:t xml:space="preserve"> of implementing such a system is to replace the current operating process, which is based on Microsoft Office applications, to a more customized system. The new system will allow employees to gather computer generated reports rather than the previous macro driven systems.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The contributing factor behind the implementation of the new IT system within ABC Ltd. is purely to be in par with changing technology and to enhance the existing system to maximize productivity and efficiency. Resulting in higher quality and accuracy.</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Understanding change and change management is a key factor for successful execution. Therefore this project is of great use to the author’s organization in order to evaluate how change should be understood and managed to achieve successful results and overcome any possible bottlenecks along the process.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1.1 Objectives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Identify and explain the process of change when introducing a new IT system.</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Define what is ‘change’, ‘change management’</w:t>
      </w:r>
      <w:r w:rsidR="00F424F2">
        <w:rPr>
          <w:rFonts w:eastAsia="Times New Roman" w:cs="Segoe UI"/>
          <w:color w:val="212529"/>
          <w:sz w:val="24"/>
          <w:szCs w:val="24"/>
          <w:lang w:eastAsia="en-GB"/>
        </w:rPr>
        <w:t>,</w:t>
      </w:r>
      <w:r w:rsidRPr="00F424F2">
        <w:rPr>
          <w:rFonts w:eastAsia="Times New Roman" w:cs="Segoe UI"/>
          <w:color w:val="212529"/>
          <w:sz w:val="24"/>
          <w:szCs w:val="24"/>
          <w:lang w:eastAsia="en-GB"/>
        </w:rPr>
        <w:t xml:space="preserve"> and various change management models through a range of academic &amp; practitioner literature.</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Recognize the link between change and organizational culture.</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Undertake primary research by means of interviews and questionnaires to gain qualitative data relating to the introduction of the new IT system ‘XXX’.</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Finally to include recommendations and conclusions in order to identify how best change can be managed and executed in ABC Ltd.</w:t>
      </w:r>
    </w:p>
    <w:p w:rsidR="00921A7C" w:rsidRPr="00F424F2" w:rsidRDefault="00921A7C" w:rsidP="00F424F2">
      <w:pPr>
        <w:shd w:val="clear" w:color="auto" w:fill="FFFFFF"/>
        <w:spacing w:after="100" w:afterAutospacing="1" w:line="240" w:lineRule="auto"/>
        <w:jc w:val="both"/>
        <w:outlineLvl w:val="1"/>
        <w:rPr>
          <w:rFonts w:eastAsia="Times New Roman" w:cs="Segoe UI"/>
          <w:color w:val="212529"/>
          <w:sz w:val="24"/>
          <w:szCs w:val="24"/>
          <w:lang w:eastAsia="en-GB"/>
        </w:rPr>
      </w:pPr>
      <w:r w:rsidRPr="00F424F2">
        <w:rPr>
          <w:rFonts w:eastAsia="Times New Roman" w:cs="Segoe UI"/>
          <w:color w:val="212529"/>
          <w:sz w:val="24"/>
          <w:szCs w:val="24"/>
          <w:lang w:eastAsia="en-GB"/>
        </w:rPr>
        <w:t>2.0 The theoretical perspective</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2.1 Literature Review</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The main analysis of the author’s dissertation aims to understand what is change and change management</w:t>
      </w:r>
      <w:r w:rsidR="00EB157E">
        <w:rPr>
          <w:rFonts w:eastAsia="Times New Roman" w:cs="Segoe UI"/>
          <w:color w:val="212529"/>
          <w:sz w:val="24"/>
          <w:szCs w:val="24"/>
          <w:lang w:eastAsia="en-GB"/>
        </w:rPr>
        <w:t>?</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When considering change, Adams (2006,</w:t>
      </w:r>
      <w:r w:rsidR="00EB157E">
        <w:rPr>
          <w:rFonts w:eastAsia="Times New Roman" w:cs="Segoe UI"/>
          <w:color w:val="212529"/>
          <w:sz w:val="24"/>
          <w:szCs w:val="24"/>
          <w:lang w:eastAsia="en-GB"/>
        </w:rPr>
        <w:t xml:space="preserve"> </w:t>
      </w:r>
      <w:r w:rsidRPr="00F424F2">
        <w:rPr>
          <w:rFonts w:eastAsia="Times New Roman" w:cs="Segoe UI"/>
          <w:color w:val="212529"/>
          <w:sz w:val="24"/>
          <w:szCs w:val="24"/>
          <w:lang w:eastAsia="en-GB"/>
        </w:rPr>
        <w:t xml:space="preserve">p.36) states, </w:t>
      </w:r>
      <w:proofErr w:type="gramStart"/>
      <w:r w:rsidRPr="00F424F2">
        <w:rPr>
          <w:rFonts w:eastAsia="Times New Roman" w:cs="Segoe UI"/>
          <w:color w:val="212529"/>
          <w:sz w:val="24"/>
          <w:szCs w:val="24"/>
          <w:lang w:eastAsia="en-GB"/>
        </w:rPr>
        <w:t>“ We</w:t>
      </w:r>
      <w:proofErr w:type="gramEnd"/>
      <w:r w:rsidRPr="00F424F2">
        <w:rPr>
          <w:rFonts w:eastAsia="Times New Roman" w:cs="Segoe UI"/>
          <w:color w:val="212529"/>
          <w:sz w:val="24"/>
          <w:szCs w:val="24"/>
          <w:lang w:eastAsia="en-GB"/>
        </w:rPr>
        <w:t xml:space="preserve"> are creatures of habit. We like predictability. Change means breaking habits. It means a permanent breach with the old routine”.</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In order to encounter better results it is said that one must, at an individual level be willing to change oneself (Tkachuk, 2003, p.13). Therefore the link between the two statements above is that one must embrace change rather than avoid it.</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In essence to ensure the required change takes place, people should choose to change (Ash, 2009, p.2).</w:t>
      </w:r>
    </w:p>
    <w:p w:rsidR="00921A7C" w:rsidRPr="00F424F2" w:rsidRDefault="00921A7C" w:rsidP="00EB157E">
      <w:pPr>
        <w:shd w:val="clear" w:color="auto" w:fill="FFFFFF"/>
        <w:spacing w:after="100" w:afterAutospacing="1" w:line="240" w:lineRule="auto"/>
        <w:jc w:val="both"/>
        <w:rPr>
          <w:rFonts w:eastAsia="Times New Roman" w:cs="Segoe UI"/>
          <w:sz w:val="24"/>
          <w:szCs w:val="24"/>
          <w:lang w:eastAsia="en-GB"/>
        </w:rPr>
      </w:pPr>
      <w:r w:rsidRPr="00F424F2">
        <w:rPr>
          <w:rFonts w:eastAsia="Times New Roman" w:cs="Segoe UI"/>
          <w:color w:val="212529"/>
          <w:sz w:val="24"/>
          <w:szCs w:val="24"/>
          <w:lang w:eastAsia="en-GB"/>
        </w:rPr>
        <w:t>Another more appropriate way to express the word change and to reflect its meaning in today’s context a review by Liu et al. (2009) states, “Today’s dynamic work environment is witnessing the effects of globalization, technology advances, complex multinational organizations, more borders and company boundaries and other enablers and accelerators of change. No longer will companies have the luxury of expecting day-to-day operations to fall into a predictable pattern that is interrupted only occasionally by short bursts of change. The new normal is continuous change”.</w:t>
      </w:r>
      <w:r w:rsidR="00EB157E" w:rsidRPr="00F424F2">
        <w:rPr>
          <w:rFonts w:eastAsia="Times New Roman" w:cs="Segoe UI"/>
          <w:sz w:val="24"/>
          <w:szCs w:val="24"/>
          <w:lang w:eastAsia="en-GB"/>
        </w:rPr>
        <w:t xml:space="preserve"> </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The above definitions of change form the bas</w:t>
      </w:r>
      <w:r w:rsidR="00EB157E">
        <w:rPr>
          <w:rFonts w:eastAsia="Times New Roman" w:cs="Segoe UI"/>
          <w:color w:val="212529"/>
          <w:sz w:val="24"/>
          <w:szCs w:val="24"/>
          <w:lang w:eastAsia="en-GB"/>
        </w:rPr>
        <w:t xml:space="preserve">is of </w:t>
      </w:r>
      <w:r w:rsidRPr="00F424F2">
        <w:rPr>
          <w:rFonts w:eastAsia="Times New Roman" w:cs="Segoe UI"/>
          <w:color w:val="212529"/>
          <w:sz w:val="24"/>
          <w:szCs w:val="24"/>
          <w:lang w:eastAsia="en-GB"/>
        </w:rPr>
        <w:t>understanding what is change management, accordingly change management can be looked at different perspectives as follows,</w:t>
      </w:r>
    </w:p>
    <w:p w:rsidR="00921A7C" w:rsidRPr="00F424F2" w:rsidRDefault="00EB157E"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Ettore</w:t>
      </w:r>
      <w:r w:rsidR="00921A7C" w:rsidRPr="00F424F2">
        <w:rPr>
          <w:rFonts w:eastAsia="Times New Roman" w:cs="Segoe UI"/>
          <w:color w:val="212529"/>
          <w:sz w:val="24"/>
          <w:szCs w:val="24"/>
          <w:lang w:eastAsia="en-GB"/>
        </w:rPr>
        <w:t xml:space="preserve"> (1999,</w:t>
      </w:r>
      <w:r>
        <w:rPr>
          <w:rFonts w:eastAsia="Times New Roman" w:cs="Segoe UI"/>
          <w:color w:val="212529"/>
          <w:sz w:val="24"/>
          <w:szCs w:val="24"/>
          <w:lang w:eastAsia="en-GB"/>
        </w:rPr>
        <w:t xml:space="preserve"> </w:t>
      </w:r>
      <w:r w:rsidR="00921A7C" w:rsidRPr="00F424F2">
        <w:rPr>
          <w:rFonts w:eastAsia="Times New Roman" w:cs="Segoe UI"/>
          <w:color w:val="212529"/>
          <w:sz w:val="24"/>
          <w:szCs w:val="24"/>
          <w:lang w:eastAsia="en-GB"/>
        </w:rPr>
        <w:t>p.8) described change management as follows; “Real world change management is usually a messy, trial-and-error affair. Managers are beginning to understand that they cannot simply delegate the work of managing change to others. They must become instruments of change themselves, inspiring the troops and becoming deeply involved in the effort”.</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Another similar view was observed by, Liu et al. (2004) “Success at large scale transformation demands more than the best strategic and tactical plans, the traditional focus of senior executives and their advisers. It requires an intimate understanding of the human side, as well as the company’s culture, values, people and behaviours that must be changed to deliver the desired results. Plans themselves do not capture value. Value is realized only through the sustained, collective actions of thousands or tens of thousands of employees who are responsible for designing, executing and living the change”</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A more brief view to understanding what is change management is reflected by the tools techniques and procedures involved to allow an organization to manage the change that affects its employees (people side of change), and by which achieving the desired result (Creasey, 2009).</w:t>
      </w:r>
    </w:p>
    <w:p w:rsidR="00921A7C" w:rsidRPr="00F424F2" w:rsidRDefault="00921A7C" w:rsidP="00F424F2">
      <w:pPr>
        <w:shd w:val="clear" w:color="auto" w:fill="FFFFFF"/>
        <w:spacing w:after="100" w:afterAutospacing="1" w:line="240" w:lineRule="auto"/>
        <w:jc w:val="both"/>
        <w:outlineLvl w:val="1"/>
        <w:rPr>
          <w:rFonts w:eastAsia="Times New Roman" w:cs="Segoe UI"/>
          <w:color w:val="212529"/>
          <w:sz w:val="24"/>
          <w:szCs w:val="24"/>
          <w:lang w:eastAsia="en-GB"/>
        </w:rPr>
      </w:pPr>
      <w:r w:rsidRPr="00F424F2">
        <w:rPr>
          <w:rFonts w:eastAsia="Times New Roman" w:cs="Segoe UI"/>
          <w:color w:val="212529"/>
          <w:sz w:val="24"/>
          <w:szCs w:val="24"/>
          <w:lang w:eastAsia="en-GB"/>
        </w:rPr>
        <w:t>3.0 Research Methodology</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3.1 objectives of the research</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The two main research methods under consideration is qualitative &amp; quantitative research. The objective of carrying out qualitative research is to assess employee attitudes and perceptions with regard to the new system and the change at hand.</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Secondly quantitative research methods would allow the author to gauge quantifiable means of understanding various groups of employees and areas of improvement.</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3.2 Type of research Methods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Qualitative Research Methods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Under qualitative methods the author would consider focus groups, one to one interviews with relevant operational level management, colleagues and peers.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Quantitative Research Methods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More emphasis will be given to questionnaires by means of e-mail.</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3.3 Sampling</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The sampling will consist of employees of ABC Ltd., the current head count stands at 150 staff members within the department. Out of which 135 are fund administrators and the remaining 15 work in the capacity of operational level management and top-level management.</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This sample has been considered because change due to the new system directly affects all staff members of this division (150 staff members). Therefore they are the main element, which this process of change revolves around.</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3.4 Accumulation and interpretation of data</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The method in which the information is to be gathered under the above mentioned qualitative and quantitative methods are as follows,</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Focus groups – A select group of candidates would engage in a sharing of opinions &amp; views, and will be recorded as and when the discussion takes place.</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Questionnaires – A pre-prepared questionnaire will be emailed to random group of individual included in the sample. It would be analyzed thereafter.</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Finally the Recommendations will be given based on the interpretation of the data on the course of action to be taken and the approach to managing change.</w:t>
      </w:r>
    </w:p>
    <w:p w:rsidR="00921A7C" w:rsidRPr="00F424F2" w:rsidRDefault="00921A7C" w:rsidP="00F424F2">
      <w:pPr>
        <w:shd w:val="clear" w:color="auto" w:fill="FFFFFF"/>
        <w:spacing w:after="100" w:afterAutospacing="1" w:line="240" w:lineRule="auto"/>
        <w:jc w:val="both"/>
        <w:outlineLvl w:val="1"/>
        <w:rPr>
          <w:rFonts w:eastAsia="Times New Roman" w:cs="Segoe UI"/>
          <w:color w:val="212529"/>
          <w:sz w:val="24"/>
          <w:szCs w:val="24"/>
          <w:lang w:eastAsia="en-GB"/>
        </w:rPr>
      </w:pPr>
      <w:r w:rsidRPr="00F424F2">
        <w:rPr>
          <w:rFonts w:eastAsia="Times New Roman" w:cs="Segoe UI"/>
          <w:color w:val="212529"/>
          <w:sz w:val="24"/>
          <w:szCs w:val="24"/>
          <w:lang w:eastAsia="en-GB"/>
        </w:rPr>
        <w:t>4.0 Referencing</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Ash, P. (2009) Fast and Effective Change Management. Available at: http://www.adb.org/Documents/Information/Knowledge-Solutions/fast-effective-change-management.pdf (Accessed: 30 December 2010).</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Booz, Allen, Hamilton (2004)</w:t>
      </w:r>
      <w:r w:rsidR="00125CA7">
        <w:rPr>
          <w:rFonts w:eastAsia="Times New Roman" w:cs="Segoe UI"/>
          <w:color w:val="212529"/>
          <w:sz w:val="24"/>
          <w:szCs w:val="24"/>
          <w:lang w:eastAsia="en-GB"/>
        </w:rPr>
        <w:t>.</w:t>
      </w:r>
      <w:r w:rsidRPr="00F424F2">
        <w:rPr>
          <w:rFonts w:eastAsia="Times New Roman" w:cs="Segoe UI"/>
          <w:color w:val="212529"/>
          <w:sz w:val="24"/>
          <w:szCs w:val="24"/>
          <w:lang w:eastAsia="en-GB"/>
        </w:rPr>
        <w:t xml:space="preserve"> Ten guiding principles of change management. Available at: http://www.booz.com/media/file/138137.pdf (Accessed: 15 December 2010).</w:t>
      </w:r>
    </w:p>
    <w:p w:rsidR="00921A7C" w:rsidRPr="00F424F2" w:rsidRDefault="00921A7C" w:rsidP="00F424F2">
      <w:pPr>
        <w:shd w:val="clear" w:color="auto" w:fill="FFFFFF"/>
        <w:spacing w:after="100" w:afterAutospacing="1" w:line="240" w:lineRule="auto"/>
        <w:jc w:val="both"/>
        <w:rPr>
          <w:rFonts w:eastAsia="Times New Roman" w:cs="Segoe UI"/>
          <w:color w:val="212529"/>
          <w:sz w:val="24"/>
          <w:szCs w:val="24"/>
          <w:lang w:eastAsia="en-GB"/>
        </w:rPr>
      </w:pPr>
      <w:r w:rsidRPr="00F424F2">
        <w:rPr>
          <w:rFonts w:eastAsia="Times New Roman" w:cs="Segoe UI"/>
          <w:color w:val="212529"/>
          <w:sz w:val="24"/>
          <w:szCs w:val="24"/>
          <w:lang w:eastAsia="en-GB"/>
        </w:rPr>
        <w:t>Creasey, T. (2009) Prosci: Defining change management. Available at: http://www.change-management.com/Prosci-Defining-Change-Management-2009.pdf (Accessed: 30 December 2010).</w:t>
      </w:r>
    </w:p>
    <w:p w:rsidR="00DB6C6F" w:rsidRPr="00125CA7" w:rsidRDefault="00D24A60" w:rsidP="00DB6C6F">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(18) </w:t>
      </w:r>
      <w:r w:rsidR="00F424F2" w:rsidRPr="00125CA7">
        <w:rPr>
          <w:rFonts w:eastAsia="Times New Roman" w:cs="Segoe UI"/>
          <w:b/>
          <w:color w:val="FF0000"/>
          <w:kern w:val="36"/>
          <w:sz w:val="24"/>
          <w:szCs w:val="24"/>
          <w:lang w:eastAsia="en-GB"/>
        </w:rPr>
        <w:t>E</w:t>
      </w:r>
      <w:r w:rsidR="00DB6C6F" w:rsidRPr="00125CA7">
        <w:rPr>
          <w:rFonts w:eastAsia="Times New Roman" w:cs="Segoe UI"/>
          <w:b/>
          <w:color w:val="FF0000"/>
          <w:kern w:val="36"/>
          <w:sz w:val="24"/>
          <w:szCs w:val="24"/>
          <w:lang w:eastAsia="en-GB"/>
        </w:rPr>
        <w:t>conomics dissertation introduction example</w:t>
      </w:r>
    </w:p>
    <w:p w:rsidR="00DB6C6F" w:rsidRPr="002C157A" w:rsidRDefault="00DB6C6F" w:rsidP="00125CA7">
      <w:pPr>
        <w:shd w:val="clear" w:color="auto" w:fill="FFFFFF"/>
        <w:spacing w:after="100" w:afterAutospacing="1" w:line="240" w:lineRule="auto"/>
        <w:jc w:val="both"/>
        <w:outlineLvl w:val="1"/>
        <w:rPr>
          <w:rFonts w:eastAsia="Times New Roman" w:cs="Segoe UI"/>
          <w:color w:val="212529"/>
          <w:sz w:val="24"/>
          <w:szCs w:val="24"/>
          <w:lang w:eastAsia="en-GB"/>
        </w:rPr>
      </w:pPr>
      <w:r w:rsidRPr="002C157A">
        <w:rPr>
          <w:rFonts w:eastAsia="Times New Roman" w:cs="Segoe UI"/>
          <w:color w:val="212529"/>
          <w:sz w:val="24"/>
          <w:szCs w:val="24"/>
          <w:lang w:eastAsia="en-GB"/>
        </w:rPr>
        <w:t>Chapter 1: Introduction</w:t>
      </w:r>
    </w:p>
    <w:p w:rsidR="00DB6C6F" w:rsidRPr="00125CA7" w:rsidRDefault="00DB6C6F" w:rsidP="00125CA7">
      <w:pPr>
        <w:shd w:val="clear" w:color="auto" w:fill="FFFFFF"/>
        <w:spacing w:after="100" w:afterAutospacing="1" w:line="240" w:lineRule="auto"/>
        <w:jc w:val="both"/>
        <w:outlineLvl w:val="2"/>
        <w:rPr>
          <w:rFonts w:eastAsia="Times New Roman" w:cs="Segoe UI"/>
          <w:color w:val="212529"/>
          <w:sz w:val="27"/>
          <w:szCs w:val="27"/>
          <w:lang w:eastAsia="en-GB"/>
        </w:rPr>
      </w:pPr>
      <w:r w:rsidRPr="00125CA7">
        <w:rPr>
          <w:rFonts w:eastAsia="Times New Roman" w:cs="Segoe UI"/>
          <w:color w:val="212529"/>
          <w:sz w:val="27"/>
          <w:szCs w:val="27"/>
          <w:lang w:eastAsia="en-GB"/>
        </w:rPr>
        <w:t>1.1 Introduction</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color w:val="212529"/>
          <w:sz w:val="24"/>
          <w:szCs w:val="24"/>
          <w:lang w:eastAsia="en-GB"/>
        </w:rPr>
        <w:t>This chapter can be seen as an introductory part of this bachelor thesis, since this chapter introduces the topic of this thesis: innovation. Innovation is an important issue for firm’s growth and competitiveness, and the aim of this thesis is to relate innovation to financial crisis and to discuss how to manage innovation strategy during a downturn. This first chapter gives an introduction and the problem statement together with research questions which will be answered further in this thesis.</w:t>
      </w:r>
    </w:p>
    <w:p w:rsidR="00DB6C6F" w:rsidRPr="00BB5E25" w:rsidRDefault="00DB6C6F" w:rsidP="00125CA7">
      <w:pPr>
        <w:shd w:val="clear" w:color="auto" w:fill="FFFFFF"/>
        <w:spacing w:after="100" w:afterAutospacing="1" w:line="240" w:lineRule="auto"/>
        <w:jc w:val="both"/>
        <w:outlineLvl w:val="2"/>
        <w:rPr>
          <w:rFonts w:eastAsia="Times New Roman" w:cs="Segoe UI"/>
          <w:color w:val="212529"/>
          <w:sz w:val="24"/>
          <w:szCs w:val="24"/>
          <w:lang w:eastAsia="en-GB"/>
        </w:rPr>
      </w:pPr>
      <w:r w:rsidRPr="00BB5E25">
        <w:rPr>
          <w:rFonts w:eastAsia="Times New Roman" w:cs="Segoe UI"/>
          <w:color w:val="212529"/>
          <w:sz w:val="24"/>
          <w:szCs w:val="24"/>
          <w:lang w:eastAsia="en-GB"/>
        </w:rPr>
        <w:t>1.2 Problem Indication</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color w:val="212529"/>
          <w:sz w:val="24"/>
          <w:szCs w:val="24"/>
          <w:lang w:eastAsia="en-GB"/>
        </w:rPr>
        <w:t>The world is fast becoming a complicated place to life. Ages ago we were working on the field and exchanging goods for other goods to survive. Lords, kings and other high class people had the opportunity to get luxury goods due to their position. Industrial revolutions made an end to this way of life. Today we are living’ in the third revolution which is affected by fast economic changes and has competitive characteristics. To gain competitive advantage, a company should continuously invest in innovation (Hamel, 2000; Almeida et al. 2009), and therefore innovation has an important leading role in today’s economy.</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color w:val="212529"/>
          <w:sz w:val="24"/>
          <w:szCs w:val="24"/>
          <w:lang w:eastAsia="en-GB"/>
        </w:rPr>
        <w:t>Innovation can be defined as the commercial or industrial application of something new, such as a new product or process, a new type of organization, a new source of supply or product market (O’Sullivan, 2006 &amp; Schumpeter, 1996; 66). Innovative companies are those that have the ability to see connections, to spot opportunities and to take advantage of them. (Tidd &amp; Bessant, 2009). </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color w:val="212529"/>
          <w:sz w:val="24"/>
          <w:szCs w:val="24"/>
          <w:lang w:eastAsia="en-GB"/>
        </w:rPr>
        <w:t>Innovation is an expensive process whose outcomes are uncertain (O’Sullivan, 2006). It is expensive as the innovation process requires resources which companies may not have and need to gain, also because it takes a lot of time before the benefits can be measured. In the meanwhile a lot of internal and external changes can arise which may affect the outcome. As not all the companies have internal financial possibilities, innovation can be financed with external finance. Today’s financial crises make investors more careful in choosing the investments with higher returns. In the case of innovative projects however, investors must be willing to take great risk even if there is no guaranty the innovation will be a breakthrough innovation (Crawford &amp; Di Benedetto, 2008).</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color w:val="212529"/>
          <w:sz w:val="24"/>
          <w:szCs w:val="24"/>
          <w:lang w:eastAsia="en-GB"/>
        </w:rPr>
        <w:t xml:space="preserve">Financial crisis, which have become more frequent since 1970’s, are creating an unorthodox set of challenges for companies all over the world. According to Nielsen (2009): “Instead of dealing with the challenges of managing growth and expansion many companies are now faced with the challenge of </w:t>
      </w:r>
      <w:r w:rsidR="002C157A" w:rsidRPr="00125CA7">
        <w:rPr>
          <w:rFonts w:eastAsia="Times New Roman" w:cs="Segoe UI"/>
          <w:color w:val="212529"/>
          <w:sz w:val="24"/>
          <w:szCs w:val="24"/>
          <w:lang w:eastAsia="en-GB"/>
        </w:rPr>
        <w:t>manoeuvring</w:t>
      </w:r>
      <w:r w:rsidRPr="00125CA7">
        <w:rPr>
          <w:rFonts w:eastAsia="Times New Roman" w:cs="Segoe UI"/>
          <w:color w:val="212529"/>
          <w:sz w:val="24"/>
          <w:szCs w:val="24"/>
          <w:lang w:eastAsia="en-GB"/>
        </w:rPr>
        <w:t xml:space="preserve"> in a highly volatile competitive landscape characterized by increased uncertainty, increased turbulence, and a general downward trend in many aspects of the economy.”</w:t>
      </w:r>
    </w:p>
    <w:p w:rsidR="00DB6C6F" w:rsidRPr="00125CA7" w:rsidRDefault="00DB6C6F" w:rsidP="002C157A">
      <w:pPr>
        <w:shd w:val="clear" w:color="auto" w:fill="FFFFFF"/>
        <w:spacing w:after="100" w:afterAutospacing="1" w:line="240" w:lineRule="auto"/>
        <w:jc w:val="both"/>
        <w:rPr>
          <w:rFonts w:eastAsia="Times New Roman" w:cs="Segoe UI"/>
          <w:sz w:val="24"/>
          <w:szCs w:val="24"/>
          <w:lang w:eastAsia="en-GB"/>
        </w:rPr>
      </w:pPr>
      <w:r w:rsidRPr="00125CA7">
        <w:rPr>
          <w:rFonts w:eastAsia="Times New Roman" w:cs="Segoe UI"/>
          <w:color w:val="212529"/>
          <w:sz w:val="24"/>
          <w:szCs w:val="24"/>
          <w:lang w:eastAsia="en-GB"/>
        </w:rPr>
        <w:t>The distinguishing feature of innovation has become crucial in today’s fast changing economy which suffers of financial crisis now and then. According to Fischer (2004), it is scholars’ liability to protect innocent countries and their citizens by mitigating the impact of financial crisis. To do so, this thesis will attempt to discuss how companies should manage their innovation strategies to keep their competitive advantage in response to financial crisis.</w:t>
      </w:r>
      <w:r w:rsidR="002C157A" w:rsidRPr="00125CA7">
        <w:rPr>
          <w:rFonts w:eastAsia="Times New Roman" w:cs="Segoe UI"/>
          <w:sz w:val="24"/>
          <w:szCs w:val="24"/>
          <w:lang w:eastAsia="en-GB"/>
        </w:rPr>
        <w:t xml:space="preserve"> </w:t>
      </w:r>
    </w:p>
    <w:p w:rsidR="00DB6C6F" w:rsidRPr="002C157A" w:rsidRDefault="00DB6C6F" w:rsidP="00125CA7">
      <w:pPr>
        <w:shd w:val="clear" w:color="auto" w:fill="FFFFFF"/>
        <w:spacing w:after="100" w:afterAutospacing="1" w:line="240" w:lineRule="auto"/>
        <w:jc w:val="both"/>
        <w:outlineLvl w:val="2"/>
        <w:rPr>
          <w:rFonts w:eastAsia="Times New Roman" w:cs="Segoe UI"/>
          <w:color w:val="212529"/>
          <w:sz w:val="24"/>
          <w:szCs w:val="24"/>
          <w:lang w:eastAsia="en-GB"/>
        </w:rPr>
      </w:pPr>
      <w:r w:rsidRPr="002C157A">
        <w:rPr>
          <w:rFonts w:eastAsia="Times New Roman" w:cs="Segoe UI"/>
          <w:color w:val="212529"/>
          <w:sz w:val="24"/>
          <w:szCs w:val="24"/>
          <w:lang w:eastAsia="en-GB"/>
        </w:rPr>
        <w:t>1.3 Problem statement</w:t>
      </w:r>
    </w:p>
    <w:p w:rsidR="00DB6C6F" w:rsidRPr="00BB5E25"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color w:val="212529"/>
          <w:sz w:val="24"/>
          <w:szCs w:val="24"/>
          <w:lang w:eastAsia="en-GB"/>
        </w:rPr>
        <w:t xml:space="preserve">“A crisis, such as the financial crisis that we have been experiencing over the last couple of years, can be either an opportunity for important new innovation, or a time of setback when innovation is delayed, or even reversed” (Shiller, 2010; 14). How companies can manage their innovation strategy in times of financial crisis is a result of this thesis formulated by the </w:t>
      </w:r>
      <w:r w:rsidRPr="00BB5E25">
        <w:rPr>
          <w:rFonts w:eastAsia="Times New Roman" w:cs="Segoe UI"/>
          <w:color w:val="212529"/>
          <w:sz w:val="24"/>
          <w:szCs w:val="24"/>
          <w:lang w:eastAsia="en-GB"/>
        </w:rPr>
        <w:t>following problem statement:</w:t>
      </w:r>
    </w:p>
    <w:p w:rsidR="00DB6C6F" w:rsidRPr="00BB5E25"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BB5E25">
        <w:rPr>
          <w:rFonts w:eastAsia="Times New Roman" w:cs="Segoe UI"/>
          <w:i/>
          <w:iCs/>
          <w:color w:val="212529"/>
          <w:sz w:val="24"/>
          <w:szCs w:val="24"/>
          <w:lang w:eastAsia="en-GB"/>
        </w:rPr>
        <w:t>‘How can a company manage its innovation strategy to keep its competitive advantage in response to financial crisis?’</w:t>
      </w:r>
    </w:p>
    <w:p w:rsidR="00DB6C6F" w:rsidRPr="00BB5E25" w:rsidRDefault="00DB6C6F" w:rsidP="00125CA7">
      <w:pPr>
        <w:shd w:val="clear" w:color="auto" w:fill="FFFFFF"/>
        <w:spacing w:after="100" w:afterAutospacing="1" w:line="240" w:lineRule="auto"/>
        <w:jc w:val="both"/>
        <w:outlineLvl w:val="2"/>
        <w:rPr>
          <w:rFonts w:eastAsia="Times New Roman" w:cs="Segoe UI"/>
          <w:color w:val="212529"/>
          <w:sz w:val="24"/>
          <w:szCs w:val="24"/>
          <w:lang w:eastAsia="en-GB"/>
        </w:rPr>
      </w:pPr>
      <w:r w:rsidRPr="00BB5E25">
        <w:rPr>
          <w:rFonts w:eastAsia="Times New Roman" w:cs="Segoe UI"/>
          <w:color w:val="212529"/>
          <w:sz w:val="24"/>
          <w:szCs w:val="24"/>
          <w:lang w:eastAsia="en-GB"/>
        </w:rPr>
        <w:t>1.4 Research Questions</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BB5E25">
        <w:rPr>
          <w:rFonts w:eastAsia="Times New Roman" w:cs="Segoe UI"/>
          <w:color w:val="212529"/>
          <w:sz w:val="24"/>
          <w:szCs w:val="24"/>
          <w:lang w:eastAsia="en-GB"/>
        </w:rPr>
        <w:t>The problem statement covers several terms: innovation strategy, competitive advantage, and financial crisis. Before answering</w:t>
      </w:r>
      <w:r w:rsidRPr="00125CA7">
        <w:rPr>
          <w:rFonts w:eastAsia="Times New Roman" w:cs="Segoe UI"/>
          <w:color w:val="212529"/>
          <w:sz w:val="24"/>
          <w:szCs w:val="24"/>
          <w:lang w:eastAsia="en-GB"/>
        </w:rPr>
        <w:t xml:space="preserve"> the problem statement, following research question based on the three terms will be answered:</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b/>
          <w:bCs/>
          <w:color w:val="212529"/>
          <w:sz w:val="24"/>
          <w:szCs w:val="24"/>
          <w:lang w:eastAsia="en-GB"/>
        </w:rPr>
        <w:t>Innovation strategy and competitive advantage</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i/>
          <w:iCs/>
          <w:color w:val="212529"/>
          <w:sz w:val="24"/>
          <w:szCs w:val="24"/>
          <w:lang w:eastAsia="en-GB"/>
        </w:rPr>
        <w:t>What is innovation and which innovation strategies lead to competitive advantage?</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b/>
          <w:bCs/>
          <w:color w:val="212529"/>
          <w:sz w:val="24"/>
          <w:szCs w:val="24"/>
          <w:lang w:eastAsia="en-GB"/>
        </w:rPr>
        <w:t>Financial markets</w:t>
      </w:r>
      <w:r w:rsidRPr="00125CA7">
        <w:rPr>
          <w:rFonts w:eastAsia="Times New Roman" w:cs="Segoe UI"/>
          <w:color w:val="212529"/>
          <w:sz w:val="24"/>
          <w:szCs w:val="24"/>
          <w:lang w:eastAsia="en-GB"/>
        </w:rPr>
        <w:t> </w:t>
      </w:r>
      <w:r w:rsidRPr="00125CA7">
        <w:rPr>
          <w:rFonts w:eastAsia="Times New Roman" w:cs="Segoe UI"/>
          <w:b/>
          <w:bCs/>
          <w:color w:val="212529"/>
          <w:sz w:val="24"/>
          <w:szCs w:val="24"/>
          <w:lang w:eastAsia="en-GB"/>
        </w:rPr>
        <w:t>and innovation</w:t>
      </w:r>
      <w:r w:rsidRPr="00125CA7">
        <w:rPr>
          <w:rFonts w:eastAsia="Times New Roman" w:cs="Segoe UI"/>
          <w:color w:val="212529"/>
          <w:sz w:val="24"/>
          <w:szCs w:val="24"/>
          <w:lang w:eastAsia="en-GB"/>
        </w:rPr>
        <w:t> </w:t>
      </w:r>
      <w:r w:rsidRPr="00125CA7">
        <w:rPr>
          <w:rFonts w:eastAsia="Times New Roman" w:cs="Segoe UI"/>
          <w:b/>
          <w:bCs/>
          <w:color w:val="212529"/>
          <w:sz w:val="24"/>
          <w:szCs w:val="24"/>
          <w:lang w:eastAsia="en-GB"/>
        </w:rPr>
        <w:t>strategy</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125CA7">
        <w:rPr>
          <w:rFonts w:eastAsia="Times New Roman" w:cs="Segoe UI"/>
          <w:i/>
          <w:iCs/>
          <w:color w:val="212529"/>
          <w:sz w:val="24"/>
          <w:szCs w:val="24"/>
          <w:lang w:eastAsia="en-GB"/>
        </w:rPr>
        <w:t>How financial markets affect innovation and innovation strategies?</w:t>
      </w:r>
    </w:p>
    <w:p w:rsidR="00DB6C6F" w:rsidRPr="00BB5E25"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BB5E25">
        <w:rPr>
          <w:rFonts w:eastAsia="Times New Roman" w:cs="Segoe UI"/>
          <w:b/>
          <w:bCs/>
          <w:color w:val="212529"/>
          <w:sz w:val="24"/>
          <w:szCs w:val="24"/>
          <w:lang w:eastAsia="en-GB"/>
        </w:rPr>
        <w:t>Financial crisis affect innovation strategies</w:t>
      </w:r>
    </w:p>
    <w:p w:rsidR="00DB6C6F" w:rsidRPr="00BB5E25"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BB5E25">
        <w:rPr>
          <w:rFonts w:eastAsia="Times New Roman" w:cs="Segoe UI"/>
          <w:i/>
          <w:iCs/>
          <w:color w:val="212529"/>
          <w:sz w:val="24"/>
          <w:szCs w:val="24"/>
          <w:lang w:eastAsia="en-GB"/>
        </w:rPr>
        <w:t>How financial crisis affect innovation strategies in the long and short term?</w:t>
      </w:r>
    </w:p>
    <w:p w:rsidR="00DB6C6F" w:rsidRPr="00BB5E25" w:rsidRDefault="00DB6C6F" w:rsidP="00125CA7">
      <w:pPr>
        <w:shd w:val="clear" w:color="auto" w:fill="FFFFFF"/>
        <w:spacing w:after="100" w:afterAutospacing="1" w:line="240" w:lineRule="auto"/>
        <w:jc w:val="both"/>
        <w:outlineLvl w:val="2"/>
        <w:rPr>
          <w:rFonts w:eastAsia="Times New Roman" w:cs="Segoe UI"/>
          <w:color w:val="212529"/>
          <w:sz w:val="24"/>
          <w:szCs w:val="24"/>
          <w:lang w:eastAsia="en-GB"/>
        </w:rPr>
      </w:pPr>
      <w:r w:rsidRPr="00BB5E25">
        <w:rPr>
          <w:rFonts w:eastAsia="Times New Roman" w:cs="Segoe UI"/>
          <w:color w:val="212529"/>
          <w:sz w:val="24"/>
          <w:szCs w:val="24"/>
          <w:lang w:eastAsia="en-GB"/>
        </w:rPr>
        <w:t>1.5 Research Design and data collection</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BB5E25">
        <w:rPr>
          <w:rFonts w:eastAsia="Times New Roman" w:cs="Segoe UI"/>
          <w:color w:val="212529"/>
          <w:sz w:val="24"/>
          <w:szCs w:val="24"/>
          <w:lang w:eastAsia="en-GB"/>
        </w:rPr>
        <w:t>This bachelor thesis is based on a literature study and thence it has an objective descriptive character. Books and academic papers are the most used source of information for this thesis. Scientific literature, like journals and books (secondary sources), are the bases of this study. They have been collected from the Library of Tilburg University and the Library of Radboud University Nijmegen. Specifically journals</w:t>
      </w:r>
      <w:r w:rsidRPr="00125CA7">
        <w:rPr>
          <w:rFonts w:eastAsia="Times New Roman" w:cs="Segoe UI"/>
          <w:color w:val="212529"/>
          <w:sz w:val="24"/>
          <w:szCs w:val="24"/>
          <w:lang w:eastAsia="en-GB"/>
        </w:rPr>
        <w:t xml:space="preserve"> are gathered by JSTOR, Abi/inform, Wiley, Science</w:t>
      </w:r>
      <w:r w:rsidR="002C157A">
        <w:rPr>
          <w:rFonts w:eastAsia="Times New Roman" w:cs="Segoe UI"/>
          <w:color w:val="212529"/>
          <w:sz w:val="24"/>
          <w:szCs w:val="24"/>
          <w:lang w:eastAsia="en-GB"/>
        </w:rPr>
        <w:t xml:space="preserve"> </w:t>
      </w:r>
      <w:r w:rsidRPr="00125CA7">
        <w:rPr>
          <w:rFonts w:eastAsia="Times New Roman" w:cs="Segoe UI"/>
          <w:color w:val="212529"/>
          <w:sz w:val="24"/>
          <w:szCs w:val="24"/>
          <w:lang w:eastAsia="en-GB"/>
        </w:rPr>
        <w:t>Direct, Web of S</w:t>
      </w:r>
      <w:r w:rsidR="002C157A">
        <w:rPr>
          <w:rFonts w:eastAsia="Times New Roman" w:cs="Segoe UI"/>
          <w:color w:val="212529"/>
          <w:sz w:val="24"/>
          <w:szCs w:val="24"/>
          <w:lang w:eastAsia="en-GB"/>
        </w:rPr>
        <w:t>c</w:t>
      </w:r>
      <w:r w:rsidRPr="00125CA7">
        <w:rPr>
          <w:rFonts w:eastAsia="Times New Roman" w:cs="Segoe UI"/>
          <w:color w:val="212529"/>
          <w:sz w:val="24"/>
          <w:szCs w:val="24"/>
          <w:lang w:eastAsia="en-GB"/>
        </w:rPr>
        <w:t>ience, Elsevier and more. The non-probability sampling procedure, known as the snowball method, has been used to separate the usable information from the unusable information.</w:t>
      </w:r>
    </w:p>
    <w:p w:rsidR="00DB6C6F" w:rsidRPr="00BB5E25"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BB5E25">
        <w:rPr>
          <w:rFonts w:eastAsia="Times New Roman" w:cs="Segoe UI"/>
          <w:color w:val="212529"/>
          <w:sz w:val="24"/>
          <w:szCs w:val="24"/>
          <w:lang w:eastAsia="en-GB"/>
        </w:rPr>
        <w:t>The topic of this bachelor thesis is innovation and the sub topic has been designed at the moment enough knowledge and data was gathered to be useful for research. A result of this process is this research proposal, and can be seen as a start of the ongoing project.</w:t>
      </w:r>
    </w:p>
    <w:p w:rsidR="00DB6C6F" w:rsidRPr="00BB5E25" w:rsidRDefault="00DB6C6F" w:rsidP="00125CA7">
      <w:pPr>
        <w:shd w:val="clear" w:color="auto" w:fill="FFFFFF"/>
        <w:spacing w:after="100" w:afterAutospacing="1" w:line="240" w:lineRule="auto"/>
        <w:jc w:val="both"/>
        <w:outlineLvl w:val="2"/>
        <w:rPr>
          <w:rFonts w:eastAsia="Times New Roman" w:cs="Segoe UI"/>
          <w:color w:val="212529"/>
          <w:sz w:val="24"/>
          <w:szCs w:val="24"/>
          <w:lang w:eastAsia="en-GB"/>
        </w:rPr>
      </w:pPr>
      <w:r w:rsidRPr="00BB5E25">
        <w:rPr>
          <w:rFonts w:eastAsia="Times New Roman" w:cs="Segoe UI"/>
          <w:color w:val="212529"/>
          <w:sz w:val="24"/>
          <w:szCs w:val="24"/>
          <w:lang w:eastAsia="en-GB"/>
        </w:rPr>
        <w:t>1.6 Structure</w:t>
      </w:r>
    </w:p>
    <w:p w:rsidR="00DB6C6F" w:rsidRPr="00125CA7" w:rsidRDefault="00DB6C6F" w:rsidP="00125CA7">
      <w:pPr>
        <w:shd w:val="clear" w:color="auto" w:fill="FFFFFF"/>
        <w:spacing w:after="100" w:afterAutospacing="1" w:line="240" w:lineRule="auto"/>
        <w:jc w:val="both"/>
        <w:rPr>
          <w:rFonts w:eastAsia="Times New Roman" w:cs="Segoe UI"/>
          <w:color w:val="212529"/>
          <w:sz w:val="24"/>
          <w:szCs w:val="24"/>
          <w:lang w:eastAsia="en-GB"/>
        </w:rPr>
      </w:pPr>
      <w:r w:rsidRPr="00BB5E25">
        <w:rPr>
          <w:rFonts w:eastAsia="Times New Roman" w:cs="Segoe UI"/>
          <w:color w:val="212529"/>
          <w:sz w:val="24"/>
          <w:szCs w:val="24"/>
          <w:lang w:eastAsia="en-GB"/>
        </w:rPr>
        <w:t>This thesis will be structured in line with the three research questions, which are formulated before. The first chapter will briefly introduce the topic of this thesis, followed by the problem statement</w:t>
      </w:r>
      <w:r w:rsidRPr="00125CA7">
        <w:rPr>
          <w:rFonts w:eastAsia="Times New Roman" w:cs="Segoe UI"/>
          <w:color w:val="212529"/>
          <w:sz w:val="24"/>
          <w:szCs w:val="24"/>
          <w:lang w:eastAsia="en-GB"/>
        </w:rPr>
        <w:t xml:space="preserve"> and research questions. The second chapter contains de definition of innovation and strategies that are characteristic for innovation related to competitive advantage. The third chapter will discuss how financial markets affect innovation and innovation strategies. The last research question will be discussed in chapter four. In the fourth chapter not only financial crisis and innovation will be discussed, but also how firms have reacted on different financial crisis in the past. </w:t>
      </w:r>
      <w:r w:rsidR="00C6330A" w:rsidRPr="00C6330A">
        <w:rPr>
          <w:rFonts w:eastAsia="Times New Roman" w:cs="Segoe UI"/>
          <w:b/>
          <w:color w:val="FF0000"/>
          <w:sz w:val="32"/>
          <w:szCs w:val="24"/>
          <w:lang w:eastAsia="en-GB"/>
        </w:rPr>
        <w:t>THE PURPOSE</w:t>
      </w:r>
      <w:r w:rsidRPr="00125CA7">
        <w:rPr>
          <w:rFonts w:eastAsia="Times New Roman" w:cs="Segoe UI"/>
          <w:color w:val="212529"/>
          <w:sz w:val="24"/>
          <w:szCs w:val="24"/>
          <w:lang w:eastAsia="en-GB"/>
        </w:rPr>
        <w:t xml:space="preserve"> of the final chapter is to answer the problem statement by given an overall conclusion, discussion and recommendations. In order to that, this chapter describes the impact of innovation strategies on the competitive performance of an industrial company during a financial crisis.</w:t>
      </w:r>
    </w:p>
    <w:p w:rsidR="00A701C1" w:rsidRPr="00302290" w:rsidRDefault="00D24A60" w:rsidP="00A701C1">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(19) </w:t>
      </w:r>
      <w:r w:rsidR="00A701C1" w:rsidRPr="00302290">
        <w:rPr>
          <w:rFonts w:eastAsia="Times New Roman" w:cs="Segoe UI"/>
          <w:b/>
          <w:color w:val="FF0000"/>
          <w:kern w:val="36"/>
          <w:sz w:val="24"/>
          <w:szCs w:val="24"/>
          <w:lang w:eastAsia="en-GB"/>
        </w:rPr>
        <w:t>Marketing dissertation introduction example</w:t>
      </w:r>
    </w:p>
    <w:p w:rsidR="00A701C1" w:rsidRPr="00302290" w:rsidRDefault="00A701C1" w:rsidP="00302290">
      <w:pPr>
        <w:shd w:val="clear" w:color="auto" w:fill="FFFFFF"/>
        <w:spacing w:after="100" w:afterAutospacing="1" w:line="240" w:lineRule="auto"/>
        <w:jc w:val="both"/>
        <w:outlineLvl w:val="1"/>
        <w:rPr>
          <w:rFonts w:eastAsia="Times New Roman" w:cs="Segoe UI"/>
          <w:color w:val="212529"/>
          <w:sz w:val="24"/>
          <w:szCs w:val="24"/>
          <w:lang w:eastAsia="en-GB"/>
        </w:rPr>
      </w:pPr>
      <w:r w:rsidRPr="00302290">
        <w:rPr>
          <w:rFonts w:eastAsia="Times New Roman" w:cs="Segoe UI"/>
          <w:color w:val="212529"/>
          <w:sz w:val="24"/>
          <w:szCs w:val="24"/>
          <w:lang w:eastAsia="en-GB"/>
        </w:rPr>
        <w:t>1. Introduction</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i/>
          <w:iCs/>
          <w:color w:val="212529"/>
          <w:sz w:val="24"/>
          <w:szCs w:val="24"/>
          <w:lang w:eastAsia="en-GB"/>
        </w:rPr>
        <w:t>In this chapter we present the background for the problem of this dissertation and discuss why the topic is of interest. This will be followed by</w:t>
      </w:r>
      <w:r w:rsidR="00302290">
        <w:rPr>
          <w:rFonts w:eastAsia="Times New Roman" w:cs="Segoe UI"/>
          <w:i/>
          <w:iCs/>
          <w:color w:val="212529"/>
          <w:sz w:val="24"/>
          <w:szCs w:val="24"/>
          <w:lang w:eastAsia="en-GB"/>
        </w:rPr>
        <w:t xml:space="preserve"> </w:t>
      </w:r>
      <w:r w:rsidR="00C6330A" w:rsidRPr="00C6330A">
        <w:rPr>
          <w:rFonts w:eastAsia="Times New Roman" w:cs="Segoe UI"/>
          <w:b/>
          <w:i/>
          <w:iCs/>
          <w:color w:val="FF0000"/>
          <w:sz w:val="32"/>
          <w:szCs w:val="24"/>
          <w:lang w:eastAsia="en-GB"/>
        </w:rPr>
        <w:t>THE PURPOSE</w:t>
      </w:r>
      <w:r w:rsidRPr="00302290">
        <w:rPr>
          <w:rFonts w:eastAsia="Times New Roman" w:cs="Segoe UI"/>
          <w:i/>
          <w:iCs/>
          <w:color w:val="212529"/>
          <w:sz w:val="24"/>
          <w:szCs w:val="24"/>
          <w:lang w:eastAsia="en-GB"/>
        </w:rPr>
        <w:t xml:space="preserve"> for our research as well as our research question. Lastly the delimitations for this dissertation are explained.</w:t>
      </w:r>
    </w:p>
    <w:p w:rsidR="00A701C1" w:rsidRPr="00302290" w:rsidRDefault="00A701C1" w:rsidP="00302290">
      <w:pPr>
        <w:shd w:val="clear" w:color="auto" w:fill="FFFFFF"/>
        <w:spacing w:after="100" w:afterAutospacing="1" w:line="240" w:lineRule="auto"/>
        <w:jc w:val="both"/>
        <w:outlineLvl w:val="2"/>
        <w:rPr>
          <w:rFonts w:eastAsia="Times New Roman" w:cs="Segoe UI"/>
          <w:color w:val="212529"/>
          <w:sz w:val="24"/>
          <w:szCs w:val="24"/>
          <w:lang w:eastAsia="en-GB"/>
        </w:rPr>
      </w:pPr>
      <w:r w:rsidRPr="00302290">
        <w:rPr>
          <w:rFonts w:eastAsia="Times New Roman" w:cs="Segoe UI"/>
          <w:color w:val="212529"/>
          <w:sz w:val="24"/>
          <w:szCs w:val="24"/>
          <w:lang w:eastAsia="en-GB"/>
        </w:rPr>
        <w:t>1.1 Problem background</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It is yet another warm day in Thebes, Greece, people are starting to gather in the agora, a place located in the city centre surrounded by buildings and temples dedicated to the gods. Farmers have travelled through the night from their own yard to stand here in the agora to sell their crops. The agora is filled with dusty stalls made of reeds; the morning sun quickly heats up the stalls as sweaty merchants cry out their offers. </w:t>
      </w:r>
      <w:r w:rsidRPr="00302290">
        <w:rPr>
          <w:rFonts w:eastAsia="Times New Roman" w:cs="Segoe UI"/>
          <w:i/>
          <w:iCs/>
          <w:color w:val="212529"/>
          <w:sz w:val="24"/>
          <w:szCs w:val="24"/>
          <w:lang w:eastAsia="en-GB"/>
        </w:rPr>
        <w:t>“Spices from Syria”</w:t>
      </w:r>
      <w:r w:rsidRPr="00302290">
        <w:rPr>
          <w:rFonts w:eastAsia="Times New Roman" w:cs="Segoe UI"/>
          <w:color w:val="212529"/>
          <w:sz w:val="24"/>
          <w:szCs w:val="24"/>
          <w:lang w:eastAsia="en-GB"/>
        </w:rPr>
        <w:t> a man yells out over the crowd. The stall next to him has linen all the way from Egypt, another one has ivory from the northern plains of Africa. Fishermen have travelled far to sell yesterday</w:t>
      </w:r>
      <w:r w:rsidR="00302290">
        <w:rPr>
          <w:rFonts w:eastAsia="Times New Roman" w:cs="Segoe UI"/>
          <w:color w:val="212529"/>
          <w:sz w:val="24"/>
          <w:szCs w:val="24"/>
          <w:lang w:eastAsia="en-GB"/>
        </w:rPr>
        <w:t>’</w:t>
      </w:r>
      <w:r w:rsidRPr="00302290">
        <w:rPr>
          <w:rFonts w:eastAsia="Times New Roman" w:cs="Segoe UI"/>
          <w:color w:val="212529"/>
          <w:sz w:val="24"/>
          <w:szCs w:val="24"/>
          <w:lang w:eastAsia="en-GB"/>
        </w:rPr>
        <w:t>s catch from the Mediterranean Sea. Despite the variety of products, there are competing merchants who offer the same kind of products. This means that they are looking to attract the same segment of buyers that wish to satisfy their needs and wants. They have to fight to attract these rare customers and they do so by offering their product to either a price that is cheaper, or by saying that their product has something that the other ones do not have.</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Even now, over two thousand years later, Thebes is still a market town where farmers and merchants come to sell their products in a very similar way to how it was done in ancient Greece. The competition between merchants still exist today, and at a much broader context, one which we today call marketing. Marketing is said to have been around for as long as people have been trading or selling products to one another (Shaw &amp; Jones, 2005). However, in these days they did not perceive these activities as what we today call marketing. According to Kotler, Wong, Saunders and Armstrong (2005) marketing entered a new era after the industrial revolution as markets have become more saturated and a product overflow has led to harder competition. Meaning that companies now have to focus outside the company, on what the customers demand instead of as before, what the company produced. Marketing is therefore today important for companies all over the world and a part of their strategies to attract and keep customers by satisfying their needs and wants.</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While satisfying the customers’ needs and wants have become an important part of marketing the idea emerged of looking inside the company to achieve this, and do so by satisfying the employees’ needs and wants first. The issue was raised over 35 years ago and the concept was defined by Berry as internal marketing five years later, where employees are referred to as internal customers. (Ahmed &amp; Rafiq, 2003)</w:t>
      </w:r>
    </w:p>
    <w:p w:rsidR="00A701C1" w:rsidRPr="00302290" w:rsidRDefault="00A701C1" w:rsidP="00302290">
      <w:pPr>
        <w:shd w:val="clear" w:color="auto" w:fill="FFFFFF"/>
        <w:spacing w:after="100" w:afterAutospacing="1" w:line="240" w:lineRule="auto"/>
        <w:jc w:val="both"/>
        <w:rPr>
          <w:rFonts w:eastAsia="Times New Roman" w:cs="Segoe UI"/>
          <w:sz w:val="24"/>
          <w:szCs w:val="24"/>
          <w:lang w:eastAsia="en-GB"/>
        </w:rPr>
      </w:pPr>
      <w:r w:rsidRPr="00302290">
        <w:rPr>
          <w:rFonts w:eastAsia="Times New Roman" w:cs="Segoe UI"/>
          <w:color w:val="212529"/>
          <w:sz w:val="24"/>
          <w:szCs w:val="24"/>
          <w:lang w:eastAsia="en-GB"/>
        </w:rPr>
        <w:t xml:space="preserve">As the subject is becoming an important part of marketing it is now a popular focus of research and more and more companies are starting to use internal marketing strategies. There is still however no widely accepted definition in the academic world of what internal marketing truly is (Ahmed &amp; Rafiq, 2000). While many authors at this time are starting to research internal marketing there is a need arising of defining the subject (Ahmed &amp; Rafiq, 2000; Bansal, Mendelson &amp; Sharma, 2001; Herington, Johnson &amp; Scott, 2006 &amp; Varey, 1995). This does not matter if they are front-line personnel or working in the back-office, which can be viewed as there is a need for internal marketing in both service and production companies. However an underlying principle or thought of internal marketing is that of seeing employees as the company’s internal customers. Meant by this is offering them products as they do with external customers, but in this sense offer them jobs. The rules for the internal market are the same as for the external, the customer’s needs and wants should be fulfilled in order to be successful (Caruana &amp; Calleya, 1998; Greene, Walls &amp; Schrest, 1994). The goal of internal marketing should be to motivate, attract and develop the internal customer as well as to address the goals and objectives of the organization. As the rules are the same for internal as for external marketing, Davis (2001) states that if the claims made to the internal customer falls through and expectations are not met, the internal customer will act the same as the external (i.e. getting disappointed and angry). If </w:t>
      </w:r>
      <w:r w:rsidR="00C6330A" w:rsidRPr="00C6330A">
        <w:rPr>
          <w:rFonts w:eastAsia="Times New Roman" w:cs="Segoe UI"/>
          <w:b/>
          <w:color w:val="FF0000"/>
          <w:sz w:val="32"/>
          <w:szCs w:val="24"/>
          <w:lang w:eastAsia="en-GB"/>
        </w:rPr>
        <w:t>THE PURPOSE</w:t>
      </w:r>
      <w:r w:rsidRPr="00302290">
        <w:rPr>
          <w:rFonts w:eastAsia="Times New Roman" w:cs="Segoe UI"/>
          <w:color w:val="212529"/>
          <w:sz w:val="24"/>
          <w:szCs w:val="24"/>
          <w:lang w:eastAsia="en-GB"/>
        </w:rPr>
        <w:t xml:space="preserve"> is to get employees more committed towards the goals and objectives of the organization Bansal et al. (2001, p. 63) state that </w:t>
      </w:r>
      <w:r w:rsidRPr="00302290">
        <w:rPr>
          <w:rFonts w:eastAsia="Times New Roman" w:cs="Segoe UI"/>
          <w:i/>
          <w:iCs/>
          <w:color w:val="212529"/>
          <w:sz w:val="24"/>
          <w:szCs w:val="24"/>
          <w:lang w:eastAsia="en-GB"/>
        </w:rPr>
        <w:t>“Employees should be seen as assets to be invested in rather that costs to be controlled.”</w:t>
      </w:r>
      <w:r w:rsidR="00302290" w:rsidRPr="00302290">
        <w:rPr>
          <w:rFonts w:eastAsia="Times New Roman" w:cs="Segoe UI"/>
          <w:sz w:val="24"/>
          <w:szCs w:val="24"/>
          <w:lang w:eastAsia="en-GB"/>
        </w:rPr>
        <w:t xml:space="preserve"> </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Google is a company that has put a lot of time and effort into their employees for some time, which is something that is appreciated by the employees. Their effort includes creating an interesting workplace, massages and free meals. An employee at Google describes the work team as an amazing crowd and when describing the most amazing experience interviewing local candidates and speaking with the sales team how they should work together are high on the list [1]. Herington et al. (2006) mean to describe how relationships are built and managed in the firm’s markets, both internal and external, marketing literature use the term relationship marketing. Even though the external market are crucial for firm success, even more so is the internal market since it is the employees that provide for the customer. Herington et al. (2006) continue with stating that the relationship with the external customer is strengthened in the end due to the better relationships within the company that the internal marketing brings.</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Strengthened relationships with external customers is however only one of many outcomes of successful internal marketing. Applying internal marketing to build strong internal relationships can for example according to the research on social incentives in the workplace [2] make the employees more productive. It was found that employees who worked with friends worked harder than when compared to working with people they did not know. Further they found that the work environment becomes more motivating when the relationships between employees are strong and well</w:t>
      </w:r>
      <w:r w:rsidR="004939BE">
        <w:rPr>
          <w:rFonts w:eastAsia="Times New Roman" w:cs="Segoe UI"/>
          <w:color w:val="212529"/>
          <w:sz w:val="24"/>
          <w:szCs w:val="24"/>
          <w:lang w:eastAsia="en-GB"/>
        </w:rPr>
        <w:t>-</w:t>
      </w:r>
      <w:r w:rsidRPr="00302290">
        <w:rPr>
          <w:rFonts w:eastAsia="Times New Roman" w:cs="Segoe UI"/>
          <w:color w:val="212529"/>
          <w:sz w:val="24"/>
          <w:szCs w:val="24"/>
          <w:lang w:eastAsia="en-GB"/>
        </w:rPr>
        <w:t>functioning.</w:t>
      </w:r>
    </w:p>
    <w:p w:rsidR="00A701C1" w:rsidRPr="00302290" w:rsidRDefault="00A701C1" w:rsidP="00302290">
      <w:pPr>
        <w:shd w:val="clear" w:color="auto" w:fill="FFFFFF"/>
        <w:spacing w:after="100" w:afterAutospacing="1" w:line="240" w:lineRule="auto"/>
        <w:jc w:val="both"/>
        <w:outlineLvl w:val="2"/>
        <w:rPr>
          <w:rFonts w:eastAsia="Times New Roman" w:cs="Segoe UI"/>
          <w:color w:val="212529"/>
          <w:sz w:val="24"/>
          <w:szCs w:val="24"/>
          <w:lang w:eastAsia="en-GB"/>
        </w:rPr>
      </w:pPr>
      <w:r w:rsidRPr="00302290">
        <w:rPr>
          <w:rFonts w:eastAsia="Times New Roman" w:cs="Segoe UI"/>
          <w:color w:val="212529"/>
          <w:sz w:val="24"/>
          <w:szCs w:val="24"/>
          <w:lang w:eastAsia="en-GB"/>
        </w:rPr>
        <w:t>1.2 Problem discussion</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Considering that stronger relationships within the company has been found to be beneficial for the company as a whole, Herington et al. (2006) see a need to nurture and develop these internal relationships. To achieve this, these relationships needs to be considered as an important part not only for the firm’s marketing but for the organization as a whole. This because everyone involved in the organization needs to be involved and motivated for relationships between the management and employees and between the employees themselves to be successful. Herington et al. (2006) raise the importance of internal relationships to the firm and mean that it has become a subject of great interest to numerous marketing authors. They discuss that considerably less attention has been given to firm’s internal customer than to their external ones. Given that the internal relationships have been found to be of great interest there is therefore a need for further investigation of the subject.</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However, among the research that has been made there are those who discuss the internal relationships and how they can be characterized. According to Vikström (2007) an investigation of relationships was carried out by Kerstin Isaksson a few years ago in which she explained that between management and employees there are so called informal contracts. These contracts dictate demands and expectations made by and between people in the work place. There are rules that are not written down or even spoken but are applied and are included as components in these informal contracts. Employees may have a view of what falls within their rights and obligation in the work place and how a performed task should be rewarded, but because of these informal and often unclear contracts management may posit another view on the subject at hand. This difference in opinions of what is included in the informal contract may raise dissatisfaction among employees and result in them feeling betrayed and end up making spiteful comments about the company to other co-workers or friends. Clear and sound information should always be given to employees, even if it is about the company’s financial situation. This kind of information may be withheld by the company in fear of losing important and valuable employees, but if a long term relationship is valued then even bad information is important to share and explained to those groups that it may affect. (Vikstöm, 2007)</w:t>
      </w:r>
    </w:p>
    <w:p w:rsidR="00A701C1" w:rsidRPr="00302290" w:rsidRDefault="00A701C1" w:rsidP="004939BE">
      <w:pPr>
        <w:shd w:val="clear" w:color="auto" w:fill="FFFFFF"/>
        <w:spacing w:after="100" w:afterAutospacing="1" w:line="240" w:lineRule="auto"/>
        <w:jc w:val="both"/>
        <w:rPr>
          <w:rFonts w:eastAsia="Times New Roman" w:cs="Segoe UI"/>
          <w:sz w:val="24"/>
          <w:szCs w:val="24"/>
          <w:lang w:eastAsia="en-GB"/>
        </w:rPr>
      </w:pPr>
      <w:r w:rsidRPr="00302290">
        <w:rPr>
          <w:rFonts w:eastAsia="Times New Roman" w:cs="Segoe UI"/>
          <w:color w:val="212529"/>
          <w:sz w:val="24"/>
          <w:szCs w:val="24"/>
          <w:lang w:eastAsia="en-GB"/>
        </w:rPr>
        <w:t>How and what companies should communicate to their employees to gain and keep strong relationships with them is not always obvious. As Isaksson pointed out in her research both good and bad news is something that needs to be shared with employees. Ballantyne (2003) mean that one way for companies to work towards developing and maintaining strong relationships within the company, is to apply internal marketing. However, Papasolomou and Vrontis (2006) mean that companies today, with no clear knowledge of what is included in internal marketing instead of using a unified model, build their own. This means that each company use their own way to work with internal marketing and might not have the knowledge of what and how to communicate it, which can lead to a negative outcome. This view is something that Ahmed and Rafiq (2000) brought up six years earlier when they stated that companies mix theories, models and ideas that they see suitable for their company. They stated that </w:t>
      </w:r>
      <w:r w:rsidRPr="00302290">
        <w:rPr>
          <w:rFonts w:eastAsia="Times New Roman" w:cs="Segoe UI"/>
          <w:i/>
          <w:iCs/>
          <w:color w:val="212529"/>
          <w:sz w:val="24"/>
          <w:szCs w:val="24"/>
          <w:lang w:eastAsia="en-GB"/>
        </w:rPr>
        <w:t>“There is a great deal of confusion in the literature as to what IM is, what it is supposed to do, how it is supposed to do it, and who is supposed to do it” </w:t>
      </w:r>
      <w:r w:rsidRPr="00302290">
        <w:rPr>
          <w:rFonts w:eastAsia="Times New Roman" w:cs="Segoe UI"/>
          <w:color w:val="212529"/>
          <w:sz w:val="24"/>
          <w:szCs w:val="24"/>
          <w:lang w:eastAsia="en-GB"/>
        </w:rPr>
        <w:t>(Ahmed &amp; Rafiq, 2000, p. 449).</w:t>
      </w:r>
      <w:r w:rsidR="004939BE" w:rsidRPr="00302290">
        <w:rPr>
          <w:rFonts w:eastAsia="Times New Roman" w:cs="Segoe UI"/>
          <w:sz w:val="24"/>
          <w:szCs w:val="24"/>
          <w:lang w:eastAsia="en-GB"/>
        </w:rPr>
        <w:t xml:space="preserve"> </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While there is no clarification on how companies work with internal marketing it is difficult to investigate what the outcome may be. Therefore there is a need for future research and Ahmed and Rafiq (2000) hoped that a clarification of internal marketing can make a more focused empirical work on internal marketing possible. This clarification can also help when companies wish to use internal marketing for relationship building. Ballantyne (2003) argue that there is a need of a relationship-mediated approach in internal marketing. The need for this approach is for example due to that the organizational learning and knowledge renewal is constrained without relationships within the organization. This would mean that having a relationship mediated approach while working with internal marketing aids the learning and knowledge renewal within a company.</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 xml:space="preserve">Using internal marketing for </w:t>
      </w:r>
      <w:r w:rsidR="00C6330A" w:rsidRPr="00C6330A">
        <w:rPr>
          <w:rFonts w:eastAsia="Times New Roman" w:cs="Segoe UI"/>
          <w:b/>
          <w:color w:val="FF0000"/>
          <w:sz w:val="32"/>
          <w:szCs w:val="24"/>
          <w:lang w:eastAsia="en-GB"/>
        </w:rPr>
        <w:t>THE PURPOSE</w:t>
      </w:r>
      <w:r w:rsidRPr="00302290">
        <w:rPr>
          <w:rFonts w:eastAsia="Times New Roman" w:cs="Segoe UI"/>
          <w:color w:val="212529"/>
          <w:sz w:val="24"/>
          <w:szCs w:val="24"/>
          <w:lang w:eastAsia="en-GB"/>
        </w:rPr>
        <w:t xml:space="preserve"> of relationship building within the company is therefore something that has been found to be successful and Bansal et al. (2001, p. 62) state that </w:t>
      </w:r>
      <w:r w:rsidRPr="00302290">
        <w:rPr>
          <w:rFonts w:eastAsia="Times New Roman" w:cs="Segoe UI"/>
          <w:i/>
          <w:iCs/>
          <w:color w:val="212529"/>
          <w:sz w:val="24"/>
          <w:szCs w:val="24"/>
          <w:lang w:eastAsia="en-GB"/>
        </w:rPr>
        <w:t>“If relationship building is indeed the focus, then no factor other than effective internal marketing could be more important to an organization from a strategic viewpoint”</w:t>
      </w:r>
      <w:r w:rsidRPr="00302290">
        <w:rPr>
          <w:rFonts w:eastAsia="Times New Roman" w:cs="Segoe UI"/>
          <w:color w:val="212529"/>
          <w:sz w:val="24"/>
          <w:szCs w:val="24"/>
          <w:lang w:eastAsia="en-GB"/>
        </w:rPr>
        <w:t> As a way for building relationships with customers, relationship marketing have been applied since the beginning of trade and is something that can be used when working with internal customers as well. In Ballantyne´s (2000) article on internal relationship marketing he sees relationship marketing as an approach to internal marketing, this by using the foundation of relationship marketing internally. While discussing the matter theoretically there is no clear view on how companies do this in practice.</w:t>
      </w:r>
    </w:p>
    <w:p w:rsidR="00A701C1" w:rsidRPr="00302290" w:rsidRDefault="00A701C1" w:rsidP="00302290">
      <w:pPr>
        <w:shd w:val="clear" w:color="auto" w:fill="FFFFFF"/>
        <w:spacing w:after="100" w:afterAutospacing="1" w:line="240" w:lineRule="auto"/>
        <w:jc w:val="both"/>
        <w:rPr>
          <w:rFonts w:eastAsia="Times New Roman" w:cs="Segoe UI"/>
          <w:color w:val="212529"/>
          <w:sz w:val="24"/>
          <w:szCs w:val="24"/>
          <w:lang w:eastAsia="en-GB"/>
        </w:rPr>
      </w:pPr>
      <w:r w:rsidRPr="00302290">
        <w:rPr>
          <w:rFonts w:eastAsia="Times New Roman" w:cs="Segoe UI"/>
          <w:color w:val="212529"/>
          <w:sz w:val="24"/>
          <w:szCs w:val="24"/>
          <w:lang w:eastAsia="en-GB"/>
        </w:rPr>
        <w:t>In the article of Ahmed and Rafiq (2003) they see building relationships as an alternative approach to internal marketing and that this may be the right way to explore the area, however this needs substantial further investigation. This would mean an investigation of how internal marketing can be used for building relationships within a company and if it is possible to develop and maintain the essential factors that are needed for relationships to exist. They concluded this issue by raising the question: </w:t>
      </w:r>
      <w:r w:rsidRPr="00302290">
        <w:rPr>
          <w:rFonts w:eastAsia="Times New Roman" w:cs="Segoe UI"/>
          <w:i/>
          <w:iCs/>
          <w:color w:val="212529"/>
          <w:sz w:val="24"/>
          <w:szCs w:val="24"/>
          <w:lang w:eastAsia="en-GB"/>
        </w:rPr>
        <w:t>“How can the company develop an effective process for structuring and managing internal relationships?”</w:t>
      </w:r>
      <w:r w:rsidRPr="00302290">
        <w:rPr>
          <w:rFonts w:eastAsia="Times New Roman" w:cs="Segoe UI"/>
          <w:color w:val="212529"/>
          <w:sz w:val="24"/>
          <w:szCs w:val="24"/>
          <w:lang w:eastAsia="en-GB"/>
        </w:rPr>
        <w:t> As they found no clear answer to this question we find the need to investigate this further.</w:t>
      </w:r>
    </w:p>
    <w:p w:rsidR="00332476" w:rsidRPr="0025040C" w:rsidRDefault="00D24A60" w:rsidP="00332476">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(20) </w:t>
      </w:r>
      <w:r w:rsidR="00332476" w:rsidRPr="0025040C">
        <w:rPr>
          <w:rFonts w:eastAsia="Times New Roman" w:cs="Segoe UI"/>
          <w:b/>
          <w:color w:val="FF0000"/>
          <w:kern w:val="36"/>
          <w:sz w:val="24"/>
          <w:szCs w:val="24"/>
          <w:lang w:eastAsia="en-GB"/>
        </w:rPr>
        <w:t>Teaching dissertation introduction example</w:t>
      </w:r>
    </w:p>
    <w:p w:rsidR="00332476" w:rsidRPr="0025040C" w:rsidRDefault="00332476" w:rsidP="00332476">
      <w:pPr>
        <w:shd w:val="clear" w:color="auto" w:fill="FFFFFF"/>
        <w:spacing w:after="100" w:afterAutospacing="1" w:line="240" w:lineRule="auto"/>
        <w:rPr>
          <w:rFonts w:eastAsia="Times New Roman" w:cs="Segoe UI"/>
          <w:b/>
          <w:color w:val="FF0000"/>
          <w:sz w:val="24"/>
          <w:szCs w:val="24"/>
          <w:lang w:eastAsia="en-GB"/>
        </w:rPr>
      </w:pPr>
      <w:r w:rsidRPr="0025040C">
        <w:rPr>
          <w:rFonts w:eastAsia="Times New Roman" w:cs="Segoe UI"/>
          <w:b/>
          <w:bCs/>
          <w:i/>
          <w:iCs/>
          <w:color w:val="FF0000"/>
          <w:sz w:val="24"/>
          <w:szCs w:val="24"/>
          <w:lang w:eastAsia="en-GB"/>
        </w:rPr>
        <w:t>Gendered Teacher-Student Interactions in EFL College Classrooms</w:t>
      </w:r>
    </w:p>
    <w:p w:rsidR="00332476" w:rsidRPr="0025040C" w:rsidRDefault="00332476" w:rsidP="00332476">
      <w:pPr>
        <w:shd w:val="clear" w:color="auto" w:fill="FFFFFF"/>
        <w:spacing w:after="100" w:afterAutospacing="1" w:line="240" w:lineRule="auto"/>
        <w:outlineLvl w:val="1"/>
        <w:rPr>
          <w:rFonts w:eastAsia="Times New Roman" w:cs="Segoe UI"/>
          <w:b/>
          <w:color w:val="FF0000"/>
          <w:sz w:val="24"/>
          <w:szCs w:val="24"/>
          <w:lang w:eastAsia="en-GB"/>
        </w:rPr>
      </w:pPr>
      <w:r w:rsidRPr="0025040C">
        <w:rPr>
          <w:rFonts w:eastAsia="Times New Roman" w:cs="Segoe UI"/>
          <w:b/>
          <w:color w:val="FF0000"/>
          <w:sz w:val="24"/>
          <w:szCs w:val="24"/>
          <w:lang w:eastAsia="en-GB"/>
        </w:rPr>
        <w:t>Introduction</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Being aware of and recognizing gender issues is of utmost importance for all educators who are interested in equality in opportunities for students to learn and flourish. Gender in EFL classrooms, according to Sunderland (1991) operates at different levels: classroom materials, English language itself, and classroom processes which always interact within a particular political, sociolinguistic and educational context. She further categorizes classroom processes into three different groups: those focusing on teacher-to-student discourse in whole-class-work, those focusing on student-to-teacher discourse in whole-class-work, and those focusing on learner discourse in pair- and group-work.</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Owing to the fact that one of the features of FL classroom that can facilitate learners’ language learning is providing opportunities for learners to communicate in the target language and enabling them to learn the target language through meaningful use of it ; and given that classroom interaction is mainly realized by IRF (teachers’ initiate-students’ respond-teachers’ feedback) structure, where teachers often initiate interaction by asking questions, teachers’ questions cannot only create more interaction activities, but also can prompt students to participate in all kinds of negotiation of meaning (Xiao-yan, 2006). Hence, the manner in which teachers interact with students has received immediate interest by the many researchers who were prompted to study how teachers interact with students in the classroom.</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Similarly, the role of teachers in providing and distributing equal interaction opportunities for all students regardless of their gender, race, and social status … is understood to be of vital importance because they not only offer language practice and leaning opportunities but also help the process of language development itself (Xiao-yan, 2006).</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Needless to say, male and female students should receive equal attention in schools accordingly; however, results of studies of the specifics of teacher-student interactions suggest that notably, and with few exceptions, teachers vary considerably in the quantities of interactions they have with individual students, with boys receiving a quantitatively higher proportion of contacts from teachers across subject areas. In other words, teachers initiate more contacts with boys than with girls and boys initiate more contacts with teachers and they both criticize and praise boys more often than girls (Brophy &amp; Good, 1974; Sadker and Sadker, 1994; Jones &amp; Dindia, 2004). Sadly enough studies suggest that from the very early grades through the university level, female students are victims of subtle bias that manifests itself through teacher interactions and the curriculum although they sit in the same classroom environment and learn the same material (Sadker and Sadker, 1994).</w:t>
      </w:r>
    </w:p>
    <w:p w:rsidR="00332476" w:rsidRPr="0025040C" w:rsidRDefault="00332476" w:rsidP="0025040C">
      <w:pPr>
        <w:shd w:val="clear" w:color="auto" w:fill="FFFFFF"/>
        <w:spacing w:after="100" w:afterAutospacing="1" w:line="240" w:lineRule="auto"/>
        <w:jc w:val="both"/>
        <w:rPr>
          <w:rFonts w:eastAsia="Times New Roman" w:cs="Segoe UI"/>
          <w:sz w:val="24"/>
          <w:szCs w:val="24"/>
          <w:lang w:eastAsia="en-GB"/>
        </w:rPr>
      </w:pPr>
      <w:r w:rsidRPr="0025040C">
        <w:rPr>
          <w:rFonts w:eastAsia="Times New Roman" w:cs="Segoe UI"/>
          <w:color w:val="212529"/>
          <w:sz w:val="24"/>
          <w:szCs w:val="24"/>
          <w:lang w:eastAsia="en-GB"/>
        </w:rPr>
        <w:t>From this perspective, since boys are shown to be gaining an educational advantage over girls by claiming a greater share of the teachers’ time and attention, female students are more likely to have less chance to talk and as a result learn. That is perhaps why Sternglnz and lyberger-Ficek (1977) suggest that women’s apparent low interaction rate may be influential in determining their underrepresentation in postsecondary education. These researchers reason that students who do not interact with their teachers would receive less encouragement and would be less likely to attend graduate school.</w:t>
      </w:r>
      <w:r w:rsidR="0025040C" w:rsidRPr="0025040C">
        <w:rPr>
          <w:rFonts w:eastAsia="Times New Roman" w:cs="Segoe UI"/>
          <w:sz w:val="24"/>
          <w:szCs w:val="24"/>
          <w:lang w:eastAsia="en-GB"/>
        </w:rPr>
        <w:t xml:space="preserve"> </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As the findings of many earlier studies indicate, the various gender-based classroom interaction inequalities that exist could obstruct and even harm knowledge acquisition for males and females (Yepez, 1994). However, despite all the studies done on gender in the classrooms, second language acquisition in adult EFL classrooms and more specifically EFL classrooms in Iran have not received the due attention and scrutiny to uncover the patterns by which EFL teachers interact with genders in their classrooms. So this study attempts to contribute to this need of the field by investigating the interaction patterns of Iranian EFL teachers with male and female college students to firstly ascertain if student gender affects teacher-student interaction in EFL classes and secondly, to assess whether or not EFL teachers are aware of gender treatment in their classroom interactions with male and female students– because as Sadker et al. (1992) states although most teachers believe that they treat girls and boys the same, research indicates that they frequently do not do so.</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Next, a review of the literature underscores the fact that there is little evidence to show whether or not teacher’s gender might affect teacher-student interaction (Good, et al., 1973). Thus one further question that this study seeks to answer is whether teacher’s gender affects his or her interaction with students.</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Moreover, as Duffy, et al (2001) claim, depending on the subject of the class, teachers show to vary their expectations of males and females in languages, and since it is frequently stated that foreign languages tend to be the subjects in which females frequently do well (Sunderland, 1998), another objective of this study then is to examine whether this “differential teacher treatment by gender” (Sunderland, 1998) may be manifested in the foreign language classroom, an environment in which girls are generally thought to outperform boys?</w:t>
      </w:r>
    </w:p>
    <w:p w:rsidR="00332476" w:rsidRPr="0025040C" w:rsidRDefault="00332476" w:rsidP="0025040C">
      <w:pPr>
        <w:shd w:val="clear" w:color="auto" w:fill="FFFFFF"/>
        <w:spacing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Therefore, in the light of preceding arguments, in order to fully understand the place of gender equity in Iranian EFL classrooms at university level, the following objectives of the study were targeted:</w:t>
      </w:r>
    </w:p>
    <w:p w:rsidR="00332476" w:rsidRPr="0025040C" w:rsidRDefault="00332476" w:rsidP="0025040C">
      <w:pPr>
        <w:numPr>
          <w:ilvl w:val="0"/>
          <w:numId w:val="48"/>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To examine the differences in frequency and types of teacher-initiated interactions directed toward girls and boys.</w:t>
      </w:r>
    </w:p>
    <w:p w:rsidR="00332476" w:rsidRPr="0025040C" w:rsidRDefault="00332476" w:rsidP="0025040C">
      <w:pPr>
        <w:numPr>
          <w:ilvl w:val="0"/>
          <w:numId w:val="48"/>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To discover the differences in the frequency and types of interactions directed toward girls and boys between female and male teachers.</w:t>
      </w:r>
    </w:p>
    <w:p w:rsidR="00332476" w:rsidRPr="0025040C" w:rsidRDefault="00332476" w:rsidP="0025040C">
      <w:pPr>
        <w:numPr>
          <w:ilvl w:val="0"/>
          <w:numId w:val="48"/>
        </w:numPr>
        <w:shd w:val="clear" w:color="auto" w:fill="FFFFFF"/>
        <w:spacing w:before="100" w:beforeAutospacing="1" w:after="100" w:afterAutospacing="1" w:line="240" w:lineRule="auto"/>
        <w:jc w:val="both"/>
        <w:rPr>
          <w:rFonts w:eastAsia="Times New Roman" w:cs="Segoe UI"/>
          <w:color w:val="212529"/>
          <w:sz w:val="24"/>
          <w:szCs w:val="24"/>
          <w:lang w:eastAsia="en-GB"/>
        </w:rPr>
      </w:pPr>
      <w:r w:rsidRPr="0025040C">
        <w:rPr>
          <w:rFonts w:eastAsia="Times New Roman" w:cs="Segoe UI"/>
          <w:color w:val="212529"/>
          <w:sz w:val="24"/>
          <w:szCs w:val="24"/>
          <w:lang w:eastAsia="en-GB"/>
        </w:rPr>
        <w:t>To assess teachers’ attitude towards their own treatment of male and female students in class.</w:t>
      </w:r>
    </w:p>
    <w:p w:rsidR="002B3882" w:rsidRPr="003C3594" w:rsidRDefault="00D24A60" w:rsidP="002B3882">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(21) </w:t>
      </w:r>
      <w:r w:rsidR="002B3882" w:rsidRPr="003C3594">
        <w:rPr>
          <w:rFonts w:eastAsia="Times New Roman" w:cs="Segoe UI"/>
          <w:b/>
          <w:color w:val="FF0000"/>
          <w:kern w:val="36"/>
          <w:sz w:val="24"/>
          <w:szCs w:val="24"/>
          <w:lang w:eastAsia="en-GB"/>
        </w:rPr>
        <w:t>Accounting dissertation introduction example</w:t>
      </w:r>
    </w:p>
    <w:p w:rsidR="002B3882" w:rsidRPr="003C3594" w:rsidRDefault="002B3882" w:rsidP="003C3594">
      <w:pPr>
        <w:shd w:val="clear" w:color="auto" w:fill="FFFFFF"/>
        <w:spacing w:after="100" w:afterAutospacing="1" w:line="240" w:lineRule="auto"/>
        <w:jc w:val="both"/>
        <w:outlineLvl w:val="1"/>
        <w:rPr>
          <w:rFonts w:eastAsia="Times New Roman" w:cs="Segoe UI"/>
          <w:color w:val="212529"/>
          <w:sz w:val="24"/>
          <w:szCs w:val="24"/>
          <w:lang w:eastAsia="en-GB"/>
        </w:rPr>
      </w:pPr>
      <w:r w:rsidRPr="003C3594">
        <w:rPr>
          <w:rFonts w:eastAsia="Times New Roman" w:cs="Segoe UI"/>
          <w:color w:val="212529"/>
          <w:sz w:val="24"/>
          <w:szCs w:val="24"/>
          <w:lang w:eastAsia="en-GB"/>
        </w:rPr>
        <w:t>CHAPTER 1</w:t>
      </w:r>
    </w:p>
    <w:p w:rsidR="002B3882" w:rsidRPr="003C3594" w:rsidRDefault="002B3882" w:rsidP="003C3594">
      <w:pPr>
        <w:shd w:val="clear" w:color="auto" w:fill="FFFFFF"/>
        <w:spacing w:after="100" w:afterAutospacing="1" w:line="240" w:lineRule="auto"/>
        <w:jc w:val="both"/>
        <w:outlineLvl w:val="2"/>
        <w:rPr>
          <w:rFonts w:eastAsia="Times New Roman" w:cs="Segoe UI"/>
          <w:color w:val="212529"/>
          <w:sz w:val="24"/>
          <w:szCs w:val="24"/>
          <w:lang w:eastAsia="en-GB"/>
        </w:rPr>
      </w:pPr>
      <w:r w:rsidRPr="003C3594">
        <w:rPr>
          <w:rFonts w:eastAsia="Times New Roman" w:cs="Segoe UI"/>
          <w:color w:val="212529"/>
          <w:sz w:val="24"/>
          <w:szCs w:val="24"/>
          <w:lang w:eastAsia="en-GB"/>
        </w:rPr>
        <w:t>INTRODUCTION</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1.1 Introduction</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In many emerging markets, capital market is one of the most significant tools to measure the economic growth. Stoica</w:t>
      </w:r>
      <w:r w:rsidR="003C3594">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(2002) disclosed that a good capital market is an efficient economic mechanism that organizes the monetary resources between the money providers and the users. Effective mobilization and allocation of fund enable businesses to sustain its growth and development in a country such as the stock market, which promotes capital efficiency to ensure optimal output (Osinubi,</w:t>
      </w:r>
      <w:r w:rsidR="003C3594">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2000). The weight of capital market has driven many professionals and academicians; accountants, economists and technologists to document numerous empirical capital market issues. By using quantitative or qualitative analysis, study on capital market covers a wide range of concerns concentrating on the security prices, business failure, company performance and future cash flow (Subrahmanayam, 2010).</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The most popular theme in capital market studies for the new millennium is predicting the corporate failure or financial distress. Studies on corporate failure prediction have been perceived by the government and private companies. As a great cost burden due to the corporate failure affects many individuals; the government is concerned with its total impact on the country’s economy and society, whilst private companies are interested with its corrective and preventive actions (Andreer, 2005).</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Beaver (1966) has defined corporate failure as the inability of the firms to meet their financial obligation as they mature, while Elam (1975), described it as the occurrence of a firm’s total liability exceeding the fair values of its asset. Corporate failure has been known to be defined in numbers of ways, but mainly it refers to the insolvency of a firm. Yusof (2008) identified corporate failure as a synonym with failure to meet financial obligation, debt reorganization, applying bankruptcy protection or even business termination.</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The study of corporate failure was started in the mid 1960’s by William H. Beaver (1966) and Edward I. Altman (1968). As Beaver (1966) claimed that financial statements are the successful bankruptcy predictor by using the univariate analysis. On the other, hand Edward Altman (1968) reviewed the work of other scholar by combining various financial ratios known as The Z-score model (a multivariate analysis). It was reported The Z- score as a better predictor for corporate failure although it has to put up with certain limitations. Since then, a great number of failure prediction models have been established using different types of approaches and frameworks.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Besides prediction model, corporate failure can also be traced through several failure signals at any level of business cycles. Sori, Hamid &amp; Nasir (2005) concluded that, corporate failure is not a sudden event but a cumulative penalty of unsolved hassles. This claim was also supported by Ahmad, Halim, Hamzah and Husni (2008), who revealed in their study that, economical factors, financial factors, marketing deficiencies, corporate fraud and human error were the logical factors that expose a business to the corporate failure.</w:t>
      </w:r>
    </w:p>
    <w:p w:rsidR="002B3882" w:rsidRPr="003C3594" w:rsidRDefault="002B3882" w:rsidP="00B55D1A">
      <w:pPr>
        <w:shd w:val="clear" w:color="auto" w:fill="FFFFFF"/>
        <w:spacing w:after="100" w:afterAutospacing="1" w:line="240" w:lineRule="auto"/>
        <w:jc w:val="both"/>
        <w:rPr>
          <w:rFonts w:eastAsia="Times New Roman" w:cs="Segoe UI"/>
          <w:sz w:val="24"/>
          <w:szCs w:val="24"/>
          <w:lang w:eastAsia="en-GB"/>
        </w:rPr>
      </w:pPr>
      <w:r w:rsidRPr="003C3594">
        <w:rPr>
          <w:rFonts w:eastAsia="Times New Roman" w:cs="Segoe UI"/>
          <w:color w:val="212529"/>
          <w:sz w:val="24"/>
          <w:szCs w:val="24"/>
          <w:lang w:eastAsia="en-GB"/>
        </w:rPr>
        <w:t>The incidences such as long period’s poor performance, insufficient company’s cash, (Ahmad et al.,2008; Sori et al.,2005), high leverage, bad management, new company (Sori et al,2005; Andre and Kaplan, 1998; Heng et al.;1995; Kharbanda and Stallworthy, 1985; Argenti, 1976), competition (Heng et al.;1995) creative accounting (Sori et al,2005) fraud, unstrategic location, and economic downturn condition (Andre and Kaplan, 1998; Kharbanda and Stallworthy, 1985; Argenti, 1976) are among the potential indicators that leads to business failure. Failed companies are frequently associated with the initial defects in their management which lead to poor decision making and finally causing financial deterioration and insolvency. It was suggested that a company’s management should forecast any declining activity and resolve the situation so that early actions can be taken as a precaution (Andreica, Andreica, &amp; Andreica, 2009).</w:t>
      </w:r>
      <w:r w:rsidR="00B55D1A" w:rsidRPr="003C3594">
        <w:rPr>
          <w:rFonts w:eastAsia="Times New Roman" w:cs="Segoe UI"/>
          <w:sz w:val="24"/>
          <w:szCs w:val="24"/>
          <w:lang w:eastAsia="en-GB"/>
        </w:rPr>
        <w:t xml:space="preserve"> </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In Malaysia, there is a great numbers of companies grounded with the aims of making profit and struggling in intense competition. Table 1.1 shows the summary of percentage for Malaysian companies wounded up from 2006 to 2009 compared to newly registered companies issued by the Companies Commission of Malaysia (CCM). It proved that the percentage of post failure anxiety has increased for years.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Table 1.1</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Statistics of Malaysian’s Registered Companies and Winding Up</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Year Registered companies Wound up Companies %</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2006 756,245 955 0.13</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2007 799,582 1276 0.16</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2008 841,205 1450 0.17</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2009 882,843 2013 0.23</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SSM report 2006 – 2009</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Note. The percentage is calculated by dividing the numbers of winding up companies over registered companies.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Malaysian stock market is known as Bursa Malaysia and it is governed by the Securities Commission (SC) while Malaysian companies are bound under Companies Act 1965 and administrated by CCM. According to section 218(2) of the Companies Act 1965, insolvency occurs when a company is unable to pay debts and it affects the allocation of the company to the external administration.</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In Malaysia, according to section 182-192 of the Companies Act 1965 there are three types of external administration which are the receivership; providing a way for creditors to securely receive their money; scheme of arrangement involves structured proposal by the company to re-negotiate or reschedule its debts and other contractual agreements with the creditors and winding up imply an insolvency practitioners selling off the company’s asset and distributing the proceeds among the company’s creditors which finally resulted to dissolve the company (Sulaiman, Bidin, Hanrahan, Ramsay, &amp; Stapledon, 2008). Malaysian listed companies are temporarily suspended and given a chance to restructure by Bursa Malaysia and SC instead of filing for bankruptcy (Haat et al., 2005).</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Currently, there are almost 1000 companies listed at Bursa Malaysia, however, only several are financially sound. These listed companies must fulfil Bursa Malaysia’s Listing Requirements. Both company’s financial position and business direction can change to either end of the extremes fail or success. Therefore Bursa Malaysia has issued a Practice Note 17/2005 (PN 17) in managing those companies that are in a financially sound position or absent of a core business or has failed to meet minimum capital or equity (not less than 25% of the paid up capital. Companies that are categorized under PN17 (Prior to 2005, it was classified under PN4) have to reorganize and recover the company by presenting their proposal to the Bursa Malaysia in maintaining their listing status.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Paragraphs 8.04(2) of the Listing Requirements under Practice Notes 17/2005 amended 2009 states that, public listed company which triggered any one or more of the following prescribed criteria can be a signal to be listed under PN17:</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(a) </w:t>
      </w:r>
      <w:r w:rsidR="0043089C" w:rsidRPr="003C3594">
        <w:rPr>
          <w:rFonts w:eastAsia="Times New Roman" w:cs="Segoe UI"/>
          <w:color w:val="212529"/>
          <w:sz w:val="24"/>
          <w:szCs w:val="24"/>
          <w:lang w:eastAsia="en-GB"/>
        </w:rPr>
        <w:t>The</w:t>
      </w:r>
      <w:r w:rsidRPr="003C3594">
        <w:rPr>
          <w:rFonts w:eastAsia="Times New Roman" w:cs="Segoe UI"/>
          <w:color w:val="212529"/>
          <w:sz w:val="24"/>
          <w:szCs w:val="24"/>
          <w:lang w:eastAsia="en-GB"/>
        </w:rPr>
        <w:t xml:space="preserve"> shareholders’ equity of the listed issuer on a consolidated basis is 25% or less of the issued and paid-up capital (excluding treasury shares) of the listed issuer and such shareholders’ equity is less than RM40 million;</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(b) </w:t>
      </w:r>
      <w:r w:rsidR="0043089C">
        <w:rPr>
          <w:rFonts w:eastAsia="Times New Roman" w:cs="Segoe UI"/>
          <w:color w:val="212529"/>
          <w:sz w:val="24"/>
          <w:szCs w:val="24"/>
          <w:lang w:eastAsia="en-GB"/>
        </w:rPr>
        <w:t>R</w:t>
      </w:r>
      <w:r w:rsidRPr="003C3594">
        <w:rPr>
          <w:rFonts w:eastAsia="Times New Roman" w:cs="Segoe UI"/>
          <w:color w:val="212529"/>
          <w:sz w:val="24"/>
          <w:szCs w:val="24"/>
          <w:lang w:eastAsia="en-GB"/>
        </w:rPr>
        <w:t>eceivers or managers have been appointed over the asset of the listed issuer, its subsidiary or associated company which asset accounts for at least 50% of the total assets employed of the listed issuer on a consolidated basis;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(c) </w:t>
      </w:r>
      <w:r w:rsidR="0043089C">
        <w:rPr>
          <w:rFonts w:eastAsia="Times New Roman" w:cs="Segoe UI"/>
          <w:color w:val="212529"/>
          <w:sz w:val="24"/>
          <w:szCs w:val="24"/>
          <w:lang w:eastAsia="en-GB"/>
        </w:rPr>
        <w:t>A</w:t>
      </w:r>
      <w:r w:rsidRPr="003C3594">
        <w:rPr>
          <w:rFonts w:eastAsia="Times New Roman" w:cs="Segoe UI"/>
          <w:color w:val="212529"/>
          <w:sz w:val="24"/>
          <w:szCs w:val="24"/>
          <w:lang w:eastAsia="en-GB"/>
        </w:rPr>
        <w:t xml:space="preserve"> winding up of a listed issuer’s subsidiary or associated company which accounts for at least 50% of the total assets employed of the listed issuer on a consolidated basis;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(d) </w:t>
      </w:r>
      <w:r w:rsidR="0043089C">
        <w:rPr>
          <w:rFonts w:eastAsia="Times New Roman" w:cs="Segoe UI"/>
          <w:color w:val="212529"/>
          <w:sz w:val="24"/>
          <w:szCs w:val="24"/>
          <w:lang w:eastAsia="en-GB"/>
        </w:rPr>
        <w:t>T</w:t>
      </w:r>
      <w:r w:rsidRPr="003C3594">
        <w:rPr>
          <w:rFonts w:eastAsia="Times New Roman" w:cs="Segoe UI"/>
          <w:color w:val="212529"/>
          <w:sz w:val="24"/>
          <w:szCs w:val="24"/>
          <w:lang w:eastAsia="en-GB"/>
        </w:rPr>
        <w:t>he auditors have expressed an adverse or disclaimer opinion in the listed issuer’s latest audited financial statements;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(e) </w:t>
      </w:r>
      <w:r w:rsidR="0043089C">
        <w:rPr>
          <w:rFonts w:eastAsia="Times New Roman" w:cs="Segoe UI"/>
          <w:color w:val="212529"/>
          <w:sz w:val="24"/>
          <w:szCs w:val="24"/>
          <w:lang w:eastAsia="en-GB"/>
        </w:rPr>
        <w:t>T</w:t>
      </w:r>
      <w:r w:rsidRPr="003C3594">
        <w:rPr>
          <w:rFonts w:eastAsia="Times New Roman" w:cs="Segoe UI"/>
          <w:color w:val="212529"/>
          <w:sz w:val="24"/>
          <w:szCs w:val="24"/>
          <w:lang w:eastAsia="en-GB"/>
        </w:rPr>
        <w:t>he auditors have expressed a modified opinion with emphasis on the listed issuer’s going concern in the listed issuer’s latest audited financial statements and the shareholders’ equity of the listed issuer on a consolidated basis is 50% or less of the issued and paid-up capital (excluding treasury shares) of the listed issuer;</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(f) </w:t>
      </w:r>
      <w:r w:rsidR="0043089C">
        <w:rPr>
          <w:rFonts w:eastAsia="Times New Roman" w:cs="Segoe UI"/>
          <w:color w:val="212529"/>
          <w:sz w:val="24"/>
          <w:szCs w:val="24"/>
          <w:lang w:eastAsia="en-GB"/>
        </w:rPr>
        <w:t>A</w:t>
      </w:r>
      <w:r w:rsidRPr="003C3594">
        <w:rPr>
          <w:rFonts w:eastAsia="Times New Roman" w:cs="Segoe UI"/>
          <w:color w:val="212529"/>
          <w:sz w:val="24"/>
          <w:szCs w:val="24"/>
          <w:lang w:eastAsia="en-GB"/>
        </w:rPr>
        <w:t xml:space="preserve"> default in payment by a listed issuer, its major subsidiary or major associated company, as the case may be, as announced by a listed issuer pursuant to Practice Note 1 and the listed issuer is unable to provide a solvency declaration to the Exchange;</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(g) </w:t>
      </w:r>
      <w:r w:rsidR="0043089C">
        <w:rPr>
          <w:rFonts w:eastAsia="Times New Roman" w:cs="Segoe UI"/>
          <w:color w:val="212529"/>
          <w:sz w:val="24"/>
          <w:szCs w:val="24"/>
          <w:lang w:eastAsia="en-GB"/>
        </w:rPr>
        <w:t>T</w:t>
      </w:r>
      <w:r w:rsidRPr="003C3594">
        <w:rPr>
          <w:rFonts w:eastAsia="Times New Roman" w:cs="Segoe UI"/>
          <w:color w:val="212529"/>
          <w:sz w:val="24"/>
          <w:szCs w:val="24"/>
          <w:lang w:eastAsia="en-GB"/>
        </w:rPr>
        <w:t>he listed issuer has suspended or ceased –</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(i) </w:t>
      </w:r>
      <w:r w:rsidR="0043089C">
        <w:rPr>
          <w:rFonts w:eastAsia="Times New Roman" w:cs="Segoe UI"/>
          <w:color w:val="212529"/>
          <w:sz w:val="24"/>
          <w:szCs w:val="24"/>
          <w:lang w:eastAsia="en-GB"/>
        </w:rPr>
        <w:t>A</w:t>
      </w:r>
      <w:r w:rsidRPr="003C3594">
        <w:rPr>
          <w:rFonts w:eastAsia="Times New Roman" w:cs="Segoe UI"/>
          <w:color w:val="212529"/>
          <w:sz w:val="24"/>
          <w:szCs w:val="24"/>
          <w:lang w:eastAsia="en-GB"/>
        </w:rPr>
        <w:t>ll of its business or its major business; or</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(ii) </w:t>
      </w:r>
      <w:r w:rsidR="0043089C">
        <w:rPr>
          <w:rFonts w:eastAsia="Times New Roman" w:cs="Segoe UI"/>
          <w:color w:val="212529"/>
          <w:sz w:val="24"/>
          <w:szCs w:val="24"/>
          <w:lang w:eastAsia="en-GB"/>
        </w:rPr>
        <w:t>I</w:t>
      </w:r>
      <w:r w:rsidRPr="003C3594">
        <w:rPr>
          <w:rFonts w:eastAsia="Times New Roman" w:cs="Segoe UI"/>
          <w:color w:val="212529"/>
          <w:sz w:val="24"/>
          <w:szCs w:val="24"/>
          <w:lang w:eastAsia="en-GB"/>
        </w:rPr>
        <w:t>ts entire or major operations,</w:t>
      </w:r>
    </w:p>
    <w:p w:rsidR="002B3882" w:rsidRPr="003C3594" w:rsidRDefault="0043089C" w:rsidP="003C3594">
      <w:pPr>
        <w:shd w:val="clear" w:color="auto" w:fill="FFFFFF"/>
        <w:spacing w:after="100" w:afterAutospacing="1" w:line="240" w:lineRule="auto"/>
        <w:jc w:val="both"/>
        <w:rPr>
          <w:rFonts w:eastAsia="Times New Roman" w:cs="Segoe UI"/>
          <w:color w:val="212529"/>
          <w:sz w:val="24"/>
          <w:szCs w:val="24"/>
          <w:lang w:eastAsia="en-GB"/>
        </w:rPr>
      </w:pPr>
      <w:r>
        <w:rPr>
          <w:rFonts w:eastAsia="Times New Roman" w:cs="Segoe UI"/>
          <w:color w:val="212529"/>
          <w:sz w:val="24"/>
          <w:szCs w:val="24"/>
          <w:lang w:eastAsia="en-GB"/>
        </w:rPr>
        <w:t>F</w:t>
      </w:r>
      <w:r w:rsidR="002B3882" w:rsidRPr="003C3594">
        <w:rPr>
          <w:rFonts w:eastAsia="Times New Roman" w:cs="Segoe UI"/>
          <w:color w:val="212529"/>
          <w:sz w:val="24"/>
          <w:szCs w:val="24"/>
          <w:lang w:eastAsia="en-GB"/>
        </w:rPr>
        <w:t>or any reasons whatsoever including, amongst others, due to or as a result of –</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w:t>
      </w:r>
      <w:proofErr w:type="gramStart"/>
      <w:r w:rsidRPr="003C3594">
        <w:rPr>
          <w:rFonts w:eastAsia="Times New Roman" w:cs="Segoe UI"/>
          <w:color w:val="212529"/>
          <w:sz w:val="24"/>
          <w:szCs w:val="24"/>
          <w:lang w:eastAsia="en-GB"/>
        </w:rPr>
        <w:t>aa</w:t>
      </w:r>
      <w:proofErr w:type="gramEnd"/>
      <w:r w:rsidRPr="003C3594">
        <w:rPr>
          <w:rFonts w:eastAsia="Times New Roman" w:cs="Segoe UI"/>
          <w:color w:val="212529"/>
          <w:sz w:val="24"/>
          <w:szCs w:val="24"/>
          <w:lang w:eastAsia="en-GB"/>
        </w:rPr>
        <w:t>) the cancellation, loss or non-renewal of a license, concession or such other rights necessary to conduct its business activities;</w:t>
      </w:r>
    </w:p>
    <w:p w:rsidR="002B3882" w:rsidRPr="003C3594" w:rsidRDefault="002B3882" w:rsidP="0043089C">
      <w:pPr>
        <w:shd w:val="clear" w:color="auto" w:fill="FFFFFF"/>
        <w:spacing w:after="100" w:afterAutospacing="1" w:line="240" w:lineRule="auto"/>
        <w:jc w:val="both"/>
        <w:rPr>
          <w:rFonts w:eastAsia="Times New Roman" w:cs="Segoe UI"/>
          <w:sz w:val="24"/>
          <w:szCs w:val="24"/>
          <w:lang w:eastAsia="en-GB"/>
        </w:rPr>
      </w:pPr>
      <w:r w:rsidRPr="003C3594">
        <w:rPr>
          <w:rFonts w:eastAsia="Times New Roman" w:cs="Segoe UI"/>
          <w:color w:val="212529"/>
          <w:sz w:val="24"/>
          <w:szCs w:val="24"/>
          <w:lang w:eastAsia="en-GB"/>
        </w:rPr>
        <w:t>(</w:t>
      </w:r>
      <w:proofErr w:type="gramStart"/>
      <w:r w:rsidRPr="003C3594">
        <w:rPr>
          <w:rFonts w:eastAsia="Times New Roman" w:cs="Segoe UI"/>
          <w:color w:val="212529"/>
          <w:sz w:val="24"/>
          <w:szCs w:val="24"/>
          <w:lang w:eastAsia="en-GB"/>
        </w:rPr>
        <w:t>bb</w:t>
      </w:r>
      <w:proofErr w:type="gramEnd"/>
      <w:r w:rsidRPr="003C3594">
        <w:rPr>
          <w:rFonts w:eastAsia="Times New Roman" w:cs="Segoe UI"/>
          <w:color w:val="212529"/>
          <w:sz w:val="24"/>
          <w:szCs w:val="24"/>
          <w:lang w:eastAsia="en-GB"/>
        </w:rPr>
        <w:t>) the disposal of the listed issuer’s business or major business; or</w:t>
      </w:r>
      <w:r w:rsidR="0043089C" w:rsidRPr="003C3594">
        <w:rPr>
          <w:rFonts w:eastAsia="Times New Roman" w:cs="Segoe UI"/>
          <w:sz w:val="24"/>
          <w:szCs w:val="24"/>
          <w:lang w:eastAsia="en-GB"/>
        </w:rPr>
        <w:t xml:space="preserve"> </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(cc) a court order or judgment obtained against the listed issuer prohibiting the listed issuer from conducting its major operations on grounds of infringement of copyright of products etc; or</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(h) </w:t>
      </w:r>
      <w:r w:rsidR="0043089C">
        <w:rPr>
          <w:rFonts w:eastAsia="Times New Roman" w:cs="Segoe UI"/>
          <w:color w:val="212529"/>
          <w:sz w:val="24"/>
          <w:szCs w:val="24"/>
          <w:lang w:eastAsia="en-GB"/>
        </w:rPr>
        <w:t>T</w:t>
      </w:r>
      <w:r w:rsidRPr="003C3594">
        <w:rPr>
          <w:rFonts w:eastAsia="Times New Roman" w:cs="Segoe UI"/>
          <w:color w:val="212529"/>
          <w:sz w:val="24"/>
          <w:szCs w:val="24"/>
          <w:lang w:eastAsia="en-GB"/>
        </w:rPr>
        <w:t>he listed issuer has an insignificant business or operations</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1.2 Problem Statement</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Corporate failures are perceived as development problem for economic environments (Altman et al., 1979). Opoku (2011) reported that, the world corporate failure rate is increasing due to the economic deceleration resulting from the 2007 credit crunch that have affected the United States’s housing sector. On the other hand, the Deputy Chief Executive Officer (CEO) of CCM Rokiah Mohd Noor states that 11,631 registered companies in Malaysia recorded losses which lead to bankruptcy in the first six months in 2010, surpassing the total of 11,409 companies in 2009 (The Star online, 15 August 2010). Rokiah also revealed that, the failed company has increased due to the increasing numbers of companies registered with CCM and failing due to internal; individual problems or companies as a whole rather than current economic factors. Thus, it shows Malaysia has an exceptional basis for the corporate failures. This disclosure also calls for a need to provide the corporate failure alarm in order to sustain the Malaysian economic development.</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In the developed countries, companies’ performances are evaluated using different models. These models are useful information-gathering facility for the shareholders and potential investors, thus allowing them to make efficient decision. The documented findings on corporate failures from developed countries contribute to the firm’s failure characteristics. Nevertheless, the findings mentioned above are inappropriate for Malaysian companies. These are due to the variations in the market composition, political atmosphere, social economics features, rules and law provision and execution as well as the accounting standards used in Malaysia.</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In Malaysia, studies on the prediction of bankruptcy and financial distress among companies have received the scholars’ attention. Yet, the differences among these studies are its argumentation regarding definitions of financial distress, the methodologies that had been used and the sectors that the companies were listed. For instance study performed by Fauzias and Chin, (2001) applied in manufacturing companies, on the other hand Zulkarnain and Karbhari (2004) focused on mixed industry. Low et al. (2001) defined the failure term based on section 176 Companies Act 1965 whereas Tew and Enylina, (2005), and Mohmad Isa et al., (2005) defined companies under PN4 Bursa Malaysia as the distress companies. Low et.al (2001) employed logit analysis statistical towards mix sample while, Zulkarnain and Karbhari,</w:t>
      </w:r>
      <w:r w:rsidR="0043089C">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(2004), and Chin, (2005) employed the same multiple discriminant statistical approach.</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However, it is vital to further scrutinize the topic due to the following reasons. Firstly, although the studies on this dynamic financial distress have been conducted in many countries for several years, there is no solid guidance or definite theory underlying the selection of the appropriate ratios to be used (Yap, Yong, &amp; Poon, 2010). Furthermore, the absence of conformity regarding the selection ground for the ratio promotes more study on predicting corporate failure. Therefore, the previous researchers claim the prediction approval by presenting reasonable degree of predictive accuracy. As a result, none of them argued that neither the model nor the selected ratios are the best. Abdullah and Nasir (2004) disclosed that, most of the studies on evaluating the firm performance using accrual and cash flow measures are inclusive throughout countries and time.</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Prior studies of predicting corporate bankruptcy and financial distress using ratio analysis have selected the financial ratios from the company financial statements. The facts about the ability of the balance sheet, income statement or cash flows statement in providing accurate inferences on a company’s financial condition are not questionable but the analyses depended on only the cash flow statements or the accrual statements i.e. the balance sheet and the income statement, may be misinterpreted and ambiguous. Studies by Viscione (1985), Bowen &amp; Daley (1986), Deachow (1994) and Cotter (1996) have given recognition to the fact that accrual data i.e. the balance sheet and the income statement are the best predictor while Baever (1966), Deakin (1972), Lee (1982), Casey &amp; Bartezak (1985) and Low et al. (2001) have shown that promoting cash flow information is a more significant predictor.</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Those researchers who supported accrual accounting claims that accrual statement provides better indicator of the company’s capability in generating current and future desirable cash flows (Habib, 2008). Viscione (1985), revealed that the prediction using cash flow can be manipulated. Viscione argument has been supported by Bowen &amp; Daley (1986) as they pointed out that cash flow is just a secondary source in making decisions. In Malaysia, several studies have also agreed with the function of accrual in predicting the company performance as suggested by Mohd, Li &amp; Sanda</w:t>
      </w:r>
      <w:r w:rsidR="0043089C">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(2001) and Zulkifli (2001).</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There is a contradiction against the famous belief that earnings are not an illustration of the actual cash that a firm may create over a given time period (Ibbarra, 2009). The cash Flow is considered as the best served information due to its ability to portray the company’s ability to survive with the absence of any innumerable issues. Negative signal will reveal if most cash is derived from financing activities with the tendency of defaulting debt is higher.</w:t>
      </w:r>
    </w:p>
    <w:p w:rsidR="002B3882" w:rsidRPr="003C3594" w:rsidRDefault="002B3882" w:rsidP="0043089C">
      <w:pPr>
        <w:shd w:val="clear" w:color="auto" w:fill="FFFFFF"/>
        <w:spacing w:after="100" w:afterAutospacing="1" w:line="240" w:lineRule="auto"/>
        <w:jc w:val="both"/>
        <w:rPr>
          <w:rFonts w:eastAsia="Times New Roman" w:cs="Segoe UI"/>
          <w:sz w:val="24"/>
          <w:szCs w:val="24"/>
          <w:lang w:eastAsia="en-GB"/>
        </w:rPr>
      </w:pPr>
      <w:r w:rsidRPr="003C3594">
        <w:rPr>
          <w:rFonts w:eastAsia="Times New Roman" w:cs="Segoe UI"/>
          <w:color w:val="212529"/>
          <w:sz w:val="24"/>
          <w:szCs w:val="24"/>
          <w:lang w:eastAsia="en-GB"/>
        </w:rPr>
        <w:t>Subsequently the significance of cash flow has been endorsed by other studies such as Deakin (1972), Lee (1982), Casey &amp; Bartezak (1985) and Low et al.</w:t>
      </w:r>
      <w:r w:rsidR="0043089C">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(2001). The benefits of the cash flow as bankruptcy’s predictor have been recognized and reported in the financial literatures. Based on empirical evidence, the analysis of Laker Airways cash flow from its operation showed that the potential failure of the company can be discovered three years prior the crash.</w:t>
      </w:r>
      <w:r w:rsidR="0043089C">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(Lee,</w:t>
      </w:r>
      <w:r w:rsidR="0043089C">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1982).</w:t>
      </w:r>
      <w:r w:rsidR="0043089C" w:rsidRPr="003C3594">
        <w:rPr>
          <w:rFonts w:eastAsia="Times New Roman" w:cs="Segoe UI"/>
          <w:sz w:val="24"/>
          <w:szCs w:val="24"/>
          <w:lang w:eastAsia="en-GB"/>
        </w:rPr>
        <w:t xml:space="preserve"> </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 xml:space="preserve">This paper depicts a dynamic prediction model by establishing a hybrid bankruptcy model. Pan (2010) used the term hybrid in his study on predicting the stock price where by combining principal component regression (PCR) model and general regression neural network, Pan tried to solve the </w:t>
      </w:r>
      <w:r w:rsidR="0043089C" w:rsidRPr="003C3594">
        <w:rPr>
          <w:rFonts w:eastAsia="Times New Roman" w:cs="Segoe UI"/>
          <w:color w:val="212529"/>
          <w:sz w:val="24"/>
          <w:szCs w:val="24"/>
          <w:lang w:eastAsia="en-GB"/>
        </w:rPr>
        <w:t>multicollinearity</w:t>
      </w:r>
      <w:r w:rsidRPr="003C3594">
        <w:rPr>
          <w:rFonts w:eastAsia="Times New Roman" w:cs="Segoe UI"/>
          <w:color w:val="212529"/>
          <w:sz w:val="24"/>
          <w:szCs w:val="24"/>
          <w:lang w:eastAsia="en-GB"/>
        </w:rPr>
        <w:t xml:space="preserve"> issues. In this study, hybrid means the combination of accrual and cash flow based ratio in predicting the corporate failure. Ratio used in this study represented the most popular ratio’s clusters which are liquidity, profitability, solvency and asset efficiency. The idea comes from the statement by Carslaw &amp; Mills (1991) who claims that the integration of cash flow and accrual data would provide a superior measure of performance. The summarization of problem statement is being illustrated in Figure 1-1</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Figure 1-1 Problem statement framework</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1.3 Objective of the study</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Main Objectives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The main objectives of this study is to develop the corporate failure prediction model for Malaysian companies associates the accrual based and cash flow based ratio.</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Specific objectives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Specific objectives of this study are as follows: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a. To examine the relationship between accrual based and cash flow based ratios for each category</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b. To examine the significant relationship of the financial ratios</w:t>
      </w:r>
      <w:r w:rsidR="0043089C">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(selected in this study) as the corporate failure predictor.</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 To examine the accuracy of the failure prediction model for Malaysian companies from one year up to five years prior to failure.</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1.4 Scope of the study</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This study covers the companies which have been listed as PN 17 companies in 2010 representing the failure companies. In addition, the companies which are not listed in PN17 are also being selected as non</w:t>
      </w:r>
      <w:r w:rsidR="0043089C">
        <w:rPr>
          <w:rFonts w:eastAsia="Times New Roman" w:cs="Segoe UI"/>
          <w:color w:val="212529"/>
          <w:sz w:val="24"/>
          <w:szCs w:val="24"/>
          <w:lang w:eastAsia="en-GB"/>
        </w:rPr>
        <w:t>-</w:t>
      </w:r>
      <w:r w:rsidRPr="003C3594">
        <w:rPr>
          <w:rFonts w:eastAsia="Times New Roman" w:cs="Segoe UI"/>
          <w:color w:val="212529"/>
          <w:sz w:val="24"/>
          <w:szCs w:val="24"/>
          <w:lang w:eastAsia="en-GB"/>
        </w:rPr>
        <w:t>failure companies. The selection of the non</w:t>
      </w:r>
      <w:r w:rsidR="0043089C">
        <w:rPr>
          <w:rFonts w:eastAsia="Times New Roman" w:cs="Segoe UI"/>
          <w:color w:val="212529"/>
          <w:sz w:val="24"/>
          <w:szCs w:val="24"/>
          <w:lang w:eastAsia="en-GB"/>
        </w:rPr>
        <w:t>-</w:t>
      </w:r>
      <w:r w:rsidRPr="003C3594">
        <w:rPr>
          <w:rFonts w:eastAsia="Times New Roman" w:cs="Segoe UI"/>
          <w:color w:val="212529"/>
          <w:sz w:val="24"/>
          <w:szCs w:val="24"/>
          <w:lang w:eastAsia="en-GB"/>
        </w:rPr>
        <w:t>failure is based on the similarities of industry registered under Bursa Malaysia Berhad. The scope of the study is restricted to five years; 2005 to 2009, mainly with the hope that the ratio model may provide an alarm signal of the failure prior three to five years of their failure.</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1.5 Significance of the study</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Financial distress can trigger bankruptcy while bankruptcy can cause enormous damages to shareholders and stakeholders if left unattended. In fact, developing the company financial distress and bankruptcy benchmark is very important. The benchmark will help to initiate the awareness of the stakeholders. In developing a reliable benchmark of financial distress, obtaining the bankruptcy information is very crucial. The truth and sufficient information will give the company and its stakeholder to the correct direction.</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Currently, financial statement is the main information regarding the company’s financial strength and performance and the use of ratios to predict financial variables and performance is believes one of accounting evolution (Giacomino, Don, Mielke, &amp; David, 1993). Moreover, the evolution in the accessibility of data and arithmetical techniques facilitate the corporate failure prediction development.</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By having an appropriate knowledge about the corporate failure, managers and other stakeholders may have an exposure regarding their business challenges in the future. Subsequently, it will help the manager to distribute the resources effectively and conduct their undertaking efficiently. These are among the important strength of ‘good companies’ as most of failed companies are misallocation of their available resource (Aharony,</w:t>
      </w:r>
      <w:r w:rsidR="0043089C">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1980)</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As a result, the impressive ability of the business and its manager in dealing with the business future challenges can boost the company’s profit along with minimizing the company’s cost. This in turn will benefit the owners and shareholders as it will have a positive effect in raising the value of their shares.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As the potential investors, bankruptcy information can be one of the tools used in selecting their investment. They may use this predictor model to evaluate and monitor the performance of the stock. They will also be able to access their potential returns that reflect with the risk to be suffered.</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While from a lender’s point of view, obtaining superior understanding about factors affecting company distress and bankruptcy, specific risks for the company can be accessed. As the creditors are concerned with the burden of unhealthy loans and the premium value needed to accept those threat, while lenders want to borrow at lowest promising rates.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As for Government, detecting the business failure helps the government to provide some remedial actions since those failures are connected with several parties and great numbers of costs. Besides that, the government is concerned with the total impact towards the country’s economy and social as a whole.</w:t>
      </w:r>
      <w:r w:rsidR="00F342FE">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(Andreer</w:t>
      </w:r>
      <w:proofErr w:type="gramStart"/>
      <w:r w:rsidRPr="003C3594">
        <w:rPr>
          <w:rFonts w:eastAsia="Times New Roman" w:cs="Segoe UI"/>
          <w:color w:val="212529"/>
          <w:sz w:val="24"/>
          <w:szCs w:val="24"/>
          <w:lang w:eastAsia="en-GB"/>
        </w:rPr>
        <w:t>,2005</w:t>
      </w:r>
      <w:proofErr w:type="gramEnd"/>
      <w:r w:rsidRPr="003C3594">
        <w:rPr>
          <w:rFonts w:eastAsia="Times New Roman" w:cs="Segoe UI"/>
          <w:color w:val="212529"/>
          <w:sz w:val="24"/>
          <w:szCs w:val="24"/>
          <w:lang w:eastAsia="en-GB"/>
        </w:rPr>
        <w:t>)</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The benefits of corporate failure prediction discussed in this study are beneficial to many parties. Perhaps, by having greater number of corporate failure study in Malaysia it will help to identify and constructs Malaysian failure company characteristics.</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1.6 Contribution of the study</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This paper attempt to contribute another dimension of analyzing the company financial distress warning signals for Malaysian company using a hybrid approach; combination between accrual based and cash flow based ratio. By using this hybrid approach, the users of financial statement can maximize the usage of all the information disclosed by the company. In this study, a new variable, return on invested capital (ROIC) has been introduced and tested. Clausen &amp; Hermansen</w:t>
      </w:r>
      <w:r w:rsidR="00F342FE">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(2011) demonstrate ROIC is more persistent measurement tool in evaluating company performance. ROIC also has been reported as an important indicator of company valuation (Silverstein, Johnson and Mizrakjian,</w:t>
      </w:r>
      <w:r w:rsidR="00F342FE">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1996; Jiang &amp; Koller,</w:t>
      </w:r>
      <w:r w:rsidR="00F342FE">
        <w:rPr>
          <w:rFonts w:eastAsia="Times New Roman" w:cs="Segoe UI"/>
          <w:color w:val="212529"/>
          <w:sz w:val="24"/>
          <w:szCs w:val="24"/>
          <w:lang w:eastAsia="en-GB"/>
        </w:rPr>
        <w:t xml:space="preserve"> </w:t>
      </w:r>
      <w:r w:rsidRPr="003C3594">
        <w:rPr>
          <w:rFonts w:eastAsia="Times New Roman" w:cs="Segoe UI"/>
          <w:color w:val="212529"/>
          <w:sz w:val="24"/>
          <w:szCs w:val="24"/>
          <w:lang w:eastAsia="en-GB"/>
        </w:rPr>
        <w:t>2007)</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1.7 Organization of the study</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The remaining of this paper has been organized in the following manner:</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Chapter two presents reviews of the literatures on bankruptcy and corporate failure prediction and past studies on using the accrual and cash flow as the failure predictor in general as well as in Malaysia.</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Chapter three discusses the development of hypotheses to be tested in this study, the selection of sample firms, the data collection, the variables and their measurements, and finally, the regression model employed.</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Chapter four presents the descriptive statistics of the variables used in this study, the analysis and findings of the regression models, and a summary of the results.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Finally, Chapter five concludes the study, and includes limitations of the study as well as suggestions for possible future research.</w:t>
      </w:r>
    </w:p>
    <w:p w:rsidR="002B3882" w:rsidRPr="003C3594" w:rsidRDefault="002B3882" w:rsidP="003C3594">
      <w:pPr>
        <w:shd w:val="clear" w:color="auto" w:fill="FFFFFF"/>
        <w:spacing w:after="100" w:afterAutospacing="1" w:line="240" w:lineRule="auto"/>
        <w:jc w:val="both"/>
        <w:outlineLvl w:val="3"/>
        <w:rPr>
          <w:rFonts w:eastAsia="Times New Roman" w:cs="Segoe UI"/>
          <w:color w:val="212529"/>
          <w:sz w:val="24"/>
          <w:szCs w:val="24"/>
          <w:lang w:eastAsia="en-GB"/>
        </w:rPr>
      </w:pPr>
      <w:r w:rsidRPr="003C3594">
        <w:rPr>
          <w:rFonts w:eastAsia="Times New Roman" w:cs="Segoe UI"/>
          <w:color w:val="212529"/>
          <w:sz w:val="24"/>
          <w:szCs w:val="24"/>
          <w:lang w:eastAsia="en-GB"/>
        </w:rPr>
        <w:t>1.8 Summary of the Chapter</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This chapter discusses the current corporate failure prediction environment and related issues arose such as an exceptional factor for Malaysia, numerous model used, unguided failure term definition and the argumentation on accrual and cash flow ratios.</w:t>
      </w:r>
    </w:p>
    <w:p w:rsidR="002B3882" w:rsidRPr="003C3594" w:rsidRDefault="002B3882" w:rsidP="003C3594">
      <w:pPr>
        <w:shd w:val="clear" w:color="auto" w:fill="FFFFFF"/>
        <w:spacing w:after="100" w:afterAutospacing="1" w:line="240" w:lineRule="auto"/>
        <w:jc w:val="both"/>
        <w:rPr>
          <w:rFonts w:eastAsia="Times New Roman" w:cs="Segoe UI"/>
          <w:color w:val="212529"/>
          <w:sz w:val="24"/>
          <w:szCs w:val="24"/>
          <w:lang w:eastAsia="en-GB"/>
        </w:rPr>
      </w:pPr>
      <w:r w:rsidRPr="003C3594">
        <w:rPr>
          <w:rFonts w:eastAsia="Times New Roman" w:cs="Segoe UI"/>
          <w:color w:val="212529"/>
          <w:sz w:val="24"/>
          <w:szCs w:val="24"/>
          <w:lang w:eastAsia="en-GB"/>
        </w:rPr>
        <w:t>This chapter also discusses the aim of the study on the development of the corporate failure prediction model for Malaysian companies. Three specific objectives which have been identified were also discussed.</w:t>
      </w:r>
    </w:p>
    <w:p w:rsidR="002B3882" w:rsidRPr="003C3594" w:rsidRDefault="002B3882" w:rsidP="0033185F">
      <w:pPr>
        <w:shd w:val="clear" w:color="auto" w:fill="FFFFFF"/>
        <w:spacing w:after="100" w:afterAutospacing="1" w:line="240" w:lineRule="auto"/>
        <w:jc w:val="both"/>
        <w:rPr>
          <w:rFonts w:eastAsia="Times New Roman" w:cs="Segoe UI"/>
          <w:sz w:val="24"/>
          <w:szCs w:val="24"/>
          <w:lang w:eastAsia="en-GB"/>
        </w:rPr>
      </w:pPr>
      <w:r w:rsidRPr="003C3594">
        <w:rPr>
          <w:rFonts w:eastAsia="Times New Roman" w:cs="Segoe UI"/>
          <w:color w:val="212529"/>
          <w:sz w:val="24"/>
          <w:szCs w:val="24"/>
          <w:lang w:eastAsia="en-GB"/>
        </w:rPr>
        <w:t>Since the definition of the failed company used is referred to PN17, this chapter also discusses the criteria’s of the listed company to be classified as PN 17 companies. In Malaysia, there is a distinctive definition between bankrupt, restructured and winding up companies.</w:t>
      </w:r>
      <w:r w:rsidR="0033185F" w:rsidRPr="003C3594">
        <w:rPr>
          <w:rFonts w:eastAsia="Times New Roman" w:cs="Segoe UI"/>
          <w:sz w:val="24"/>
          <w:szCs w:val="24"/>
          <w:lang w:eastAsia="en-GB"/>
        </w:rPr>
        <w:t xml:space="preserve"> </w:t>
      </w:r>
    </w:p>
    <w:p w:rsidR="00E8342B" w:rsidRDefault="00E8342B" w:rsidP="00890338">
      <w:pPr>
        <w:shd w:val="clear" w:color="auto" w:fill="FFFFFF"/>
        <w:spacing w:after="100" w:afterAutospacing="1" w:line="240" w:lineRule="auto"/>
        <w:outlineLvl w:val="0"/>
        <w:rPr>
          <w:rFonts w:eastAsia="Times New Roman" w:cs="Segoe UI"/>
          <w:b/>
          <w:color w:val="FF0000"/>
          <w:kern w:val="36"/>
          <w:sz w:val="24"/>
          <w:szCs w:val="24"/>
          <w:lang w:eastAsia="en-GB"/>
        </w:rPr>
      </w:pPr>
    </w:p>
    <w:p w:rsidR="00E8342B" w:rsidRDefault="00E8342B" w:rsidP="00890338">
      <w:pPr>
        <w:shd w:val="clear" w:color="auto" w:fill="FFFFFF"/>
        <w:spacing w:after="100" w:afterAutospacing="1" w:line="240" w:lineRule="auto"/>
        <w:outlineLvl w:val="0"/>
        <w:rPr>
          <w:rFonts w:eastAsia="Times New Roman" w:cs="Segoe UI"/>
          <w:b/>
          <w:color w:val="FF0000"/>
          <w:kern w:val="36"/>
          <w:sz w:val="24"/>
          <w:szCs w:val="24"/>
          <w:lang w:eastAsia="en-GB"/>
        </w:rPr>
      </w:pPr>
    </w:p>
    <w:p w:rsidR="00E8342B" w:rsidRDefault="00E8342B" w:rsidP="00890338">
      <w:pPr>
        <w:shd w:val="clear" w:color="auto" w:fill="FFFFFF"/>
        <w:spacing w:after="100" w:afterAutospacing="1" w:line="240" w:lineRule="auto"/>
        <w:outlineLvl w:val="0"/>
        <w:rPr>
          <w:rFonts w:eastAsia="Times New Roman" w:cs="Segoe UI"/>
          <w:b/>
          <w:color w:val="FF0000"/>
          <w:kern w:val="36"/>
          <w:sz w:val="24"/>
          <w:szCs w:val="24"/>
          <w:lang w:eastAsia="en-GB"/>
        </w:rPr>
      </w:pPr>
    </w:p>
    <w:p w:rsidR="00E8342B" w:rsidRDefault="00E8342B" w:rsidP="00890338">
      <w:pPr>
        <w:shd w:val="clear" w:color="auto" w:fill="FFFFFF"/>
        <w:spacing w:after="100" w:afterAutospacing="1" w:line="240" w:lineRule="auto"/>
        <w:outlineLvl w:val="0"/>
        <w:rPr>
          <w:rFonts w:eastAsia="Times New Roman" w:cs="Segoe UI"/>
          <w:b/>
          <w:color w:val="FF0000"/>
          <w:kern w:val="36"/>
          <w:sz w:val="24"/>
          <w:szCs w:val="24"/>
          <w:lang w:eastAsia="en-GB"/>
        </w:rPr>
      </w:pPr>
    </w:p>
    <w:p w:rsidR="00890338" w:rsidRPr="00E8342B" w:rsidRDefault="00D24A60" w:rsidP="00890338">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(22) </w:t>
      </w:r>
      <w:r w:rsidR="00890338" w:rsidRPr="00E8342B">
        <w:rPr>
          <w:rFonts w:eastAsia="Times New Roman" w:cs="Segoe UI"/>
          <w:b/>
          <w:color w:val="FF0000"/>
          <w:kern w:val="36"/>
          <w:sz w:val="24"/>
          <w:szCs w:val="24"/>
          <w:lang w:eastAsia="en-GB"/>
        </w:rPr>
        <w:t>Business dissertation introduction example</w:t>
      </w:r>
    </w:p>
    <w:p w:rsidR="00890338" w:rsidRPr="00E8342B" w:rsidRDefault="00890338" w:rsidP="00E8342B">
      <w:pPr>
        <w:shd w:val="clear" w:color="auto" w:fill="FFFFFF"/>
        <w:spacing w:after="100" w:afterAutospacing="1" w:line="240" w:lineRule="auto"/>
        <w:jc w:val="both"/>
        <w:outlineLvl w:val="1"/>
        <w:rPr>
          <w:rFonts w:eastAsia="Times New Roman" w:cs="Segoe UI"/>
          <w:color w:val="212529"/>
          <w:sz w:val="24"/>
          <w:szCs w:val="24"/>
          <w:lang w:eastAsia="en-GB"/>
        </w:rPr>
      </w:pPr>
      <w:r w:rsidRPr="00E8342B">
        <w:rPr>
          <w:rFonts w:eastAsia="Times New Roman" w:cs="Segoe UI"/>
          <w:b/>
          <w:bCs/>
          <w:color w:val="212529"/>
          <w:sz w:val="24"/>
          <w:szCs w:val="24"/>
          <w:lang w:eastAsia="en-GB"/>
        </w:rPr>
        <w:t>1.0 Introduction</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The ultimate goal of an organisation is to maximise the shareholders’ returns by enlarging their market share through selling more products also expand market segments (De Wit and Meyer, 2004). Strategy is a long term direction to maintain an organisation to stay forefront in the globalisation of an industry (Johnson and Scholes, 1999). Corporate strategy is concerned with organisation overall purpose and scope to meet the expectations of shareholders and add value to the operating business within organisation (Johnson and Scholes, 1999). The objective of corporate strategy evolved from merely staying ahead competitors to synergy business units by optimum utilisation organisation’s resources and expansion (Lynch, 2000). As the result, organisation must continuously seek new and improved ways to attract customers globally ahead their competitors (Solomon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2009).</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Porter’s five competitive forces model discussed the bargaining power of buyers, the bargaining power of suppliers, the rivalry among existing competitors, the threat of substitute products and the threat of new entrants has control and influence to any industry (Ogawara </w:t>
      </w:r>
      <w:r w:rsidRPr="00E8342B">
        <w:rPr>
          <w:rFonts w:eastAsia="Times New Roman" w:cs="Segoe UI"/>
          <w:i/>
          <w:iCs/>
          <w:color w:val="212529"/>
          <w:sz w:val="24"/>
          <w:szCs w:val="24"/>
          <w:lang w:eastAsia="en-GB"/>
        </w:rPr>
        <w:t>et. al., </w:t>
      </w:r>
      <w:r w:rsidRPr="00E8342B">
        <w:rPr>
          <w:rFonts w:eastAsia="Times New Roman" w:cs="Segoe UI"/>
          <w:color w:val="212529"/>
          <w:sz w:val="24"/>
          <w:szCs w:val="24"/>
          <w:lang w:eastAsia="en-GB"/>
        </w:rPr>
        <w:t>2003; Porter, 1998), grocery retailing is not in exception.</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The bargaining power of buyers in the grocery retailing is strong, especially in metropolitan areas where the numbers of grocery retailers and hypermarkets are widely available. Unlike services by subscription which engaged customer a period of time, the switching cost for consumers to change grocery stores is low. Consumers can decide which stores to shop easily. Product information and price are advertised in the media such as local newspapers and leaflets which ease buyers to compare before shopping. Grocery shopping habit is changing, consumers usually check and compare products among hypermarkets prior they decide where to shop. Unfavourably, the bargaining power of suppliers is relatively low due to the volume purchased by hypermarkets commonly in bulk, i.e. hypermarket can demand manufacturers to produce their own private label at quantity discount (Ogawara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2003).</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Rivalry among existing competitors is rather strong. The grocery industry is characterised as a high competition with an average of one to two percent thin profit margins (Delaney-Klinger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2003), at the same time dealing with highly perishable such as meats and fishes and fragile products such as cheese etc (Turban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2008). Several reputable grocers such as Giant, Carrefour and Mydin have been scrambling for the same markets through price cut to sustain their position in the market as price leaders. Recently, news reported that Mydin had raised Ringgit Malaysia 1.4 billion for its expansion plan to set up additional 14 hypermarkets in the next three years (Leong, 2011). Traditional grocery retailers have entered the online market in the anticipation that the convenience of online shopping and home delivery as one fulfilment alternative that will make grocery a profitable to grocery retailers and a complementary market channel to consumers (Lim </w:t>
      </w:r>
      <w:r w:rsidRPr="00E8342B">
        <w:rPr>
          <w:rFonts w:eastAsia="Times New Roman" w:cs="Segoe UI"/>
          <w:i/>
          <w:iCs/>
          <w:color w:val="212529"/>
          <w:sz w:val="24"/>
          <w:szCs w:val="24"/>
          <w:lang w:eastAsia="en-GB"/>
        </w:rPr>
        <w:t>et. al., </w:t>
      </w:r>
      <w:r w:rsidRPr="00E8342B">
        <w:rPr>
          <w:rFonts w:eastAsia="Times New Roman" w:cs="Segoe UI"/>
          <w:color w:val="212529"/>
          <w:sz w:val="24"/>
          <w:szCs w:val="24"/>
          <w:lang w:eastAsia="en-GB"/>
        </w:rPr>
        <w:t>2009).</w:t>
      </w:r>
    </w:p>
    <w:p w:rsidR="00890338" w:rsidRPr="00E8342B" w:rsidRDefault="00890338" w:rsidP="00E8342B">
      <w:pPr>
        <w:shd w:val="clear" w:color="auto" w:fill="FFFFFF"/>
        <w:spacing w:after="100" w:afterAutospacing="1" w:line="240" w:lineRule="auto"/>
        <w:jc w:val="both"/>
        <w:rPr>
          <w:rFonts w:eastAsia="Times New Roman" w:cs="Segoe UI"/>
          <w:sz w:val="24"/>
          <w:szCs w:val="24"/>
          <w:lang w:eastAsia="en-GB"/>
        </w:rPr>
      </w:pPr>
      <w:r w:rsidRPr="00E8342B">
        <w:rPr>
          <w:rFonts w:eastAsia="Times New Roman" w:cs="Segoe UI"/>
          <w:color w:val="212529"/>
          <w:sz w:val="24"/>
          <w:szCs w:val="24"/>
          <w:lang w:eastAsia="en-GB"/>
        </w:rPr>
        <w:t>The barrier of entry to establish large scale hypermarkets is high in Malaysia as the initial cost to establish a hypermarket premises and provide free parking facilities is high. Abundance of convenience stores like 7 eleven which operates 24/7 and food speciality supermarket i.e. Jaya Grocer and Cold Storage which focuses to provide premium grade of grocery products to consumers normally located at high density housing areas such as apartment and condominium is the threat of substitute to grocery retailer like Tesco stores. On the other hand, the initial cost to establish a small scale grocery shop in neighbourhood is considered low, some outskirt areas consumers still opt to purchase grocery products from grocery shops near their houses.</w:t>
      </w:r>
      <w:r w:rsidR="00E8342B" w:rsidRPr="00E8342B">
        <w:rPr>
          <w:rFonts w:eastAsia="Times New Roman" w:cs="Segoe UI"/>
          <w:sz w:val="24"/>
          <w:szCs w:val="24"/>
          <w:lang w:eastAsia="en-GB"/>
        </w:rPr>
        <w:t xml:space="preserve"> </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In view of the forces becoming strong, transaction volume become a key to profitability at the same time improves bargaining power towards suppliers in the low margin industry. For all these reasons, grocery retailers see the need of extending their supply chain for grocery retailing to face the challenge at the same time differentiates themselves from their competitors. Technology affects competitive advantage if it has a significant role in determining relative cost position or differentiation (Porter, 1998). E-commerce increases the barrier of entry and insulates from substitutes yet improves profitability in any industry (Porter, 1998). Online grocery shopping acts as an alternative to high investment physical stores building and restricted zoning (Morganosky and Cude, 2002) at the same time reduces expenses on sales associates to achieve more cost effectiveness (Solomon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2009). Grocery retailers can reach huge number of customers through online grocery retailing channel which served as an additional channel to increase sales volume, particular customers which limited by geographic and mobility constraints (Solomon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2009; Turban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2008).</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In the beginning, internet provides information and facilitates communication between retailers and customers (Miyazaki and Fernandez, 2001). Friedman (2006) reveals the world is flat in today fiercely competitive global marketplace. The internet is a global phenomenon, making both time and distance irrelevant to business exchanges between retailers and consumers (Friedman, 2006; Grunert and Ramus, 2005; Guriting and Ndubisi, 2006; Kurnia and Chien, 2003). Online businesses started to emerge in the mid-1990s when technical savvy organisations responded to the opportunities and challenge posed by the internet websites to serve their customers from homes, i.e. internet banking (Doherty and Ellis-Chadwick, 2010; Morganosky and Cude, 2000). Business-to-customer (B2C) online commerce is the online exchange between organisation (Retailers) and individual consumers (Solomon </w:t>
      </w:r>
      <w:r w:rsidRPr="00E8342B">
        <w:rPr>
          <w:rFonts w:eastAsia="Times New Roman" w:cs="Segoe UI"/>
          <w:i/>
          <w:iCs/>
          <w:color w:val="212529"/>
          <w:sz w:val="24"/>
          <w:szCs w:val="24"/>
          <w:lang w:eastAsia="en-GB"/>
        </w:rPr>
        <w:t>et. al., </w:t>
      </w:r>
      <w:r w:rsidRPr="00E8342B">
        <w:rPr>
          <w:rFonts w:eastAsia="Times New Roman" w:cs="Segoe UI"/>
          <w:color w:val="212529"/>
          <w:sz w:val="24"/>
          <w:szCs w:val="24"/>
          <w:lang w:eastAsia="en-GB"/>
        </w:rPr>
        <w:t>2009). Falling prices of personal computers and laptops makes online shopping a more easy option for the majority populations (Hernandez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2011). The scenario consequently contributes to the rapid increase in online grocery shopping dispersion, particular broadband penetration rises (Hernandez </w:t>
      </w:r>
      <w:r w:rsidRPr="00E8342B">
        <w:rPr>
          <w:rFonts w:eastAsia="Times New Roman" w:cs="Segoe UI"/>
          <w:i/>
          <w:iCs/>
          <w:color w:val="212529"/>
          <w:sz w:val="24"/>
          <w:szCs w:val="24"/>
          <w:lang w:eastAsia="en-GB"/>
        </w:rPr>
        <w:t>et. al., </w:t>
      </w:r>
      <w:r w:rsidRPr="00E8342B">
        <w:rPr>
          <w:rFonts w:eastAsia="Times New Roman" w:cs="Segoe UI"/>
          <w:color w:val="212529"/>
          <w:sz w:val="24"/>
          <w:szCs w:val="24"/>
          <w:lang w:eastAsia="en-GB"/>
        </w:rPr>
        <w:t>2011; Kilby, 2006) and decrease of broadband charges (The Star, 2011).</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Online shopping is the exchange between retailers and consumers via the internet (Picot-Coupey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2009). It unites the new technologies and the new behavioural patterns into new way of shopping or acceptance allows retailers to supply product information and offer sales directly to its targeted and existing customers through electronic means (Suki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2008). Online shopping has grown significantly since mid</w:t>
      </w:r>
      <w:r w:rsidR="00C1783E">
        <w:rPr>
          <w:rFonts w:eastAsia="Times New Roman" w:cs="Segoe UI"/>
          <w:color w:val="212529"/>
          <w:sz w:val="24"/>
          <w:szCs w:val="24"/>
          <w:lang w:eastAsia="en-GB"/>
        </w:rPr>
        <w:t>-</w:t>
      </w:r>
      <w:r w:rsidRPr="00E8342B">
        <w:rPr>
          <w:rFonts w:eastAsia="Times New Roman" w:cs="Segoe UI"/>
          <w:color w:val="212529"/>
          <w:sz w:val="24"/>
          <w:szCs w:val="24"/>
          <w:lang w:eastAsia="en-GB"/>
        </w:rPr>
        <w:t>1990s (Doherty and Ellis-Chadwick, 2010). Online shopping is moving rapidly from a hobby to most of consumers’ lives (Doherty and Ellis-Chadwick, 2010). Online shopping channel acts as a value added technology which believes will attract more customers at the same time retain the existing customers (Porter, 1998; Solomon, 2009). Nonetheless, online shopping is a double sword edge tool in grocery business as it allows grocery retailers to reach more customer segments however it also increase the business exposure and market transparency as all the information, especially competing price is published on the website whereby there is no restriction on access includes competitors (Pechtl, 2003; Solomon, 2009).</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Internet helps to promote products and services in a wider reach and flexible channel (Doherty and Ellis-Chadwick, 2010) includes grocery products, i.e., www.peapod.com, www.sainsburystoyou.com and www.tesco.com. The earliest grocery retailers offered home delivery services begin in the United States followed by supermarket shopping through internet to the late 1980s (Kurnia and Chien, 2003; Morganosky and Cude, 2000). The involvement of internet consumer shopping grocery over internet rose from 6 percent to 14 percent (Nielsen, 2008). Online grocery shopping is predicted to continue growing into the future could potentially remodel the commercial world thus dominance in global markets (Doherty and Ellis-Chadwick, 2010). It is noticeable that one of the most successful online shopping website, Amazon.com had started its recent foray into online grocery shopping to attract customers increase more frequent visits to their websites (Turban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2008). In business strategy, online grocery shopping can be used as a defensive strategy to avoid pure online grocery retailers from pinching the existing market share (Turban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2008). In addition, online shopping channel also increases organisation’s brand recognition and reputation by maintaining an internet presence (Turban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2008).</w:t>
      </w:r>
    </w:p>
    <w:p w:rsidR="00890338" w:rsidRPr="00E8342B" w:rsidRDefault="00890338" w:rsidP="00C1783E">
      <w:pPr>
        <w:shd w:val="clear" w:color="auto" w:fill="FFFFFF"/>
        <w:spacing w:after="100" w:afterAutospacing="1" w:line="240" w:lineRule="auto"/>
        <w:jc w:val="both"/>
        <w:rPr>
          <w:rFonts w:eastAsia="Times New Roman" w:cs="Segoe UI"/>
          <w:sz w:val="24"/>
          <w:szCs w:val="24"/>
          <w:lang w:eastAsia="en-GB"/>
        </w:rPr>
      </w:pPr>
      <w:r w:rsidRPr="00E8342B">
        <w:rPr>
          <w:rFonts w:eastAsia="Times New Roman" w:cs="Segoe UI"/>
          <w:color w:val="212529"/>
          <w:sz w:val="24"/>
          <w:szCs w:val="24"/>
          <w:lang w:eastAsia="en-GB"/>
        </w:rPr>
        <w:t>Everyone eats and need to purchase food products hence grocery industry in operated in a fragmented and highly competitive environment but huge market (Delaney-Klinger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2003). There is an increasing number of consumers accepted online shopping for grocery products. In Japan, traditional grocery retailers have been challenged by a wave of internet grocery retailer since 1996, online grocery shopping has become the latest delivery channel (Ogawara </w:t>
      </w:r>
      <w:r w:rsidRPr="00E8342B">
        <w:rPr>
          <w:rFonts w:eastAsia="Times New Roman" w:cs="Segoe UI"/>
          <w:i/>
          <w:iCs/>
          <w:color w:val="212529"/>
          <w:sz w:val="24"/>
          <w:szCs w:val="24"/>
          <w:lang w:eastAsia="en-GB"/>
        </w:rPr>
        <w:t>et. al., </w:t>
      </w:r>
      <w:r w:rsidRPr="00E8342B">
        <w:rPr>
          <w:rFonts w:eastAsia="Times New Roman" w:cs="Segoe UI"/>
          <w:color w:val="212529"/>
          <w:sz w:val="24"/>
          <w:szCs w:val="24"/>
          <w:lang w:eastAsia="en-GB"/>
        </w:rPr>
        <w:t>2003). Similarly in South Korea, 99 percent of internet users shopped online (Suki </w:t>
      </w:r>
      <w:r w:rsidRPr="00E8342B">
        <w:rPr>
          <w:rFonts w:eastAsia="Times New Roman" w:cs="Segoe UI"/>
          <w:i/>
          <w:iCs/>
          <w:color w:val="212529"/>
          <w:sz w:val="24"/>
          <w:szCs w:val="24"/>
          <w:lang w:eastAsia="en-GB"/>
        </w:rPr>
        <w:t>et. al.</w:t>
      </w:r>
      <w:r w:rsidRPr="00E8342B">
        <w:rPr>
          <w:rFonts w:eastAsia="Times New Roman" w:cs="Segoe UI"/>
          <w:color w:val="212529"/>
          <w:sz w:val="24"/>
          <w:szCs w:val="24"/>
          <w:lang w:eastAsia="en-GB"/>
        </w:rPr>
        <w:t>, 2008) and online grocery shopping consists of 50 percent of the online shopper populations (</w:t>
      </w:r>
      <w:r w:rsidRPr="00E8342B">
        <w:rPr>
          <w:rFonts w:eastAsia="Times New Roman" w:cs="Segoe UI"/>
          <w:i/>
          <w:iCs/>
          <w:color w:val="212529"/>
          <w:sz w:val="24"/>
          <w:szCs w:val="24"/>
          <w:lang w:eastAsia="en-GB"/>
        </w:rPr>
        <w:t>Asia Pacific Digital Marketing Yearbook</w:t>
      </w:r>
      <w:r w:rsidRPr="00E8342B">
        <w:rPr>
          <w:rFonts w:eastAsia="Times New Roman" w:cs="Segoe UI"/>
          <w:color w:val="212529"/>
          <w:sz w:val="24"/>
          <w:szCs w:val="24"/>
          <w:lang w:eastAsia="en-GB"/>
        </w:rPr>
        <w:t>, 2009).</w:t>
      </w:r>
      <w:r w:rsidR="00C1783E" w:rsidRPr="00E8342B">
        <w:rPr>
          <w:rFonts w:eastAsia="Times New Roman" w:cs="Segoe UI"/>
          <w:sz w:val="24"/>
          <w:szCs w:val="24"/>
          <w:lang w:eastAsia="en-GB"/>
        </w:rPr>
        <w:t xml:space="preserve"> </w:t>
      </w:r>
    </w:p>
    <w:p w:rsidR="00890338" w:rsidRPr="00E8342B" w:rsidRDefault="00890338" w:rsidP="00E8342B">
      <w:pPr>
        <w:shd w:val="clear" w:color="auto" w:fill="FFFFFF"/>
        <w:spacing w:after="100" w:afterAutospacing="1" w:line="240" w:lineRule="auto"/>
        <w:jc w:val="both"/>
        <w:rPr>
          <w:rFonts w:eastAsia="Times New Roman" w:cs="Segoe UI"/>
          <w:color w:val="212529"/>
          <w:sz w:val="24"/>
          <w:szCs w:val="24"/>
          <w:lang w:eastAsia="en-GB"/>
        </w:rPr>
      </w:pPr>
      <w:r w:rsidRPr="00E8342B">
        <w:rPr>
          <w:rFonts w:eastAsia="Times New Roman" w:cs="Segoe UI"/>
          <w:color w:val="212529"/>
          <w:sz w:val="24"/>
          <w:szCs w:val="24"/>
          <w:lang w:eastAsia="en-GB"/>
        </w:rPr>
        <w:t>Malaysia population reaches 28.3 million in 2010 (</w:t>
      </w:r>
      <w:r w:rsidRPr="00E8342B">
        <w:rPr>
          <w:rFonts w:eastAsia="Times New Roman" w:cs="Segoe UI"/>
          <w:i/>
          <w:iCs/>
          <w:color w:val="212529"/>
          <w:sz w:val="24"/>
          <w:szCs w:val="24"/>
          <w:lang w:eastAsia="en-GB"/>
        </w:rPr>
        <w:t>Department of Statistics Malaysia, </w:t>
      </w:r>
      <w:r w:rsidRPr="00E8342B">
        <w:rPr>
          <w:rFonts w:eastAsia="Times New Roman" w:cs="Segoe UI"/>
          <w:color w:val="212529"/>
          <w:sz w:val="24"/>
          <w:szCs w:val="24"/>
          <w:lang w:eastAsia="en-GB"/>
        </w:rPr>
        <w:t>2010). The highest population is the central region – Selangor, which recorded 5.1 million populations with 4.5 million who lives in urban areas. There were 1.7 million who live in the metropolitan – Kuala Lumpur (</w:t>
      </w:r>
      <w:r w:rsidRPr="00E8342B">
        <w:rPr>
          <w:rFonts w:eastAsia="Times New Roman" w:cs="Segoe UI"/>
          <w:i/>
          <w:iCs/>
          <w:color w:val="212529"/>
          <w:sz w:val="24"/>
          <w:szCs w:val="24"/>
          <w:lang w:eastAsia="en-GB"/>
        </w:rPr>
        <w:t>Department of Statistics Malaysia</w:t>
      </w:r>
      <w:r w:rsidRPr="00E8342B">
        <w:rPr>
          <w:rFonts w:eastAsia="Times New Roman" w:cs="Segoe UI"/>
          <w:color w:val="212529"/>
          <w:sz w:val="24"/>
          <w:szCs w:val="24"/>
          <w:lang w:eastAsia="en-GB"/>
        </w:rPr>
        <w:t>, 2010). Malaysia ranked No. 3 in Asia online shopping with the average online spending amount of USD2</w:t>
      </w:r>
      <w:proofErr w:type="gramStart"/>
      <w:r w:rsidRPr="00E8342B">
        <w:rPr>
          <w:rFonts w:eastAsia="Times New Roman" w:cs="Segoe UI"/>
          <w:color w:val="212529"/>
          <w:sz w:val="24"/>
          <w:szCs w:val="24"/>
          <w:lang w:eastAsia="en-GB"/>
        </w:rPr>
        <w:t>,000</w:t>
      </w:r>
      <w:proofErr w:type="gramEnd"/>
      <w:r w:rsidRPr="00E8342B">
        <w:rPr>
          <w:rFonts w:eastAsia="Times New Roman" w:cs="Segoe UI"/>
          <w:color w:val="212529"/>
          <w:sz w:val="24"/>
          <w:szCs w:val="24"/>
          <w:lang w:eastAsia="en-GB"/>
        </w:rPr>
        <w:t xml:space="preserve"> in the past 12 months (Lim, 2011). Increasing urbanisation and changing lifestyles such as dual income families and singles in Malaysia central region have contributed higher acceptance of online grocery shopping. This statistic has triggered some smaller scale grocery retailers to establish grocery website to serve online shoppers segment. There are three examples, www.virgrocery.com, www.khas.com.my and www.delivery2u.com.my which offer consumer online grocery shopping in Malaysia.</w:t>
      </w:r>
    </w:p>
    <w:p w:rsidR="00990C3C" w:rsidRDefault="00990C3C" w:rsidP="00487B3C">
      <w:pPr>
        <w:shd w:val="clear" w:color="auto" w:fill="FFFFFF"/>
        <w:spacing w:after="100" w:afterAutospacing="1" w:line="240" w:lineRule="auto"/>
        <w:outlineLvl w:val="0"/>
        <w:rPr>
          <w:rFonts w:ascii="Segoe UI" w:eastAsia="Times New Roman" w:hAnsi="Segoe UI" w:cs="Segoe UI"/>
          <w:b/>
          <w:color w:val="FF0000"/>
          <w:kern w:val="36"/>
          <w:sz w:val="48"/>
          <w:szCs w:val="48"/>
          <w:lang w:eastAsia="en-GB"/>
        </w:rPr>
      </w:pPr>
    </w:p>
    <w:p w:rsidR="008E60ED" w:rsidRDefault="008E60ED" w:rsidP="00487B3C">
      <w:pPr>
        <w:shd w:val="clear" w:color="auto" w:fill="FFFFFF"/>
        <w:spacing w:after="100" w:afterAutospacing="1" w:line="240" w:lineRule="auto"/>
        <w:outlineLvl w:val="0"/>
        <w:rPr>
          <w:rFonts w:eastAsia="Times New Roman" w:cs="Segoe UI"/>
          <w:b/>
          <w:color w:val="FF0000"/>
          <w:kern w:val="36"/>
          <w:sz w:val="24"/>
          <w:szCs w:val="24"/>
          <w:lang w:eastAsia="en-GB"/>
        </w:rPr>
      </w:pPr>
    </w:p>
    <w:p w:rsidR="008E60ED" w:rsidRDefault="008E60ED" w:rsidP="00487B3C">
      <w:pPr>
        <w:shd w:val="clear" w:color="auto" w:fill="FFFFFF"/>
        <w:spacing w:after="100" w:afterAutospacing="1" w:line="240" w:lineRule="auto"/>
        <w:outlineLvl w:val="0"/>
        <w:rPr>
          <w:rFonts w:eastAsia="Times New Roman" w:cs="Segoe UI"/>
          <w:b/>
          <w:color w:val="FF0000"/>
          <w:kern w:val="36"/>
          <w:sz w:val="24"/>
          <w:szCs w:val="24"/>
          <w:lang w:eastAsia="en-GB"/>
        </w:rPr>
      </w:pPr>
    </w:p>
    <w:p w:rsidR="00487B3C" w:rsidRPr="00990C3C" w:rsidRDefault="008E60ED" w:rsidP="00487B3C">
      <w:pPr>
        <w:shd w:val="clear" w:color="auto" w:fill="FFFFFF"/>
        <w:spacing w:after="100" w:afterAutospacing="1" w:line="240" w:lineRule="auto"/>
        <w:outlineLvl w:val="0"/>
        <w:rPr>
          <w:rFonts w:eastAsia="Times New Roman" w:cs="Segoe UI"/>
          <w:b/>
          <w:color w:val="FF0000"/>
          <w:kern w:val="36"/>
          <w:sz w:val="24"/>
          <w:szCs w:val="24"/>
          <w:lang w:eastAsia="en-GB"/>
        </w:rPr>
      </w:pPr>
      <w:r>
        <w:rPr>
          <w:rFonts w:eastAsia="Times New Roman" w:cs="Segoe UI"/>
          <w:b/>
          <w:color w:val="FF0000"/>
          <w:kern w:val="36"/>
          <w:sz w:val="24"/>
          <w:szCs w:val="24"/>
          <w:lang w:eastAsia="en-GB"/>
        </w:rPr>
        <w:t xml:space="preserve">(23) </w:t>
      </w:r>
      <w:r w:rsidR="00487B3C" w:rsidRPr="00990C3C">
        <w:rPr>
          <w:rFonts w:eastAsia="Times New Roman" w:cs="Segoe UI"/>
          <w:b/>
          <w:color w:val="FF0000"/>
          <w:kern w:val="36"/>
          <w:sz w:val="24"/>
          <w:szCs w:val="24"/>
          <w:lang w:eastAsia="en-GB"/>
        </w:rPr>
        <w:t>Computer science dissertation introduction example</w:t>
      </w:r>
    </w:p>
    <w:p w:rsidR="00487B3C" w:rsidRPr="00990C3C" w:rsidRDefault="00487B3C" w:rsidP="00990C3C">
      <w:pPr>
        <w:shd w:val="clear" w:color="auto" w:fill="FFFFFF"/>
        <w:spacing w:after="100" w:afterAutospacing="1" w:line="240" w:lineRule="auto"/>
        <w:jc w:val="both"/>
        <w:outlineLvl w:val="1"/>
        <w:rPr>
          <w:rFonts w:eastAsia="Times New Roman" w:cs="Segoe UI"/>
          <w:color w:val="212529"/>
          <w:sz w:val="24"/>
          <w:szCs w:val="24"/>
          <w:lang w:eastAsia="en-GB"/>
        </w:rPr>
      </w:pPr>
      <w:r w:rsidRPr="00990C3C">
        <w:rPr>
          <w:rFonts w:eastAsia="Times New Roman" w:cs="Segoe UI"/>
          <w:color w:val="212529"/>
          <w:sz w:val="24"/>
          <w:szCs w:val="24"/>
          <w:lang w:eastAsia="en-GB"/>
        </w:rPr>
        <w:t>Chapter 1: Introduction</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In recent years, there has been a tremendous growth in the research for doing business by using latest technologies. These new technologies give us a most recent way for running business using information and communication technologies. But now the development of ontology and some related technologies change the whole infrastructure for running a business. This is because these technologies increase the popularity among various researchers working in different areas usually related to knowledge management and knowledge representation.</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By using ontology technology, various practical applications have been developed rather than working on theoretical concepts of business. Ontology plays an important role and is well known in the Artificial Intelligence community. The development of ontology related applications and standards like RDF, OWL gained important momentum in the framework of the popular Semantics Web initiative. In the scientific community, technologies that are much focused on ontology actually exist and are used by many researchers. A variety of official standards and methods are available as well as many latest tools ranging from simple ontology editors to latest framework offering platform for the development of ontology applications.</w:t>
      </w:r>
    </w:p>
    <w:p w:rsidR="00487B3C" w:rsidRPr="00990C3C" w:rsidRDefault="00487B3C" w:rsidP="00990C3C">
      <w:pPr>
        <w:shd w:val="clear" w:color="auto" w:fill="FFFFFF"/>
        <w:spacing w:after="100" w:afterAutospacing="1" w:line="240" w:lineRule="auto"/>
        <w:jc w:val="both"/>
        <w:outlineLvl w:val="2"/>
        <w:rPr>
          <w:rFonts w:eastAsia="Times New Roman" w:cs="Segoe UI"/>
          <w:color w:val="212529"/>
          <w:sz w:val="24"/>
          <w:szCs w:val="24"/>
          <w:lang w:eastAsia="en-GB"/>
        </w:rPr>
      </w:pPr>
      <w:r w:rsidRPr="00990C3C">
        <w:rPr>
          <w:rFonts w:eastAsia="Times New Roman" w:cs="Segoe UI"/>
          <w:color w:val="212529"/>
          <w:sz w:val="24"/>
          <w:szCs w:val="24"/>
          <w:lang w:eastAsia="en-GB"/>
        </w:rPr>
        <w:t>1.1 Background</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Previously, the term ontology was an idea in philosophy which was used to describe the view of being here. But now it has gained more and more interest among researchers in the field of computer science and has become more important and famous in different fields such as database development, knowledgeable engineering, software development, business activities and so on[1]. In 1998, Studer gave an important explanation of ontology in computer science based on Gruber’s research. He described ontology as an open and formal conceptualizing model composed of various objects &amp; classes, their definitions and relationship between these objects and classes. Here, the term ‘open’ means that the conceptions used for developing ontology are clear and assured. Formal indicated that the ontology is easily understood by the computer. In others words we can say that an ontology is described as well as developed in such a manner so everyone can use and understand it. We cannot develop ontology for a single person [2].</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In computer science, an Ontology is defined as a hierarchical structure containing all important and relevant entities, their relationships and the rules which we want to use in any domain. The term ontology that is used in computer science is derived from the word ontology that is used in philosophy. An Ontology that is not attached to a particular problem domain but describes the general entities of that domain is known as </w:t>
      </w:r>
      <w:r w:rsidRPr="00990C3C">
        <w:rPr>
          <w:rFonts w:eastAsia="Times New Roman" w:cs="Segoe UI"/>
          <w:i/>
          <w:iCs/>
          <w:color w:val="212529"/>
          <w:sz w:val="24"/>
          <w:szCs w:val="24"/>
          <w:lang w:eastAsia="en-GB"/>
        </w:rPr>
        <w:t>foundation ontology</w:t>
      </w:r>
      <w:r w:rsidRPr="00990C3C">
        <w:rPr>
          <w:rFonts w:eastAsia="Times New Roman" w:cs="Segoe UI"/>
          <w:color w:val="212529"/>
          <w:sz w:val="24"/>
          <w:szCs w:val="24"/>
          <w:lang w:eastAsia="en-GB"/>
        </w:rPr>
        <w:t> or </w:t>
      </w:r>
      <w:r w:rsidRPr="00990C3C">
        <w:rPr>
          <w:rFonts w:eastAsia="Times New Roman" w:cs="Segoe UI"/>
          <w:i/>
          <w:iCs/>
          <w:color w:val="212529"/>
          <w:sz w:val="24"/>
          <w:szCs w:val="24"/>
          <w:lang w:eastAsia="en-GB"/>
        </w:rPr>
        <w:t>upper ontology </w:t>
      </w:r>
      <w:r w:rsidRPr="00990C3C">
        <w:rPr>
          <w:rFonts w:eastAsia="Times New Roman" w:cs="Segoe UI"/>
          <w:color w:val="212529"/>
          <w:sz w:val="24"/>
          <w:szCs w:val="24"/>
          <w:lang w:eastAsia="en-GB"/>
        </w:rPr>
        <w:t>[2].</w:t>
      </w:r>
    </w:p>
    <w:p w:rsidR="00487B3C" w:rsidRPr="00990C3C" w:rsidRDefault="00487B3C" w:rsidP="00990C3C">
      <w:pPr>
        <w:shd w:val="clear" w:color="auto" w:fill="FFFFFF"/>
        <w:spacing w:after="100" w:afterAutospacing="1" w:line="240" w:lineRule="auto"/>
        <w:jc w:val="both"/>
        <w:outlineLvl w:val="2"/>
        <w:rPr>
          <w:rFonts w:eastAsia="Times New Roman" w:cs="Segoe UI"/>
          <w:color w:val="212529"/>
          <w:sz w:val="24"/>
          <w:szCs w:val="24"/>
          <w:lang w:eastAsia="en-GB"/>
        </w:rPr>
      </w:pPr>
      <w:r w:rsidRPr="00990C3C">
        <w:rPr>
          <w:rFonts w:eastAsia="Times New Roman" w:cs="Segoe UI"/>
          <w:color w:val="212529"/>
          <w:sz w:val="24"/>
          <w:szCs w:val="24"/>
          <w:lang w:eastAsia="en-GB"/>
        </w:rPr>
        <w:t>1.2 Motivation</w:t>
      </w:r>
    </w:p>
    <w:p w:rsidR="00487B3C" w:rsidRPr="00990C3C" w:rsidRDefault="00487B3C" w:rsidP="00990C3C">
      <w:pPr>
        <w:shd w:val="clear" w:color="auto" w:fill="FFFFFF"/>
        <w:spacing w:after="100" w:afterAutospacing="1" w:line="240" w:lineRule="auto"/>
        <w:jc w:val="both"/>
        <w:rPr>
          <w:rFonts w:eastAsia="Times New Roman" w:cs="Segoe UI"/>
          <w:sz w:val="24"/>
          <w:szCs w:val="24"/>
          <w:lang w:eastAsia="en-GB"/>
        </w:rPr>
      </w:pPr>
      <w:r w:rsidRPr="00990C3C">
        <w:rPr>
          <w:rFonts w:eastAsia="Times New Roman" w:cs="Segoe UI"/>
          <w:color w:val="212529"/>
          <w:sz w:val="24"/>
          <w:szCs w:val="24"/>
          <w:lang w:eastAsia="en-GB"/>
        </w:rPr>
        <w:t>Major efforts and techniques are used to change the infrastructure and way of business activities. The use of new technologies such as Semantic Web and Semantic Web Services can easily change the life cycle of a business process. But now the new technologies are derived from the previous technologies and have changed the whole structure of business. Ontology has been proposed as a foundation and an important part for the semantic web. The main function of ontology is to enable knowledge sharing and reuse concepts. Ontology is not only about the database that is used in any business but it is about the concepts and the relationships between these concepts. Ontology is also used to represent the database schemes and for solving complicated problems in different research areas [3].</w:t>
      </w:r>
      <w:r w:rsidR="00990C3C" w:rsidRPr="00990C3C">
        <w:rPr>
          <w:rFonts w:eastAsia="Times New Roman" w:cs="Segoe UI"/>
          <w:sz w:val="24"/>
          <w:szCs w:val="24"/>
          <w:lang w:eastAsia="en-GB"/>
        </w:rPr>
        <w:t xml:space="preserve"> </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As I discussed above, Ontology is a significant as well as main part of the Semantic Webs. The Semantics Webs are used for the extension of the current web in which the given information and data is well defined and organised, so that people and computers works in cooperation. According to Berners- Lee (1999), the important function of Ontologies in semantics web is to encode meaning into web page so that an intelligent agent who wants to use that web page can easily understand the actual function about that page and also give better helpful service to humans as well as organisations [3].</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Ontology is an important key factor for developers as well as researchers. We can use Ontology for describing semantics data which we named as metadata. The important function of semantics web is to combine, share and find information easily, using data from current web. Through ontology we can easily find the relationship between the classes and concepts that we used for developing any software or business activities. We will learn Ontology more in detail in chapter 2.</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The main motivation is to develop Ontology of business activity by combining details of different business activities, developing a common relationship as well as interface between them and develop a common vocabulary. The language that was used for developing ontology is Web Ontology Language (OWL). The syntax used by Web Ontology Language is in Resource Description Framework (RDF) format. We can learn OWL and RDF more in detail in chapter 3.</w:t>
      </w:r>
    </w:p>
    <w:p w:rsidR="00487B3C" w:rsidRPr="00990C3C" w:rsidRDefault="00487B3C" w:rsidP="00990C3C">
      <w:pPr>
        <w:shd w:val="clear" w:color="auto" w:fill="FFFFFF"/>
        <w:spacing w:after="100" w:afterAutospacing="1" w:line="240" w:lineRule="auto"/>
        <w:jc w:val="both"/>
        <w:outlineLvl w:val="2"/>
        <w:rPr>
          <w:rFonts w:eastAsia="Times New Roman" w:cs="Segoe UI"/>
          <w:color w:val="212529"/>
          <w:sz w:val="24"/>
          <w:szCs w:val="24"/>
          <w:lang w:eastAsia="en-GB"/>
        </w:rPr>
      </w:pPr>
      <w:r w:rsidRPr="00990C3C">
        <w:rPr>
          <w:rFonts w:eastAsia="Times New Roman" w:cs="Segoe UI"/>
          <w:color w:val="212529"/>
          <w:sz w:val="24"/>
          <w:szCs w:val="24"/>
          <w:lang w:eastAsia="en-GB"/>
        </w:rPr>
        <w:t>1.3 Aim and Objective</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The overall aim of this thesis is to develop Ontology of a Business Activities by comparing data of different businesses and develop a common vocabulary. In this thesis, we can learn about the concept of ontology and the language as well as syntax used for developing Ontology. The syntax is in RDF format which we used for developing ontology. After which, we have to test the functionality of ontology by developing an interface either in a Windows or web application. As the thesis follows, we can learn more about the concept for the development of ontology and the techniques used for development.</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In order to achieve this aim, we have to follow some important objectives:</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To research different business activities</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To identify entities, elements and concepts of different businesses</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To identify the relationship between them</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To develop a common vocabulary between different businesses</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To critically evaluate the existing specifications to a more structured and common system using XML, OWL or RDF</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Develop an Ontology in RDF format</w:t>
      </w:r>
    </w:p>
    <w:p w:rsidR="00487B3C" w:rsidRPr="00990C3C" w:rsidRDefault="00487B3C" w:rsidP="00990C3C">
      <w:pPr>
        <w:shd w:val="clear" w:color="auto" w:fill="FFFFFF"/>
        <w:spacing w:after="100" w:afterAutospacing="1" w:line="240" w:lineRule="auto"/>
        <w:jc w:val="both"/>
        <w:outlineLvl w:val="2"/>
        <w:rPr>
          <w:rFonts w:eastAsia="Times New Roman" w:cs="Segoe UI"/>
          <w:color w:val="212529"/>
          <w:sz w:val="24"/>
          <w:szCs w:val="24"/>
          <w:lang w:eastAsia="en-GB"/>
        </w:rPr>
      </w:pPr>
      <w:r w:rsidRPr="00990C3C">
        <w:rPr>
          <w:rFonts w:eastAsia="Times New Roman" w:cs="Segoe UI"/>
          <w:color w:val="212529"/>
          <w:sz w:val="24"/>
          <w:szCs w:val="24"/>
          <w:lang w:eastAsia="en-GB"/>
        </w:rPr>
        <w:t>1.4 Contribution</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In the end of the thesis we will learn and develop an ontology using the following functionality:</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We will learn in detail about how ontology is developed step by step in the real world, the importance of ontology and how we can use it in our system for developing business ontology</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The second important thing which we learn from this thesis is the OWL Language and</w:t>
      </w:r>
      <w:proofErr w:type="gramStart"/>
      <w:r w:rsidRPr="00990C3C">
        <w:rPr>
          <w:rFonts w:eastAsia="Times New Roman" w:cs="Segoe UI"/>
          <w:color w:val="212529"/>
          <w:sz w:val="24"/>
          <w:szCs w:val="24"/>
          <w:lang w:eastAsia="en-GB"/>
        </w:rPr>
        <w:t>  how</w:t>
      </w:r>
      <w:proofErr w:type="gramEnd"/>
      <w:r w:rsidRPr="00990C3C">
        <w:rPr>
          <w:rFonts w:eastAsia="Times New Roman" w:cs="Segoe UI"/>
          <w:color w:val="212529"/>
          <w:sz w:val="24"/>
          <w:szCs w:val="24"/>
          <w:lang w:eastAsia="en-GB"/>
        </w:rPr>
        <w:t xml:space="preserve"> we can code in RDF editor for developing ontology</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 We also learn how to test our ontology in real world using Windows or web application after finishing coding in RDF format.</w:t>
      </w:r>
    </w:p>
    <w:p w:rsidR="00487B3C" w:rsidRPr="00990C3C" w:rsidRDefault="00487B3C" w:rsidP="00990C3C">
      <w:pPr>
        <w:shd w:val="clear" w:color="auto" w:fill="FFFFFF"/>
        <w:spacing w:after="100" w:afterAutospacing="1" w:line="240" w:lineRule="auto"/>
        <w:jc w:val="both"/>
        <w:outlineLvl w:val="1"/>
        <w:rPr>
          <w:rFonts w:eastAsia="Times New Roman" w:cs="Segoe UI"/>
          <w:color w:val="212529"/>
          <w:sz w:val="24"/>
          <w:szCs w:val="24"/>
          <w:lang w:eastAsia="en-GB"/>
        </w:rPr>
      </w:pPr>
      <w:r w:rsidRPr="00990C3C">
        <w:rPr>
          <w:rFonts w:eastAsia="Times New Roman" w:cs="Segoe UI"/>
          <w:color w:val="212529"/>
          <w:sz w:val="24"/>
          <w:szCs w:val="24"/>
          <w:lang w:eastAsia="en-GB"/>
        </w:rPr>
        <w:t>1.5 Thesis Organization</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The structure of my thesis is as follows:-</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b/>
          <w:bCs/>
          <w:i/>
          <w:iCs/>
          <w:color w:val="212529"/>
          <w:sz w:val="24"/>
          <w:szCs w:val="24"/>
          <w:lang w:eastAsia="en-GB"/>
        </w:rPr>
        <w:t>Chapter 2. Literature Review</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This chapter begins with the brief history of the semantic web. After brief history we can easily understand the detailed functionality of the semantic web in real world as a business perspective. After that we have to explain the role of ontology in real world .At the end of this chapter we can easily describe the business activities model and function of each step.</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b/>
          <w:bCs/>
          <w:i/>
          <w:iCs/>
          <w:color w:val="212529"/>
          <w:sz w:val="24"/>
          <w:szCs w:val="24"/>
          <w:lang w:eastAsia="en-GB"/>
        </w:rPr>
        <w:t>Chapter 3.</w:t>
      </w:r>
      <w:r w:rsidRPr="00990C3C">
        <w:rPr>
          <w:rFonts w:eastAsia="Times New Roman" w:cs="Segoe UI"/>
          <w:i/>
          <w:iCs/>
          <w:color w:val="212529"/>
          <w:sz w:val="24"/>
          <w:szCs w:val="24"/>
          <w:lang w:eastAsia="en-GB"/>
        </w:rPr>
        <w:t> </w:t>
      </w:r>
      <w:r w:rsidRPr="00990C3C">
        <w:rPr>
          <w:rFonts w:eastAsia="Times New Roman" w:cs="Segoe UI"/>
          <w:b/>
          <w:bCs/>
          <w:i/>
          <w:iCs/>
          <w:color w:val="212529"/>
          <w:sz w:val="24"/>
          <w:szCs w:val="24"/>
          <w:lang w:eastAsia="en-GB"/>
        </w:rPr>
        <w:t>Research Methodology</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In this chapter we discuss about the research methodology. After us getting the theoretical knowledge about our project from chapter 2 we will develop a process model which we have to follow and get start working on our project. Firstly we have to start from the basic requirement of our project and after that we will creates a block diagrams of our project which shows the step by step function as well as implementation of our project. In this chapter we just give the Designing view of our project and some important block diagrams which we have to follow during implementation.</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b/>
          <w:bCs/>
          <w:i/>
          <w:iCs/>
          <w:color w:val="212529"/>
          <w:sz w:val="24"/>
          <w:szCs w:val="24"/>
          <w:lang w:eastAsia="en-GB"/>
        </w:rPr>
        <w:t>Chapter 4.</w:t>
      </w:r>
      <w:r w:rsidRPr="00990C3C">
        <w:rPr>
          <w:rFonts w:eastAsia="Times New Roman" w:cs="Segoe UI"/>
          <w:i/>
          <w:iCs/>
          <w:color w:val="212529"/>
          <w:sz w:val="24"/>
          <w:szCs w:val="24"/>
          <w:lang w:eastAsia="en-GB"/>
        </w:rPr>
        <w:t> </w:t>
      </w:r>
      <w:r w:rsidRPr="00990C3C">
        <w:rPr>
          <w:rFonts w:eastAsia="Times New Roman" w:cs="Segoe UI"/>
          <w:b/>
          <w:bCs/>
          <w:i/>
          <w:iCs/>
          <w:color w:val="212529"/>
          <w:sz w:val="24"/>
          <w:szCs w:val="24"/>
          <w:lang w:eastAsia="en-GB"/>
        </w:rPr>
        <w:t>Implementation and Testing</w:t>
      </w:r>
    </w:p>
    <w:p w:rsidR="00487B3C" w:rsidRPr="00990C3C" w:rsidRDefault="00487B3C" w:rsidP="00990C3C">
      <w:pPr>
        <w:shd w:val="clear" w:color="auto" w:fill="FFFFFF"/>
        <w:spacing w:after="100" w:afterAutospacing="1" w:line="240" w:lineRule="auto"/>
        <w:jc w:val="both"/>
        <w:rPr>
          <w:rFonts w:eastAsia="Times New Roman" w:cs="Segoe UI"/>
          <w:sz w:val="24"/>
          <w:szCs w:val="24"/>
          <w:lang w:eastAsia="en-GB"/>
        </w:rPr>
      </w:pPr>
      <w:r w:rsidRPr="00990C3C">
        <w:rPr>
          <w:rFonts w:eastAsia="Times New Roman" w:cs="Segoe UI"/>
          <w:color w:val="212529"/>
          <w:sz w:val="24"/>
          <w:szCs w:val="24"/>
          <w:lang w:eastAsia="en-GB"/>
        </w:rPr>
        <w:t>In this chapter we will practically implemented the coding part of the project and verify the output of our project. The starting of this chapter is from the language used for the development of the project. After that we have to explain each step how we can use the classes and relationship between these classes in our project. In the last we have to follow the testing phase of our development process. During testing our software we have to see the output of the project and click some snapshots which we have to fix in our thesis so we can easily understand the proper functioning of the software.</w:t>
      </w:r>
      <w:r w:rsidR="00990C3C" w:rsidRPr="00990C3C">
        <w:rPr>
          <w:rFonts w:eastAsia="Times New Roman" w:cs="Segoe UI"/>
          <w:sz w:val="24"/>
          <w:szCs w:val="24"/>
          <w:lang w:eastAsia="en-GB"/>
        </w:rPr>
        <w:t xml:space="preserve"> </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b/>
          <w:bCs/>
          <w:i/>
          <w:iCs/>
          <w:color w:val="212529"/>
          <w:sz w:val="24"/>
          <w:szCs w:val="24"/>
          <w:lang w:eastAsia="en-GB"/>
        </w:rPr>
        <w:t>Chapter 5.</w:t>
      </w:r>
      <w:r w:rsidRPr="00990C3C">
        <w:rPr>
          <w:rFonts w:eastAsia="Times New Roman" w:cs="Segoe UI"/>
          <w:i/>
          <w:iCs/>
          <w:color w:val="212529"/>
          <w:sz w:val="24"/>
          <w:szCs w:val="24"/>
          <w:lang w:eastAsia="en-GB"/>
        </w:rPr>
        <w:t> </w:t>
      </w:r>
      <w:r w:rsidRPr="00990C3C">
        <w:rPr>
          <w:rFonts w:eastAsia="Times New Roman" w:cs="Segoe UI"/>
          <w:b/>
          <w:bCs/>
          <w:i/>
          <w:iCs/>
          <w:color w:val="212529"/>
          <w:sz w:val="24"/>
          <w:szCs w:val="24"/>
          <w:lang w:eastAsia="en-GB"/>
        </w:rPr>
        <w:t>Conclusion</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This chapter gives the conclusion part of the thesis. In this part we have to explain the concluding points which we get during the implementation as well as testing of the project.</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b/>
          <w:bCs/>
          <w:i/>
          <w:iCs/>
          <w:color w:val="212529"/>
          <w:sz w:val="24"/>
          <w:szCs w:val="24"/>
          <w:lang w:eastAsia="en-GB"/>
        </w:rPr>
        <w:t>Chapter 6.</w:t>
      </w:r>
      <w:r w:rsidRPr="00990C3C">
        <w:rPr>
          <w:rFonts w:eastAsia="Times New Roman" w:cs="Segoe UI"/>
          <w:i/>
          <w:iCs/>
          <w:color w:val="212529"/>
          <w:sz w:val="24"/>
          <w:szCs w:val="24"/>
          <w:lang w:eastAsia="en-GB"/>
        </w:rPr>
        <w:t> </w:t>
      </w:r>
      <w:r w:rsidRPr="00990C3C">
        <w:rPr>
          <w:rFonts w:eastAsia="Times New Roman" w:cs="Segoe UI"/>
          <w:b/>
          <w:bCs/>
          <w:i/>
          <w:iCs/>
          <w:color w:val="212529"/>
          <w:sz w:val="24"/>
          <w:szCs w:val="24"/>
          <w:lang w:eastAsia="en-GB"/>
        </w:rPr>
        <w:t>Further Work</w:t>
      </w:r>
    </w:p>
    <w:p w:rsidR="00487B3C" w:rsidRPr="00990C3C" w:rsidRDefault="00487B3C" w:rsidP="00990C3C">
      <w:pPr>
        <w:shd w:val="clear" w:color="auto" w:fill="FFFFFF"/>
        <w:spacing w:after="100" w:afterAutospacing="1" w:line="240" w:lineRule="auto"/>
        <w:jc w:val="both"/>
        <w:rPr>
          <w:rFonts w:eastAsia="Times New Roman" w:cs="Segoe UI"/>
          <w:color w:val="212529"/>
          <w:sz w:val="24"/>
          <w:szCs w:val="24"/>
          <w:lang w:eastAsia="en-GB"/>
        </w:rPr>
      </w:pPr>
      <w:r w:rsidRPr="00990C3C">
        <w:rPr>
          <w:rFonts w:eastAsia="Times New Roman" w:cs="Segoe UI"/>
          <w:color w:val="212529"/>
          <w:sz w:val="24"/>
          <w:szCs w:val="24"/>
          <w:lang w:eastAsia="en-GB"/>
        </w:rPr>
        <w:t>This chapter suggests some of the future work to be done with this thesis which could be useful for further research in this field.</w:t>
      </w:r>
    </w:p>
    <w:p w:rsidR="00A916B8" w:rsidRPr="00990C3C" w:rsidRDefault="00A916B8" w:rsidP="00990C3C">
      <w:pPr>
        <w:spacing w:after="100" w:afterAutospacing="1" w:line="240" w:lineRule="auto"/>
        <w:jc w:val="both"/>
        <w:outlineLvl w:val="3"/>
        <w:rPr>
          <w:rFonts w:eastAsia="Times New Roman" w:cs="Times New Roman"/>
          <w:sz w:val="24"/>
          <w:szCs w:val="24"/>
          <w:lang w:eastAsia="en-GB"/>
        </w:rPr>
      </w:pPr>
    </w:p>
    <w:p w:rsidR="00E67904" w:rsidRPr="00990C3C" w:rsidRDefault="00E67904" w:rsidP="00990C3C">
      <w:pPr>
        <w:jc w:val="both"/>
        <w:rPr>
          <w:sz w:val="24"/>
          <w:szCs w:val="24"/>
        </w:rPr>
      </w:pPr>
    </w:p>
    <w:p w:rsidR="00A916B8" w:rsidRDefault="00A916B8"/>
    <w:sectPr w:rsidR="00A91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EB7"/>
    <w:multiLevelType w:val="multilevel"/>
    <w:tmpl w:val="AFF85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936D7"/>
    <w:multiLevelType w:val="multilevel"/>
    <w:tmpl w:val="25EE9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DA6572"/>
    <w:multiLevelType w:val="multilevel"/>
    <w:tmpl w:val="1166F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3B07FE"/>
    <w:multiLevelType w:val="hybridMultilevel"/>
    <w:tmpl w:val="C61CB7D4"/>
    <w:lvl w:ilvl="0" w:tplc="56F451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DE0C51"/>
    <w:multiLevelType w:val="multilevel"/>
    <w:tmpl w:val="6B843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54532"/>
    <w:multiLevelType w:val="multilevel"/>
    <w:tmpl w:val="7E26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1B656C"/>
    <w:multiLevelType w:val="multilevel"/>
    <w:tmpl w:val="49E0A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24859"/>
    <w:multiLevelType w:val="multilevel"/>
    <w:tmpl w:val="98C0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97340A"/>
    <w:multiLevelType w:val="multilevel"/>
    <w:tmpl w:val="63A0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8D125C"/>
    <w:multiLevelType w:val="multilevel"/>
    <w:tmpl w:val="1682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B61D60"/>
    <w:multiLevelType w:val="multilevel"/>
    <w:tmpl w:val="3590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683000"/>
    <w:multiLevelType w:val="multilevel"/>
    <w:tmpl w:val="371A2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7F32EE"/>
    <w:multiLevelType w:val="multilevel"/>
    <w:tmpl w:val="49E6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1D3FBF"/>
    <w:multiLevelType w:val="multilevel"/>
    <w:tmpl w:val="A95E2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4B0D82"/>
    <w:multiLevelType w:val="multilevel"/>
    <w:tmpl w:val="D456A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C358CC"/>
    <w:multiLevelType w:val="multilevel"/>
    <w:tmpl w:val="AA9CC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B66111"/>
    <w:multiLevelType w:val="multilevel"/>
    <w:tmpl w:val="2E26E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9B07F5"/>
    <w:multiLevelType w:val="multilevel"/>
    <w:tmpl w:val="F98E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EA27E2"/>
    <w:multiLevelType w:val="multilevel"/>
    <w:tmpl w:val="6360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133FE3"/>
    <w:multiLevelType w:val="multilevel"/>
    <w:tmpl w:val="68BA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3D74F2"/>
    <w:multiLevelType w:val="multilevel"/>
    <w:tmpl w:val="72F2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D0D2F9C"/>
    <w:multiLevelType w:val="multilevel"/>
    <w:tmpl w:val="46C6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A213AA"/>
    <w:multiLevelType w:val="multilevel"/>
    <w:tmpl w:val="35B4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F067BF"/>
    <w:multiLevelType w:val="multilevel"/>
    <w:tmpl w:val="D03E6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4150F4"/>
    <w:multiLevelType w:val="multilevel"/>
    <w:tmpl w:val="DB804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227F63"/>
    <w:multiLevelType w:val="multilevel"/>
    <w:tmpl w:val="7BAA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2823C1"/>
    <w:multiLevelType w:val="multilevel"/>
    <w:tmpl w:val="C348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6537E47"/>
    <w:multiLevelType w:val="multilevel"/>
    <w:tmpl w:val="78A27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003843"/>
    <w:multiLevelType w:val="multilevel"/>
    <w:tmpl w:val="2CA63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C0F7892"/>
    <w:multiLevelType w:val="multilevel"/>
    <w:tmpl w:val="ABC2A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1E35C7"/>
    <w:multiLevelType w:val="multilevel"/>
    <w:tmpl w:val="BB205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906BA3"/>
    <w:multiLevelType w:val="multilevel"/>
    <w:tmpl w:val="1E6E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B17803"/>
    <w:multiLevelType w:val="multilevel"/>
    <w:tmpl w:val="D8D4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B65542"/>
    <w:multiLevelType w:val="multilevel"/>
    <w:tmpl w:val="22AEB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DF3CC8"/>
    <w:multiLevelType w:val="multilevel"/>
    <w:tmpl w:val="FEBE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C70928"/>
    <w:multiLevelType w:val="multilevel"/>
    <w:tmpl w:val="0478A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5F210E9"/>
    <w:multiLevelType w:val="multilevel"/>
    <w:tmpl w:val="D4C08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C81783"/>
    <w:multiLevelType w:val="multilevel"/>
    <w:tmpl w:val="53B0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F97340"/>
    <w:multiLevelType w:val="multilevel"/>
    <w:tmpl w:val="53706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825AB5"/>
    <w:multiLevelType w:val="multilevel"/>
    <w:tmpl w:val="4FFE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2F0F7C"/>
    <w:multiLevelType w:val="multilevel"/>
    <w:tmpl w:val="79EE2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A337A5"/>
    <w:multiLevelType w:val="multilevel"/>
    <w:tmpl w:val="D5DCF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D81341"/>
    <w:multiLevelType w:val="multilevel"/>
    <w:tmpl w:val="A98A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7E4647"/>
    <w:multiLevelType w:val="multilevel"/>
    <w:tmpl w:val="90E29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22B5AD9"/>
    <w:multiLevelType w:val="multilevel"/>
    <w:tmpl w:val="0ED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A813BA"/>
    <w:multiLevelType w:val="hybridMultilevel"/>
    <w:tmpl w:val="0A50EF3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39A6927"/>
    <w:multiLevelType w:val="multilevel"/>
    <w:tmpl w:val="B700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52A486C"/>
    <w:multiLevelType w:val="multilevel"/>
    <w:tmpl w:val="2AFA3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95685B"/>
    <w:multiLevelType w:val="multilevel"/>
    <w:tmpl w:val="80E6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FA16BF"/>
    <w:multiLevelType w:val="multilevel"/>
    <w:tmpl w:val="C996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E16B9A"/>
    <w:multiLevelType w:val="multilevel"/>
    <w:tmpl w:val="7CAA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4720EB4"/>
    <w:multiLevelType w:val="multilevel"/>
    <w:tmpl w:val="657A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893538"/>
    <w:multiLevelType w:val="hybridMultilevel"/>
    <w:tmpl w:val="F880041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6A15F20"/>
    <w:multiLevelType w:val="multilevel"/>
    <w:tmpl w:val="1030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9F3353A"/>
    <w:multiLevelType w:val="multilevel"/>
    <w:tmpl w:val="4E94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BB35A1C"/>
    <w:multiLevelType w:val="multilevel"/>
    <w:tmpl w:val="365A9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F704589"/>
    <w:multiLevelType w:val="multilevel"/>
    <w:tmpl w:val="91BA1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5"/>
  </w:num>
  <w:num w:numId="2">
    <w:abstractNumId w:val="52"/>
  </w:num>
  <w:num w:numId="3">
    <w:abstractNumId w:val="0"/>
  </w:num>
  <w:num w:numId="4">
    <w:abstractNumId w:val="24"/>
  </w:num>
  <w:num w:numId="5">
    <w:abstractNumId w:val="42"/>
  </w:num>
  <w:num w:numId="6">
    <w:abstractNumId w:val="4"/>
  </w:num>
  <w:num w:numId="7">
    <w:abstractNumId w:val="12"/>
  </w:num>
  <w:num w:numId="8">
    <w:abstractNumId w:val="27"/>
  </w:num>
  <w:num w:numId="9">
    <w:abstractNumId w:val="41"/>
  </w:num>
  <w:num w:numId="10">
    <w:abstractNumId w:val="35"/>
  </w:num>
  <w:num w:numId="11">
    <w:abstractNumId w:val="21"/>
  </w:num>
  <w:num w:numId="12">
    <w:abstractNumId w:val="30"/>
  </w:num>
  <w:num w:numId="13">
    <w:abstractNumId w:val="51"/>
  </w:num>
  <w:num w:numId="14">
    <w:abstractNumId w:val="6"/>
  </w:num>
  <w:num w:numId="15">
    <w:abstractNumId w:val="39"/>
  </w:num>
  <w:num w:numId="16">
    <w:abstractNumId w:val="9"/>
  </w:num>
  <w:num w:numId="17">
    <w:abstractNumId w:val="26"/>
  </w:num>
  <w:num w:numId="18">
    <w:abstractNumId w:val="38"/>
  </w:num>
  <w:num w:numId="19">
    <w:abstractNumId w:val="31"/>
  </w:num>
  <w:num w:numId="20">
    <w:abstractNumId w:val="17"/>
  </w:num>
  <w:num w:numId="21">
    <w:abstractNumId w:val="36"/>
  </w:num>
  <w:num w:numId="22">
    <w:abstractNumId w:val="46"/>
  </w:num>
  <w:num w:numId="23">
    <w:abstractNumId w:val="23"/>
  </w:num>
  <w:num w:numId="24">
    <w:abstractNumId w:val="11"/>
  </w:num>
  <w:num w:numId="25">
    <w:abstractNumId w:val="16"/>
  </w:num>
  <w:num w:numId="26">
    <w:abstractNumId w:val="20"/>
  </w:num>
  <w:num w:numId="27">
    <w:abstractNumId w:val="53"/>
  </w:num>
  <w:num w:numId="28">
    <w:abstractNumId w:val="48"/>
  </w:num>
  <w:num w:numId="29">
    <w:abstractNumId w:val="50"/>
  </w:num>
  <w:num w:numId="30">
    <w:abstractNumId w:val="7"/>
  </w:num>
  <w:num w:numId="31">
    <w:abstractNumId w:val="10"/>
  </w:num>
  <w:num w:numId="32">
    <w:abstractNumId w:val="1"/>
  </w:num>
  <w:num w:numId="33">
    <w:abstractNumId w:val="34"/>
  </w:num>
  <w:num w:numId="34">
    <w:abstractNumId w:val="44"/>
  </w:num>
  <w:num w:numId="35">
    <w:abstractNumId w:val="8"/>
  </w:num>
  <w:num w:numId="36">
    <w:abstractNumId w:val="43"/>
  </w:num>
  <w:num w:numId="37">
    <w:abstractNumId w:val="2"/>
  </w:num>
  <w:num w:numId="38">
    <w:abstractNumId w:val="33"/>
  </w:num>
  <w:num w:numId="39">
    <w:abstractNumId w:val="18"/>
  </w:num>
  <w:num w:numId="40">
    <w:abstractNumId w:val="14"/>
  </w:num>
  <w:num w:numId="41">
    <w:abstractNumId w:val="40"/>
  </w:num>
  <w:num w:numId="42">
    <w:abstractNumId w:val="29"/>
  </w:num>
  <w:num w:numId="43">
    <w:abstractNumId w:val="32"/>
  </w:num>
  <w:num w:numId="44">
    <w:abstractNumId w:val="28"/>
  </w:num>
  <w:num w:numId="45">
    <w:abstractNumId w:val="25"/>
  </w:num>
  <w:num w:numId="46">
    <w:abstractNumId w:val="37"/>
  </w:num>
  <w:num w:numId="47">
    <w:abstractNumId w:val="22"/>
  </w:num>
  <w:num w:numId="48">
    <w:abstractNumId w:val="47"/>
  </w:num>
  <w:num w:numId="49">
    <w:abstractNumId w:val="56"/>
  </w:num>
  <w:num w:numId="50">
    <w:abstractNumId w:val="15"/>
  </w:num>
  <w:num w:numId="51">
    <w:abstractNumId w:val="13"/>
  </w:num>
  <w:num w:numId="52">
    <w:abstractNumId w:val="19"/>
  </w:num>
  <w:num w:numId="53">
    <w:abstractNumId w:val="5"/>
  </w:num>
  <w:num w:numId="54">
    <w:abstractNumId w:val="55"/>
  </w:num>
  <w:num w:numId="55">
    <w:abstractNumId w:val="54"/>
  </w:num>
  <w:num w:numId="56">
    <w:abstractNumId w:val="49"/>
  </w:num>
  <w:num w:numId="57">
    <w:abstractNumId w:val="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904"/>
    <w:rsid w:val="000039E9"/>
    <w:rsid w:val="0001186F"/>
    <w:rsid w:val="00013913"/>
    <w:rsid w:val="00016042"/>
    <w:rsid w:val="0002141B"/>
    <w:rsid w:val="0002454A"/>
    <w:rsid w:val="00027C7C"/>
    <w:rsid w:val="000346DE"/>
    <w:rsid w:val="00037BEA"/>
    <w:rsid w:val="000420A7"/>
    <w:rsid w:val="000457BF"/>
    <w:rsid w:val="0005042C"/>
    <w:rsid w:val="000504C6"/>
    <w:rsid w:val="00051433"/>
    <w:rsid w:val="00052609"/>
    <w:rsid w:val="00060663"/>
    <w:rsid w:val="00065B6D"/>
    <w:rsid w:val="00067902"/>
    <w:rsid w:val="00070591"/>
    <w:rsid w:val="000717C3"/>
    <w:rsid w:val="00072FB0"/>
    <w:rsid w:val="00075C6E"/>
    <w:rsid w:val="00082CFB"/>
    <w:rsid w:val="0008306D"/>
    <w:rsid w:val="00083991"/>
    <w:rsid w:val="00083EEC"/>
    <w:rsid w:val="000863F0"/>
    <w:rsid w:val="000A14F2"/>
    <w:rsid w:val="000A2379"/>
    <w:rsid w:val="000C2AFE"/>
    <w:rsid w:val="000C7575"/>
    <w:rsid w:val="000D68B3"/>
    <w:rsid w:val="000E3C18"/>
    <w:rsid w:val="000E5ABE"/>
    <w:rsid w:val="000F2902"/>
    <w:rsid w:val="000F33E4"/>
    <w:rsid w:val="000F3B59"/>
    <w:rsid w:val="000F7585"/>
    <w:rsid w:val="00100D4F"/>
    <w:rsid w:val="00102CB6"/>
    <w:rsid w:val="001137B7"/>
    <w:rsid w:val="00121D5D"/>
    <w:rsid w:val="00125CA7"/>
    <w:rsid w:val="0012672D"/>
    <w:rsid w:val="00127E49"/>
    <w:rsid w:val="00136B22"/>
    <w:rsid w:val="001414FF"/>
    <w:rsid w:val="0014237A"/>
    <w:rsid w:val="00154C34"/>
    <w:rsid w:val="001568B5"/>
    <w:rsid w:val="00162259"/>
    <w:rsid w:val="00164003"/>
    <w:rsid w:val="00164EF6"/>
    <w:rsid w:val="00165D50"/>
    <w:rsid w:val="00180087"/>
    <w:rsid w:val="00180204"/>
    <w:rsid w:val="00182314"/>
    <w:rsid w:val="00183D0F"/>
    <w:rsid w:val="001841E9"/>
    <w:rsid w:val="001902C5"/>
    <w:rsid w:val="001920DA"/>
    <w:rsid w:val="001926D9"/>
    <w:rsid w:val="001A0B61"/>
    <w:rsid w:val="001A3210"/>
    <w:rsid w:val="001A55F6"/>
    <w:rsid w:val="001A6C63"/>
    <w:rsid w:val="001A7194"/>
    <w:rsid w:val="001B489C"/>
    <w:rsid w:val="001B4904"/>
    <w:rsid w:val="001C037D"/>
    <w:rsid w:val="001C03D8"/>
    <w:rsid w:val="001C08C2"/>
    <w:rsid w:val="001C4857"/>
    <w:rsid w:val="001C7B09"/>
    <w:rsid w:val="001D3A5A"/>
    <w:rsid w:val="001D7B90"/>
    <w:rsid w:val="001E7480"/>
    <w:rsid w:val="001F1465"/>
    <w:rsid w:val="001F5AD6"/>
    <w:rsid w:val="002038FB"/>
    <w:rsid w:val="00207D11"/>
    <w:rsid w:val="00211AEE"/>
    <w:rsid w:val="00213B9E"/>
    <w:rsid w:val="00216A61"/>
    <w:rsid w:val="002236CF"/>
    <w:rsid w:val="00235FF2"/>
    <w:rsid w:val="00241691"/>
    <w:rsid w:val="002451B6"/>
    <w:rsid w:val="0025040C"/>
    <w:rsid w:val="00254828"/>
    <w:rsid w:val="00255757"/>
    <w:rsid w:val="00256566"/>
    <w:rsid w:val="002576D7"/>
    <w:rsid w:val="002576D8"/>
    <w:rsid w:val="00261EE8"/>
    <w:rsid w:val="00264A3B"/>
    <w:rsid w:val="00264D91"/>
    <w:rsid w:val="00270F2A"/>
    <w:rsid w:val="002773CD"/>
    <w:rsid w:val="002775E3"/>
    <w:rsid w:val="0028233B"/>
    <w:rsid w:val="00284DED"/>
    <w:rsid w:val="00285492"/>
    <w:rsid w:val="00285D8A"/>
    <w:rsid w:val="0029512F"/>
    <w:rsid w:val="002971C2"/>
    <w:rsid w:val="002A5FE6"/>
    <w:rsid w:val="002B3882"/>
    <w:rsid w:val="002B6A7D"/>
    <w:rsid w:val="002C1153"/>
    <w:rsid w:val="002C157A"/>
    <w:rsid w:val="002C2A50"/>
    <w:rsid w:val="002D4B6E"/>
    <w:rsid w:val="002D6755"/>
    <w:rsid w:val="002E0318"/>
    <w:rsid w:val="00302290"/>
    <w:rsid w:val="00303450"/>
    <w:rsid w:val="00303D19"/>
    <w:rsid w:val="00314AFF"/>
    <w:rsid w:val="0031587C"/>
    <w:rsid w:val="00315F12"/>
    <w:rsid w:val="003163E7"/>
    <w:rsid w:val="003176BD"/>
    <w:rsid w:val="003240C2"/>
    <w:rsid w:val="00324D45"/>
    <w:rsid w:val="00325177"/>
    <w:rsid w:val="0033034A"/>
    <w:rsid w:val="00330D2B"/>
    <w:rsid w:val="0033185F"/>
    <w:rsid w:val="00332476"/>
    <w:rsid w:val="00335138"/>
    <w:rsid w:val="00337552"/>
    <w:rsid w:val="00345A59"/>
    <w:rsid w:val="00346266"/>
    <w:rsid w:val="00350842"/>
    <w:rsid w:val="00352647"/>
    <w:rsid w:val="00355499"/>
    <w:rsid w:val="00366979"/>
    <w:rsid w:val="00367745"/>
    <w:rsid w:val="00373E0A"/>
    <w:rsid w:val="003765B3"/>
    <w:rsid w:val="0037796D"/>
    <w:rsid w:val="0038103D"/>
    <w:rsid w:val="00384A96"/>
    <w:rsid w:val="003908CD"/>
    <w:rsid w:val="0039165B"/>
    <w:rsid w:val="003916CF"/>
    <w:rsid w:val="00393CCB"/>
    <w:rsid w:val="00395B47"/>
    <w:rsid w:val="00396D6E"/>
    <w:rsid w:val="003A185F"/>
    <w:rsid w:val="003A2770"/>
    <w:rsid w:val="003A2ABF"/>
    <w:rsid w:val="003A4E86"/>
    <w:rsid w:val="003A6ABE"/>
    <w:rsid w:val="003B7ED8"/>
    <w:rsid w:val="003C08D9"/>
    <w:rsid w:val="003C0EA4"/>
    <w:rsid w:val="003C3594"/>
    <w:rsid w:val="003D2B4B"/>
    <w:rsid w:val="003D4A56"/>
    <w:rsid w:val="003D67B9"/>
    <w:rsid w:val="003D7FE9"/>
    <w:rsid w:val="003E0B59"/>
    <w:rsid w:val="003E140A"/>
    <w:rsid w:val="003E3407"/>
    <w:rsid w:val="003E573A"/>
    <w:rsid w:val="003F05A3"/>
    <w:rsid w:val="003F4C19"/>
    <w:rsid w:val="003F4E77"/>
    <w:rsid w:val="003F6F3B"/>
    <w:rsid w:val="00400542"/>
    <w:rsid w:val="00400B12"/>
    <w:rsid w:val="0040117D"/>
    <w:rsid w:val="00406126"/>
    <w:rsid w:val="00406FE0"/>
    <w:rsid w:val="00410590"/>
    <w:rsid w:val="0041416C"/>
    <w:rsid w:val="00421073"/>
    <w:rsid w:val="00424FE2"/>
    <w:rsid w:val="00426F8C"/>
    <w:rsid w:val="00430129"/>
    <w:rsid w:val="0043089C"/>
    <w:rsid w:val="004350D0"/>
    <w:rsid w:val="0043717B"/>
    <w:rsid w:val="00441DE7"/>
    <w:rsid w:val="0044277A"/>
    <w:rsid w:val="00455E90"/>
    <w:rsid w:val="0046364B"/>
    <w:rsid w:val="0046673C"/>
    <w:rsid w:val="00467170"/>
    <w:rsid w:val="004740AC"/>
    <w:rsid w:val="0048385B"/>
    <w:rsid w:val="0048548C"/>
    <w:rsid w:val="00487B3C"/>
    <w:rsid w:val="00490438"/>
    <w:rsid w:val="004939BE"/>
    <w:rsid w:val="00495001"/>
    <w:rsid w:val="004B01BC"/>
    <w:rsid w:val="004B0BA1"/>
    <w:rsid w:val="004B1720"/>
    <w:rsid w:val="004B3651"/>
    <w:rsid w:val="004B4E33"/>
    <w:rsid w:val="004B722E"/>
    <w:rsid w:val="004C23DC"/>
    <w:rsid w:val="004C3DC3"/>
    <w:rsid w:val="004C6890"/>
    <w:rsid w:val="004C68C2"/>
    <w:rsid w:val="004C693C"/>
    <w:rsid w:val="004D09DA"/>
    <w:rsid w:val="004D2114"/>
    <w:rsid w:val="004D21D7"/>
    <w:rsid w:val="004D22C0"/>
    <w:rsid w:val="004D2CCB"/>
    <w:rsid w:val="004E5472"/>
    <w:rsid w:val="004F0004"/>
    <w:rsid w:val="004F6BEC"/>
    <w:rsid w:val="00500821"/>
    <w:rsid w:val="00503A0C"/>
    <w:rsid w:val="005162EB"/>
    <w:rsid w:val="00520501"/>
    <w:rsid w:val="00520A04"/>
    <w:rsid w:val="005227FF"/>
    <w:rsid w:val="005253AA"/>
    <w:rsid w:val="00533C87"/>
    <w:rsid w:val="00536702"/>
    <w:rsid w:val="00542127"/>
    <w:rsid w:val="00550C8F"/>
    <w:rsid w:val="00552F35"/>
    <w:rsid w:val="005549EC"/>
    <w:rsid w:val="005604F4"/>
    <w:rsid w:val="005611BF"/>
    <w:rsid w:val="005664E9"/>
    <w:rsid w:val="00570A4C"/>
    <w:rsid w:val="005717E0"/>
    <w:rsid w:val="00575430"/>
    <w:rsid w:val="00577B42"/>
    <w:rsid w:val="00577C10"/>
    <w:rsid w:val="0058277D"/>
    <w:rsid w:val="00587325"/>
    <w:rsid w:val="00590888"/>
    <w:rsid w:val="00590B87"/>
    <w:rsid w:val="0059485A"/>
    <w:rsid w:val="0059548D"/>
    <w:rsid w:val="005A1D6F"/>
    <w:rsid w:val="005A2432"/>
    <w:rsid w:val="005A2961"/>
    <w:rsid w:val="005A3D94"/>
    <w:rsid w:val="005A7D92"/>
    <w:rsid w:val="005C2B9D"/>
    <w:rsid w:val="005C4390"/>
    <w:rsid w:val="005D00A9"/>
    <w:rsid w:val="005D0436"/>
    <w:rsid w:val="005D1B84"/>
    <w:rsid w:val="005E1138"/>
    <w:rsid w:val="005E15AB"/>
    <w:rsid w:val="005E6442"/>
    <w:rsid w:val="005F233E"/>
    <w:rsid w:val="005F41F2"/>
    <w:rsid w:val="005F5D7D"/>
    <w:rsid w:val="005F686B"/>
    <w:rsid w:val="005F76F2"/>
    <w:rsid w:val="00605A43"/>
    <w:rsid w:val="00610A27"/>
    <w:rsid w:val="006162D1"/>
    <w:rsid w:val="00616C96"/>
    <w:rsid w:val="006216B6"/>
    <w:rsid w:val="006216F6"/>
    <w:rsid w:val="00624379"/>
    <w:rsid w:val="00625767"/>
    <w:rsid w:val="006308A1"/>
    <w:rsid w:val="00631B93"/>
    <w:rsid w:val="00632E74"/>
    <w:rsid w:val="00634720"/>
    <w:rsid w:val="006347FF"/>
    <w:rsid w:val="0064658F"/>
    <w:rsid w:val="0064757E"/>
    <w:rsid w:val="00653347"/>
    <w:rsid w:val="006554E6"/>
    <w:rsid w:val="0065617E"/>
    <w:rsid w:val="00657111"/>
    <w:rsid w:val="00660D5A"/>
    <w:rsid w:val="00664120"/>
    <w:rsid w:val="006668E3"/>
    <w:rsid w:val="00670D7D"/>
    <w:rsid w:val="00671193"/>
    <w:rsid w:val="00672F06"/>
    <w:rsid w:val="00691D64"/>
    <w:rsid w:val="006927DE"/>
    <w:rsid w:val="006A06C0"/>
    <w:rsid w:val="006A0ABD"/>
    <w:rsid w:val="006A706C"/>
    <w:rsid w:val="006B06D7"/>
    <w:rsid w:val="006B4640"/>
    <w:rsid w:val="006B66F6"/>
    <w:rsid w:val="006C5A9E"/>
    <w:rsid w:val="006C778C"/>
    <w:rsid w:val="006D11DA"/>
    <w:rsid w:val="006D3B51"/>
    <w:rsid w:val="006D7327"/>
    <w:rsid w:val="006D7EE4"/>
    <w:rsid w:val="006F1D56"/>
    <w:rsid w:val="006F453A"/>
    <w:rsid w:val="006F75E1"/>
    <w:rsid w:val="006F7F7A"/>
    <w:rsid w:val="00703B03"/>
    <w:rsid w:val="007058A8"/>
    <w:rsid w:val="0071211E"/>
    <w:rsid w:val="00712EB1"/>
    <w:rsid w:val="00713CED"/>
    <w:rsid w:val="00717037"/>
    <w:rsid w:val="00717EB7"/>
    <w:rsid w:val="007201DD"/>
    <w:rsid w:val="007249E6"/>
    <w:rsid w:val="0072732E"/>
    <w:rsid w:val="00733D6B"/>
    <w:rsid w:val="00735009"/>
    <w:rsid w:val="00742A7F"/>
    <w:rsid w:val="0074370E"/>
    <w:rsid w:val="00743A9B"/>
    <w:rsid w:val="00745513"/>
    <w:rsid w:val="00751025"/>
    <w:rsid w:val="00755482"/>
    <w:rsid w:val="007652B5"/>
    <w:rsid w:val="00771F2A"/>
    <w:rsid w:val="00772E73"/>
    <w:rsid w:val="00775E19"/>
    <w:rsid w:val="007770E9"/>
    <w:rsid w:val="0077769E"/>
    <w:rsid w:val="007839B7"/>
    <w:rsid w:val="00784988"/>
    <w:rsid w:val="00784996"/>
    <w:rsid w:val="00785759"/>
    <w:rsid w:val="00786B1A"/>
    <w:rsid w:val="007A475B"/>
    <w:rsid w:val="007A4CAE"/>
    <w:rsid w:val="007A5143"/>
    <w:rsid w:val="007A56BE"/>
    <w:rsid w:val="007A7FA4"/>
    <w:rsid w:val="007B0F50"/>
    <w:rsid w:val="007B29C9"/>
    <w:rsid w:val="007B6B59"/>
    <w:rsid w:val="007C6994"/>
    <w:rsid w:val="007D0E42"/>
    <w:rsid w:val="007D24A4"/>
    <w:rsid w:val="007E2E42"/>
    <w:rsid w:val="007E4B3F"/>
    <w:rsid w:val="007E7B0E"/>
    <w:rsid w:val="007F0C18"/>
    <w:rsid w:val="007F294B"/>
    <w:rsid w:val="0080648A"/>
    <w:rsid w:val="008065A3"/>
    <w:rsid w:val="008075C8"/>
    <w:rsid w:val="00810D40"/>
    <w:rsid w:val="00812474"/>
    <w:rsid w:val="00813852"/>
    <w:rsid w:val="00813B65"/>
    <w:rsid w:val="008162F6"/>
    <w:rsid w:val="00816BB0"/>
    <w:rsid w:val="00826A9C"/>
    <w:rsid w:val="0082700D"/>
    <w:rsid w:val="008272A0"/>
    <w:rsid w:val="00832288"/>
    <w:rsid w:val="00833DA5"/>
    <w:rsid w:val="00841673"/>
    <w:rsid w:val="00841E90"/>
    <w:rsid w:val="0084290A"/>
    <w:rsid w:val="00843AA9"/>
    <w:rsid w:val="008458BC"/>
    <w:rsid w:val="00847A83"/>
    <w:rsid w:val="00853F1E"/>
    <w:rsid w:val="00857886"/>
    <w:rsid w:val="0086674D"/>
    <w:rsid w:val="0086773F"/>
    <w:rsid w:val="00867CA4"/>
    <w:rsid w:val="00870888"/>
    <w:rsid w:val="008720A1"/>
    <w:rsid w:val="00872DB6"/>
    <w:rsid w:val="008735EF"/>
    <w:rsid w:val="00882BB4"/>
    <w:rsid w:val="00884A7C"/>
    <w:rsid w:val="00886E6D"/>
    <w:rsid w:val="00890338"/>
    <w:rsid w:val="00893340"/>
    <w:rsid w:val="00894177"/>
    <w:rsid w:val="008957A9"/>
    <w:rsid w:val="00896A85"/>
    <w:rsid w:val="008A1F5E"/>
    <w:rsid w:val="008A25C1"/>
    <w:rsid w:val="008A302C"/>
    <w:rsid w:val="008A3352"/>
    <w:rsid w:val="008B01EB"/>
    <w:rsid w:val="008B2399"/>
    <w:rsid w:val="008B2F55"/>
    <w:rsid w:val="008B43C8"/>
    <w:rsid w:val="008C005E"/>
    <w:rsid w:val="008C2409"/>
    <w:rsid w:val="008C3B04"/>
    <w:rsid w:val="008C706A"/>
    <w:rsid w:val="008C7139"/>
    <w:rsid w:val="008C73AE"/>
    <w:rsid w:val="008C7D93"/>
    <w:rsid w:val="008D04F9"/>
    <w:rsid w:val="008D15F7"/>
    <w:rsid w:val="008D5495"/>
    <w:rsid w:val="008E1DD5"/>
    <w:rsid w:val="008E2E4B"/>
    <w:rsid w:val="008E60ED"/>
    <w:rsid w:val="008F2D5B"/>
    <w:rsid w:val="008F5F33"/>
    <w:rsid w:val="008F6DD3"/>
    <w:rsid w:val="00903D03"/>
    <w:rsid w:val="00906645"/>
    <w:rsid w:val="00911B01"/>
    <w:rsid w:val="00911CBC"/>
    <w:rsid w:val="00913785"/>
    <w:rsid w:val="00913981"/>
    <w:rsid w:val="00921A7C"/>
    <w:rsid w:val="009248F6"/>
    <w:rsid w:val="0092521D"/>
    <w:rsid w:val="0092631D"/>
    <w:rsid w:val="00941BD0"/>
    <w:rsid w:val="00943EEC"/>
    <w:rsid w:val="00946FC2"/>
    <w:rsid w:val="00950A4A"/>
    <w:rsid w:val="0095273C"/>
    <w:rsid w:val="00953104"/>
    <w:rsid w:val="00953B83"/>
    <w:rsid w:val="0095739F"/>
    <w:rsid w:val="00962B55"/>
    <w:rsid w:val="009634DF"/>
    <w:rsid w:val="0096457B"/>
    <w:rsid w:val="009666B2"/>
    <w:rsid w:val="0097077E"/>
    <w:rsid w:val="00972A36"/>
    <w:rsid w:val="00981B56"/>
    <w:rsid w:val="00984C6E"/>
    <w:rsid w:val="009876B9"/>
    <w:rsid w:val="00990C3C"/>
    <w:rsid w:val="009A3C14"/>
    <w:rsid w:val="009B2AB0"/>
    <w:rsid w:val="009B3187"/>
    <w:rsid w:val="009B786E"/>
    <w:rsid w:val="009C0BEA"/>
    <w:rsid w:val="009C1C32"/>
    <w:rsid w:val="009C5816"/>
    <w:rsid w:val="009D794F"/>
    <w:rsid w:val="009F5550"/>
    <w:rsid w:val="00A0087F"/>
    <w:rsid w:val="00A0155D"/>
    <w:rsid w:val="00A13423"/>
    <w:rsid w:val="00A1547C"/>
    <w:rsid w:val="00A25C0F"/>
    <w:rsid w:val="00A32489"/>
    <w:rsid w:val="00A355F9"/>
    <w:rsid w:val="00A44295"/>
    <w:rsid w:val="00A53411"/>
    <w:rsid w:val="00A701C1"/>
    <w:rsid w:val="00A74BD1"/>
    <w:rsid w:val="00A75094"/>
    <w:rsid w:val="00A77F41"/>
    <w:rsid w:val="00A81081"/>
    <w:rsid w:val="00A827E0"/>
    <w:rsid w:val="00A85726"/>
    <w:rsid w:val="00A85C2D"/>
    <w:rsid w:val="00A90B19"/>
    <w:rsid w:val="00A90CBB"/>
    <w:rsid w:val="00A916B8"/>
    <w:rsid w:val="00A93B51"/>
    <w:rsid w:val="00AA2DAD"/>
    <w:rsid w:val="00AA7462"/>
    <w:rsid w:val="00AB4667"/>
    <w:rsid w:val="00AB49A3"/>
    <w:rsid w:val="00AB683A"/>
    <w:rsid w:val="00AB7BAA"/>
    <w:rsid w:val="00AC1729"/>
    <w:rsid w:val="00AC43D8"/>
    <w:rsid w:val="00AC5CD6"/>
    <w:rsid w:val="00AD13F5"/>
    <w:rsid w:val="00AD60A0"/>
    <w:rsid w:val="00AE3284"/>
    <w:rsid w:val="00AF008E"/>
    <w:rsid w:val="00AF2E79"/>
    <w:rsid w:val="00AF3AC4"/>
    <w:rsid w:val="00AF6B60"/>
    <w:rsid w:val="00AF7463"/>
    <w:rsid w:val="00B03498"/>
    <w:rsid w:val="00B041A3"/>
    <w:rsid w:val="00B06E8F"/>
    <w:rsid w:val="00B16453"/>
    <w:rsid w:val="00B17577"/>
    <w:rsid w:val="00B17A77"/>
    <w:rsid w:val="00B31C2C"/>
    <w:rsid w:val="00B33EE7"/>
    <w:rsid w:val="00B360B2"/>
    <w:rsid w:val="00B434A5"/>
    <w:rsid w:val="00B466AD"/>
    <w:rsid w:val="00B54817"/>
    <w:rsid w:val="00B55168"/>
    <w:rsid w:val="00B55D1A"/>
    <w:rsid w:val="00B562D3"/>
    <w:rsid w:val="00B579E9"/>
    <w:rsid w:val="00B62E2C"/>
    <w:rsid w:val="00B63D21"/>
    <w:rsid w:val="00B6708F"/>
    <w:rsid w:val="00B74650"/>
    <w:rsid w:val="00B77619"/>
    <w:rsid w:val="00B83C2A"/>
    <w:rsid w:val="00B9294C"/>
    <w:rsid w:val="00B95E52"/>
    <w:rsid w:val="00BA3490"/>
    <w:rsid w:val="00BB20C3"/>
    <w:rsid w:val="00BB4414"/>
    <w:rsid w:val="00BB5E25"/>
    <w:rsid w:val="00BB69F9"/>
    <w:rsid w:val="00BC266A"/>
    <w:rsid w:val="00BC4F56"/>
    <w:rsid w:val="00BC777F"/>
    <w:rsid w:val="00BD3F5C"/>
    <w:rsid w:val="00BD4137"/>
    <w:rsid w:val="00BD4E22"/>
    <w:rsid w:val="00BD6DED"/>
    <w:rsid w:val="00BD6E2F"/>
    <w:rsid w:val="00BE5460"/>
    <w:rsid w:val="00BE5E8B"/>
    <w:rsid w:val="00BF3812"/>
    <w:rsid w:val="00C00BE4"/>
    <w:rsid w:val="00C1336F"/>
    <w:rsid w:val="00C1783E"/>
    <w:rsid w:val="00C20981"/>
    <w:rsid w:val="00C2219D"/>
    <w:rsid w:val="00C22F86"/>
    <w:rsid w:val="00C33066"/>
    <w:rsid w:val="00C378B8"/>
    <w:rsid w:val="00C40DA8"/>
    <w:rsid w:val="00C44D24"/>
    <w:rsid w:val="00C45024"/>
    <w:rsid w:val="00C5140A"/>
    <w:rsid w:val="00C54005"/>
    <w:rsid w:val="00C6330A"/>
    <w:rsid w:val="00C63E38"/>
    <w:rsid w:val="00C64A6B"/>
    <w:rsid w:val="00C65B85"/>
    <w:rsid w:val="00C6681D"/>
    <w:rsid w:val="00C7767A"/>
    <w:rsid w:val="00C842C0"/>
    <w:rsid w:val="00C86E16"/>
    <w:rsid w:val="00C902C5"/>
    <w:rsid w:val="00C937D1"/>
    <w:rsid w:val="00C96BAF"/>
    <w:rsid w:val="00CA7B49"/>
    <w:rsid w:val="00CB01A1"/>
    <w:rsid w:val="00CB3427"/>
    <w:rsid w:val="00CB6F82"/>
    <w:rsid w:val="00CC1022"/>
    <w:rsid w:val="00CC2171"/>
    <w:rsid w:val="00CC35F1"/>
    <w:rsid w:val="00CD7D12"/>
    <w:rsid w:val="00CE5875"/>
    <w:rsid w:val="00CE5B22"/>
    <w:rsid w:val="00CF097B"/>
    <w:rsid w:val="00CF30C2"/>
    <w:rsid w:val="00D01358"/>
    <w:rsid w:val="00D01541"/>
    <w:rsid w:val="00D07DAA"/>
    <w:rsid w:val="00D1021D"/>
    <w:rsid w:val="00D12510"/>
    <w:rsid w:val="00D17EE0"/>
    <w:rsid w:val="00D24A60"/>
    <w:rsid w:val="00D2502E"/>
    <w:rsid w:val="00D321EA"/>
    <w:rsid w:val="00D37DAB"/>
    <w:rsid w:val="00D448F7"/>
    <w:rsid w:val="00D4531A"/>
    <w:rsid w:val="00D467D5"/>
    <w:rsid w:val="00D479CF"/>
    <w:rsid w:val="00D52AE5"/>
    <w:rsid w:val="00D52D34"/>
    <w:rsid w:val="00D54504"/>
    <w:rsid w:val="00D63DE9"/>
    <w:rsid w:val="00D64566"/>
    <w:rsid w:val="00D649D7"/>
    <w:rsid w:val="00D64C73"/>
    <w:rsid w:val="00D74E82"/>
    <w:rsid w:val="00D81644"/>
    <w:rsid w:val="00D834A6"/>
    <w:rsid w:val="00D83541"/>
    <w:rsid w:val="00D846E7"/>
    <w:rsid w:val="00D852A1"/>
    <w:rsid w:val="00D87066"/>
    <w:rsid w:val="00D92F01"/>
    <w:rsid w:val="00D935F4"/>
    <w:rsid w:val="00D9514C"/>
    <w:rsid w:val="00DA2101"/>
    <w:rsid w:val="00DA3402"/>
    <w:rsid w:val="00DA56CE"/>
    <w:rsid w:val="00DB3342"/>
    <w:rsid w:val="00DB4CFB"/>
    <w:rsid w:val="00DB5187"/>
    <w:rsid w:val="00DB646F"/>
    <w:rsid w:val="00DB69AA"/>
    <w:rsid w:val="00DB6C6F"/>
    <w:rsid w:val="00DB6F25"/>
    <w:rsid w:val="00DC1B08"/>
    <w:rsid w:val="00DC1FDA"/>
    <w:rsid w:val="00DC3BBD"/>
    <w:rsid w:val="00DC3F52"/>
    <w:rsid w:val="00DC456D"/>
    <w:rsid w:val="00DC64F2"/>
    <w:rsid w:val="00DC78D9"/>
    <w:rsid w:val="00DD0AEF"/>
    <w:rsid w:val="00DD21FB"/>
    <w:rsid w:val="00DE2040"/>
    <w:rsid w:val="00DE73E3"/>
    <w:rsid w:val="00DF1BBA"/>
    <w:rsid w:val="00DF26EF"/>
    <w:rsid w:val="00DF377D"/>
    <w:rsid w:val="00DF48E8"/>
    <w:rsid w:val="00DF4D6D"/>
    <w:rsid w:val="00DF72C0"/>
    <w:rsid w:val="00DF76CB"/>
    <w:rsid w:val="00E005F5"/>
    <w:rsid w:val="00E03697"/>
    <w:rsid w:val="00E060C6"/>
    <w:rsid w:val="00E111F1"/>
    <w:rsid w:val="00E224FF"/>
    <w:rsid w:val="00E22547"/>
    <w:rsid w:val="00E22E53"/>
    <w:rsid w:val="00E234C2"/>
    <w:rsid w:val="00E3208C"/>
    <w:rsid w:val="00E3675F"/>
    <w:rsid w:val="00E36800"/>
    <w:rsid w:val="00E45A6A"/>
    <w:rsid w:val="00E5283F"/>
    <w:rsid w:val="00E577F6"/>
    <w:rsid w:val="00E611AC"/>
    <w:rsid w:val="00E64679"/>
    <w:rsid w:val="00E67904"/>
    <w:rsid w:val="00E7334C"/>
    <w:rsid w:val="00E74312"/>
    <w:rsid w:val="00E75C79"/>
    <w:rsid w:val="00E75FC0"/>
    <w:rsid w:val="00E77CE4"/>
    <w:rsid w:val="00E80162"/>
    <w:rsid w:val="00E812D5"/>
    <w:rsid w:val="00E81DF3"/>
    <w:rsid w:val="00E829FF"/>
    <w:rsid w:val="00E8342B"/>
    <w:rsid w:val="00E85F94"/>
    <w:rsid w:val="00E94E27"/>
    <w:rsid w:val="00EB157E"/>
    <w:rsid w:val="00EB15F0"/>
    <w:rsid w:val="00EB16AA"/>
    <w:rsid w:val="00EB2B8D"/>
    <w:rsid w:val="00EB5193"/>
    <w:rsid w:val="00EB6702"/>
    <w:rsid w:val="00EC0736"/>
    <w:rsid w:val="00EC1583"/>
    <w:rsid w:val="00EC2C44"/>
    <w:rsid w:val="00EC4535"/>
    <w:rsid w:val="00ED03BC"/>
    <w:rsid w:val="00ED18AC"/>
    <w:rsid w:val="00ED3D74"/>
    <w:rsid w:val="00ED6464"/>
    <w:rsid w:val="00ED6F09"/>
    <w:rsid w:val="00EE050C"/>
    <w:rsid w:val="00EE2763"/>
    <w:rsid w:val="00EE3194"/>
    <w:rsid w:val="00EE3C06"/>
    <w:rsid w:val="00EF1136"/>
    <w:rsid w:val="00EF4A73"/>
    <w:rsid w:val="00F00319"/>
    <w:rsid w:val="00F01C43"/>
    <w:rsid w:val="00F03637"/>
    <w:rsid w:val="00F05E9A"/>
    <w:rsid w:val="00F06CDD"/>
    <w:rsid w:val="00F0718B"/>
    <w:rsid w:val="00F108B5"/>
    <w:rsid w:val="00F169DE"/>
    <w:rsid w:val="00F17ACC"/>
    <w:rsid w:val="00F2160A"/>
    <w:rsid w:val="00F21AD7"/>
    <w:rsid w:val="00F25988"/>
    <w:rsid w:val="00F311C4"/>
    <w:rsid w:val="00F32414"/>
    <w:rsid w:val="00F342FE"/>
    <w:rsid w:val="00F35FB1"/>
    <w:rsid w:val="00F36587"/>
    <w:rsid w:val="00F37777"/>
    <w:rsid w:val="00F40533"/>
    <w:rsid w:val="00F40EF1"/>
    <w:rsid w:val="00F424F2"/>
    <w:rsid w:val="00F43934"/>
    <w:rsid w:val="00F4739C"/>
    <w:rsid w:val="00F56CAC"/>
    <w:rsid w:val="00F57802"/>
    <w:rsid w:val="00F57804"/>
    <w:rsid w:val="00F61EB2"/>
    <w:rsid w:val="00F64041"/>
    <w:rsid w:val="00F655CC"/>
    <w:rsid w:val="00F71032"/>
    <w:rsid w:val="00F72490"/>
    <w:rsid w:val="00F74EDC"/>
    <w:rsid w:val="00F76110"/>
    <w:rsid w:val="00F81B40"/>
    <w:rsid w:val="00F82740"/>
    <w:rsid w:val="00F839B1"/>
    <w:rsid w:val="00F84D48"/>
    <w:rsid w:val="00F858F4"/>
    <w:rsid w:val="00F9261D"/>
    <w:rsid w:val="00F96363"/>
    <w:rsid w:val="00FA4004"/>
    <w:rsid w:val="00FB2C39"/>
    <w:rsid w:val="00FC3B89"/>
    <w:rsid w:val="00FC53D9"/>
    <w:rsid w:val="00FD30DF"/>
    <w:rsid w:val="00FE3DF2"/>
    <w:rsid w:val="00FE4701"/>
    <w:rsid w:val="00FE67EB"/>
    <w:rsid w:val="00FF283C"/>
    <w:rsid w:val="00FF3370"/>
    <w:rsid w:val="00FF62E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F3720-93F2-4BE5-BCDD-46D3C1178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2E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2E74"/>
    <w:rPr>
      <w:rFonts w:ascii="Segoe UI" w:hAnsi="Segoe UI" w:cs="Segoe UI"/>
      <w:sz w:val="18"/>
      <w:szCs w:val="18"/>
    </w:rPr>
  </w:style>
  <w:style w:type="paragraph" w:styleId="ListParagraph">
    <w:name w:val="List Paragraph"/>
    <w:basedOn w:val="Normal"/>
    <w:uiPriority w:val="34"/>
    <w:qFormat/>
    <w:rsid w:val="004D2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10491">
      <w:bodyDiv w:val="1"/>
      <w:marLeft w:val="0"/>
      <w:marRight w:val="0"/>
      <w:marTop w:val="0"/>
      <w:marBottom w:val="0"/>
      <w:divBdr>
        <w:top w:val="none" w:sz="0" w:space="0" w:color="auto"/>
        <w:left w:val="none" w:sz="0" w:space="0" w:color="auto"/>
        <w:bottom w:val="none" w:sz="0" w:space="0" w:color="auto"/>
        <w:right w:val="none" w:sz="0" w:space="0" w:color="auto"/>
      </w:divBdr>
      <w:divsChild>
        <w:div w:id="457648997">
          <w:marLeft w:val="0"/>
          <w:marRight w:val="0"/>
          <w:marTop w:val="0"/>
          <w:marBottom w:val="0"/>
          <w:divBdr>
            <w:top w:val="none" w:sz="0" w:space="0" w:color="auto"/>
            <w:left w:val="none" w:sz="0" w:space="0" w:color="auto"/>
            <w:bottom w:val="none" w:sz="0" w:space="0" w:color="auto"/>
            <w:right w:val="none" w:sz="0" w:space="0" w:color="auto"/>
          </w:divBdr>
        </w:div>
        <w:div w:id="2085444314">
          <w:marLeft w:val="0"/>
          <w:marRight w:val="0"/>
          <w:marTop w:val="0"/>
          <w:marBottom w:val="0"/>
          <w:divBdr>
            <w:top w:val="none" w:sz="0" w:space="0" w:color="auto"/>
            <w:left w:val="none" w:sz="0" w:space="0" w:color="auto"/>
            <w:bottom w:val="none" w:sz="0" w:space="0" w:color="auto"/>
            <w:right w:val="none" w:sz="0" w:space="0" w:color="auto"/>
          </w:divBdr>
        </w:div>
      </w:divsChild>
    </w:div>
    <w:div w:id="188615242">
      <w:bodyDiv w:val="1"/>
      <w:marLeft w:val="0"/>
      <w:marRight w:val="0"/>
      <w:marTop w:val="0"/>
      <w:marBottom w:val="0"/>
      <w:divBdr>
        <w:top w:val="none" w:sz="0" w:space="0" w:color="auto"/>
        <w:left w:val="none" w:sz="0" w:space="0" w:color="auto"/>
        <w:bottom w:val="none" w:sz="0" w:space="0" w:color="auto"/>
        <w:right w:val="none" w:sz="0" w:space="0" w:color="auto"/>
      </w:divBdr>
      <w:divsChild>
        <w:div w:id="1405489402">
          <w:marLeft w:val="0"/>
          <w:marRight w:val="0"/>
          <w:marTop w:val="0"/>
          <w:marBottom w:val="0"/>
          <w:divBdr>
            <w:top w:val="none" w:sz="0" w:space="0" w:color="auto"/>
            <w:left w:val="none" w:sz="0" w:space="0" w:color="auto"/>
            <w:bottom w:val="none" w:sz="0" w:space="0" w:color="auto"/>
            <w:right w:val="none" w:sz="0" w:space="0" w:color="auto"/>
          </w:divBdr>
          <w:divsChild>
            <w:div w:id="1373916551">
              <w:marLeft w:val="-225"/>
              <w:marRight w:val="-225"/>
              <w:marTop w:val="0"/>
              <w:marBottom w:val="0"/>
              <w:divBdr>
                <w:top w:val="none" w:sz="0" w:space="0" w:color="auto"/>
                <w:left w:val="none" w:sz="0" w:space="0" w:color="auto"/>
                <w:bottom w:val="none" w:sz="0" w:space="0" w:color="auto"/>
                <w:right w:val="none" w:sz="0" w:space="0" w:color="auto"/>
              </w:divBdr>
              <w:divsChild>
                <w:div w:id="609623529">
                  <w:marLeft w:val="0"/>
                  <w:marRight w:val="0"/>
                  <w:marTop w:val="0"/>
                  <w:marBottom w:val="0"/>
                  <w:divBdr>
                    <w:top w:val="none" w:sz="0" w:space="0" w:color="auto"/>
                    <w:left w:val="none" w:sz="0" w:space="0" w:color="auto"/>
                    <w:bottom w:val="none" w:sz="0" w:space="0" w:color="auto"/>
                    <w:right w:val="none" w:sz="0" w:space="0" w:color="auto"/>
                  </w:divBdr>
                  <w:divsChild>
                    <w:div w:id="1057584162">
                      <w:marLeft w:val="0"/>
                      <w:marRight w:val="0"/>
                      <w:marTop w:val="0"/>
                      <w:marBottom w:val="0"/>
                      <w:divBdr>
                        <w:top w:val="none" w:sz="0" w:space="0" w:color="auto"/>
                        <w:left w:val="none" w:sz="0" w:space="0" w:color="auto"/>
                        <w:bottom w:val="none" w:sz="0" w:space="0" w:color="auto"/>
                        <w:right w:val="none" w:sz="0" w:space="0" w:color="auto"/>
                      </w:divBdr>
                      <w:divsChild>
                        <w:div w:id="452557460">
                          <w:marLeft w:val="0"/>
                          <w:marRight w:val="0"/>
                          <w:marTop w:val="0"/>
                          <w:marBottom w:val="0"/>
                          <w:divBdr>
                            <w:top w:val="none" w:sz="0" w:space="0" w:color="auto"/>
                            <w:left w:val="none" w:sz="0" w:space="0" w:color="auto"/>
                            <w:bottom w:val="none" w:sz="0" w:space="0" w:color="auto"/>
                            <w:right w:val="none" w:sz="0" w:space="0" w:color="auto"/>
                          </w:divBdr>
                        </w:div>
                      </w:divsChild>
                    </w:div>
                    <w:div w:id="1809281720">
                      <w:marLeft w:val="0"/>
                      <w:marRight w:val="0"/>
                      <w:marTop w:val="0"/>
                      <w:marBottom w:val="0"/>
                      <w:divBdr>
                        <w:top w:val="none" w:sz="0" w:space="0" w:color="auto"/>
                        <w:left w:val="none" w:sz="0" w:space="0" w:color="auto"/>
                        <w:bottom w:val="none" w:sz="0" w:space="0" w:color="auto"/>
                        <w:right w:val="none" w:sz="0" w:space="0" w:color="auto"/>
                      </w:divBdr>
                      <w:divsChild>
                        <w:div w:id="1540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5691">
                  <w:marLeft w:val="0"/>
                  <w:marRight w:val="0"/>
                  <w:marTop w:val="0"/>
                  <w:marBottom w:val="0"/>
                  <w:divBdr>
                    <w:top w:val="none" w:sz="0" w:space="0" w:color="auto"/>
                    <w:left w:val="none" w:sz="0" w:space="0" w:color="auto"/>
                    <w:bottom w:val="none" w:sz="0" w:space="0" w:color="auto"/>
                    <w:right w:val="none" w:sz="0" w:space="0" w:color="auto"/>
                  </w:divBdr>
                  <w:divsChild>
                    <w:div w:id="80493983">
                      <w:marLeft w:val="0"/>
                      <w:marRight w:val="0"/>
                      <w:marTop w:val="0"/>
                      <w:marBottom w:val="0"/>
                      <w:divBdr>
                        <w:top w:val="none" w:sz="0" w:space="0" w:color="auto"/>
                        <w:left w:val="none" w:sz="0" w:space="0" w:color="auto"/>
                        <w:bottom w:val="none" w:sz="0" w:space="0" w:color="auto"/>
                        <w:right w:val="none" w:sz="0" w:space="0" w:color="auto"/>
                      </w:divBdr>
                    </w:div>
                  </w:divsChild>
                </w:div>
                <w:div w:id="710887496">
                  <w:marLeft w:val="0"/>
                  <w:marRight w:val="0"/>
                  <w:marTop w:val="0"/>
                  <w:marBottom w:val="0"/>
                  <w:divBdr>
                    <w:top w:val="none" w:sz="0" w:space="0" w:color="auto"/>
                    <w:left w:val="none" w:sz="0" w:space="0" w:color="auto"/>
                    <w:bottom w:val="none" w:sz="0" w:space="0" w:color="auto"/>
                    <w:right w:val="none" w:sz="0" w:space="0" w:color="auto"/>
                  </w:divBdr>
                </w:div>
                <w:div w:id="1190921129">
                  <w:marLeft w:val="0"/>
                  <w:marRight w:val="0"/>
                  <w:marTop w:val="0"/>
                  <w:marBottom w:val="0"/>
                  <w:divBdr>
                    <w:top w:val="none" w:sz="0" w:space="0" w:color="auto"/>
                    <w:left w:val="none" w:sz="0" w:space="0" w:color="auto"/>
                    <w:bottom w:val="none" w:sz="0" w:space="0" w:color="auto"/>
                    <w:right w:val="none" w:sz="0" w:space="0" w:color="auto"/>
                  </w:divBdr>
                  <w:divsChild>
                    <w:div w:id="234970674">
                      <w:marLeft w:val="-225"/>
                      <w:marRight w:val="-225"/>
                      <w:marTop w:val="0"/>
                      <w:marBottom w:val="0"/>
                      <w:divBdr>
                        <w:top w:val="none" w:sz="0" w:space="0" w:color="auto"/>
                        <w:left w:val="none" w:sz="0" w:space="0" w:color="auto"/>
                        <w:bottom w:val="none" w:sz="0" w:space="0" w:color="auto"/>
                        <w:right w:val="none" w:sz="0" w:space="0" w:color="auto"/>
                      </w:divBdr>
                      <w:divsChild>
                        <w:div w:id="1999839131">
                          <w:marLeft w:val="0"/>
                          <w:marRight w:val="0"/>
                          <w:marTop w:val="0"/>
                          <w:marBottom w:val="0"/>
                          <w:divBdr>
                            <w:top w:val="none" w:sz="0" w:space="0" w:color="auto"/>
                            <w:left w:val="none" w:sz="0" w:space="0" w:color="auto"/>
                            <w:bottom w:val="none" w:sz="0" w:space="0" w:color="auto"/>
                            <w:right w:val="none" w:sz="0" w:space="0" w:color="auto"/>
                          </w:divBdr>
                          <w:divsChild>
                            <w:div w:id="77479777">
                              <w:marLeft w:val="0"/>
                              <w:marRight w:val="0"/>
                              <w:marTop w:val="0"/>
                              <w:marBottom w:val="0"/>
                              <w:divBdr>
                                <w:top w:val="none" w:sz="0" w:space="0" w:color="auto"/>
                                <w:left w:val="none" w:sz="0" w:space="0" w:color="auto"/>
                                <w:bottom w:val="none" w:sz="0" w:space="0" w:color="auto"/>
                                <w:right w:val="none" w:sz="0" w:space="0" w:color="auto"/>
                              </w:divBdr>
                            </w:div>
                          </w:divsChild>
                        </w:div>
                        <w:div w:id="1097484138">
                          <w:marLeft w:val="0"/>
                          <w:marRight w:val="0"/>
                          <w:marTop w:val="0"/>
                          <w:marBottom w:val="0"/>
                          <w:divBdr>
                            <w:top w:val="none" w:sz="0" w:space="0" w:color="auto"/>
                            <w:left w:val="none" w:sz="0" w:space="0" w:color="auto"/>
                            <w:bottom w:val="none" w:sz="0" w:space="0" w:color="auto"/>
                            <w:right w:val="none" w:sz="0" w:space="0" w:color="auto"/>
                          </w:divBdr>
                          <w:divsChild>
                            <w:div w:id="529148005">
                              <w:marLeft w:val="0"/>
                              <w:marRight w:val="0"/>
                              <w:marTop w:val="0"/>
                              <w:marBottom w:val="0"/>
                              <w:divBdr>
                                <w:top w:val="none" w:sz="0" w:space="0" w:color="auto"/>
                                <w:left w:val="none" w:sz="0" w:space="0" w:color="auto"/>
                                <w:bottom w:val="none" w:sz="0" w:space="0" w:color="auto"/>
                                <w:right w:val="none" w:sz="0" w:space="0" w:color="auto"/>
                              </w:divBdr>
                            </w:div>
                          </w:divsChild>
                        </w:div>
                        <w:div w:id="860319739">
                          <w:marLeft w:val="0"/>
                          <w:marRight w:val="0"/>
                          <w:marTop w:val="0"/>
                          <w:marBottom w:val="0"/>
                          <w:divBdr>
                            <w:top w:val="none" w:sz="0" w:space="0" w:color="auto"/>
                            <w:left w:val="none" w:sz="0" w:space="0" w:color="auto"/>
                            <w:bottom w:val="none" w:sz="0" w:space="0" w:color="auto"/>
                            <w:right w:val="none" w:sz="0" w:space="0" w:color="auto"/>
                          </w:divBdr>
                          <w:divsChild>
                            <w:div w:id="116466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953955">
                  <w:marLeft w:val="0"/>
                  <w:marRight w:val="0"/>
                  <w:marTop w:val="0"/>
                  <w:marBottom w:val="0"/>
                  <w:divBdr>
                    <w:top w:val="none" w:sz="0" w:space="0" w:color="auto"/>
                    <w:left w:val="none" w:sz="0" w:space="0" w:color="auto"/>
                    <w:bottom w:val="none" w:sz="0" w:space="0" w:color="auto"/>
                    <w:right w:val="none" w:sz="0" w:space="0" w:color="auto"/>
                  </w:divBdr>
                  <w:divsChild>
                    <w:div w:id="530338852">
                      <w:marLeft w:val="0"/>
                      <w:marRight w:val="0"/>
                      <w:marTop w:val="0"/>
                      <w:marBottom w:val="0"/>
                      <w:divBdr>
                        <w:top w:val="none" w:sz="0" w:space="0" w:color="auto"/>
                        <w:left w:val="none" w:sz="0" w:space="0" w:color="auto"/>
                        <w:bottom w:val="none" w:sz="0" w:space="0" w:color="auto"/>
                        <w:right w:val="none" w:sz="0" w:space="0" w:color="auto"/>
                      </w:divBdr>
                      <w:divsChild>
                        <w:div w:id="777525569">
                          <w:marLeft w:val="0"/>
                          <w:marRight w:val="0"/>
                          <w:marTop w:val="0"/>
                          <w:marBottom w:val="0"/>
                          <w:divBdr>
                            <w:top w:val="none" w:sz="0" w:space="0" w:color="auto"/>
                            <w:left w:val="none" w:sz="0" w:space="0" w:color="auto"/>
                            <w:bottom w:val="none" w:sz="0" w:space="0" w:color="auto"/>
                            <w:right w:val="none" w:sz="0" w:space="0" w:color="auto"/>
                          </w:divBdr>
                          <w:divsChild>
                            <w:div w:id="679936842">
                              <w:marLeft w:val="0"/>
                              <w:marRight w:val="0"/>
                              <w:marTop w:val="0"/>
                              <w:marBottom w:val="0"/>
                              <w:divBdr>
                                <w:top w:val="none" w:sz="0" w:space="0" w:color="auto"/>
                                <w:left w:val="none" w:sz="0" w:space="0" w:color="auto"/>
                                <w:bottom w:val="none" w:sz="0" w:space="0" w:color="auto"/>
                                <w:right w:val="none" w:sz="0" w:space="0" w:color="auto"/>
                              </w:divBdr>
                              <w:divsChild>
                                <w:div w:id="175990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21364">
                          <w:marLeft w:val="0"/>
                          <w:marRight w:val="0"/>
                          <w:marTop w:val="0"/>
                          <w:marBottom w:val="0"/>
                          <w:divBdr>
                            <w:top w:val="none" w:sz="0" w:space="0" w:color="auto"/>
                            <w:left w:val="none" w:sz="0" w:space="0" w:color="auto"/>
                            <w:bottom w:val="none" w:sz="0" w:space="0" w:color="auto"/>
                            <w:right w:val="none" w:sz="0" w:space="0" w:color="auto"/>
                          </w:divBdr>
                        </w:div>
                        <w:div w:id="141866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023161">
          <w:marLeft w:val="0"/>
          <w:marRight w:val="0"/>
          <w:marTop w:val="0"/>
          <w:marBottom w:val="0"/>
          <w:divBdr>
            <w:top w:val="none" w:sz="0" w:space="0" w:color="auto"/>
            <w:left w:val="none" w:sz="0" w:space="0" w:color="auto"/>
            <w:bottom w:val="none" w:sz="0" w:space="0" w:color="auto"/>
            <w:right w:val="none" w:sz="0" w:space="0" w:color="auto"/>
          </w:divBdr>
        </w:div>
        <w:div w:id="1225602372">
          <w:marLeft w:val="0"/>
          <w:marRight w:val="0"/>
          <w:marTop w:val="0"/>
          <w:marBottom w:val="0"/>
          <w:divBdr>
            <w:top w:val="none" w:sz="0" w:space="0" w:color="auto"/>
            <w:left w:val="none" w:sz="0" w:space="0" w:color="auto"/>
            <w:bottom w:val="none" w:sz="0" w:space="0" w:color="auto"/>
            <w:right w:val="none" w:sz="0" w:space="0" w:color="auto"/>
          </w:divBdr>
          <w:divsChild>
            <w:div w:id="510872621">
              <w:marLeft w:val="0"/>
              <w:marRight w:val="0"/>
              <w:marTop w:val="0"/>
              <w:marBottom w:val="0"/>
              <w:divBdr>
                <w:top w:val="none" w:sz="0" w:space="0" w:color="auto"/>
                <w:left w:val="none" w:sz="0" w:space="0" w:color="auto"/>
                <w:bottom w:val="none" w:sz="0" w:space="0" w:color="auto"/>
                <w:right w:val="none" w:sz="0" w:space="0" w:color="auto"/>
              </w:divBdr>
              <w:divsChild>
                <w:div w:id="605776701">
                  <w:marLeft w:val="-225"/>
                  <w:marRight w:val="-225"/>
                  <w:marTop w:val="0"/>
                  <w:marBottom w:val="0"/>
                  <w:divBdr>
                    <w:top w:val="none" w:sz="0" w:space="0" w:color="auto"/>
                    <w:left w:val="none" w:sz="0" w:space="0" w:color="auto"/>
                    <w:bottom w:val="none" w:sz="0" w:space="0" w:color="auto"/>
                    <w:right w:val="none" w:sz="0" w:space="0" w:color="auto"/>
                  </w:divBdr>
                  <w:divsChild>
                    <w:div w:id="95444350">
                      <w:marLeft w:val="0"/>
                      <w:marRight w:val="0"/>
                      <w:marTop w:val="0"/>
                      <w:marBottom w:val="0"/>
                      <w:divBdr>
                        <w:top w:val="none" w:sz="0" w:space="0" w:color="auto"/>
                        <w:left w:val="none" w:sz="0" w:space="0" w:color="auto"/>
                        <w:bottom w:val="none" w:sz="0" w:space="0" w:color="auto"/>
                        <w:right w:val="none" w:sz="0" w:space="0" w:color="auto"/>
                      </w:divBdr>
                    </w:div>
                    <w:div w:id="1359313331">
                      <w:marLeft w:val="0"/>
                      <w:marRight w:val="0"/>
                      <w:marTop w:val="0"/>
                      <w:marBottom w:val="0"/>
                      <w:divBdr>
                        <w:top w:val="none" w:sz="0" w:space="0" w:color="auto"/>
                        <w:left w:val="none" w:sz="0" w:space="0" w:color="auto"/>
                        <w:bottom w:val="none" w:sz="0" w:space="0" w:color="auto"/>
                        <w:right w:val="none" w:sz="0" w:space="0" w:color="auto"/>
                      </w:divBdr>
                    </w:div>
                    <w:div w:id="1770538227">
                      <w:marLeft w:val="0"/>
                      <w:marRight w:val="0"/>
                      <w:marTop w:val="0"/>
                      <w:marBottom w:val="0"/>
                      <w:divBdr>
                        <w:top w:val="none" w:sz="0" w:space="0" w:color="auto"/>
                        <w:left w:val="none" w:sz="0" w:space="0" w:color="auto"/>
                        <w:bottom w:val="none" w:sz="0" w:space="0" w:color="auto"/>
                        <w:right w:val="none" w:sz="0" w:space="0" w:color="auto"/>
                      </w:divBdr>
                    </w:div>
                    <w:div w:id="9116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9029">
              <w:marLeft w:val="0"/>
              <w:marRight w:val="0"/>
              <w:marTop w:val="0"/>
              <w:marBottom w:val="0"/>
              <w:divBdr>
                <w:top w:val="none" w:sz="0" w:space="0" w:color="auto"/>
                <w:left w:val="none" w:sz="0" w:space="0" w:color="auto"/>
                <w:bottom w:val="none" w:sz="0" w:space="0" w:color="auto"/>
                <w:right w:val="none" w:sz="0" w:space="0" w:color="auto"/>
              </w:divBdr>
            </w:div>
            <w:div w:id="486938636">
              <w:marLeft w:val="-225"/>
              <w:marRight w:val="-225"/>
              <w:marTop w:val="0"/>
              <w:marBottom w:val="0"/>
              <w:divBdr>
                <w:top w:val="none" w:sz="0" w:space="0" w:color="auto"/>
                <w:left w:val="none" w:sz="0" w:space="0" w:color="auto"/>
                <w:bottom w:val="none" w:sz="0" w:space="0" w:color="auto"/>
                <w:right w:val="none" w:sz="0" w:space="0" w:color="auto"/>
              </w:divBdr>
              <w:divsChild>
                <w:div w:id="1807505685">
                  <w:marLeft w:val="0"/>
                  <w:marRight w:val="0"/>
                  <w:marTop w:val="0"/>
                  <w:marBottom w:val="0"/>
                  <w:divBdr>
                    <w:top w:val="none" w:sz="0" w:space="0" w:color="auto"/>
                    <w:left w:val="none" w:sz="0" w:space="0" w:color="auto"/>
                    <w:bottom w:val="none" w:sz="0" w:space="0" w:color="auto"/>
                    <w:right w:val="none" w:sz="0" w:space="0" w:color="auto"/>
                  </w:divBdr>
                  <w:divsChild>
                    <w:div w:id="881939428">
                      <w:marLeft w:val="0"/>
                      <w:marRight w:val="0"/>
                      <w:marTop w:val="0"/>
                      <w:marBottom w:val="0"/>
                      <w:divBdr>
                        <w:top w:val="none" w:sz="0" w:space="0" w:color="auto"/>
                        <w:left w:val="none" w:sz="0" w:space="0" w:color="auto"/>
                        <w:bottom w:val="none" w:sz="0" w:space="0" w:color="auto"/>
                        <w:right w:val="none" w:sz="0" w:space="0" w:color="auto"/>
                      </w:divBdr>
                    </w:div>
                  </w:divsChild>
                </w:div>
                <w:div w:id="1833375537">
                  <w:marLeft w:val="0"/>
                  <w:marRight w:val="0"/>
                  <w:marTop w:val="0"/>
                  <w:marBottom w:val="0"/>
                  <w:divBdr>
                    <w:top w:val="none" w:sz="0" w:space="0" w:color="auto"/>
                    <w:left w:val="none" w:sz="0" w:space="0" w:color="auto"/>
                    <w:bottom w:val="none" w:sz="0" w:space="0" w:color="auto"/>
                    <w:right w:val="none" w:sz="0" w:space="0" w:color="auto"/>
                  </w:divBdr>
                  <w:divsChild>
                    <w:div w:id="608436480">
                      <w:marLeft w:val="0"/>
                      <w:marRight w:val="0"/>
                      <w:marTop w:val="0"/>
                      <w:marBottom w:val="0"/>
                      <w:divBdr>
                        <w:top w:val="none" w:sz="0" w:space="0" w:color="auto"/>
                        <w:left w:val="none" w:sz="0" w:space="0" w:color="auto"/>
                        <w:bottom w:val="none" w:sz="0" w:space="0" w:color="auto"/>
                        <w:right w:val="none" w:sz="0" w:space="0" w:color="auto"/>
                      </w:divBdr>
                    </w:div>
                  </w:divsChild>
                </w:div>
                <w:div w:id="387846566">
                  <w:marLeft w:val="0"/>
                  <w:marRight w:val="0"/>
                  <w:marTop w:val="0"/>
                  <w:marBottom w:val="0"/>
                  <w:divBdr>
                    <w:top w:val="none" w:sz="0" w:space="0" w:color="auto"/>
                    <w:left w:val="none" w:sz="0" w:space="0" w:color="auto"/>
                    <w:bottom w:val="none" w:sz="0" w:space="0" w:color="auto"/>
                    <w:right w:val="none" w:sz="0" w:space="0" w:color="auto"/>
                  </w:divBdr>
                  <w:divsChild>
                    <w:div w:id="185245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360386">
              <w:marLeft w:val="-225"/>
              <w:marRight w:val="-225"/>
              <w:marTop w:val="0"/>
              <w:marBottom w:val="0"/>
              <w:divBdr>
                <w:top w:val="none" w:sz="0" w:space="0" w:color="auto"/>
                <w:left w:val="none" w:sz="0" w:space="0" w:color="auto"/>
                <w:bottom w:val="none" w:sz="0" w:space="0" w:color="auto"/>
                <w:right w:val="none" w:sz="0" w:space="0" w:color="auto"/>
              </w:divBdr>
              <w:divsChild>
                <w:div w:id="2012096620">
                  <w:marLeft w:val="0"/>
                  <w:marRight w:val="0"/>
                  <w:marTop w:val="0"/>
                  <w:marBottom w:val="0"/>
                  <w:divBdr>
                    <w:top w:val="none" w:sz="0" w:space="0" w:color="auto"/>
                    <w:left w:val="none" w:sz="0" w:space="0" w:color="auto"/>
                    <w:bottom w:val="none" w:sz="0" w:space="0" w:color="auto"/>
                    <w:right w:val="none" w:sz="0" w:space="0" w:color="auto"/>
                  </w:divBdr>
                  <w:divsChild>
                    <w:div w:id="111022982">
                      <w:marLeft w:val="0"/>
                      <w:marRight w:val="0"/>
                      <w:marTop w:val="0"/>
                      <w:marBottom w:val="0"/>
                      <w:divBdr>
                        <w:top w:val="none" w:sz="0" w:space="0" w:color="auto"/>
                        <w:left w:val="none" w:sz="0" w:space="0" w:color="auto"/>
                        <w:bottom w:val="none" w:sz="0" w:space="0" w:color="auto"/>
                        <w:right w:val="none" w:sz="0" w:space="0" w:color="auto"/>
                      </w:divBdr>
                    </w:div>
                  </w:divsChild>
                </w:div>
                <w:div w:id="2029914342">
                  <w:marLeft w:val="0"/>
                  <w:marRight w:val="0"/>
                  <w:marTop w:val="0"/>
                  <w:marBottom w:val="0"/>
                  <w:divBdr>
                    <w:top w:val="none" w:sz="0" w:space="0" w:color="auto"/>
                    <w:left w:val="none" w:sz="0" w:space="0" w:color="auto"/>
                    <w:bottom w:val="none" w:sz="0" w:space="0" w:color="auto"/>
                    <w:right w:val="none" w:sz="0" w:space="0" w:color="auto"/>
                  </w:divBdr>
                </w:div>
                <w:div w:id="1564177567">
                  <w:marLeft w:val="0"/>
                  <w:marRight w:val="0"/>
                  <w:marTop w:val="0"/>
                  <w:marBottom w:val="0"/>
                  <w:divBdr>
                    <w:top w:val="none" w:sz="0" w:space="0" w:color="auto"/>
                    <w:left w:val="none" w:sz="0" w:space="0" w:color="auto"/>
                    <w:bottom w:val="none" w:sz="0" w:space="0" w:color="auto"/>
                    <w:right w:val="none" w:sz="0" w:space="0" w:color="auto"/>
                  </w:divBdr>
                </w:div>
                <w:div w:id="121650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615093">
          <w:marLeft w:val="0"/>
          <w:marRight w:val="0"/>
          <w:marTop w:val="0"/>
          <w:marBottom w:val="0"/>
          <w:divBdr>
            <w:top w:val="none" w:sz="0" w:space="0" w:color="auto"/>
            <w:left w:val="none" w:sz="0" w:space="0" w:color="auto"/>
            <w:bottom w:val="none" w:sz="0" w:space="0" w:color="auto"/>
            <w:right w:val="none" w:sz="0" w:space="0" w:color="auto"/>
          </w:divBdr>
          <w:divsChild>
            <w:div w:id="47457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28222">
      <w:bodyDiv w:val="1"/>
      <w:marLeft w:val="0"/>
      <w:marRight w:val="0"/>
      <w:marTop w:val="0"/>
      <w:marBottom w:val="0"/>
      <w:divBdr>
        <w:top w:val="none" w:sz="0" w:space="0" w:color="auto"/>
        <w:left w:val="none" w:sz="0" w:space="0" w:color="auto"/>
        <w:bottom w:val="none" w:sz="0" w:space="0" w:color="auto"/>
        <w:right w:val="none" w:sz="0" w:space="0" w:color="auto"/>
      </w:divBdr>
      <w:divsChild>
        <w:div w:id="1584794809">
          <w:marLeft w:val="0"/>
          <w:marRight w:val="0"/>
          <w:marTop w:val="0"/>
          <w:marBottom w:val="0"/>
          <w:divBdr>
            <w:top w:val="none" w:sz="0" w:space="0" w:color="auto"/>
            <w:left w:val="none" w:sz="0" w:space="0" w:color="auto"/>
            <w:bottom w:val="none" w:sz="0" w:space="0" w:color="auto"/>
            <w:right w:val="none" w:sz="0" w:space="0" w:color="auto"/>
          </w:divBdr>
        </w:div>
        <w:div w:id="644436861">
          <w:marLeft w:val="0"/>
          <w:marRight w:val="0"/>
          <w:marTop w:val="0"/>
          <w:marBottom w:val="0"/>
          <w:divBdr>
            <w:top w:val="none" w:sz="0" w:space="0" w:color="auto"/>
            <w:left w:val="none" w:sz="0" w:space="0" w:color="auto"/>
            <w:bottom w:val="none" w:sz="0" w:space="0" w:color="auto"/>
            <w:right w:val="none" w:sz="0" w:space="0" w:color="auto"/>
          </w:divBdr>
        </w:div>
      </w:divsChild>
    </w:div>
    <w:div w:id="308436254">
      <w:bodyDiv w:val="1"/>
      <w:marLeft w:val="0"/>
      <w:marRight w:val="0"/>
      <w:marTop w:val="0"/>
      <w:marBottom w:val="0"/>
      <w:divBdr>
        <w:top w:val="none" w:sz="0" w:space="0" w:color="auto"/>
        <w:left w:val="none" w:sz="0" w:space="0" w:color="auto"/>
        <w:bottom w:val="none" w:sz="0" w:space="0" w:color="auto"/>
        <w:right w:val="none" w:sz="0" w:space="0" w:color="auto"/>
      </w:divBdr>
      <w:divsChild>
        <w:div w:id="1384059929">
          <w:marLeft w:val="0"/>
          <w:marRight w:val="0"/>
          <w:marTop w:val="0"/>
          <w:marBottom w:val="0"/>
          <w:divBdr>
            <w:top w:val="none" w:sz="0" w:space="0" w:color="auto"/>
            <w:left w:val="none" w:sz="0" w:space="0" w:color="auto"/>
            <w:bottom w:val="none" w:sz="0" w:space="0" w:color="auto"/>
            <w:right w:val="none" w:sz="0" w:space="0" w:color="auto"/>
          </w:divBdr>
        </w:div>
        <w:div w:id="2041514212">
          <w:marLeft w:val="0"/>
          <w:marRight w:val="0"/>
          <w:marTop w:val="0"/>
          <w:marBottom w:val="0"/>
          <w:divBdr>
            <w:top w:val="none" w:sz="0" w:space="0" w:color="auto"/>
            <w:left w:val="none" w:sz="0" w:space="0" w:color="auto"/>
            <w:bottom w:val="none" w:sz="0" w:space="0" w:color="auto"/>
            <w:right w:val="none" w:sz="0" w:space="0" w:color="auto"/>
          </w:divBdr>
        </w:div>
        <w:div w:id="699086372">
          <w:marLeft w:val="0"/>
          <w:marRight w:val="0"/>
          <w:marTop w:val="0"/>
          <w:marBottom w:val="0"/>
          <w:divBdr>
            <w:top w:val="none" w:sz="0" w:space="0" w:color="auto"/>
            <w:left w:val="none" w:sz="0" w:space="0" w:color="auto"/>
            <w:bottom w:val="none" w:sz="0" w:space="0" w:color="auto"/>
            <w:right w:val="none" w:sz="0" w:space="0" w:color="auto"/>
          </w:divBdr>
        </w:div>
        <w:div w:id="890535211">
          <w:marLeft w:val="0"/>
          <w:marRight w:val="0"/>
          <w:marTop w:val="0"/>
          <w:marBottom w:val="0"/>
          <w:divBdr>
            <w:top w:val="none" w:sz="0" w:space="0" w:color="auto"/>
            <w:left w:val="none" w:sz="0" w:space="0" w:color="auto"/>
            <w:bottom w:val="none" w:sz="0" w:space="0" w:color="auto"/>
            <w:right w:val="none" w:sz="0" w:space="0" w:color="auto"/>
          </w:divBdr>
        </w:div>
      </w:divsChild>
    </w:div>
    <w:div w:id="333532389">
      <w:bodyDiv w:val="1"/>
      <w:marLeft w:val="0"/>
      <w:marRight w:val="0"/>
      <w:marTop w:val="0"/>
      <w:marBottom w:val="0"/>
      <w:divBdr>
        <w:top w:val="none" w:sz="0" w:space="0" w:color="auto"/>
        <w:left w:val="none" w:sz="0" w:space="0" w:color="auto"/>
        <w:bottom w:val="none" w:sz="0" w:space="0" w:color="auto"/>
        <w:right w:val="none" w:sz="0" w:space="0" w:color="auto"/>
      </w:divBdr>
      <w:divsChild>
        <w:div w:id="1950619043">
          <w:marLeft w:val="0"/>
          <w:marRight w:val="0"/>
          <w:marTop w:val="0"/>
          <w:marBottom w:val="0"/>
          <w:divBdr>
            <w:top w:val="none" w:sz="0" w:space="0" w:color="auto"/>
            <w:left w:val="none" w:sz="0" w:space="0" w:color="auto"/>
            <w:bottom w:val="none" w:sz="0" w:space="0" w:color="auto"/>
            <w:right w:val="none" w:sz="0" w:space="0" w:color="auto"/>
          </w:divBdr>
        </w:div>
      </w:divsChild>
    </w:div>
    <w:div w:id="357438006">
      <w:bodyDiv w:val="1"/>
      <w:marLeft w:val="0"/>
      <w:marRight w:val="0"/>
      <w:marTop w:val="0"/>
      <w:marBottom w:val="0"/>
      <w:divBdr>
        <w:top w:val="none" w:sz="0" w:space="0" w:color="auto"/>
        <w:left w:val="none" w:sz="0" w:space="0" w:color="auto"/>
        <w:bottom w:val="none" w:sz="0" w:space="0" w:color="auto"/>
        <w:right w:val="none" w:sz="0" w:space="0" w:color="auto"/>
      </w:divBdr>
      <w:divsChild>
        <w:div w:id="1983344782">
          <w:marLeft w:val="0"/>
          <w:marRight w:val="0"/>
          <w:marTop w:val="0"/>
          <w:marBottom w:val="0"/>
          <w:divBdr>
            <w:top w:val="none" w:sz="0" w:space="0" w:color="auto"/>
            <w:left w:val="none" w:sz="0" w:space="0" w:color="auto"/>
            <w:bottom w:val="none" w:sz="0" w:space="0" w:color="auto"/>
            <w:right w:val="none" w:sz="0" w:space="0" w:color="auto"/>
          </w:divBdr>
        </w:div>
      </w:divsChild>
    </w:div>
    <w:div w:id="398750342">
      <w:bodyDiv w:val="1"/>
      <w:marLeft w:val="0"/>
      <w:marRight w:val="0"/>
      <w:marTop w:val="0"/>
      <w:marBottom w:val="0"/>
      <w:divBdr>
        <w:top w:val="none" w:sz="0" w:space="0" w:color="auto"/>
        <w:left w:val="none" w:sz="0" w:space="0" w:color="auto"/>
        <w:bottom w:val="none" w:sz="0" w:space="0" w:color="auto"/>
        <w:right w:val="none" w:sz="0" w:space="0" w:color="auto"/>
      </w:divBdr>
      <w:divsChild>
        <w:div w:id="1191802959">
          <w:marLeft w:val="0"/>
          <w:marRight w:val="0"/>
          <w:marTop w:val="0"/>
          <w:marBottom w:val="0"/>
          <w:divBdr>
            <w:top w:val="none" w:sz="0" w:space="0" w:color="auto"/>
            <w:left w:val="none" w:sz="0" w:space="0" w:color="auto"/>
            <w:bottom w:val="none" w:sz="0" w:space="0" w:color="auto"/>
            <w:right w:val="none" w:sz="0" w:space="0" w:color="auto"/>
          </w:divBdr>
          <w:divsChild>
            <w:div w:id="1478957049">
              <w:marLeft w:val="-225"/>
              <w:marRight w:val="-225"/>
              <w:marTop w:val="0"/>
              <w:marBottom w:val="0"/>
              <w:divBdr>
                <w:top w:val="none" w:sz="0" w:space="0" w:color="auto"/>
                <w:left w:val="none" w:sz="0" w:space="0" w:color="auto"/>
                <w:bottom w:val="none" w:sz="0" w:space="0" w:color="auto"/>
                <w:right w:val="none" w:sz="0" w:space="0" w:color="auto"/>
              </w:divBdr>
              <w:divsChild>
                <w:div w:id="1377699409">
                  <w:marLeft w:val="0"/>
                  <w:marRight w:val="0"/>
                  <w:marTop w:val="0"/>
                  <w:marBottom w:val="0"/>
                  <w:divBdr>
                    <w:top w:val="none" w:sz="0" w:space="0" w:color="auto"/>
                    <w:left w:val="none" w:sz="0" w:space="0" w:color="auto"/>
                    <w:bottom w:val="none" w:sz="0" w:space="0" w:color="auto"/>
                    <w:right w:val="none" w:sz="0" w:space="0" w:color="auto"/>
                  </w:divBdr>
                  <w:divsChild>
                    <w:div w:id="962350683">
                      <w:marLeft w:val="0"/>
                      <w:marRight w:val="0"/>
                      <w:marTop w:val="0"/>
                      <w:marBottom w:val="0"/>
                      <w:divBdr>
                        <w:top w:val="none" w:sz="0" w:space="0" w:color="auto"/>
                        <w:left w:val="none" w:sz="0" w:space="0" w:color="auto"/>
                        <w:bottom w:val="none" w:sz="0" w:space="0" w:color="auto"/>
                        <w:right w:val="none" w:sz="0" w:space="0" w:color="auto"/>
                      </w:divBdr>
                      <w:divsChild>
                        <w:div w:id="983848207">
                          <w:marLeft w:val="0"/>
                          <w:marRight w:val="0"/>
                          <w:marTop w:val="0"/>
                          <w:marBottom w:val="0"/>
                          <w:divBdr>
                            <w:top w:val="none" w:sz="0" w:space="0" w:color="auto"/>
                            <w:left w:val="none" w:sz="0" w:space="0" w:color="auto"/>
                            <w:bottom w:val="none" w:sz="0" w:space="0" w:color="auto"/>
                            <w:right w:val="none" w:sz="0" w:space="0" w:color="auto"/>
                          </w:divBdr>
                        </w:div>
                      </w:divsChild>
                    </w:div>
                    <w:div w:id="1443770726">
                      <w:marLeft w:val="0"/>
                      <w:marRight w:val="0"/>
                      <w:marTop w:val="0"/>
                      <w:marBottom w:val="0"/>
                      <w:divBdr>
                        <w:top w:val="none" w:sz="0" w:space="0" w:color="auto"/>
                        <w:left w:val="none" w:sz="0" w:space="0" w:color="auto"/>
                        <w:bottom w:val="none" w:sz="0" w:space="0" w:color="auto"/>
                        <w:right w:val="none" w:sz="0" w:space="0" w:color="auto"/>
                      </w:divBdr>
                      <w:divsChild>
                        <w:div w:id="254636693">
                          <w:marLeft w:val="0"/>
                          <w:marRight w:val="0"/>
                          <w:marTop w:val="0"/>
                          <w:marBottom w:val="0"/>
                          <w:divBdr>
                            <w:top w:val="none" w:sz="0" w:space="0" w:color="auto"/>
                            <w:left w:val="none" w:sz="0" w:space="0" w:color="auto"/>
                            <w:bottom w:val="none" w:sz="0" w:space="0" w:color="auto"/>
                            <w:right w:val="none" w:sz="0" w:space="0" w:color="auto"/>
                          </w:divBdr>
                        </w:div>
                      </w:divsChild>
                    </w:div>
                    <w:div w:id="992414666">
                      <w:marLeft w:val="0"/>
                      <w:marRight w:val="0"/>
                      <w:marTop w:val="0"/>
                      <w:marBottom w:val="0"/>
                      <w:divBdr>
                        <w:top w:val="none" w:sz="0" w:space="0" w:color="auto"/>
                        <w:left w:val="none" w:sz="0" w:space="0" w:color="auto"/>
                        <w:bottom w:val="none" w:sz="0" w:space="0" w:color="auto"/>
                        <w:right w:val="none" w:sz="0" w:space="0" w:color="auto"/>
                      </w:divBdr>
                      <w:divsChild>
                        <w:div w:id="455174550">
                          <w:marLeft w:val="0"/>
                          <w:marRight w:val="0"/>
                          <w:marTop w:val="0"/>
                          <w:marBottom w:val="0"/>
                          <w:divBdr>
                            <w:top w:val="none" w:sz="0" w:space="0" w:color="auto"/>
                            <w:left w:val="none" w:sz="0" w:space="0" w:color="auto"/>
                            <w:bottom w:val="none" w:sz="0" w:space="0" w:color="auto"/>
                            <w:right w:val="none" w:sz="0" w:space="0" w:color="auto"/>
                          </w:divBdr>
                        </w:div>
                      </w:divsChild>
                    </w:div>
                    <w:div w:id="1076787074">
                      <w:marLeft w:val="0"/>
                      <w:marRight w:val="0"/>
                      <w:marTop w:val="0"/>
                      <w:marBottom w:val="0"/>
                      <w:divBdr>
                        <w:top w:val="none" w:sz="0" w:space="0" w:color="auto"/>
                        <w:left w:val="none" w:sz="0" w:space="0" w:color="auto"/>
                        <w:bottom w:val="none" w:sz="0" w:space="0" w:color="auto"/>
                        <w:right w:val="none" w:sz="0" w:space="0" w:color="auto"/>
                      </w:divBdr>
                      <w:divsChild>
                        <w:div w:id="40268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8693">
                  <w:marLeft w:val="0"/>
                  <w:marRight w:val="0"/>
                  <w:marTop w:val="0"/>
                  <w:marBottom w:val="0"/>
                  <w:divBdr>
                    <w:top w:val="none" w:sz="0" w:space="0" w:color="auto"/>
                    <w:left w:val="none" w:sz="0" w:space="0" w:color="auto"/>
                    <w:bottom w:val="none" w:sz="0" w:space="0" w:color="auto"/>
                    <w:right w:val="none" w:sz="0" w:space="0" w:color="auto"/>
                  </w:divBdr>
                  <w:divsChild>
                    <w:div w:id="781805982">
                      <w:marLeft w:val="0"/>
                      <w:marRight w:val="0"/>
                      <w:marTop w:val="0"/>
                      <w:marBottom w:val="0"/>
                      <w:divBdr>
                        <w:top w:val="none" w:sz="0" w:space="0" w:color="auto"/>
                        <w:left w:val="none" w:sz="0" w:space="0" w:color="auto"/>
                        <w:bottom w:val="none" w:sz="0" w:space="0" w:color="auto"/>
                        <w:right w:val="none" w:sz="0" w:space="0" w:color="auto"/>
                      </w:divBdr>
                    </w:div>
                  </w:divsChild>
                </w:div>
                <w:div w:id="1987395955">
                  <w:marLeft w:val="0"/>
                  <w:marRight w:val="0"/>
                  <w:marTop w:val="0"/>
                  <w:marBottom w:val="0"/>
                  <w:divBdr>
                    <w:top w:val="none" w:sz="0" w:space="0" w:color="auto"/>
                    <w:left w:val="none" w:sz="0" w:space="0" w:color="auto"/>
                    <w:bottom w:val="none" w:sz="0" w:space="0" w:color="auto"/>
                    <w:right w:val="none" w:sz="0" w:space="0" w:color="auto"/>
                  </w:divBdr>
                </w:div>
                <w:div w:id="1993555110">
                  <w:marLeft w:val="0"/>
                  <w:marRight w:val="0"/>
                  <w:marTop w:val="0"/>
                  <w:marBottom w:val="0"/>
                  <w:divBdr>
                    <w:top w:val="none" w:sz="0" w:space="0" w:color="auto"/>
                    <w:left w:val="none" w:sz="0" w:space="0" w:color="auto"/>
                    <w:bottom w:val="none" w:sz="0" w:space="0" w:color="auto"/>
                    <w:right w:val="none" w:sz="0" w:space="0" w:color="auto"/>
                  </w:divBdr>
                  <w:divsChild>
                    <w:div w:id="323705909">
                      <w:marLeft w:val="-225"/>
                      <w:marRight w:val="-225"/>
                      <w:marTop w:val="0"/>
                      <w:marBottom w:val="0"/>
                      <w:divBdr>
                        <w:top w:val="none" w:sz="0" w:space="0" w:color="auto"/>
                        <w:left w:val="none" w:sz="0" w:space="0" w:color="auto"/>
                        <w:bottom w:val="none" w:sz="0" w:space="0" w:color="auto"/>
                        <w:right w:val="none" w:sz="0" w:space="0" w:color="auto"/>
                      </w:divBdr>
                      <w:divsChild>
                        <w:div w:id="1856455038">
                          <w:marLeft w:val="0"/>
                          <w:marRight w:val="0"/>
                          <w:marTop w:val="0"/>
                          <w:marBottom w:val="0"/>
                          <w:divBdr>
                            <w:top w:val="none" w:sz="0" w:space="0" w:color="auto"/>
                            <w:left w:val="none" w:sz="0" w:space="0" w:color="auto"/>
                            <w:bottom w:val="none" w:sz="0" w:space="0" w:color="auto"/>
                            <w:right w:val="none" w:sz="0" w:space="0" w:color="auto"/>
                          </w:divBdr>
                          <w:divsChild>
                            <w:div w:id="1068041556">
                              <w:marLeft w:val="0"/>
                              <w:marRight w:val="0"/>
                              <w:marTop w:val="0"/>
                              <w:marBottom w:val="0"/>
                              <w:divBdr>
                                <w:top w:val="none" w:sz="0" w:space="0" w:color="auto"/>
                                <w:left w:val="none" w:sz="0" w:space="0" w:color="auto"/>
                                <w:bottom w:val="none" w:sz="0" w:space="0" w:color="auto"/>
                                <w:right w:val="none" w:sz="0" w:space="0" w:color="auto"/>
                              </w:divBdr>
                            </w:div>
                          </w:divsChild>
                        </w:div>
                        <w:div w:id="1835416307">
                          <w:marLeft w:val="0"/>
                          <w:marRight w:val="0"/>
                          <w:marTop w:val="0"/>
                          <w:marBottom w:val="0"/>
                          <w:divBdr>
                            <w:top w:val="none" w:sz="0" w:space="0" w:color="auto"/>
                            <w:left w:val="none" w:sz="0" w:space="0" w:color="auto"/>
                            <w:bottom w:val="none" w:sz="0" w:space="0" w:color="auto"/>
                            <w:right w:val="none" w:sz="0" w:space="0" w:color="auto"/>
                          </w:divBdr>
                          <w:divsChild>
                            <w:div w:id="658921581">
                              <w:marLeft w:val="0"/>
                              <w:marRight w:val="0"/>
                              <w:marTop w:val="0"/>
                              <w:marBottom w:val="0"/>
                              <w:divBdr>
                                <w:top w:val="none" w:sz="0" w:space="0" w:color="auto"/>
                                <w:left w:val="none" w:sz="0" w:space="0" w:color="auto"/>
                                <w:bottom w:val="none" w:sz="0" w:space="0" w:color="auto"/>
                                <w:right w:val="none" w:sz="0" w:space="0" w:color="auto"/>
                              </w:divBdr>
                            </w:div>
                          </w:divsChild>
                        </w:div>
                        <w:div w:id="57485028">
                          <w:marLeft w:val="0"/>
                          <w:marRight w:val="0"/>
                          <w:marTop w:val="0"/>
                          <w:marBottom w:val="0"/>
                          <w:divBdr>
                            <w:top w:val="none" w:sz="0" w:space="0" w:color="auto"/>
                            <w:left w:val="none" w:sz="0" w:space="0" w:color="auto"/>
                            <w:bottom w:val="none" w:sz="0" w:space="0" w:color="auto"/>
                            <w:right w:val="none" w:sz="0" w:space="0" w:color="auto"/>
                          </w:divBdr>
                          <w:divsChild>
                            <w:div w:id="189866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3450">
                  <w:marLeft w:val="0"/>
                  <w:marRight w:val="0"/>
                  <w:marTop w:val="0"/>
                  <w:marBottom w:val="0"/>
                  <w:divBdr>
                    <w:top w:val="none" w:sz="0" w:space="0" w:color="auto"/>
                    <w:left w:val="none" w:sz="0" w:space="0" w:color="auto"/>
                    <w:bottom w:val="none" w:sz="0" w:space="0" w:color="auto"/>
                    <w:right w:val="none" w:sz="0" w:space="0" w:color="auto"/>
                  </w:divBdr>
                  <w:divsChild>
                    <w:div w:id="495805689">
                      <w:marLeft w:val="0"/>
                      <w:marRight w:val="0"/>
                      <w:marTop w:val="0"/>
                      <w:marBottom w:val="0"/>
                      <w:divBdr>
                        <w:top w:val="none" w:sz="0" w:space="0" w:color="auto"/>
                        <w:left w:val="none" w:sz="0" w:space="0" w:color="auto"/>
                        <w:bottom w:val="none" w:sz="0" w:space="0" w:color="auto"/>
                        <w:right w:val="none" w:sz="0" w:space="0" w:color="auto"/>
                      </w:divBdr>
                      <w:divsChild>
                        <w:div w:id="306593089">
                          <w:marLeft w:val="0"/>
                          <w:marRight w:val="0"/>
                          <w:marTop w:val="0"/>
                          <w:marBottom w:val="0"/>
                          <w:divBdr>
                            <w:top w:val="none" w:sz="0" w:space="0" w:color="auto"/>
                            <w:left w:val="none" w:sz="0" w:space="0" w:color="auto"/>
                            <w:bottom w:val="none" w:sz="0" w:space="0" w:color="auto"/>
                            <w:right w:val="none" w:sz="0" w:space="0" w:color="auto"/>
                          </w:divBdr>
                          <w:divsChild>
                            <w:div w:id="907304340">
                              <w:marLeft w:val="0"/>
                              <w:marRight w:val="0"/>
                              <w:marTop w:val="0"/>
                              <w:marBottom w:val="0"/>
                              <w:divBdr>
                                <w:top w:val="none" w:sz="0" w:space="0" w:color="auto"/>
                                <w:left w:val="none" w:sz="0" w:space="0" w:color="auto"/>
                                <w:bottom w:val="none" w:sz="0" w:space="0" w:color="auto"/>
                                <w:right w:val="none" w:sz="0" w:space="0" w:color="auto"/>
                              </w:divBdr>
                              <w:divsChild>
                                <w:div w:id="94157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669">
                          <w:marLeft w:val="0"/>
                          <w:marRight w:val="0"/>
                          <w:marTop w:val="0"/>
                          <w:marBottom w:val="0"/>
                          <w:divBdr>
                            <w:top w:val="none" w:sz="0" w:space="0" w:color="auto"/>
                            <w:left w:val="none" w:sz="0" w:space="0" w:color="auto"/>
                            <w:bottom w:val="none" w:sz="0" w:space="0" w:color="auto"/>
                            <w:right w:val="none" w:sz="0" w:space="0" w:color="auto"/>
                          </w:divBdr>
                        </w:div>
                        <w:div w:id="195494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2937945">
          <w:marLeft w:val="0"/>
          <w:marRight w:val="0"/>
          <w:marTop w:val="0"/>
          <w:marBottom w:val="0"/>
          <w:divBdr>
            <w:top w:val="none" w:sz="0" w:space="0" w:color="auto"/>
            <w:left w:val="none" w:sz="0" w:space="0" w:color="auto"/>
            <w:bottom w:val="none" w:sz="0" w:space="0" w:color="auto"/>
            <w:right w:val="none" w:sz="0" w:space="0" w:color="auto"/>
          </w:divBdr>
        </w:div>
        <w:div w:id="2062901208">
          <w:marLeft w:val="0"/>
          <w:marRight w:val="0"/>
          <w:marTop w:val="0"/>
          <w:marBottom w:val="0"/>
          <w:divBdr>
            <w:top w:val="none" w:sz="0" w:space="0" w:color="auto"/>
            <w:left w:val="none" w:sz="0" w:space="0" w:color="auto"/>
            <w:bottom w:val="none" w:sz="0" w:space="0" w:color="auto"/>
            <w:right w:val="none" w:sz="0" w:space="0" w:color="auto"/>
          </w:divBdr>
          <w:divsChild>
            <w:div w:id="914779650">
              <w:marLeft w:val="0"/>
              <w:marRight w:val="0"/>
              <w:marTop w:val="0"/>
              <w:marBottom w:val="0"/>
              <w:divBdr>
                <w:top w:val="none" w:sz="0" w:space="0" w:color="auto"/>
                <w:left w:val="none" w:sz="0" w:space="0" w:color="auto"/>
                <w:bottom w:val="none" w:sz="0" w:space="0" w:color="auto"/>
                <w:right w:val="none" w:sz="0" w:space="0" w:color="auto"/>
              </w:divBdr>
              <w:divsChild>
                <w:div w:id="1514147952">
                  <w:marLeft w:val="-225"/>
                  <w:marRight w:val="-225"/>
                  <w:marTop w:val="0"/>
                  <w:marBottom w:val="0"/>
                  <w:divBdr>
                    <w:top w:val="none" w:sz="0" w:space="0" w:color="auto"/>
                    <w:left w:val="none" w:sz="0" w:space="0" w:color="auto"/>
                    <w:bottom w:val="none" w:sz="0" w:space="0" w:color="auto"/>
                    <w:right w:val="none" w:sz="0" w:space="0" w:color="auto"/>
                  </w:divBdr>
                  <w:divsChild>
                    <w:div w:id="331178819">
                      <w:marLeft w:val="0"/>
                      <w:marRight w:val="0"/>
                      <w:marTop w:val="0"/>
                      <w:marBottom w:val="0"/>
                      <w:divBdr>
                        <w:top w:val="none" w:sz="0" w:space="0" w:color="auto"/>
                        <w:left w:val="none" w:sz="0" w:space="0" w:color="auto"/>
                        <w:bottom w:val="none" w:sz="0" w:space="0" w:color="auto"/>
                        <w:right w:val="none" w:sz="0" w:space="0" w:color="auto"/>
                      </w:divBdr>
                    </w:div>
                    <w:div w:id="917521171">
                      <w:marLeft w:val="0"/>
                      <w:marRight w:val="0"/>
                      <w:marTop w:val="0"/>
                      <w:marBottom w:val="0"/>
                      <w:divBdr>
                        <w:top w:val="none" w:sz="0" w:space="0" w:color="auto"/>
                        <w:left w:val="none" w:sz="0" w:space="0" w:color="auto"/>
                        <w:bottom w:val="none" w:sz="0" w:space="0" w:color="auto"/>
                        <w:right w:val="none" w:sz="0" w:space="0" w:color="auto"/>
                      </w:divBdr>
                    </w:div>
                    <w:div w:id="1221399042">
                      <w:marLeft w:val="0"/>
                      <w:marRight w:val="0"/>
                      <w:marTop w:val="0"/>
                      <w:marBottom w:val="0"/>
                      <w:divBdr>
                        <w:top w:val="none" w:sz="0" w:space="0" w:color="auto"/>
                        <w:left w:val="none" w:sz="0" w:space="0" w:color="auto"/>
                        <w:bottom w:val="none" w:sz="0" w:space="0" w:color="auto"/>
                        <w:right w:val="none" w:sz="0" w:space="0" w:color="auto"/>
                      </w:divBdr>
                    </w:div>
                    <w:div w:id="190860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037358">
              <w:marLeft w:val="0"/>
              <w:marRight w:val="0"/>
              <w:marTop w:val="0"/>
              <w:marBottom w:val="0"/>
              <w:divBdr>
                <w:top w:val="none" w:sz="0" w:space="0" w:color="auto"/>
                <w:left w:val="none" w:sz="0" w:space="0" w:color="auto"/>
                <w:bottom w:val="none" w:sz="0" w:space="0" w:color="auto"/>
                <w:right w:val="none" w:sz="0" w:space="0" w:color="auto"/>
              </w:divBdr>
            </w:div>
            <w:div w:id="1051422305">
              <w:marLeft w:val="-225"/>
              <w:marRight w:val="-225"/>
              <w:marTop w:val="0"/>
              <w:marBottom w:val="0"/>
              <w:divBdr>
                <w:top w:val="none" w:sz="0" w:space="0" w:color="auto"/>
                <w:left w:val="none" w:sz="0" w:space="0" w:color="auto"/>
                <w:bottom w:val="none" w:sz="0" w:space="0" w:color="auto"/>
                <w:right w:val="none" w:sz="0" w:space="0" w:color="auto"/>
              </w:divBdr>
              <w:divsChild>
                <w:div w:id="473522550">
                  <w:marLeft w:val="0"/>
                  <w:marRight w:val="0"/>
                  <w:marTop w:val="0"/>
                  <w:marBottom w:val="0"/>
                  <w:divBdr>
                    <w:top w:val="none" w:sz="0" w:space="0" w:color="auto"/>
                    <w:left w:val="none" w:sz="0" w:space="0" w:color="auto"/>
                    <w:bottom w:val="none" w:sz="0" w:space="0" w:color="auto"/>
                    <w:right w:val="none" w:sz="0" w:space="0" w:color="auto"/>
                  </w:divBdr>
                  <w:divsChild>
                    <w:div w:id="271863621">
                      <w:marLeft w:val="0"/>
                      <w:marRight w:val="0"/>
                      <w:marTop w:val="0"/>
                      <w:marBottom w:val="0"/>
                      <w:divBdr>
                        <w:top w:val="none" w:sz="0" w:space="0" w:color="auto"/>
                        <w:left w:val="none" w:sz="0" w:space="0" w:color="auto"/>
                        <w:bottom w:val="none" w:sz="0" w:space="0" w:color="auto"/>
                        <w:right w:val="none" w:sz="0" w:space="0" w:color="auto"/>
                      </w:divBdr>
                    </w:div>
                  </w:divsChild>
                </w:div>
                <w:div w:id="919946926">
                  <w:marLeft w:val="0"/>
                  <w:marRight w:val="0"/>
                  <w:marTop w:val="0"/>
                  <w:marBottom w:val="0"/>
                  <w:divBdr>
                    <w:top w:val="none" w:sz="0" w:space="0" w:color="auto"/>
                    <w:left w:val="none" w:sz="0" w:space="0" w:color="auto"/>
                    <w:bottom w:val="none" w:sz="0" w:space="0" w:color="auto"/>
                    <w:right w:val="none" w:sz="0" w:space="0" w:color="auto"/>
                  </w:divBdr>
                  <w:divsChild>
                    <w:div w:id="84111306">
                      <w:marLeft w:val="0"/>
                      <w:marRight w:val="0"/>
                      <w:marTop w:val="0"/>
                      <w:marBottom w:val="0"/>
                      <w:divBdr>
                        <w:top w:val="none" w:sz="0" w:space="0" w:color="auto"/>
                        <w:left w:val="none" w:sz="0" w:space="0" w:color="auto"/>
                        <w:bottom w:val="none" w:sz="0" w:space="0" w:color="auto"/>
                        <w:right w:val="none" w:sz="0" w:space="0" w:color="auto"/>
                      </w:divBdr>
                    </w:div>
                  </w:divsChild>
                </w:div>
                <w:div w:id="1660425432">
                  <w:marLeft w:val="0"/>
                  <w:marRight w:val="0"/>
                  <w:marTop w:val="0"/>
                  <w:marBottom w:val="0"/>
                  <w:divBdr>
                    <w:top w:val="none" w:sz="0" w:space="0" w:color="auto"/>
                    <w:left w:val="none" w:sz="0" w:space="0" w:color="auto"/>
                    <w:bottom w:val="none" w:sz="0" w:space="0" w:color="auto"/>
                    <w:right w:val="none" w:sz="0" w:space="0" w:color="auto"/>
                  </w:divBdr>
                  <w:divsChild>
                    <w:div w:id="143860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20841">
              <w:marLeft w:val="-225"/>
              <w:marRight w:val="-225"/>
              <w:marTop w:val="0"/>
              <w:marBottom w:val="0"/>
              <w:divBdr>
                <w:top w:val="none" w:sz="0" w:space="0" w:color="auto"/>
                <w:left w:val="none" w:sz="0" w:space="0" w:color="auto"/>
                <w:bottom w:val="none" w:sz="0" w:space="0" w:color="auto"/>
                <w:right w:val="none" w:sz="0" w:space="0" w:color="auto"/>
              </w:divBdr>
              <w:divsChild>
                <w:div w:id="1253583530">
                  <w:marLeft w:val="0"/>
                  <w:marRight w:val="0"/>
                  <w:marTop w:val="0"/>
                  <w:marBottom w:val="0"/>
                  <w:divBdr>
                    <w:top w:val="none" w:sz="0" w:space="0" w:color="auto"/>
                    <w:left w:val="none" w:sz="0" w:space="0" w:color="auto"/>
                    <w:bottom w:val="none" w:sz="0" w:space="0" w:color="auto"/>
                    <w:right w:val="none" w:sz="0" w:space="0" w:color="auto"/>
                  </w:divBdr>
                  <w:divsChild>
                    <w:div w:id="528764575">
                      <w:marLeft w:val="0"/>
                      <w:marRight w:val="0"/>
                      <w:marTop w:val="0"/>
                      <w:marBottom w:val="0"/>
                      <w:divBdr>
                        <w:top w:val="none" w:sz="0" w:space="0" w:color="auto"/>
                        <w:left w:val="none" w:sz="0" w:space="0" w:color="auto"/>
                        <w:bottom w:val="none" w:sz="0" w:space="0" w:color="auto"/>
                        <w:right w:val="none" w:sz="0" w:space="0" w:color="auto"/>
                      </w:divBdr>
                    </w:div>
                  </w:divsChild>
                </w:div>
                <w:div w:id="1608851978">
                  <w:marLeft w:val="0"/>
                  <w:marRight w:val="0"/>
                  <w:marTop w:val="0"/>
                  <w:marBottom w:val="0"/>
                  <w:divBdr>
                    <w:top w:val="none" w:sz="0" w:space="0" w:color="auto"/>
                    <w:left w:val="none" w:sz="0" w:space="0" w:color="auto"/>
                    <w:bottom w:val="none" w:sz="0" w:space="0" w:color="auto"/>
                    <w:right w:val="none" w:sz="0" w:space="0" w:color="auto"/>
                  </w:divBdr>
                </w:div>
                <w:div w:id="1957132804">
                  <w:marLeft w:val="0"/>
                  <w:marRight w:val="0"/>
                  <w:marTop w:val="0"/>
                  <w:marBottom w:val="0"/>
                  <w:divBdr>
                    <w:top w:val="none" w:sz="0" w:space="0" w:color="auto"/>
                    <w:left w:val="none" w:sz="0" w:space="0" w:color="auto"/>
                    <w:bottom w:val="none" w:sz="0" w:space="0" w:color="auto"/>
                    <w:right w:val="none" w:sz="0" w:space="0" w:color="auto"/>
                  </w:divBdr>
                </w:div>
                <w:div w:id="19735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774">
      <w:bodyDiv w:val="1"/>
      <w:marLeft w:val="0"/>
      <w:marRight w:val="0"/>
      <w:marTop w:val="0"/>
      <w:marBottom w:val="0"/>
      <w:divBdr>
        <w:top w:val="none" w:sz="0" w:space="0" w:color="auto"/>
        <w:left w:val="none" w:sz="0" w:space="0" w:color="auto"/>
        <w:bottom w:val="none" w:sz="0" w:space="0" w:color="auto"/>
        <w:right w:val="none" w:sz="0" w:space="0" w:color="auto"/>
      </w:divBdr>
      <w:divsChild>
        <w:div w:id="545798580">
          <w:marLeft w:val="0"/>
          <w:marRight w:val="0"/>
          <w:marTop w:val="0"/>
          <w:marBottom w:val="0"/>
          <w:divBdr>
            <w:top w:val="none" w:sz="0" w:space="0" w:color="auto"/>
            <w:left w:val="none" w:sz="0" w:space="0" w:color="auto"/>
            <w:bottom w:val="none" w:sz="0" w:space="0" w:color="auto"/>
            <w:right w:val="none" w:sz="0" w:space="0" w:color="auto"/>
          </w:divBdr>
        </w:div>
      </w:divsChild>
    </w:div>
    <w:div w:id="445271384">
      <w:bodyDiv w:val="1"/>
      <w:marLeft w:val="0"/>
      <w:marRight w:val="0"/>
      <w:marTop w:val="0"/>
      <w:marBottom w:val="0"/>
      <w:divBdr>
        <w:top w:val="none" w:sz="0" w:space="0" w:color="auto"/>
        <w:left w:val="none" w:sz="0" w:space="0" w:color="auto"/>
        <w:bottom w:val="none" w:sz="0" w:space="0" w:color="auto"/>
        <w:right w:val="none" w:sz="0" w:space="0" w:color="auto"/>
      </w:divBdr>
      <w:divsChild>
        <w:div w:id="1420832809">
          <w:marLeft w:val="0"/>
          <w:marRight w:val="0"/>
          <w:marTop w:val="0"/>
          <w:marBottom w:val="0"/>
          <w:divBdr>
            <w:top w:val="none" w:sz="0" w:space="0" w:color="auto"/>
            <w:left w:val="none" w:sz="0" w:space="0" w:color="auto"/>
            <w:bottom w:val="none" w:sz="0" w:space="0" w:color="auto"/>
            <w:right w:val="none" w:sz="0" w:space="0" w:color="auto"/>
          </w:divBdr>
        </w:div>
        <w:div w:id="1329165663">
          <w:marLeft w:val="0"/>
          <w:marRight w:val="0"/>
          <w:marTop w:val="0"/>
          <w:marBottom w:val="0"/>
          <w:divBdr>
            <w:top w:val="none" w:sz="0" w:space="0" w:color="auto"/>
            <w:left w:val="none" w:sz="0" w:space="0" w:color="auto"/>
            <w:bottom w:val="none" w:sz="0" w:space="0" w:color="auto"/>
            <w:right w:val="none" w:sz="0" w:space="0" w:color="auto"/>
          </w:divBdr>
        </w:div>
        <w:div w:id="1193301593">
          <w:marLeft w:val="0"/>
          <w:marRight w:val="0"/>
          <w:marTop w:val="0"/>
          <w:marBottom w:val="0"/>
          <w:divBdr>
            <w:top w:val="none" w:sz="0" w:space="0" w:color="auto"/>
            <w:left w:val="none" w:sz="0" w:space="0" w:color="auto"/>
            <w:bottom w:val="none" w:sz="0" w:space="0" w:color="auto"/>
            <w:right w:val="none" w:sz="0" w:space="0" w:color="auto"/>
          </w:divBdr>
        </w:div>
      </w:divsChild>
    </w:div>
    <w:div w:id="505024025">
      <w:bodyDiv w:val="1"/>
      <w:marLeft w:val="0"/>
      <w:marRight w:val="0"/>
      <w:marTop w:val="0"/>
      <w:marBottom w:val="0"/>
      <w:divBdr>
        <w:top w:val="none" w:sz="0" w:space="0" w:color="auto"/>
        <w:left w:val="none" w:sz="0" w:space="0" w:color="auto"/>
        <w:bottom w:val="none" w:sz="0" w:space="0" w:color="auto"/>
        <w:right w:val="none" w:sz="0" w:space="0" w:color="auto"/>
      </w:divBdr>
      <w:divsChild>
        <w:div w:id="654724061">
          <w:marLeft w:val="0"/>
          <w:marRight w:val="0"/>
          <w:marTop w:val="0"/>
          <w:marBottom w:val="0"/>
          <w:divBdr>
            <w:top w:val="none" w:sz="0" w:space="0" w:color="auto"/>
            <w:left w:val="none" w:sz="0" w:space="0" w:color="auto"/>
            <w:bottom w:val="none" w:sz="0" w:space="0" w:color="auto"/>
            <w:right w:val="none" w:sz="0" w:space="0" w:color="auto"/>
          </w:divBdr>
          <w:divsChild>
            <w:div w:id="165825292">
              <w:marLeft w:val="0"/>
              <w:marRight w:val="0"/>
              <w:marTop w:val="0"/>
              <w:marBottom w:val="0"/>
              <w:divBdr>
                <w:top w:val="none" w:sz="0" w:space="0" w:color="auto"/>
                <w:left w:val="none" w:sz="0" w:space="0" w:color="auto"/>
                <w:bottom w:val="none" w:sz="0" w:space="0" w:color="auto"/>
                <w:right w:val="none" w:sz="0" w:space="0" w:color="auto"/>
              </w:divBdr>
            </w:div>
          </w:divsChild>
        </w:div>
        <w:div w:id="1570577627">
          <w:marLeft w:val="0"/>
          <w:marRight w:val="0"/>
          <w:marTop w:val="0"/>
          <w:marBottom w:val="0"/>
          <w:divBdr>
            <w:top w:val="none" w:sz="0" w:space="0" w:color="auto"/>
            <w:left w:val="none" w:sz="0" w:space="0" w:color="auto"/>
            <w:bottom w:val="none" w:sz="0" w:space="0" w:color="auto"/>
            <w:right w:val="none" w:sz="0" w:space="0" w:color="auto"/>
          </w:divBdr>
          <w:divsChild>
            <w:div w:id="1508521570">
              <w:marLeft w:val="0"/>
              <w:marRight w:val="0"/>
              <w:marTop w:val="0"/>
              <w:marBottom w:val="0"/>
              <w:divBdr>
                <w:top w:val="none" w:sz="0" w:space="0" w:color="auto"/>
                <w:left w:val="none" w:sz="0" w:space="0" w:color="auto"/>
                <w:bottom w:val="none" w:sz="0" w:space="0" w:color="auto"/>
                <w:right w:val="none" w:sz="0" w:space="0" w:color="auto"/>
              </w:divBdr>
            </w:div>
          </w:divsChild>
        </w:div>
        <w:div w:id="59521760">
          <w:marLeft w:val="0"/>
          <w:marRight w:val="0"/>
          <w:marTop w:val="0"/>
          <w:marBottom w:val="0"/>
          <w:divBdr>
            <w:top w:val="none" w:sz="0" w:space="0" w:color="auto"/>
            <w:left w:val="none" w:sz="0" w:space="0" w:color="auto"/>
            <w:bottom w:val="none" w:sz="0" w:space="0" w:color="auto"/>
            <w:right w:val="none" w:sz="0" w:space="0" w:color="auto"/>
          </w:divBdr>
          <w:divsChild>
            <w:div w:id="833954285">
              <w:marLeft w:val="0"/>
              <w:marRight w:val="0"/>
              <w:marTop w:val="0"/>
              <w:marBottom w:val="0"/>
              <w:divBdr>
                <w:top w:val="none" w:sz="0" w:space="0" w:color="auto"/>
                <w:left w:val="none" w:sz="0" w:space="0" w:color="auto"/>
                <w:bottom w:val="none" w:sz="0" w:space="0" w:color="auto"/>
                <w:right w:val="none" w:sz="0" w:space="0" w:color="auto"/>
              </w:divBdr>
            </w:div>
          </w:divsChild>
        </w:div>
        <w:div w:id="1640646068">
          <w:marLeft w:val="0"/>
          <w:marRight w:val="0"/>
          <w:marTop w:val="0"/>
          <w:marBottom w:val="0"/>
          <w:divBdr>
            <w:top w:val="none" w:sz="0" w:space="0" w:color="auto"/>
            <w:left w:val="none" w:sz="0" w:space="0" w:color="auto"/>
            <w:bottom w:val="none" w:sz="0" w:space="0" w:color="auto"/>
            <w:right w:val="none" w:sz="0" w:space="0" w:color="auto"/>
          </w:divBdr>
          <w:divsChild>
            <w:div w:id="64809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369041">
      <w:bodyDiv w:val="1"/>
      <w:marLeft w:val="0"/>
      <w:marRight w:val="0"/>
      <w:marTop w:val="0"/>
      <w:marBottom w:val="0"/>
      <w:divBdr>
        <w:top w:val="none" w:sz="0" w:space="0" w:color="auto"/>
        <w:left w:val="none" w:sz="0" w:space="0" w:color="auto"/>
        <w:bottom w:val="none" w:sz="0" w:space="0" w:color="auto"/>
        <w:right w:val="none" w:sz="0" w:space="0" w:color="auto"/>
      </w:divBdr>
      <w:divsChild>
        <w:div w:id="1927415258">
          <w:marLeft w:val="0"/>
          <w:marRight w:val="0"/>
          <w:marTop w:val="0"/>
          <w:marBottom w:val="0"/>
          <w:divBdr>
            <w:top w:val="none" w:sz="0" w:space="0" w:color="auto"/>
            <w:left w:val="none" w:sz="0" w:space="0" w:color="auto"/>
            <w:bottom w:val="none" w:sz="0" w:space="0" w:color="auto"/>
            <w:right w:val="none" w:sz="0" w:space="0" w:color="auto"/>
          </w:divBdr>
        </w:div>
        <w:div w:id="1421442661">
          <w:marLeft w:val="0"/>
          <w:marRight w:val="0"/>
          <w:marTop w:val="0"/>
          <w:marBottom w:val="0"/>
          <w:divBdr>
            <w:top w:val="none" w:sz="0" w:space="0" w:color="auto"/>
            <w:left w:val="none" w:sz="0" w:space="0" w:color="auto"/>
            <w:bottom w:val="none" w:sz="0" w:space="0" w:color="auto"/>
            <w:right w:val="none" w:sz="0" w:space="0" w:color="auto"/>
          </w:divBdr>
        </w:div>
      </w:divsChild>
    </w:div>
    <w:div w:id="651132822">
      <w:bodyDiv w:val="1"/>
      <w:marLeft w:val="0"/>
      <w:marRight w:val="0"/>
      <w:marTop w:val="0"/>
      <w:marBottom w:val="0"/>
      <w:divBdr>
        <w:top w:val="none" w:sz="0" w:space="0" w:color="auto"/>
        <w:left w:val="none" w:sz="0" w:space="0" w:color="auto"/>
        <w:bottom w:val="none" w:sz="0" w:space="0" w:color="auto"/>
        <w:right w:val="none" w:sz="0" w:space="0" w:color="auto"/>
      </w:divBdr>
    </w:div>
    <w:div w:id="685328225">
      <w:bodyDiv w:val="1"/>
      <w:marLeft w:val="0"/>
      <w:marRight w:val="0"/>
      <w:marTop w:val="0"/>
      <w:marBottom w:val="0"/>
      <w:divBdr>
        <w:top w:val="none" w:sz="0" w:space="0" w:color="auto"/>
        <w:left w:val="none" w:sz="0" w:space="0" w:color="auto"/>
        <w:bottom w:val="none" w:sz="0" w:space="0" w:color="auto"/>
        <w:right w:val="none" w:sz="0" w:space="0" w:color="auto"/>
      </w:divBdr>
      <w:divsChild>
        <w:div w:id="1235824329">
          <w:marLeft w:val="0"/>
          <w:marRight w:val="0"/>
          <w:marTop w:val="0"/>
          <w:marBottom w:val="0"/>
          <w:divBdr>
            <w:top w:val="none" w:sz="0" w:space="0" w:color="auto"/>
            <w:left w:val="none" w:sz="0" w:space="0" w:color="auto"/>
            <w:bottom w:val="none" w:sz="0" w:space="0" w:color="auto"/>
            <w:right w:val="none" w:sz="0" w:space="0" w:color="auto"/>
          </w:divBdr>
        </w:div>
        <w:div w:id="691613720">
          <w:marLeft w:val="0"/>
          <w:marRight w:val="0"/>
          <w:marTop w:val="0"/>
          <w:marBottom w:val="0"/>
          <w:divBdr>
            <w:top w:val="none" w:sz="0" w:space="0" w:color="auto"/>
            <w:left w:val="none" w:sz="0" w:space="0" w:color="auto"/>
            <w:bottom w:val="none" w:sz="0" w:space="0" w:color="auto"/>
            <w:right w:val="none" w:sz="0" w:space="0" w:color="auto"/>
          </w:divBdr>
        </w:div>
      </w:divsChild>
    </w:div>
    <w:div w:id="707074179">
      <w:bodyDiv w:val="1"/>
      <w:marLeft w:val="0"/>
      <w:marRight w:val="0"/>
      <w:marTop w:val="0"/>
      <w:marBottom w:val="0"/>
      <w:divBdr>
        <w:top w:val="none" w:sz="0" w:space="0" w:color="auto"/>
        <w:left w:val="none" w:sz="0" w:space="0" w:color="auto"/>
        <w:bottom w:val="none" w:sz="0" w:space="0" w:color="auto"/>
        <w:right w:val="none" w:sz="0" w:space="0" w:color="auto"/>
      </w:divBdr>
      <w:divsChild>
        <w:div w:id="1484463743">
          <w:marLeft w:val="0"/>
          <w:marRight w:val="0"/>
          <w:marTop w:val="0"/>
          <w:marBottom w:val="0"/>
          <w:divBdr>
            <w:top w:val="none" w:sz="0" w:space="0" w:color="auto"/>
            <w:left w:val="none" w:sz="0" w:space="0" w:color="auto"/>
            <w:bottom w:val="none" w:sz="0" w:space="0" w:color="auto"/>
            <w:right w:val="none" w:sz="0" w:space="0" w:color="auto"/>
          </w:divBdr>
        </w:div>
        <w:div w:id="380177446">
          <w:marLeft w:val="0"/>
          <w:marRight w:val="0"/>
          <w:marTop w:val="0"/>
          <w:marBottom w:val="0"/>
          <w:divBdr>
            <w:top w:val="none" w:sz="0" w:space="0" w:color="auto"/>
            <w:left w:val="none" w:sz="0" w:space="0" w:color="auto"/>
            <w:bottom w:val="none" w:sz="0" w:space="0" w:color="auto"/>
            <w:right w:val="none" w:sz="0" w:space="0" w:color="auto"/>
          </w:divBdr>
        </w:div>
      </w:divsChild>
    </w:div>
    <w:div w:id="1079062543">
      <w:bodyDiv w:val="1"/>
      <w:marLeft w:val="0"/>
      <w:marRight w:val="0"/>
      <w:marTop w:val="0"/>
      <w:marBottom w:val="0"/>
      <w:divBdr>
        <w:top w:val="none" w:sz="0" w:space="0" w:color="auto"/>
        <w:left w:val="none" w:sz="0" w:space="0" w:color="auto"/>
        <w:bottom w:val="none" w:sz="0" w:space="0" w:color="auto"/>
        <w:right w:val="none" w:sz="0" w:space="0" w:color="auto"/>
      </w:divBdr>
      <w:divsChild>
        <w:div w:id="934560708">
          <w:marLeft w:val="0"/>
          <w:marRight w:val="0"/>
          <w:marTop w:val="0"/>
          <w:marBottom w:val="0"/>
          <w:divBdr>
            <w:top w:val="none" w:sz="0" w:space="0" w:color="auto"/>
            <w:left w:val="none" w:sz="0" w:space="0" w:color="auto"/>
            <w:bottom w:val="none" w:sz="0" w:space="0" w:color="auto"/>
            <w:right w:val="none" w:sz="0" w:space="0" w:color="auto"/>
          </w:divBdr>
        </w:div>
      </w:divsChild>
    </w:div>
    <w:div w:id="1218589195">
      <w:bodyDiv w:val="1"/>
      <w:marLeft w:val="0"/>
      <w:marRight w:val="0"/>
      <w:marTop w:val="0"/>
      <w:marBottom w:val="0"/>
      <w:divBdr>
        <w:top w:val="none" w:sz="0" w:space="0" w:color="auto"/>
        <w:left w:val="none" w:sz="0" w:space="0" w:color="auto"/>
        <w:bottom w:val="none" w:sz="0" w:space="0" w:color="auto"/>
        <w:right w:val="none" w:sz="0" w:space="0" w:color="auto"/>
      </w:divBdr>
      <w:divsChild>
        <w:div w:id="456602656">
          <w:marLeft w:val="0"/>
          <w:marRight w:val="0"/>
          <w:marTop w:val="0"/>
          <w:marBottom w:val="0"/>
          <w:divBdr>
            <w:top w:val="none" w:sz="0" w:space="0" w:color="auto"/>
            <w:left w:val="none" w:sz="0" w:space="0" w:color="auto"/>
            <w:bottom w:val="none" w:sz="0" w:space="0" w:color="auto"/>
            <w:right w:val="none" w:sz="0" w:space="0" w:color="auto"/>
          </w:divBdr>
        </w:div>
        <w:div w:id="1659335115">
          <w:marLeft w:val="0"/>
          <w:marRight w:val="0"/>
          <w:marTop w:val="0"/>
          <w:marBottom w:val="0"/>
          <w:divBdr>
            <w:top w:val="none" w:sz="0" w:space="0" w:color="auto"/>
            <w:left w:val="none" w:sz="0" w:space="0" w:color="auto"/>
            <w:bottom w:val="none" w:sz="0" w:space="0" w:color="auto"/>
            <w:right w:val="none" w:sz="0" w:space="0" w:color="auto"/>
          </w:divBdr>
        </w:div>
        <w:div w:id="674577264">
          <w:marLeft w:val="0"/>
          <w:marRight w:val="0"/>
          <w:marTop w:val="0"/>
          <w:marBottom w:val="0"/>
          <w:divBdr>
            <w:top w:val="none" w:sz="0" w:space="0" w:color="auto"/>
            <w:left w:val="none" w:sz="0" w:space="0" w:color="auto"/>
            <w:bottom w:val="none" w:sz="0" w:space="0" w:color="auto"/>
            <w:right w:val="none" w:sz="0" w:space="0" w:color="auto"/>
          </w:divBdr>
        </w:div>
      </w:divsChild>
    </w:div>
    <w:div w:id="1380007602">
      <w:bodyDiv w:val="1"/>
      <w:marLeft w:val="0"/>
      <w:marRight w:val="0"/>
      <w:marTop w:val="0"/>
      <w:marBottom w:val="0"/>
      <w:divBdr>
        <w:top w:val="none" w:sz="0" w:space="0" w:color="auto"/>
        <w:left w:val="none" w:sz="0" w:space="0" w:color="auto"/>
        <w:bottom w:val="none" w:sz="0" w:space="0" w:color="auto"/>
        <w:right w:val="none" w:sz="0" w:space="0" w:color="auto"/>
      </w:divBdr>
      <w:divsChild>
        <w:div w:id="1111434728">
          <w:marLeft w:val="0"/>
          <w:marRight w:val="0"/>
          <w:marTop w:val="0"/>
          <w:marBottom w:val="0"/>
          <w:divBdr>
            <w:top w:val="none" w:sz="0" w:space="0" w:color="auto"/>
            <w:left w:val="none" w:sz="0" w:space="0" w:color="auto"/>
            <w:bottom w:val="none" w:sz="0" w:space="0" w:color="auto"/>
            <w:right w:val="none" w:sz="0" w:space="0" w:color="auto"/>
          </w:divBdr>
        </w:div>
      </w:divsChild>
    </w:div>
    <w:div w:id="1551066965">
      <w:bodyDiv w:val="1"/>
      <w:marLeft w:val="0"/>
      <w:marRight w:val="0"/>
      <w:marTop w:val="0"/>
      <w:marBottom w:val="0"/>
      <w:divBdr>
        <w:top w:val="none" w:sz="0" w:space="0" w:color="auto"/>
        <w:left w:val="none" w:sz="0" w:space="0" w:color="auto"/>
        <w:bottom w:val="none" w:sz="0" w:space="0" w:color="auto"/>
        <w:right w:val="none" w:sz="0" w:space="0" w:color="auto"/>
      </w:divBdr>
      <w:divsChild>
        <w:div w:id="1580479106">
          <w:marLeft w:val="0"/>
          <w:marRight w:val="0"/>
          <w:marTop w:val="0"/>
          <w:marBottom w:val="0"/>
          <w:divBdr>
            <w:top w:val="none" w:sz="0" w:space="0" w:color="auto"/>
            <w:left w:val="none" w:sz="0" w:space="0" w:color="auto"/>
            <w:bottom w:val="none" w:sz="0" w:space="0" w:color="auto"/>
            <w:right w:val="none" w:sz="0" w:space="0" w:color="auto"/>
          </w:divBdr>
        </w:div>
        <w:div w:id="780611643">
          <w:marLeft w:val="0"/>
          <w:marRight w:val="0"/>
          <w:marTop w:val="0"/>
          <w:marBottom w:val="0"/>
          <w:divBdr>
            <w:top w:val="none" w:sz="0" w:space="0" w:color="auto"/>
            <w:left w:val="none" w:sz="0" w:space="0" w:color="auto"/>
            <w:bottom w:val="none" w:sz="0" w:space="0" w:color="auto"/>
            <w:right w:val="none" w:sz="0" w:space="0" w:color="auto"/>
          </w:divBdr>
        </w:div>
      </w:divsChild>
    </w:div>
    <w:div w:id="1743870342">
      <w:bodyDiv w:val="1"/>
      <w:marLeft w:val="0"/>
      <w:marRight w:val="0"/>
      <w:marTop w:val="0"/>
      <w:marBottom w:val="0"/>
      <w:divBdr>
        <w:top w:val="none" w:sz="0" w:space="0" w:color="auto"/>
        <w:left w:val="none" w:sz="0" w:space="0" w:color="auto"/>
        <w:bottom w:val="none" w:sz="0" w:space="0" w:color="auto"/>
        <w:right w:val="none" w:sz="0" w:space="0" w:color="auto"/>
      </w:divBdr>
      <w:divsChild>
        <w:div w:id="952591234">
          <w:marLeft w:val="0"/>
          <w:marRight w:val="0"/>
          <w:marTop w:val="0"/>
          <w:marBottom w:val="0"/>
          <w:divBdr>
            <w:top w:val="none" w:sz="0" w:space="0" w:color="auto"/>
            <w:left w:val="none" w:sz="0" w:space="0" w:color="auto"/>
            <w:bottom w:val="none" w:sz="0" w:space="0" w:color="auto"/>
            <w:right w:val="none" w:sz="0" w:space="0" w:color="auto"/>
          </w:divBdr>
          <w:divsChild>
            <w:div w:id="210233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4362">
      <w:bodyDiv w:val="1"/>
      <w:marLeft w:val="0"/>
      <w:marRight w:val="0"/>
      <w:marTop w:val="0"/>
      <w:marBottom w:val="0"/>
      <w:divBdr>
        <w:top w:val="none" w:sz="0" w:space="0" w:color="auto"/>
        <w:left w:val="none" w:sz="0" w:space="0" w:color="auto"/>
        <w:bottom w:val="none" w:sz="0" w:space="0" w:color="auto"/>
        <w:right w:val="none" w:sz="0" w:space="0" w:color="auto"/>
      </w:divBdr>
      <w:divsChild>
        <w:div w:id="1378746704">
          <w:marLeft w:val="0"/>
          <w:marRight w:val="0"/>
          <w:marTop w:val="0"/>
          <w:marBottom w:val="0"/>
          <w:divBdr>
            <w:top w:val="none" w:sz="0" w:space="0" w:color="auto"/>
            <w:left w:val="none" w:sz="0" w:space="0" w:color="auto"/>
            <w:bottom w:val="none" w:sz="0" w:space="0" w:color="auto"/>
            <w:right w:val="none" w:sz="0" w:space="0" w:color="auto"/>
          </w:divBdr>
        </w:div>
      </w:divsChild>
    </w:div>
    <w:div w:id="1858495181">
      <w:bodyDiv w:val="1"/>
      <w:marLeft w:val="0"/>
      <w:marRight w:val="0"/>
      <w:marTop w:val="0"/>
      <w:marBottom w:val="0"/>
      <w:divBdr>
        <w:top w:val="none" w:sz="0" w:space="0" w:color="auto"/>
        <w:left w:val="none" w:sz="0" w:space="0" w:color="auto"/>
        <w:bottom w:val="none" w:sz="0" w:space="0" w:color="auto"/>
        <w:right w:val="none" w:sz="0" w:space="0" w:color="auto"/>
      </w:divBdr>
      <w:divsChild>
        <w:div w:id="897668438">
          <w:marLeft w:val="0"/>
          <w:marRight w:val="0"/>
          <w:marTop w:val="0"/>
          <w:marBottom w:val="0"/>
          <w:divBdr>
            <w:top w:val="none" w:sz="0" w:space="0" w:color="auto"/>
            <w:left w:val="none" w:sz="0" w:space="0" w:color="auto"/>
            <w:bottom w:val="none" w:sz="0" w:space="0" w:color="auto"/>
            <w:right w:val="none" w:sz="0" w:space="0" w:color="auto"/>
          </w:divBdr>
        </w:div>
      </w:divsChild>
    </w:div>
    <w:div w:id="1868643760">
      <w:bodyDiv w:val="1"/>
      <w:marLeft w:val="0"/>
      <w:marRight w:val="0"/>
      <w:marTop w:val="0"/>
      <w:marBottom w:val="0"/>
      <w:divBdr>
        <w:top w:val="none" w:sz="0" w:space="0" w:color="auto"/>
        <w:left w:val="none" w:sz="0" w:space="0" w:color="auto"/>
        <w:bottom w:val="none" w:sz="0" w:space="0" w:color="auto"/>
        <w:right w:val="none" w:sz="0" w:space="0" w:color="auto"/>
      </w:divBdr>
      <w:divsChild>
        <w:div w:id="982778940">
          <w:marLeft w:val="0"/>
          <w:marRight w:val="0"/>
          <w:marTop w:val="0"/>
          <w:marBottom w:val="0"/>
          <w:divBdr>
            <w:top w:val="none" w:sz="0" w:space="0" w:color="auto"/>
            <w:left w:val="none" w:sz="0" w:space="0" w:color="auto"/>
            <w:bottom w:val="none" w:sz="0" w:space="0" w:color="auto"/>
            <w:right w:val="none" w:sz="0" w:space="0" w:color="auto"/>
          </w:divBdr>
        </w:div>
      </w:divsChild>
    </w:div>
    <w:div w:id="1940521052">
      <w:bodyDiv w:val="1"/>
      <w:marLeft w:val="0"/>
      <w:marRight w:val="0"/>
      <w:marTop w:val="0"/>
      <w:marBottom w:val="0"/>
      <w:divBdr>
        <w:top w:val="none" w:sz="0" w:space="0" w:color="auto"/>
        <w:left w:val="none" w:sz="0" w:space="0" w:color="auto"/>
        <w:bottom w:val="none" w:sz="0" w:space="0" w:color="auto"/>
        <w:right w:val="none" w:sz="0" w:space="0" w:color="auto"/>
      </w:divBdr>
      <w:divsChild>
        <w:div w:id="1164975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87</Pages>
  <Words>39909</Words>
  <Characters>227483</Characters>
  <Application>Microsoft Office Word</Application>
  <DocSecurity>0</DocSecurity>
  <Lines>1895</Lines>
  <Paragraphs>533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10</cp:revision>
  <cp:lastPrinted>2019-06-03T14:56:00Z</cp:lastPrinted>
  <dcterms:created xsi:type="dcterms:W3CDTF">2019-06-03T15:13:00Z</dcterms:created>
  <dcterms:modified xsi:type="dcterms:W3CDTF">2019-07-19T10:20:00Z</dcterms:modified>
</cp:coreProperties>
</file>