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023BC" w14:textId="77777777" w:rsidR="00E56743" w:rsidRPr="00E56743" w:rsidRDefault="00E56743" w:rsidP="00E56743">
      <w:pPr>
        <w:spacing w:after="0" w:line="269" w:lineRule="auto"/>
        <w:rPr>
          <w:rFonts w:ascii="Arial" w:hAnsi="Arial" w:cs="Arial"/>
          <w:b/>
          <w:bCs/>
          <w:sz w:val="22"/>
          <w:szCs w:val="22"/>
        </w:rPr>
      </w:pPr>
    </w:p>
    <w:p w14:paraId="25C784CB" w14:textId="77777777" w:rsidR="00E56743" w:rsidRDefault="00E56743" w:rsidP="00E56743">
      <w:pPr>
        <w:spacing w:after="0" w:line="269" w:lineRule="auto"/>
        <w:jc w:val="center"/>
        <w:rPr>
          <w:rFonts w:ascii="Arial" w:hAnsi="Arial" w:cs="Arial"/>
          <w:sz w:val="22"/>
          <w:szCs w:val="22"/>
        </w:rPr>
      </w:pPr>
      <w:r w:rsidRPr="00E56743">
        <w:rPr>
          <w:rFonts w:ascii="Arial" w:hAnsi="Arial" w:cs="Arial"/>
          <w:sz w:val="22"/>
          <w:szCs w:val="22"/>
        </w:rPr>
        <w:t>CIPD</w:t>
      </w:r>
    </w:p>
    <w:p w14:paraId="22716EDB" w14:textId="77777777" w:rsidR="00C64D9E" w:rsidRPr="00E56743" w:rsidRDefault="00C64D9E" w:rsidP="00E56743">
      <w:pPr>
        <w:spacing w:after="0" w:line="269" w:lineRule="auto"/>
        <w:jc w:val="center"/>
        <w:rPr>
          <w:rFonts w:ascii="Arial" w:hAnsi="Arial" w:cs="Arial"/>
          <w:sz w:val="22"/>
          <w:szCs w:val="22"/>
        </w:rPr>
      </w:pPr>
    </w:p>
    <w:p w14:paraId="3FFAF441" w14:textId="4BECC265" w:rsidR="00882FDB" w:rsidRDefault="00882FDB" w:rsidP="00882FDB">
      <w:pPr>
        <w:spacing w:after="0" w:line="269" w:lineRule="auto"/>
        <w:jc w:val="center"/>
        <w:rPr>
          <w:rFonts w:ascii="Arial" w:hAnsi="Arial" w:cs="Arial"/>
          <w:sz w:val="22"/>
          <w:szCs w:val="22"/>
        </w:rPr>
      </w:pPr>
      <w:r w:rsidRPr="00882FDB">
        <w:rPr>
          <w:rFonts w:ascii="Arial" w:hAnsi="Arial" w:cs="Arial"/>
          <w:sz w:val="22"/>
          <w:szCs w:val="22"/>
        </w:rPr>
        <w:t>5CO02</w:t>
      </w:r>
      <w:r>
        <w:rPr>
          <w:rFonts w:ascii="Arial" w:hAnsi="Arial" w:cs="Arial"/>
          <w:sz w:val="22"/>
          <w:szCs w:val="22"/>
        </w:rPr>
        <w:t xml:space="preserve"> - </w:t>
      </w:r>
      <w:r w:rsidRPr="00882FDB">
        <w:rPr>
          <w:rFonts w:ascii="Arial" w:hAnsi="Arial" w:cs="Arial"/>
          <w:sz w:val="22"/>
          <w:szCs w:val="22"/>
        </w:rPr>
        <w:t xml:space="preserve">Evidence-based practice </w:t>
      </w:r>
    </w:p>
    <w:p w14:paraId="4330C14D" w14:textId="77777777" w:rsidR="00882FDB" w:rsidRDefault="00882FDB" w:rsidP="00882FDB">
      <w:pPr>
        <w:spacing w:after="0" w:line="269" w:lineRule="auto"/>
        <w:jc w:val="center"/>
        <w:rPr>
          <w:rFonts w:ascii="Arial" w:hAnsi="Arial" w:cs="Arial"/>
          <w:sz w:val="22"/>
          <w:szCs w:val="22"/>
        </w:rPr>
      </w:pPr>
    </w:p>
    <w:p w14:paraId="5390D693" w14:textId="18D86081" w:rsidR="00E56743" w:rsidRPr="00E56743" w:rsidRDefault="00E56743" w:rsidP="00882FDB">
      <w:pPr>
        <w:spacing w:after="0" w:line="269" w:lineRule="auto"/>
        <w:jc w:val="center"/>
        <w:rPr>
          <w:rFonts w:ascii="Arial" w:hAnsi="Arial" w:cs="Arial"/>
          <w:sz w:val="22"/>
          <w:szCs w:val="22"/>
        </w:rPr>
      </w:pPr>
      <w:r w:rsidRPr="00E56743">
        <w:rPr>
          <w:rFonts w:ascii="Arial" w:hAnsi="Arial" w:cs="Arial"/>
          <w:sz w:val="22"/>
          <w:szCs w:val="22"/>
        </w:rPr>
        <w:t>Cohort 12</w:t>
      </w:r>
    </w:p>
    <w:p w14:paraId="7684ACE0" w14:textId="77777777" w:rsidR="00E56743" w:rsidRPr="00E56743" w:rsidRDefault="00E56743" w:rsidP="00E56743">
      <w:pPr>
        <w:spacing w:after="0" w:line="269" w:lineRule="auto"/>
        <w:jc w:val="center"/>
        <w:rPr>
          <w:rFonts w:ascii="Arial" w:hAnsi="Arial" w:cs="Arial"/>
          <w:sz w:val="22"/>
          <w:szCs w:val="22"/>
        </w:rPr>
      </w:pPr>
    </w:p>
    <w:p w14:paraId="5AE907A8" w14:textId="77777777" w:rsidR="00E56743" w:rsidRPr="00E56743" w:rsidRDefault="00E56743" w:rsidP="00E56743">
      <w:pPr>
        <w:spacing w:after="0" w:line="269" w:lineRule="auto"/>
        <w:jc w:val="center"/>
        <w:rPr>
          <w:rFonts w:ascii="Arial" w:hAnsi="Arial" w:cs="Arial"/>
          <w:b/>
          <w:bCs/>
          <w:sz w:val="22"/>
          <w:szCs w:val="22"/>
        </w:rPr>
      </w:pPr>
      <w:r w:rsidRPr="00E56743">
        <w:rPr>
          <w:rFonts w:ascii="Arial" w:hAnsi="Arial" w:cs="Arial"/>
          <w:b/>
          <w:bCs/>
          <w:sz w:val="22"/>
          <w:szCs w:val="22"/>
        </w:rPr>
        <w:t>Jennie Williams</w:t>
      </w:r>
    </w:p>
    <w:p w14:paraId="38D7A2A8" w14:textId="77777777" w:rsidR="00E56743" w:rsidRPr="00E56743" w:rsidRDefault="00E56743" w:rsidP="00E56743">
      <w:pPr>
        <w:spacing w:after="0" w:line="269" w:lineRule="auto"/>
        <w:jc w:val="center"/>
        <w:rPr>
          <w:rFonts w:ascii="Arial" w:hAnsi="Arial" w:cs="Arial"/>
          <w:b/>
          <w:bCs/>
          <w:sz w:val="22"/>
          <w:szCs w:val="22"/>
        </w:rPr>
      </w:pPr>
    </w:p>
    <w:p w14:paraId="27A2BD5D" w14:textId="4387CCB7" w:rsidR="00E56743" w:rsidRDefault="00E56743" w:rsidP="00E56743">
      <w:pPr>
        <w:spacing w:after="0" w:line="269" w:lineRule="auto"/>
        <w:jc w:val="center"/>
        <w:rPr>
          <w:rFonts w:ascii="Arial" w:hAnsi="Arial" w:cs="Arial"/>
          <w:sz w:val="22"/>
          <w:szCs w:val="22"/>
        </w:rPr>
      </w:pPr>
      <w:r w:rsidRPr="00E56743">
        <w:rPr>
          <w:rFonts w:ascii="Arial" w:hAnsi="Arial" w:cs="Arial"/>
          <w:sz w:val="22"/>
          <w:szCs w:val="22"/>
        </w:rPr>
        <w:t>CIPD Membership Number: 90456533</w:t>
      </w:r>
    </w:p>
    <w:p w14:paraId="4A261716" w14:textId="77777777" w:rsidR="00C64D9E" w:rsidRDefault="00C64D9E" w:rsidP="00E56743">
      <w:pPr>
        <w:spacing w:after="0" w:line="269" w:lineRule="auto"/>
        <w:jc w:val="center"/>
        <w:rPr>
          <w:rFonts w:ascii="Arial" w:hAnsi="Arial" w:cs="Arial"/>
          <w:sz w:val="22"/>
          <w:szCs w:val="22"/>
        </w:rPr>
      </w:pPr>
    </w:p>
    <w:p w14:paraId="541DCC0D" w14:textId="66F5EABB" w:rsidR="00C64D9E" w:rsidRDefault="00C64D9E" w:rsidP="00E56743">
      <w:pPr>
        <w:spacing w:after="0" w:line="269" w:lineRule="auto"/>
        <w:jc w:val="center"/>
        <w:rPr>
          <w:rFonts w:ascii="Arial" w:hAnsi="Arial" w:cs="Arial"/>
          <w:sz w:val="22"/>
          <w:szCs w:val="22"/>
        </w:rPr>
      </w:pPr>
      <w:r>
        <w:rPr>
          <w:rFonts w:ascii="Arial" w:hAnsi="Arial" w:cs="Arial"/>
          <w:sz w:val="22"/>
          <w:szCs w:val="22"/>
        </w:rPr>
        <w:t>Submission date: 2</w:t>
      </w:r>
      <w:r w:rsidRPr="00C64D9E">
        <w:rPr>
          <w:rFonts w:ascii="Arial" w:hAnsi="Arial" w:cs="Arial"/>
          <w:sz w:val="22"/>
          <w:szCs w:val="22"/>
          <w:vertAlign w:val="superscript"/>
        </w:rPr>
        <w:t>nd</w:t>
      </w:r>
      <w:r>
        <w:rPr>
          <w:rFonts w:ascii="Arial" w:hAnsi="Arial" w:cs="Arial"/>
          <w:sz w:val="22"/>
          <w:szCs w:val="22"/>
        </w:rPr>
        <w:t xml:space="preserve"> February 2026</w:t>
      </w:r>
    </w:p>
    <w:p w14:paraId="082D4C7E" w14:textId="77777777" w:rsidR="00C64D9E" w:rsidRDefault="00C64D9E" w:rsidP="00E56743">
      <w:pPr>
        <w:spacing w:after="0" w:line="269" w:lineRule="auto"/>
        <w:jc w:val="center"/>
        <w:rPr>
          <w:rFonts w:ascii="Arial" w:hAnsi="Arial" w:cs="Arial"/>
          <w:sz w:val="22"/>
          <w:szCs w:val="22"/>
        </w:rPr>
      </w:pPr>
    </w:p>
    <w:p w14:paraId="35E75217" w14:textId="498609AD" w:rsidR="00C64D9E" w:rsidRPr="00E56743" w:rsidRDefault="00C64D9E" w:rsidP="00E56743">
      <w:pPr>
        <w:spacing w:after="0" w:line="269" w:lineRule="auto"/>
        <w:jc w:val="center"/>
        <w:rPr>
          <w:rFonts w:ascii="Arial" w:hAnsi="Arial" w:cs="Arial"/>
          <w:b/>
          <w:bCs/>
          <w:sz w:val="22"/>
          <w:szCs w:val="22"/>
        </w:rPr>
      </w:pPr>
      <w:r>
        <w:rPr>
          <w:rFonts w:ascii="Arial" w:hAnsi="Arial" w:cs="Arial"/>
          <w:sz w:val="22"/>
          <w:szCs w:val="22"/>
        </w:rPr>
        <w:t>Declared word count: 3,934</w:t>
      </w:r>
    </w:p>
    <w:p w14:paraId="34F9B651" w14:textId="77777777" w:rsidR="00E56743" w:rsidRPr="00E56743" w:rsidRDefault="00E56743" w:rsidP="00E56743">
      <w:pPr>
        <w:spacing w:after="0" w:line="269" w:lineRule="auto"/>
        <w:rPr>
          <w:rFonts w:ascii="Arial" w:hAnsi="Arial" w:cs="Arial"/>
          <w:b/>
          <w:bCs/>
          <w:sz w:val="22"/>
          <w:szCs w:val="22"/>
        </w:rPr>
      </w:pPr>
    </w:p>
    <w:p w14:paraId="62CE37EA" w14:textId="77777777" w:rsidR="00E56743" w:rsidRPr="00E56743" w:rsidRDefault="00E56743" w:rsidP="00E56743">
      <w:pPr>
        <w:spacing w:after="0" w:line="269" w:lineRule="auto"/>
        <w:rPr>
          <w:rFonts w:ascii="Arial" w:hAnsi="Arial" w:cs="Arial"/>
          <w:b/>
          <w:bCs/>
          <w:sz w:val="22"/>
          <w:szCs w:val="22"/>
        </w:rPr>
      </w:pPr>
    </w:p>
    <w:p w14:paraId="73D58780" w14:textId="77777777" w:rsidR="00E56743" w:rsidRDefault="00E56743" w:rsidP="00E56743">
      <w:pPr>
        <w:spacing w:after="0" w:line="269" w:lineRule="auto"/>
        <w:rPr>
          <w:rFonts w:ascii="Arial" w:hAnsi="Arial" w:cs="Arial"/>
          <w:b/>
          <w:bCs/>
          <w:sz w:val="22"/>
          <w:szCs w:val="22"/>
        </w:rPr>
      </w:pPr>
    </w:p>
    <w:p w14:paraId="43CADB6D" w14:textId="77777777" w:rsidR="00E56743" w:rsidRDefault="00E56743" w:rsidP="00E56743">
      <w:pPr>
        <w:spacing w:after="0" w:line="269" w:lineRule="auto"/>
        <w:rPr>
          <w:rFonts w:ascii="Arial" w:hAnsi="Arial" w:cs="Arial"/>
          <w:b/>
          <w:bCs/>
          <w:sz w:val="22"/>
          <w:szCs w:val="22"/>
        </w:rPr>
      </w:pPr>
    </w:p>
    <w:p w14:paraId="2F1F03E9" w14:textId="77777777" w:rsidR="00E56743" w:rsidRDefault="00E56743" w:rsidP="00E56743">
      <w:pPr>
        <w:spacing w:after="0" w:line="269" w:lineRule="auto"/>
        <w:rPr>
          <w:rFonts w:ascii="Arial" w:hAnsi="Arial" w:cs="Arial"/>
          <w:b/>
          <w:bCs/>
          <w:sz w:val="22"/>
          <w:szCs w:val="22"/>
        </w:rPr>
      </w:pPr>
    </w:p>
    <w:p w14:paraId="306D6066" w14:textId="77777777" w:rsidR="00E56743" w:rsidRDefault="00E56743" w:rsidP="00E56743">
      <w:pPr>
        <w:spacing w:after="0" w:line="269" w:lineRule="auto"/>
        <w:rPr>
          <w:rFonts w:ascii="Arial" w:hAnsi="Arial" w:cs="Arial"/>
          <w:b/>
          <w:bCs/>
          <w:sz w:val="22"/>
          <w:szCs w:val="22"/>
        </w:rPr>
      </w:pPr>
    </w:p>
    <w:p w14:paraId="03F8021D" w14:textId="77777777" w:rsidR="00E56743" w:rsidRDefault="00E56743" w:rsidP="00E56743">
      <w:pPr>
        <w:spacing w:after="0" w:line="269" w:lineRule="auto"/>
        <w:rPr>
          <w:rFonts w:ascii="Arial" w:hAnsi="Arial" w:cs="Arial"/>
          <w:b/>
          <w:bCs/>
          <w:sz w:val="22"/>
          <w:szCs w:val="22"/>
        </w:rPr>
      </w:pPr>
    </w:p>
    <w:p w14:paraId="2CD2B76B" w14:textId="77777777" w:rsidR="00E56743" w:rsidRDefault="00E56743" w:rsidP="00E56743">
      <w:pPr>
        <w:spacing w:after="0" w:line="269" w:lineRule="auto"/>
        <w:rPr>
          <w:rFonts w:ascii="Arial" w:hAnsi="Arial" w:cs="Arial"/>
          <w:b/>
          <w:bCs/>
          <w:sz w:val="22"/>
          <w:szCs w:val="22"/>
        </w:rPr>
      </w:pPr>
    </w:p>
    <w:p w14:paraId="08EA2A5D" w14:textId="77777777" w:rsidR="00E56743" w:rsidRDefault="00E56743" w:rsidP="00E56743">
      <w:pPr>
        <w:spacing w:after="0" w:line="269" w:lineRule="auto"/>
        <w:rPr>
          <w:rFonts w:ascii="Arial" w:hAnsi="Arial" w:cs="Arial"/>
          <w:b/>
          <w:bCs/>
          <w:sz w:val="22"/>
          <w:szCs w:val="22"/>
        </w:rPr>
      </w:pPr>
    </w:p>
    <w:p w14:paraId="1E771127" w14:textId="77777777" w:rsidR="00E56743" w:rsidRDefault="00E56743" w:rsidP="00E56743">
      <w:pPr>
        <w:spacing w:after="0" w:line="269" w:lineRule="auto"/>
        <w:rPr>
          <w:rFonts w:ascii="Arial" w:hAnsi="Arial" w:cs="Arial"/>
          <w:b/>
          <w:bCs/>
          <w:sz w:val="22"/>
          <w:szCs w:val="22"/>
        </w:rPr>
      </w:pPr>
    </w:p>
    <w:p w14:paraId="3600076C" w14:textId="77777777" w:rsidR="00E56743" w:rsidRDefault="00E56743" w:rsidP="00E56743">
      <w:pPr>
        <w:spacing w:after="0" w:line="269" w:lineRule="auto"/>
        <w:rPr>
          <w:rFonts w:ascii="Arial" w:hAnsi="Arial" w:cs="Arial"/>
          <w:b/>
          <w:bCs/>
          <w:sz w:val="22"/>
          <w:szCs w:val="22"/>
        </w:rPr>
      </w:pPr>
    </w:p>
    <w:p w14:paraId="65AA0B06" w14:textId="77777777" w:rsidR="00E56743" w:rsidRDefault="00E56743" w:rsidP="00E56743">
      <w:pPr>
        <w:spacing w:after="0" w:line="269" w:lineRule="auto"/>
        <w:rPr>
          <w:rFonts w:ascii="Arial" w:hAnsi="Arial" w:cs="Arial"/>
          <w:b/>
          <w:bCs/>
          <w:sz w:val="22"/>
          <w:szCs w:val="22"/>
        </w:rPr>
      </w:pPr>
    </w:p>
    <w:p w14:paraId="0EC00B5E" w14:textId="77777777" w:rsidR="00E56743" w:rsidRDefault="00E56743" w:rsidP="00E56743">
      <w:pPr>
        <w:spacing w:after="0" w:line="269" w:lineRule="auto"/>
        <w:rPr>
          <w:rFonts w:ascii="Arial" w:hAnsi="Arial" w:cs="Arial"/>
          <w:b/>
          <w:bCs/>
          <w:sz w:val="22"/>
          <w:szCs w:val="22"/>
        </w:rPr>
      </w:pPr>
    </w:p>
    <w:p w14:paraId="7EA07F2D" w14:textId="77777777" w:rsidR="00E56743" w:rsidRDefault="00E56743" w:rsidP="00E56743">
      <w:pPr>
        <w:spacing w:after="0" w:line="269" w:lineRule="auto"/>
        <w:rPr>
          <w:rFonts w:ascii="Arial" w:hAnsi="Arial" w:cs="Arial"/>
          <w:b/>
          <w:bCs/>
          <w:sz w:val="22"/>
          <w:szCs w:val="22"/>
        </w:rPr>
      </w:pPr>
    </w:p>
    <w:p w14:paraId="071854B4" w14:textId="77777777" w:rsidR="00E56743" w:rsidRDefault="00E56743" w:rsidP="00E56743">
      <w:pPr>
        <w:spacing w:after="0" w:line="269" w:lineRule="auto"/>
        <w:rPr>
          <w:rFonts w:ascii="Arial" w:hAnsi="Arial" w:cs="Arial"/>
          <w:b/>
          <w:bCs/>
          <w:sz w:val="22"/>
          <w:szCs w:val="22"/>
        </w:rPr>
      </w:pPr>
    </w:p>
    <w:p w14:paraId="0E661B88" w14:textId="77777777" w:rsidR="00E56743" w:rsidRDefault="00E56743" w:rsidP="00E56743">
      <w:pPr>
        <w:spacing w:after="0" w:line="269" w:lineRule="auto"/>
        <w:rPr>
          <w:rFonts w:ascii="Arial" w:hAnsi="Arial" w:cs="Arial"/>
          <w:b/>
          <w:bCs/>
          <w:sz w:val="22"/>
          <w:szCs w:val="22"/>
        </w:rPr>
      </w:pPr>
    </w:p>
    <w:p w14:paraId="37C03EAF" w14:textId="77777777" w:rsidR="00E56743" w:rsidRDefault="00E56743" w:rsidP="00E56743">
      <w:pPr>
        <w:spacing w:after="0" w:line="269" w:lineRule="auto"/>
        <w:rPr>
          <w:rFonts w:ascii="Arial" w:hAnsi="Arial" w:cs="Arial"/>
          <w:b/>
          <w:bCs/>
          <w:sz w:val="22"/>
          <w:szCs w:val="22"/>
        </w:rPr>
      </w:pPr>
    </w:p>
    <w:p w14:paraId="390B5DDF" w14:textId="77777777" w:rsidR="00E56743" w:rsidRDefault="00E56743" w:rsidP="00E56743">
      <w:pPr>
        <w:spacing w:after="0" w:line="269" w:lineRule="auto"/>
        <w:rPr>
          <w:rFonts w:ascii="Arial" w:hAnsi="Arial" w:cs="Arial"/>
          <w:b/>
          <w:bCs/>
          <w:sz w:val="22"/>
          <w:szCs w:val="22"/>
        </w:rPr>
      </w:pPr>
    </w:p>
    <w:p w14:paraId="6AABEA3A" w14:textId="77777777" w:rsidR="00E56743" w:rsidRDefault="00E56743" w:rsidP="00E56743">
      <w:pPr>
        <w:spacing w:after="0" w:line="269" w:lineRule="auto"/>
        <w:rPr>
          <w:rFonts w:ascii="Arial" w:hAnsi="Arial" w:cs="Arial"/>
          <w:b/>
          <w:bCs/>
          <w:sz w:val="22"/>
          <w:szCs w:val="22"/>
        </w:rPr>
      </w:pPr>
    </w:p>
    <w:p w14:paraId="6913031B" w14:textId="77777777" w:rsidR="00E56743" w:rsidRDefault="00E56743" w:rsidP="00E56743">
      <w:pPr>
        <w:spacing w:after="0" w:line="269" w:lineRule="auto"/>
        <w:rPr>
          <w:rFonts w:ascii="Arial" w:hAnsi="Arial" w:cs="Arial"/>
          <w:b/>
          <w:bCs/>
          <w:sz w:val="22"/>
          <w:szCs w:val="22"/>
        </w:rPr>
      </w:pPr>
    </w:p>
    <w:p w14:paraId="3A8D6568" w14:textId="77777777" w:rsidR="00E56743" w:rsidRDefault="00E56743" w:rsidP="00E56743">
      <w:pPr>
        <w:spacing w:after="0" w:line="269" w:lineRule="auto"/>
        <w:rPr>
          <w:rFonts w:ascii="Arial" w:hAnsi="Arial" w:cs="Arial"/>
          <w:b/>
          <w:bCs/>
          <w:sz w:val="22"/>
          <w:szCs w:val="22"/>
        </w:rPr>
      </w:pPr>
    </w:p>
    <w:p w14:paraId="621B615E" w14:textId="77777777" w:rsidR="00E56743" w:rsidRDefault="00E56743" w:rsidP="00E56743">
      <w:pPr>
        <w:spacing w:after="0" w:line="269" w:lineRule="auto"/>
        <w:rPr>
          <w:rFonts w:ascii="Arial" w:hAnsi="Arial" w:cs="Arial"/>
          <w:b/>
          <w:bCs/>
          <w:sz w:val="22"/>
          <w:szCs w:val="22"/>
        </w:rPr>
      </w:pPr>
    </w:p>
    <w:p w14:paraId="11AB6AE9" w14:textId="77777777" w:rsidR="00E56743" w:rsidRDefault="00E56743" w:rsidP="00E56743">
      <w:pPr>
        <w:spacing w:after="0" w:line="269" w:lineRule="auto"/>
        <w:rPr>
          <w:rFonts w:ascii="Arial" w:hAnsi="Arial" w:cs="Arial"/>
          <w:b/>
          <w:bCs/>
          <w:sz w:val="22"/>
          <w:szCs w:val="22"/>
        </w:rPr>
      </w:pPr>
    </w:p>
    <w:p w14:paraId="1250786A" w14:textId="77777777" w:rsidR="00E56743" w:rsidRDefault="00E56743" w:rsidP="00E56743">
      <w:pPr>
        <w:spacing w:after="0" w:line="269" w:lineRule="auto"/>
        <w:rPr>
          <w:rFonts w:ascii="Arial" w:hAnsi="Arial" w:cs="Arial"/>
          <w:b/>
          <w:bCs/>
          <w:sz w:val="22"/>
          <w:szCs w:val="22"/>
        </w:rPr>
      </w:pPr>
    </w:p>
    <w:p w14:paraId="0827C3CE" w14:textId="77777777" w:rsidR="00E56743" w:rsidRDefault="00E56743" w:rsidP="00E56743">
      <w:pPr>
        <w:spacing w:after="0" w:line="269" w:lineRule="auto"/>
        <w:rPr>
          <w:rFonts w:ascii="Arial" w:hAnsi="Arial" w:cs="Arial"/>
          <w:b/>
          <w:bCs/>
          <w:sz w:val="22"/>
          <w:szCs w:val="22"/>
        </w:rPr>
      </w:pPr>
    </w:p>
    <w:p w14:paraId="2F5DC408" w14:textId="77777777" w:rsidR="00E56743" w:rsidRDefault="00E56743" w:rsidP="00E56743">
      <w:pPr>
        <w:spacing w:after="0" w:line="269" w:lineRule="auto"/>
        <w:rPr>
          <w:rFonts w:ascii="Arial" w:hAnsi="Arial" w:cs="Arial"/>
          <w:b/>
          <w:bCs/>
          <w:sz w:val="22"/>
          <w:szCs w:val="22"/>
        </w:rPr>
      </w:pPr>
    </w:p>
    <w:p w14:paraId="28A1509E" w14:textId="77777777" w:rsidR="00E56743" w:rsidRDefault="00E56743" w:rsidP="00E56743">
      <w:pPr>
        <w:spacing w:after="0" w:line="269" w:lineRule="auto"/>
        <w:rPr>
          <w:rFonts w:ascii="Arial" w:hAnsi="Arial" w:cs="Arial"/>
          <w:b/>
          <w:bCs/>
          <w:sz w:val="22"/>
          <w:szCs w:val="22"/>
        </w:rPr>
      </w:pPr>
    </w:p>
    <w:p w14:paraId="0D8245DC" w14:textId="77777777" w:rsidR="00E56743" w:rsidRDefault="00E56743" w:rsidP="00E56743">
      <w:pPr>
        <w:spacing w:after="0" w:line="269" w:lineRule="auto"/>
        <w:rPr>
          <w:rFonts w:ascii="Arial" w:hAnsi="Arial" w:cs="Arial"/>
          <w:b/>
          <w:bCs/>
          <w:sz w:val="22"/>
          <w:szCs w:val="22"/>
        </w:rPr>
      </w:pPr>
    </w:p>
    <w:p w14:paraId="057C64A9" w14:textId="77777777" w:rsidR="00E56743" w:rsidRDefault="00E56743" w:rsidP="00E56743">
      <w:pPr>
        <w:spacing w:after="0" w:line="269" w:lineRule="auto"/>
        <w:rPr>
          <w:rFonts w:ascii="Arial" w:hAnsi="Arial" w:cs="Arial"/>
          <w:b/>
          <w:bCs/>
          <w:sz w:val="22"/>
          <w:szCs w:val="22"/>
        </w:rPr>
      </w:pPr>
    </w:p>
    <w:p w14:paraId="5EED9CD6" w14:textId="77777777" w:rsidR="00E56743" w:rsidRDefault="00E56743" w:rsidP="00E56743">
      <w:pPr>
        <w:spacing w:after="0" w:line="269" w:lineRule="auto"/>
        <w:rPr>
          <w:rFonts w:ascii="Arial" w:hAnsi="Arial" w:cs="Arial"/>
          <w:b/>
          <w:bCs/>
          <w:sz w:val="22"/>
          <w:szCs w:val="22"/>
        </w:rPr>
      </w:pPr>
    </w:p>
    <w:p w14:paraId="7F0375EF" w14:textId="77777777" w:rsidR="00E56743" w:rsidRDefault="00E56743" w:rsidP="00E56743">
      <w:pPr>
        <w:spacing w:after="0" w:line="269" w:lineRule="auto"/>
        <w:rPr>
          <w:rFonts w:ascii="Arial" w:hAnsi="Arial" w:cs="Arial"/>
          <w:b/>
          <w:bCs/>
          <w:sz w:val="22"/>
          <w:szCs w:val="22"/>
        </w:rPr>
      </w:pPr>
    </w:p>
    <w:p w14:paraId="4CB3EA9E" w14:textId="77777777" w:rsidR="00E56743" w:rsidRDefault="00E56743" w:rsidP="00E56743">
      <w:pPr>
        <w:spacing w:after="0" w:line="269" w:lineRule="auto"/>
        <w:rPr>
          <w:rFonts w:ascii="Arial" w:hAnsi="Arial" w:cs="Arial"/>
          <w:b/>
          <w:bCs/>
          <w:sz w:val="22"/>
          <w:szCs w:val="22"/>
        </w:rPr>
      </w:pPr>
    </w:p>
    <w:p w14:paraId="070213FB" w14:textId="77777777" w:rsidR="00E56743" w:rsidRDefault="00E56743" w:rsidP="00E56743">
      <w:pPr>
        <w:spacing w:after="0" w:line="269" w:lineRule="auto"/>
        <w:rPr>
          <w:rFonts w:ascii="Arial" w:hAnsi="Arial" w:cs="Arial"/>
          <w:b/>
          <w:bCs/>
          <w:sz w:val="22"/>
          <w:szCs w:val="22"/>
        </w:rPr>
      </w:pPr>
    </w:p>
    <w:p w14:paraId="2BA72C8A" w14:textId="77777777" w:rsidR="00E56743" w:rsidRDefault="00E56743" w:rsidP="00E56743">
      <w:pPr>
        <w:spacing w:after="0" w:line="269" w:lineRule="auto"/>
        <w:rPr>
          <w:rFonts w:ascii="Arial" w:hAnsi="Arial" w:cs="Arial"/>
          <w:b/>
          <w:bCs/>
          <w:sz w:val="22"/>
          <w:szCs w:val="22"/>
        </w:rPr>
      </w:pPr>
    </w:p>
    <w:p w14:paraId="74D48863" w14:textId="77777777" w:rsidR="00E56743" w:rsidRDefault="00E56743" w:rsidP="00E56743">
      <w:pPr>
        <w:spacing w:after="0" w:line="269" w:lineRule="auto"/>
        <w:rPr>
          <w:rFonts w:ascii="Arial" w:hAnsi="Arial" w:cs="Arial"/>
          <w:b/>
          <w:bCs/>
          <w:sz w:val="22"/>
          <w:szCs w:val="22"/>
        </w:rPr>
      </w:pPr>
    </w:p>
    <w:p w14:paraId="2F4C5F9D" w14:textId="77777777" w:rsidR="00E56743" w:rsidRDefault="00E56743" w:rsidP="00E56743">
      <w:pPr>
        <w:spacing w:after="0" w:line="269" w:lineRule="auto"/>
        <w:rPr>
          <w:rFonts w:ascii="Arial" w:hAnsi="Arial" w:cs="Arial"/>
          <w:b/>
          <w:bCs/>
          <w:sz w:val="22"/>
          <w:szCs w:val="22"/>
        </w:rPr>
      </w:pPr>
    </w:p>
    <w:p w14:paraId="41B69174" w14:textId="77777777" w:rsidR="00E56743" w:rsidRDefault="00E56743" w:rsidP="00E56743">
      <w:pPr>
        <w:spacing w:after="0" w:line="269" w:lineRule="auto"/>
        <w:rPr>
          <w:rFonts w:ascii="Arial" w:hAnsi="Arial" w:cs="Arial"/>
          <w:b/>
          <w:bCs/>
          <w:sz w:val="22"/>
          <w:szCs w:val="22"/>
        </w:rPr>
      </w:pPr>
    </w:p>
    <w:p w14:paraId="294F7FA5" w14:textId="40747C51" w:rsidR="002F2395" w:rsidRPr="00E56743" w:rsidRDefault="002F2395" w:rsidP="00E56743">
      <w:pPr>
        <w:spacing w:after="0" w:line="269" w:lineRule="auto"/>
        <w:rPr>
          <w:rFonts w:ascii="Arial" w:hAnsi="Arial" w:cs="Arial"/>
          <w:b/>
          <w:bCs/>
          <w:sz w:val="22"/>
          <w:szCs w:val="22"/>
        </w:rPr>
      </w:pPr>
      <w:r w:rsidRPr="00E56743">
        <w:rPr>
          <w:rFonts w:ascii="Arial" w:hAnsi="Arial" w:cs="Arial"/>
          <w:b/>
          <w:bCs/>
          <w:sz w:val="22"/>
          <w:szCs w:val="22"/>
        </w:rPr>
        <w:lastRenderedPageBreak/>
        <w:t>TASK ONE</w:t>
      </w:r>
    </w:p>
    <w:p w14:paraId="6D557E05" w14:textId="77777777" w:rsidR="00CF4BDA" w:rsidRPr="00E56743" w:rsidRDefault="00CF4BDA" w:rsidP="00E56743">
      <w:pPr>
        <w:spacing w:after="0" w:line="269" w:lineRule="auto"/>
        <w:rPr>
          <w:rFonts w:ascii="Arial" w:hAnsi="Arial" w:cs="Arial"/>
          <w:b/>
          <w:bCs/>
          <w:sz w:val="22"/>
          <w:szCs w:val="22"/>
        </w:rPr>
      </w:pPr>
    </w:p>
    <w:p w14:paraId="7F211A59" w14:textId="1C283156" w:rsidR="00B67E67" w:rsidRPr="004B37AC" w:rsidRDefault="008B0598" w:rsidP="00E56743">
      <w:pPr>
        <w:spacing w:after="0" w:line="269" w:lineRule="auto"/>
        <w:rPr>
          <w:rFonts w:ascii="Arial" w:hAnsi="Arial" w:cs="Arial"/>
          <w:b/>
          <w:bCs/>
          <w:sz w:val="22"/>
          <w:szCs w:val="22"/>
        </w:rPr>
      </w:pPr>
      <w:r w:rsidRPr="004B37AC">
        <w:rPr>
          <w:rFonts w:ascii="Arial" w:hAnsi="Arial" w:cs="Arial"/>
          <w:b/>
          <w:bCs/>
          <w:sz w:val="22"/>
          <w:szCs w:val="22"/>
        </w:rPr>
        <w:t>1.1</w:t>
      </w:r>
    </w:p>
    <w:p w14:paraId="624E588B" w14:textId="77777777" w:rsidR="00E56743" w:rsidRPr="00E56743" w:rsidRDefault="00E56743" w:rsidP="00E56743">
      <w:pPr>
        <w:spacing w:after="0" w:line="269" w:lineRule="auto"/>
        <w:rPr>
          <w:rFonts w:ascii="Arial" w:hAnsi="Arial" w:cs="Arial"/>
          <w:sz w:val="22"/>
          <w:szCs w:val="22"/>
        </w:rPr>
      </w:pPr>
    </w:p>
    <w:p w14:paraId="1C8FDF48" w14:textId="60F24656" w:rsidR="00E56743" w:rsidRPr="00E56743" w:rsidRDefault="00495DCD" w:rsidP="00E56743">
      <w:pPr>
        <w:spacing w:after="0" w:line="269" w:lineRule="auto"/>
        <w:rPr>
          <w:rFonts w:ascii="Arial" w:hAnsi="Arial" w:cs="Arial"/>
          <w:sz w:val="22"/>
          <w:szCs w:val="22"/>
        </w:rPr>
      </w:pPr>
      <w:r w:rsidRPr="00E56743">
        <w:rPr>
          <w:rFonts w:ascii="Arial" w:hAnsi="Arial" w:cs="Arial"/>
          <w:sz w:val="22"/>
          <w:szCs w:val="22"/>
        </w:rPr>
        <w:t>Evidence-based practice (EBP) is about making people practice decisions using evidence rather than relying purely on instinct or senior opinion. Basically, it encourages people professionals to stop and ask if decisions are based on facts, insight and experience or whether they are being taken by habit or pressure to act quickly. This matters at Technivara as the case study suggests that decisions tend to be made from the top, with managers’ views carrying more weight than wider evidence.</w:t>
      </w:r>
      <w:r w:rsidRPr="00E56743">
        <w:rPr>
          <w:rFonts w:ascii="Arial" w:hAnsi="Arial" w:cs="Arial"/>
          <w:sz w:val="22"/>
          <w:szCs w:val="22"/>
        </w:rPr>
        <w:br/>
      </w:r>
      <w:r w:rsidRPr="00E56743">
        <w:rPr>
          <w:rFonts w:ascii="Arial" w:hAnsi="Arial" w:cs="Arial"/>
          <w:sz w:val="22"/>
          <w:szCs w:val="22"/>
        </w:rPr>
        <w:br/>
        <w:t>The CIPD describes evidence-based practice as drawing on more than one source of information when making people practice decisions, rather than relying on a single viewpoint</w:t>
      </w:r>
      <w:r w:rsidR="00334CFE" w:rsidRPr="00E56743">
        <w:rPr>
          <w:rFonts w:ascii="Arial" w:hAnsi="Arial" w:cs="Arial"/>
          <w:sz w:val="22"/>
          <w:szCs w:val="22"/>
        </w:rPr>
        <w:t>. Specifically they suggest using four sources: organisational data, professional expertise, stakeholder views and scientific literature (CIPD, 2025a). T</w:t>
      </w:r>
      <w:r w:rsidRPr="00E56743">
        <w:rPr>
          <w:rFonts w:ascii="Arial" w:hAnsi="Arial" w:cs="Arial"/>
          <w:sz w:val="22"/>
          <w:szCs w:val="22"/>
        </w:rPr>
        <w:t xml:space="preserve">his means looking beyond instinct to inform judgement, which also reflects wider thinking in evidence-based management (Briner </w:t>
      </w:r>
      <w:r w:rsidR="00AF5539" w:rsidRPr="00E56743">
        <w:rPr>
          <w:rFonts w:ascii="Arial" w:hAnsi="Arial" w:cs="Arial"/>
          <w:i/>
          <w:iCs/>
          <w:sz w:val="22"/>
          <w:szCs w:val="22"/>
        </w:rPr>
        <w:t>et al.</w:t>
      </w:r>
      <w:r w:rsidRPr="00E56743">
        <w:rPr>
          <w:rFonts w:ascii="Arial" w:hAnsi="Arial" w:cs="Arial"/>
          <w:sz w:val="22"/>
          <w:szCs w:val="22"/>
        </w:rPr>
        <w:t>, 20</w:t>
      </w:r>
      <w:r w:rsidR="00AF5539" w:rsidRPr="00E56743">
        <w:rPr>
          <w:rFonts w:ascii="Arial" w:hAnsi="Arial" w:cs="Arial"/>
          <w:sz w:val="22"/>
          <w:szCs w:val="22"/>
        </w:rPr>
        <w:t>09</w:t>
      </w:r>
      <w:r w:rsidRPr="00E56743">
        <w:rPr>
          <w:rFonts w:ascii="Arial" w:hAnsi="Arial" w:cs="Arial"/>
          <w:sz w:val="22"/>
          <w:szCs w:val="22"/>
        </w:rPr>
        <w:t xml:space="preserve">). </w:t>
      </w:r>
      <w:r w:rsidR="00334CFE" w:rsidRPr="00E56743">
        <w:rPr>
          <w:rFonts w:ascii="Arial" w:hAnsi="Arial" w:cs="Arial"/>
          <w:sz w:val="22"/>
          <w:szCs w:val="22"/>
        </w:rPr>
        <w:t xml:space="preserve">There are six ‘A’s’ which will encourage collating evidence from multiple sources: asking, acquiring, appraising, aggregating, applying and assessing (CIPD, 2025a). </w:t>
      </w:r>
      <w:r w:rsidRPr="00E56743">
        <w:rPr>
          <w:rFonts w:ascii="Arial" w:hAnsi="Arial" w:cs="Arial"/>
          <w:sz w:val="22"/>
          <w:szCs w:val="22"/>
        </w:rPr>
        <w:t>When used in this way, EBP can help people professionals feel more confident in explaining and justifying their decisions, particularly in organisations where those decisions may be challenged. In reality though, evidence is rarely perfect and some managers may still prefer to rely on their own judgement. Given Technivara’s more traditional management approach, this kind of resistance is something the organisation may encounter.</w:t>
      </w:r>
      <w:r w:rsidRPr="00E56743">
        <w:rPr>
          <w:rFonts w:ascii="Arial" w:hAnsi="Arial" w:cs="Arial"/>
          <w:sz w:val="22"/>
          <w:szCs w:val="22"/>
        </w:rPr>
        <w:br/>
      </w:r>
      <w:r w:rsidRPr="00E56743">
        <w:rPr>
          <w:rFonts w:ascii="Arial" w:hAnsi="Arial" w:cs="Arial"/>
          <w:sz w:val="22"/>
          <w:szCs w:val="22"/>
        </w:rPr>
        <w:br/>
        <w:t>Employee turnover is an area where evidence-based practice could become important for Technivara. Although the case study does not specifically refer to engagement or retention issues, the organisation’s top-down approach to decision-making means these could become risks over time if people decisions continue to rely on managerial judgement. A more evidence-based approach would require Technivara to slow things down and spend time understanding what is happening internally. This could mean noticing patterns in absence levels and paying attention to what employees are saying, including any themes that appear when staff leave. When combined with wider research on retention, this would help the organisation make sense of why people might choose to stay or go.</w:t>
      </w:r>
      <w:r w:rsidRPr="00E56743">
        <w:rPr>
          <w:rFonts w:ascii="Arial" w:hAnsi="Arial" w:cs="Arial"/>
          <w:sz w:val="22"/>
          <w:szCs w:val="22"/>
        </w:rPr>
        <w:br/>
      </w:r>
      <w:r w:rsidRPr="00E56743">
        <w:rPr>
          <w:rFonts w:ascii="Arial" w:hAnsi="Arial" w:cs="Arial"/>
          <w:sz w:val="22"/>
          <w:szCs w:val="22"/>
        </w:rPr>
        <w:br/>
        <w:t>Culture and leadership is another area where this approach feels relevant for Technivara. The case study gives the sense that decisions sit with senior managers, which may be shaping how engaged employees feel across the organisation. Taking employee feedback into account would help leaders base changes on what staff are actually experiencing rather than assumptions about what should work. Research on leadership behaviours and engagement could also help inform decisions about management development and avoid initiatives that sound good but miss the point. Where trust and engagement already appear to be shaky, using evidence properly could help decisions land better with employees</w:t>
      </w:r>
      <w:r w:rsidR="001E6607" w:rsidRPr="00E56743">
        <w:rPr>
          <w:rFonts w:ascii="Arial" w:hAnsi="Arial" w:cs="Arial"/>
          <w:sz w:val="22"/>
          <w:szCs w:val="22"/>
        </w:rPr>
        <w:t xml:space="preserve"> (Barends and Rousseau, 2018)</w:t>
      </w:r>
      <w:r w:rsidRPr="00E56743">
        <w:rPr>
          <w:rFonts w:ascii="Arial" w:hAnsi="Arial" w:cs="Arial"/>
          <w:sz w:val="22"/>
          <w:szCs w:val="22"/>
        </w:rPr>
        <w:t>.</w:t>
      </w:r>
      <w:r w:rsidRPr="00E56743">
        <w:rPr>
          <w:rFonts w:ascii="Arial" w:hAnsi="Arial" w:cs="Arial"/>
          <w:sz w:val="22"/>
          <w:szCs w:val="22"/>
        </w:rPr>
        <w:br/>
      </w:r>
      <w:r w:rsidRPr="00E56743">
        <w:rPr>
          <w:rFonts w:ascii="Arial" w:hAnsi="Arial" w:cs="Arial"/>
          <w:sz w:val="22"/>
          <w:szCs w:val="22"/>
        </w:rPr>
        <w:br/>
        <w:t>Overall, evidence-based practice provides Technivara with a more thoughtful way of making people practice decisions. While it does take time and requires confidence in using evidence, it supports better-quality decisions that are more closely aligned to the organisation’s people challenges rather than relying on instinct alone.</w:t>
      </w:r>
    </w:p>
    <w:p w14:paraId="71039EE2" w14:textId="77777777" w:rsidR="005912B1" w:rsidRPr="00E56743" w:rsidRDefault="005912B1" w:rsidP="00E56743">
      <w:pPr>
        <w:spacing w:after="0" w:line="269" w:lineRule="auto"/>
        <w:rPr>
          <w:rFonts w:ascii="Arial" w:hAnsi="Arial" w:cs="Arial"/>
          <w:sz w:val="22"/>
          <w:szCs w:val="22"/>
        </w:rPr>
      </w:pPr>
    </w:p>
    <w:p w14:paraId="0DA391AE" w14:textId="77777777" w:rsidR="00E56743" w:rsidRDefault="00E56743" w:rsidP="00E56743">
      <w:pPr>
        <w:spacing w:after="0" w:line="269" w:lineRule="auto"/>
        <w:rPr>
          <w:rFonts w:ascii="Arial" w:hAnsi="Arial" w:cs="Arial"/>
          <w:sz w:val="22"/>
          <w:szCs w:val="22"/>
        </w:rPr>
      </w:pPr>
    </w:p>
    <w:p w14:paraId="5ED62739" w14:textId="77777777" w:rsidR="00E56743" w:rsidRDefault="00E56743" w:rsidP="00E56743">
      <w:pPr>
        <w:spacing w:after="0" w:line="269" w:lineRule="auto"/>
        <w:rPr>
          <w:rFonts w:ascii="Arial" w:hAnsi="Arial" w:cs="Arial"/>
          <w:sz w:val="22"/>
          <w:szCs w:val="22"/>
        </w:rPr>
      </w:pPr>
    </w:p>
    <w:p w14:paraId="49699720" w14:textId="77777777" w:rsidR="00E56743" w:rsidRDefault="00E56743" w:rsidP="00E56743">
      <w:pPr>
        <w:spacing w:after="0" w:line="269" w:lineRule="auto"/>
        <w:rPr>
          <w:rFonts w:ascii="Arial" w:hAnsi="Arial" w:cs="Arial"/>
          <w:sz w:val="22"/>
          <w:szCs w:val="22"/>
        </w:rPr>
      </w:pPr>
    </w:p>
    <w:p w14:paraId="283439EB" w14:textId="2F0697DE" w:rsidR="00E56743" w:rsidRPr="004B37AC" w:rsidRDefault="00D777D7" w:rsidP="00E56743">
      <w:pPr>
        <w:spacing w:after="0" w:line="269" w:lineRule="auto"/>
        <w:rPr>
          <w:rFonts w:ascii="Arial" w:hAnsi="Arial" w:cs="Arial"/>
          <w:b/>
          <w:bCs/>
          <w:sz w:val="22"/>
          <w:szCs w:val="22"/>
        </w:rPr>
      </w:pPr>
      <w:r w:rsidRPr="004B37AC">
        <w:rPr>
          <w:rFonts w:ascii="Arial" w:hAnsi="Arial" w:cs="Arial"/>
          <w:b/>
          <w:bCs/>
          <w:sz w:val="22"/>
          <w:szCs w:val="22"/>
        </w:rPr>
        <w:lastRenderedPageBreak/>
        <w:t>1.2</w:t>
      </w:r>
    </w:p>
    <w:p w14:paraId="6E43855B" w14:textId="77777777" w:rsidR="00E56743" w:rsidRPr="00E56743" w:rsidRDefault="00E56743" w:rsidP="00E56743">
      <w:pPr>
        <w:spacing w:after="0" w:line="269" w:lineRule="auto"/>
        <w:rPr>
          <w:rFonts w:ascii="Arial" w:hAnsi="Arial" w:cs="Arial"/>
          <w:sz w:val="22"/>
          <w:szCs w:val="22"/>
        </w:rPr>
      </w:pPr>
    </w:p>
    <w:p w14:paraId="7F9F3867" w14:textId="77777777" w:rsidR="00E56743" w:rsidRDefault="00DF1090" w:rsidP="00E56743">
      <w:pPr>
        <w:spacing w:after="0" w:line="269" w:lineRule="auto"/>
        <w:rPr>
          <w:rFonts w:ascii="Arial" w:hAnsi="Arial" w:cs="Arial"/>
          <w:sz w:val="22"/>
          <w:szCs w:val="22"/>
        </w:rPr>
      </w:pPr>
      <w:r w:rsidRPr="00E56743">
        <w:rPr>
          <w:rFonts w:ascii="Arial" w:hAnsi="Arial" w:cs="Arial"/>
          <w:sz w:val="22"/>
          <w:szCs w:val="22"/>
        </w:rPr>
        <w:t>When looking at how Technivara might recognise and diagnose its current issues, it is important not to rely on just one way of analysing what’s going on. In reality, people professionals tend to use a few different tools, depending on what they are trying to understand</w:t>
      </w:r>
      <w:r w:rsidR="00F254E6" w:rsidRPr="00E56743">
        <w:rPr>
          <w:rFonts w:ascii="Arial" w:hAnsi="Arial" w:cs="Arial"/>
          <w:sz w:val="22"/>
          <w:szCs w:val="22"/>
        </w:rPr>
        <w:t xml:space="preserve"> (Taylor and Woodhams, 2022)</w:t>
      </w:r>
      <w:r w:rsidRPr="00E56743">
        <w:rPr>
          <w:rFonts w:ascii="Arial" w:hAnsi="Arial" w:cs="Arial"/>
          <w:sz w:val="22"/>
          <w:szCs w:val="22"/>
        </w:rPr>
        <w:t>. Things like SWOT, force field analysis or even looking at people data can all help highlight patterns, but here, PESTLE is a useful place to start.</w:t>
      </w:r>
      <w:r w:rsidRPr="00E56743">
        <w:rPr>
          <w:rFonts w:ascii="Arial" w:hAnsi="Arial" w:cs="Arial"/>
          <w:sz w:val="22"/>
          <w:szCs w:val="22"/>
        </w:rPr>
        <w:br/>
      </w:r>
    </w:p>
    <w:p w14:paraId="2508559B" w14:textId="7B86DB7D" w:rsidR="002E08F6" w:rsidRPr="00E56743" w:rsidRDefault="00D31212" w:rsidP="00E56743">
      <w:pPr>
        <w:spacing w:after="0" w:line="269" w:lineRule="auto"/>
        <w:rPr>
          <w:rFonts w:ascii="Arial" w:hAnsi="Arial" w:cs="Arial"/>
          <w:sz w:val="22"/>
          <w:szCs w:val="22"/>
        </w:rPr>
      </w:pPr>
      <w:r w:rsidRPr="00E56743">
        <w:rPr>
          <w:rFonts w:ascii="Arial" w:hAnsi="Arial" w:cs="Arial"/>
          <w:sz w:val="22"/>
          <w:szCs w:val="22"/>
        </w:rPr>
        <w:t xml:space="preserve">PESTLE encourages stepping back and looking at external factors that may be affecting an organisation and not just focusing on what is happening day to day, internally. </w:t>
      </w:r>
      <w:r w:rsidR="00710FBD" w:rsidRPr="00E56743">
        <w:rPr>
          <w:rFonts w:ascii="Arial" w:hAnsi="Arial" w:cs="Arial"/>
          <w:sz w:val="22"/>
          <w:szCs w:val="22"/>
        </w:rPr>
        <w:t>For Technivara it could be things like changes in employment law or difficulties recruiting. These may not feel important to begin with, but over time they could affect how settled staff feel in their roles and the decisions managers need to make.</w:t>
      </w:r>
      <w:r w:rsidRPr="00E56743">
        <w:rPr>
          <w:rFonts w:ascii="Arial" w:hAnsi="Arial" w:cs="Arial"/>
          <w:sz w:val="22"/>
          <w:szCs w:val="22"/>
        </w:rPr>
        <w:t xml:space="preserve"> Using PESTLE can make it easier to spot wider risks an</w:t>
      </w:r>
      <w:r w:rsidR="00EE132A" w:rsidRPr="00E56743">
        <w:rPr>
          <w:rFonts w:ascii="Arial" w:hAnsi="Arial" w:cs="Arial"/>
          <w:sz w:val="22"/>
          <w:szCs w:val="22"/>
        </w:rPr>
        <w:t>d</w:t>
      </w:r>
      <w:r w:rsidRPr="00E56743">
        <w:rPr>
          <w:rFonts w:ascii="Arial" w:hAnsi="Arial" w:cs="Arial"/>
          <w:sz w:val="22"/>
          <w:szCs w:val="22"/>
        </w:rPr>
        <w:t xml:space="preserve"> opportunities early on, even thoug</w:t>
      </w:r>
      <w:r w:rsidR="00EE132A" w:rsidRPr="00E56743">
        <w:rPr>
          <w:rFonts w:ascii="Arial" w:hAnsi="Arial" w:cs="Arial"/>
          <w:sz w:val="22"/>
          <w:szCs w:val="22"/>
        </w:rPr>
        <w:t>h</w:t>
      </w:r>
      <w:r w:rsidRPr="00E56743">
        <w:rPr>
          <w:rFonts w:ascii="Arial" w:hAnsi="Arial" w:cs="Arial"/>
          <w:sz w:val="22"/>
          <w:szCs w:val="22"/>
        </w:rPr>
        <w:t xml:space="preserve"> it doesn’t give clear answer</w:t>
      </w:r>
      <w:r w:rsidR="00EE132A" w:rsidRPr="00E56743">
        <w:rPr>
          <w:rFonts w:ascii="Arial" w:hAnsi="Arial" w:cs="Arial"/>
          <w:sz w:val="22"/>
          <w:szCs w:val="22"/>
        </w:rPr>
        <w:t>s</w:t>
      </w:r>
      <w:r w:rsidRPr="00E56743">
        <w:rPr>
          <w:rFonts w:ascii="Arial" w:hAnsi="Arial" w:cs="Arial"/>
          <w:sz w:val="22"/>
          <w:szCs w:val="22"/>
        </w:rPr>
        <w:t xml:space="preserve"> by itself (CIPD, 2025b).</w:t>
      </w:r>
    </w:p>
    <w:p w14:paraId="72D6F97F" w14:textId="77777777" w:rsidR="002E08F6" w:rsidRPr="00E56743" w:rsidRDefault="002E08F6" w:rsidP="00E56743">
      <w:pPr>
        <w:spacing w:after="0" w:line="269" w:lineRule="auto"/>
        <w:rPr>
          <w:rFonts w:ascii="Arial" w:hAnsi="Arial" w:cs="Arial"/>
          <w:sz w:val="22"/>
          <w:szCs w:val="22"/>
        </w:rPr>
      </w:pPr>
    </w:p>
    <w:p w14:paraId="37D4C75A" w14:textId="394F3CC5" w:rsidR="00DF1090" w:rsidRPr="00E56743" w:rsidRDefault="00DF1090" w:rsidP="00E56743">
      <w:pPr>
        <w:spacing w:after="0" w:line="269" w:lineRule="auto"/>
        <w:rPr>
          <w:rFonts w:ascii="Arial" w:hAnsi="Arial" w:cs="Arial"/>
          <w:sz w:val="22"/>
          <w:szCs w:val="22"/>
        </w:rPr>
      </w:pPr>
      <w:r w:rsidRPr="00E56743">
        <w:rPr>
          <w:rFonts w:ascii="Arial" w:hAnsi="Arial" w:cs="Arial"/>
          <w:sz w:val="22"/>
          <w:szCs w:val="22"/>
        </w:rPr>
        <w:t>PESTLE only tells part of the story as it gives an overall view but doesn’t really show how the issues are being felt by employees. That is where an analysis method such as employee interviews can become useful. Speaking directly to staff allows people to share how they actually feel about things like workload, leadership or communication, which often explains patterns in absence or turnover data</w:t>
      </w:r>
      <w:r w:rsidR="000E5996" w:rsidRPr="00E56743">
        <w:rPr>
          <w:rFonts w:ascii="Arial" w:hAnsi="Arial" w:cs="Arial"/>
          <w:sz w:val="22"/>
          <w:szCs w:val="22"/>
        </w:rPr>
        <w:t xml:space="preserve"> (Aylott, 2018)</w:t>
      </w:r>
      <w:r w:rsidRPr="00E56743">
        <w:rPr>
          <w:rFonts w:ascii="Arial" w:hAnsi="Arial" w:cs="Arial"/>
          <w:sz w:val="22"/>
          <w:szCs w:val="22"/>
        </w:rPr>
        <w:t>. Of course, interviews can be influenced by personal opinion and are time consuming so they work best when used alongside other information, rather than on their own.</w:t>
      </w:r>
      <w:r w:rsidRPr="00E56743">
        <w:rPr>
          <w:rFonts w:ascii="Arial" w:hAnsi="Arial" w:cs="Arial"/>
          <w:sz w:val="22"/>
          <w:szCs w:val="22"/>
        </w:rPr>
        <w:br/>
      </w:r>
      <w:r w:rsidRPr="00E56743">
        <w:rPr>
          <w:rFonts w:ascii="Arial" w:hAnsi="Arial" w:cs="Arial"/>
          <w:sz w:val="22"/>
          <w:szCs w:val="22"/>
        </w:rPr>
        <w:br/>
      </w:r>
      <w:r w:rsidR="003E66AC" w:rsidRPr="00E56743">
        <w:rPr>
          <w:rFonts w:ascii="Arial" w:hAnsi="Arial" w:cs="Arial"/>
          <w:sz w:val="22"/>
          <w:szCs w:val="22"/>
        </w:rPr>
        <w:t xml:space="preserve">This really links to the idea of evidence-based HR, which suggests that better decisions are made when different types of evidence are thought about together. </w:t>
      </w:r>
      <w:r w:rsidRPr="00E56743">
        <w:rPr>
          <w:rFonts w:ascii="Arial" w:hAnsi="Arial" w:cs="Arial"/>
          <w:sz w:val="22"/>
          <w:szCs w:val="22"/>
        </w:rPr>
        <w:t xml:space="preserve">Research highlights that people analytics on their own </w:t>
      </w:r>
      <w:r w:rsidR="00701E45" w:rsidRPr="00E56743">
        <w:rPr>
          <w:rFonts w:ascii="Arial" w:hAnsi="Arial" w:cs="Arial"/>
          <w:sz w:val="22"/>
          <w:szCs w:val="22"/>
        </w:rPr>
        <w:t>are</w:t>
      </w:r>
      <w:r w:rsidRPr="00E56743">
        <w:rPr>
          <w:rFonts w:ascii="Arial" w:hAnsi="Arial" w:cs="Arial"/>
          <w:sz w:val="22"/>
          <w:szCs w:val="22"/>
        </w:rPr>
        <w:t xml:space="preserve"> not enough and should be balanced with professional judgement and employee insight (People Management, 2023). Using both PESTLE and interviewing would allow Technivara to build a more realistic picture of what is happening across the organisation and why.</w:t>
      </w:r>
    </w:p>
    <w:p w14:paraId="15E55A13" w14:textId="77777777" w:rsidR="00D31212" w:rsidRPr="00E56743" w:rsidRDefault="00D31212" w:rsidP="00E56743">
      <w:pPr>
        <w:spacing w:after="0" w:line="269" w:lineRule="auto"/>
        <w:rPr>
          <w:rFonts w:ascii="Arial" w:hAnsi="Arial" w:cs="Arial"/>
          <w:sz w:val="22"/>
          <w:szCs w:val="22"/>
        </w:rPr>
      </w:pPr>
    </w:p>
    <w:p w14:paraId="52B90907" w14:textId="100A918A" w:rsidR="0020458E" w:rsidRPr="004B37AC" w:rsidRDefault="0020458E" w:rsidP="00E56743">
      <w:pPr>
        <w:spacing w:after="0" w:line="269" w:lineRule="auto"/>
        <w:rPr>
          <w:rFonts w:ascii="Arial" w:hAnsi="Arial" w:cs="Arial"/>
          <w:b/>
          <w:bCs/>
          <w:sz w:val="22"/>
          <w:szCs w:val="22"/>
        </w:rPr>
      </w:pPr>
      <w:r w:rsidRPr="004B37AC">
        <w:rPr>
          <w:rFonts w:ascii="Arial" w:hAnsi="Arial" w:cs="Arial"/>
          <w:b/>
          <w:bCs/>
          <w:sz w:val="22"/>
          <w:szCs w:val="22"/>
        </w:rPr>
        <w:t>1.3</w:t>
      </w:r>
    </w:p>
    <w:p w14:paraId="1A032555" w14:textId="77777777" w:rsidR="00CF4BDA" w:rsidRPr="00E56743" w:rsidRDefault="00CF4BDA" w:rsidP="00E56743">
      <w:pPr>
        <w:spacing w:after="0" w:line="269" w:lineRule="auto"/>
        <w:rPr>
          <w:rFonts w:ascii="Arial" w:hAnsi="Arial" w:cs="Arial"/>
          <w:sz w:val="22"/>
          <w:szCs w:val="22"/>
        </w:rPr>
      </w:pPr>
    </w:p>
    <w:p w14:paraId="4A8101B8" w14:textId="61FB84BC" w:rsidR="000149B7" w:rsidRPr="00E56743" w:rsidRDefault="00CF4BDA" w:rsidP="00E56743">
      <w:pPr>
        <w:spacing w:after="0" w:line="269" w:lineRule="auto"/>
        <w:rPr>
          <w:rFonts w:ascii="Arial" w:hAnsi="Arial" w:cs="Arial"/>
          <w:sz w:val="22"/>
          <w:szCs w:val="22"/>
        </w:rPr>
      </w:pPr>
      <w:r w:rsidRPr="00E56743">
        <w:rPr>
          <w:rFonts w:ascii="Arial" w:hAnsi="Arial" w:cs="Arial"/>
          <w:sz w:val="22"/>
          <w:szCs w:val="22"/>
        </w:rPr>
        <w:t xml:space="preserve">When thinking about how Technivara makes decisions, critical thinking needs to make sure they are actually thought through, rather than rushed or based on assumptions. When time feels short, it is tempting to jump straight to a solution, especially when there’s pressure to act fast. Critical thinking is being able to question the ideas and arguments of others, build well-reasoned arguments and recognise when different perspectives might be influencing decisions (Howlett, 2019, 0:50). In reality, it means pausing to properly look into things before </w:t>
      </w:r>
      <w:r w:rsidR="00571FEC" w:rsidRPr="00E56743">
        <w:rPr>
          <w:rFonts w:ascii="Arial" w:hAnsi="Arial" w:cs="Arial"/>
          <w:sz w:val="22"/>
          <w:szCs w:val="22"/>
        </w:rPr>
        <w:t>coming to</w:t>
      </w:r>
      <w:r w:rsidRPr="00E56743">
        <w:rPr>
          <w:rFonts w:ascii="Arial" w:hAnsi="Arial" w:cs="Arial"/>
          <w:sz w:val="22"/>
          <w:szCs w:val="22"/>
        </w:rPr>
        <w:t xml:space="preserve"> a conclusion.</w:t>
      </w:r>
    </w:p>
    <w:p w14:paraId="147253BC" w14:textId="77777777" w:rsidR="00CF4BDA" w:rsidRPr="00E56743" w:rsidRDefault="00CF4BDA" w:rsidP="00E56743">
      <w:pPr>
        <w:spacing w:after="0" w:line="269" w:lineRule="auto"/>
        <w:rPr>
          <w:rFonts w:ascii="Arial" w:hAnsi="Arial" w:cs="Arial"/>
          <w:sz w:val="22"/>
          <w:szCs w:val="22"/>
        </w:rPr>
      </w:pPr>
    </w:p>
    <w:p w14:paraId="12B8095C" w14:textId="77777777" w:rsidR="00CB39EB" w:rsidRPr="00E56743" w:rsidRDefault="00CB39EB" w:rsidP="00E56743">
      <w:pPr>
        <w:spacing w:after="0" w:line="269" w:lineRule="auto"/>
        <w:rPr>
          <w:rFonts w:ascii="Arial" w:hAnsi="Arial" w:cs="Arial"/>
          <w:sz w:val="22"/>
          <w:szCs w:val="22"/>
        </w:rPr>
      </w:pPr>
      <w:r w:rsidRPr="00E56743">
        <w:rPr>
          <w:rFonts w:ascii="Arial" w:hAnsi="Arial" w:cs="Arial"/>
          <w:sz w:val="22"/>
          <w:szCs w:val="22"/>
        </w:rPr>
        <w:t>A big part of this is being able to tell the difference between fact and opinion. For example, if someone says performance is slipping, it is important not to take that at face value. It may be linked to workload or unclear expectations rather than motivation or attitude. Taking time to question where information has come from and what evidence supports it helps avoid decisions being based on assumptions or personal views.</w:t>
      </w:r>
    </w:p>
    <w:p w14:paraId="6C91FD8F" w14:textId="77777777" w:rsidR="0040660F" w:rsidRPr="00E56743" w:rsidRDefault="0040660F" w:rsidP="00E56743">
      <w:pPr>
        <w:spacing w:after="0" w:line="269" w:lineRule="auto"/>
        <w:rPr>
          <w:rFonts w:ascii="Arial" w:hAnsi="Arial" w:cs="Arial"/>
          <w:sz w:val="22"/>
          <w:szCs w:val="22"/>
        </w:rPr>
      </w:pPr>
    </w:p>
    <w:p w14:paraId="394BD082" w14:textId="4FBDE323" w:rsidR="00CB39EB" w:rsidRPr="00E56743" w:rsidRDefault="009A2958" w:rsidP="00E56743">
      <w:pPr>
        <w:spacing w:after="0" w:line="269" w:lineRule="auto"/>
        <w:rPr>
          <w:rFonts w:ascii="Arial" w:hAnsi="Arial" w:cs="Arial"/>
          <w:sz w:val="22"/>
          <w:szCs w:val="22"/>
        </w:rPr>
      </w:pPr>
      <w:r w:rsidRPr="00E56743">
        <w:rPr>
          <w:rFonts w:ascii="Arial" w:hAnsi="Arial" w:cs="Arial"/>
          <w:sz w:val="22"/>
          <w:szCs w:val="22"/>
        </w:rPr>
        <w:t xml:space="preserve">Another important part of critical thinking is recognising bias, both in ourselves and in others as personal experiences and assumptions can influence how situations and people are judged (Armstrong and Taylor, 2023). </w:t>
      </w:r>
      <w:r w:rsidR="00CB39EB" w:rsidRPr="00E56743">
        <w:rPr>
          <w:rFonts w:ascii="Arial" w:hAnsi="Arial" w:cs="Arial"/>
          <w:sz w:val="22"/>
          <w:szCs w:val="22"/>
        </w:rPr>
        <w:t>Everyone brings their own experiences</w:t>
      </w:r>
      <w:r w:rsidR="0040660F" w:rsidRPr="00E56743">
        <w:rPr>
          <w:rFonts w:ascii="Arial" w:hAnsi="Arial" w:cs="Arial"/>
          <w:sz w:val="22"/>
          <w:szCs w:val="22"/>
        </w:rPr>
        <w:t xml:space="preserve"> </w:t>
      </w:r>
      <w:r w:rsidR="00CB39EB" w:rsidRPr="00E56743">
        <w:rPr>
          <w:rFonts w:ascii="Arial" w:hAnsi="Arial" w:cs="Arial"/>
          <w:sz w:val="22"/>
          <w:szCs w:val="22"/>
        </w:rPr>
        <w:t>and preferences into work and these can influence how situations are understood. At Technivara, this might show up when managers rely on what has worked for them in the past or make quick judgements about behaviour. Being aware of this helps create more balanced conversations and fairer outcomes.</w:t>
      </w:r>
    </w:p>
    <w:p w14:paraId="749D337A" w14:textId="77777777" w:rsidR="000149B7" w:rsidRPr="00E56743" w:rsidRDefault="000149B7" w:rsidP="00E56743">
      <w:pPr>
        <w:spacing w:after="0" w:line="269" w:lineRule="auto"/>
        <w:rPr>
          <w:rFonts w:ascii="Arial" w:hAnsi="Arial" w:cs="Arial"/>
          <w:sz w:val="22"/>
          <w:szCs w:val="22"/>
        </w:rPr>
      </w:pPr>
    </w:p>
    <w:p w14:paraId="3D23068A" w14:textId="03BEC290" w:rsidR="0073374F" w:rsidRDefault="0040660F" w:rsidP="00E56743">
      <w:pPr>
        <w:spacing w:after="0" w:line="269" w:lineRule="auto"/>
        <w:rPr>
          <w:rFonts w:ascii="Arial" w:hAnsi="Arial" w:cs="Arial"/>
          <w:sz w:val="22"/>
          <w:szCs w:val="22"/>
        </w:rPr>
      </w:pPr>
      <w:r w:rsidRPr="00E56743">
        <w:rPr>
          <w:rFonts w:ascii="Arial" w:hAnsi="Arial" w:cs="Arial"/>
          <w:sz w:val="22"/>
          <w:szCs w:val="22"/>
        </w:rPr>
        <w:lastRenderedPageBreak/>
        <w:t xml:space="preserve">Critical thinking also means knowing people issues in work are rarely straightforward and there isn’t always a clear right or wrong answer. This can be uncomfortable, especially when people feel strongly about something or have different opinions on what should happen next. When it is like this, it’s easy for discussions to become stuck or for decisions to be rushed just to move things on. Having a simple structure can help keep conversations moving and an example is De Bono’s Six Thinking Hats, which encourages people to stop and look at a situation in different ways, like focusing on the facts first, considering how people may be feeling and thinking through possible risks </w:t>
      </w:r>
      <w:r w:rsidR="0073374F" w:rsidRPr="00E56743">
        <w:rPr>
          <w:rFonts w:ascii="Arial" w:hAnsi="Arial" w:cs="Arial"/>
          <w:sz w:val="22"/>
          <w:szCs w:val="22"/>
        </w:rPr>
        <w:t>a</w:t>
      </w:r>
      <w:r w:rsidRPr="00E56743">
        <w:rPr>
          <w:rFonts w:ascii="Arial" w:hAnsi="Arial" w:cs="Arial"/>
          <w:sz w:val="22"/>
          <w:szCs w:val="22"/>
        </w:rPr>
        <w:t>nd options, rather than immediately defending one viewpoint (De Bono, 1985).</w:t>
      </w:r>
    </w:p>
    <w:p w14:paraId="5070C683" w14:textId="77777777" w:rsidR="00E56743" w:rsidRPr="00E56743" w:rsidRDefault="00E56743" w:rsidP="00E56743">
      <w:pPr>
        <w:spacing w:after="0" w:line="269" w:lineRule="auto"/>
        <w:rPr>
          <w:rFonts w:ascii="Arial" w:hAnsi="Arial" w:cs="Arial"/>
          <w:sz w:val="22"/>
          <w:szCs w:val="22"/>
        </w:rPr>
      </w:pPr>
    </w:p>
    <w:p w14:paraId="63EDC747" w14:textId="7F5A0FF4" w:rsidR="00CB39EB" w:rsidRPr="00E56743" w:rsidRDefault="0040660F" w:rsidP="00E56743">
      <w:pPr>
        <w:spacing w:after="0" w:line="269" w:lineRule="auto"/>
        <w:rPr>
          <w:rFonts w:ascii="Arial" w:hAnsi="Arial" w:cs="Arial"/>
          <w:sz w:val="22"/>
          <w:szCs w:val="22"/>
        </w:rPr>
      </w:pPr>
      <w:r w:rsidRPr="00E56743">
        <w:rPr>
          <w:rFonts w:ascii="Arial" w:hAnsi="Arial" w:cs="Arial"/>
          <w:sz w:val="22"/>
          <w:szCs w:val="22"/>
        </w:rPr>
        <w:t xml:space="preserve"> </w:t>
      </w:r>
      <w:r w:rsidR="00CB39EB" w:rsidRPr="00E56743">
        <w:rPr>
          <w:rFonts w:ascii="Arial" w:hAnsi="Arial" w:cs="Arial"/>
          <w:noProof/>
          <w:sz w:val="22"/>
          <w:szCs w:val="22"/>
        </w:rPr>
        <w:drawing>
          <wp:inline distT="0" distB="0" distL="0" distR="0" wp14:anchorId="61EEF2A5" wp14:editId="26DF8EF1">
            <wp:extent cx="5189670" cy="2918713"/>
            <wp:effectExtent l="0" t="0" r="0" b="0"/>
            <wp:docPr id="379410024" name="Picture 1" descr="A group of colorful hat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410024" name="Picture 1" descr="A group of colorful hats with text&#10;&#10;AI-generated content may be incorrect."/>
                    <pic:cNvPicPr/>
                  </pic:nvPicPr>
                  <pic:blipFill>
                    <a:blip r:embed="rId9"/>
                    <a:stretch>
                      <a:fillRect/>
                    </a:stretch>
                  </pic:blipFill>
                  <pic:spPr>
                    <a:xfrm>
                      <a:off x="0" y="0"/>
                      <a:ext cx="5189670" cy="2918713"/>
                    </a:xfrm>
                    <a:prstGeom prst="rect">
                      <a:avLst/>
                    </a:prstGeom>
                  </pic:spPr>
                </pic:pic>
              </a:graphicData>
            </a:graphic>
          </wp:inline>
        </w:drawing>
      </w:r>
    </w:p>
    <w:p w14:paraId="738456E9" w14:textId="77777777" w:rsidR="00CB39EB" w:rsidRPr="00E56743" w:rsidRDefault="00CB39EB" w:rsidP="00E56743">
      <w:pPr>
        <w:spacing w:after="0" w:line="269" w:lineRule="auto"/>
        <w:jc w:val="center"/>
        <w:rPr>
          <w:rFonts w:ascii="Arial" w:hAnsi="Arial" w:cs="Arial"/>
          <w:sz w:val="16"/>
          <w:szCs w:val="16"/>
        </w:rPr>
      </w:pPr>
      <w:r w:rsidRPr="00E56743">
        <w:rPr>
          <w:rFonts w:ascii="Arial" w:hAnsi="Arial" w:cs="Arial"/>
          <w:sz w:val="16"/>
          <w:szCs w:val="16"/>
        </w:rPr>
        <w:t>Figure 1: De Bono’s Six Thinking Hats (Scribd, 2024)</w:t>
      </w:r>
    </w:p>
    <w:p w14:paraId="13461E7B" w14:textId="77777777" w:rsidR="00CB39EB" w:rsidRPr="00E56743" w:rsidRDefault="00CB39EB" w:rsidP="00E56743">
      <w:pPr>
        <w:spacing w:after="0" w:line="269" w:lineRule="auto"/>
        <w:rPr>
          <w:rFonts w:ascii="Arial" w:hAnsi="Arial" w:cs="Arial"/>
          <w:sz w:val="22"/>
          <w:szCs w:val="22"/>
        </w:rPr>
      </w:pPr>
    </w:p>
    <w:p w14:paraId="72B1E3BE" w14:textId="0545AABB" w:rsidR="00E56743" w:rsidRDefault="00571FEC" w:rsidP="00E56743">
      <w:pPr>
        <w:spacing w:after="0" w:line="269" w:lineRule="auto"/>
        <w:rPr>
          <w:rFonts w:ascii="Arial" w:hAnsi="Arial" w:cs="Arial"/>
          <w:sz w:val="22"/>
          <w:szCs w:val="22"/>
        </w:rPr>
      </w:pPr>
      <w:r w:rsidRPr="00E56743">
        <w:rPr>
          <w:rFonts w:ascii="Arial" w:hAnsi="Arial" w:cs="Arial"/>
          <w:sz w:val="22"/>
          <w:szCs w:val="22"/>
        </w:rPr>
        <w:t>Overall, using critical thinking at Technivara could help discussions feel more balanced and constructive. By taking time to pause, question viewpoints and check what evidence is actually available in meetings would make it easier to have open conversations, even when opinions are different. It also helps make sure that ideas, whether from ourselves or others, are properly looked at rather than accepted or dismissed too quickly. This supports objective and rational debate at Technivara by helping discussions stay focused on understanding the issue and working towards sensible decisions, instead of reacting on instinct or personal preference, which reflects wider thinking in people practice that highlights the importance of questioning information, understanding context and being open to different viewpoints (Armstrong and Taylor, 2017).</w:t>
      </w:r>
    </w:p>
    <w:p w14:paraId="5DC6B09D" w14:textId="77777777" w:rsidR="00E56743" w:rsidRPr="00E56743" w:rsidRDefault="00E56743" w:rsidP="00E56743">
      <w:pPr>
        <w:spacing w:after="0" w:line="269" w:lineRule="auto"/>
        <w:rPr>
          <w:rFonts w:ascii="Arial" w:hAnsi="Arial" w:cs="Arial"/>
          <w:sz w:val="22"/>
          <w:szCs w:val="22"/>
        </w:rPr>
      </w:pPr>
    </w:p>
    <w:p w14:paraId="318FD57C" w14:textId="4B516EFA" w:rsidR="00417B14" w:rsidRPr="004B37AC" w:rsidRDefault="00417B14" w:rsidP="00E56743">
      <w:pPr>
        <w:spacing w:after="0" w:line="269" w:lineRule="auto"/>
        <w:rPr>
          <w:rFonts w:ascii="Arial" w:hAnsi="Arial" w:cs="Arial"/>
          <w:b/>
          <w:bCs/>
          <w:sz w:val="22"/>
          <w:szCs w:val="22"/>
        </w:rPr>
      </w:pPr>
      <w:r w:rsidRPr="004B37AC">
        <w:rPr>
          <w:rFonts w:ascii="Arial" w:hAnsi="Arial" w:cs="Arial"/>
          <w:b/>
          <w:bCs/>
          <w:sz w:val="22"/>
          <w:szCs w:val="22"/>
        </w:rPr>
        <w:t>1.4</w:t>
      </w:r>
    </w:p>
    <w:p w14:paraId="3A663032" w14:textId="77777777" w:rsidR="00B26571" w:rsidRPr="00E56743" w:rsidRDefault="00B26571" w:rsidP="00E56743">
      <w:pPr>
        <w:spacing w:after="0" w:line="269" w:lineRule="auto"/>
        <w:rPr>
          <w:rFonts w:ascii="Arial" w:hAnsi="Arial" w:cs="Arial"/>
          <w:sz w:val="22"/>
          <w:szCs w:val="22"/>
        </w:rPr>
      </w:pPr>
    </w:p>
    <w:p w14:paraId="376149A3" w14:textId="3BD2572E" w:rsidR="00110732" w:rsidRPr="00E56743" w:rsidRDefault="00417B14" w:rsidP="00E56743">
      <w:pPr>
        <w:spacing w:after="0" w:line="269" w:lineRule="auto"/>
        <w:rPr>
          <w:rFonts w:ascii="Arial" w:hAnsi="Arial" w:cs="Arial"/>
          <w:sz w:val="22"/>
          <w:szCs w:val="22"/>
        </w:rPr>
      </w:pPr>
      <w:r w:rsidRPr="00E56743">
        <w:rPr>
          <w:rFonts w:ascii="Arial" w:hAnsi="Arial" w:cs="Arial"/>
          <w:sz w:val="22"/>
          <w:szCs w:val="22"/>
        </w:rPr>
        <w:t>One decision-making process Technivara could use is a best-fit approach. This means decisions are made based on what works best for the organisation, rather than following a standard solution or copying what other organisations are doing. In people practice, this is important because no two workplaces are the same. Factors such as culture, resources and the needs of employees can all affect whether a decision is likely to work in practice</w:t>
      </w:r>
      <w:r w:rsidR="00EF625F" w:rsidRPr="00E56743">
        <w:rPr>
          <w:rFonts w:ascii="Arial" w:hAnsi="Arial" w:cs="Arial"/>
          <w:sz w:val="22"/>
          <w:szCs w:val="22"/>
        </w:rPr>
        <w:t xml:space="preserve"> (Armstrong and Taylor, 2023)</w:t>
      </w:r>
      <w:r w:rsidRPr="00E56743">
        <w:rPr>
          <w:rFonts w:ascii="Arial" w:hAnsi="Arial" w:cs="Arial"/>
          <w:sz w:val="22"/>
          <w:szCs w:val="22"/>
        </w:rPr>
        <w:t>. For example, when making decisions about flexible working or managing performance, HR at Technivara would need to consider what is realistic for managers and teams, rather than applying a policy simply because it is seen as best practice elsewhere. Taking a best-fit approach helps ensure decisions are practical and more likely to achieve the intended outcom</w:t>
      </w:r>
      <w:r w:rsidR="0074595F" w:rsidRPr="00E56743">
        <w:rPr>
          <w:rFonts w:ascii="Arial" w:hAnsi="Arial" w:cs="Arial"/>
          <w:sz w:val="22"/>
          <w:szCs w:val="22"/>
        </w:rPr>
        <w:t>e</w:t>
      </w:r>
      <w:r w:rsidRPr="00E56743">
        <w:rPr>
          <w:rFonts w:ascii="Arial" w:hAnsi="Arial" w:cs="Arial"/>
          <w:sz w:val="22"/>
          <w:szCs w:val="22"/>
        </w:rPr>
        <w:t>.</w:t>
      </w:r>
      <w:r w:rsidRPr="00E56743">
        <w:rPr>
          <w:rFonts w:ascii="Arial" w:hAnsi="Arial" w:cs="Arial"/>
          <w:sz w:val="22"/>
          <w:szCs w:val="22"/>
        </w:rPr>
        <w:br/>
      </w:r>
      <w:r w:rsidRPr="00E56743">
        <w:rPr>
          <w:rFonts w:ascii="Arial" w:hAnsi="Arial" w:cs="Arial"/>
          <w:sz w:val="22"/>
          <w:szCs w:val="22"/>
        </w:rPr>
        <w:br/>
        <w:t xml:space="preserve">A second decision-making process Technivara could apply is an action learning approach. This focuses on working through real issues as they arise, rather than making decisions in isolation. </w:t>
      </w:r>
      <w:r w:rsidRPr="00E56743">
        <w:rPr>
          <w:rFonts w:ascii="Arial" w:hAnsi="Arial" w:cs="Arial"/>
          <w:sz w:val="22"/>
          <w:szCs w:val="22"/>
        </w:rPr>
        <w:lastRenderedPageBreak/>
        <w:t>Action learning encourages people to discuss the problem, ask questions and reflect before agreeing on a way forward. In people practice, this can be particularly useful when dealing with ongoing or complex issues, such as low engagement, change management or recurring absence concerns. By involving managers and HR professionals in these discussions, different views can be shared and tested before decisions are made, rather than relying on one person’s judgement alone (Revans, 2017).</w:t>
      </w:r>
      <w:r w:rsidRPr="00E56743">
        <w:rPr>
          <w:rFonts w:ascii="Arial" w:hAnsi="Arial" w:cs="Arial"/>
          <w:sz w:val="22"/>
          <w:szCs w:val="22"/>
        </w:rPr>
        <w:br/>
      </w:r>
      <w:r w:rsidRPr="00E56743">
        <w:rPr>
          <w:rFonts w:ascii="Arial" w:hAnsi="Arial" w:cs="Arial"/>
          <w:sz w:val="22"/>
          <w:szCs w:val="22"/>
        </w:rPr>
        <w:br/>
        <w:t xml:space="preserve">Action learning also allows space to reflect once a decision has been implemented. It makes it easier to see what worked well and what may need changing next time and </w:t>
      </w:r>
      <w:r w:rsidR="00371C5B" w:rsidRPr="00E56743">
        <w:rPr>
          <w:rFonts w:ascii="Arial" w:hAnsi="Arial" w:cs="Arial"/>
          <w:sz w:val="22"/>
          <w:szCs w:val="22"/>
        </w:rPr>
        <w:t>doesn’t</w:t>
      </w:r>
      <w:r w:rsidRPr="00E56743">
        <w:rPr>
          <w:rFonts w:ascii="Arial" w:hAnsi="Arial" w:cs="Arial"/>
          <w:sz w:val="22"/>
          <w:szCs w:val="22"/>
        </w:rPr>
        <w:t xml:space="preserve"> just assum</w:t>
      </w:r>
      <w:r w:rsidR="00371C5B" w:rsidRPr="00E56743">
        <w:rPr>
          <w:rFonts w:ascii="Arial" w:hAnsi="Arial" w:cs="Arial"/>
          <w:sz w:val="22"/>
          <w:szCs w:val="22"/>
        </w:rPr>
        <w:t>e</w:t>
      </w:r>
      <w:r w:rsidRPr="00E56743">
        <w:rPr>
          <w:rFonts w:ascii="Arial" w:hAnsi="Arial" w:cs="Arial"/>
          <w:sz w:val="22"/>
          <w:szCs w:val="22"/>
        </w:rPr>
        <w:t xml:space="preserve"> the same approach will always be effective. It also encourages Technivara to learn from experience and adjust decisions as needed, instead of repeating actions that may not deliver the desired outcome.</w:t>
      </w:r>
      <w:r w:rsidRPr="00E56743">
        <w:rPr>
          <w:rFonts w:ascii="Arial" w:hAnsi="Arial" w:cs="Arial"/>
          <w:sz w:val="22"/>
          <w:szCs w:val="22"/>
        </w:rPr>
        <w:br/>
      </w:r>
      <w:r w:rsidRPr="00E56743">
        <w:rPr>
          <w:rFonts w:ascii="Arial" w:hAnsi="Arial" w:cs="Arial"/>
          <w:sz w:val="22"/>
          <w:szCs w:val="22"/>
        </w:rPr>
        <w:br/>
      </w:r>
      <w:r w:rsidR="00EB477F" w:rsidRPr="00E56743">
        <w:rPr>
          <w:rFonts w:ascii="Arial" w:hAnsi="Arial" w:cs="Arial"/>
          <w:sz w:val="22"/>
          <w:szCs w:val="22"/>
        </w:rPr>
        <w:t>Overall, using both a best-fit approach and action learning can help Technivara make decisions that feel more considered and relevant to the organisation. This helps decisions reflect what is happening day to day and benefit from discussion rather than being hurried or decided by just one person. It reflects the wider thinking in people practice around adding value through sensible decision making which supports effective people management, not focusing only on administrative tasks (Taylor, 2011).</w:t>
      </w:r>
    </w:p>
    <w:p w14:paraId="0E4FCC87" w14:textId="77777777" w:rsidR="00B26571" w:rsidRPr="00E56743" w:rsidRDefault="00B26571" w:rsidP="00E56743">
      <w:pPr>
        <w:spacing w:after="0" w:line="269" w:lineRule="auto"/>
        <w:rPr>
          <w:rFonts w:ascii="Arial" w:hAnsi="Arial" w:cs="Arial"/>
          <w:sz w:val="22"/>
          <w:szCs w:val="22"/>
        </w:rPr>
      </w:pPr>
    </w:p>
    <w:p w14:paraId="2A29A3DF" w14:textId="1BADC96C" w:rsidR="00A20382" w:rsidRPr="004B37AC" w:rsidRDefault="00A20382" w:rsidP="00E56743">
      <w:pPr>
        <w:spacing w:after="0" w:line="269" w:lineRule="auto"/>
        <w:rPr>
          <w:rFonts w:ascii="Arial" w:hAnsi="Arial" w:cs="Arial"/>
          <w:b/>
          <w:bCs/>
          <w:sz w:val="22"/>
          <w:szCs w:val="22"/>
        </w:rPr>
      </w:pPr>
      <w:r w:rsidRPr="004B37AC">
        <w:rPr>
          <w:rFonts w:ascii="Arial" w:hAnsi="Arial" w:cs="Arial"/>
          <w:b/>
          <w:bCs/>
          <w:sz w:val="22"/>
          <w:szCs w:val="22"/>
        </w:rPr>
        <w:t>1.5</w:t>
      </w:r>
    </w:p>
    <w:p w14:paraId="335DE59C" w14:textId="77777777" w:rsidR="00B26571" w:rsidRPr="00E56743" w:rsidRDefault="00B26571" w:rsidP="00E56743">
      <w:pPr>
        <w:spacing w:after="0" w:line="269" w:lineRule="auto"/>
        <w:rPr>
          <w:rFonts w:ascii="Arial" w:hAnsi="Arial" w:cs="Arial"/>
          <w:sz w:val="22"/>
          <w:szCs w:val="22"/>
        </w:rPr>
      </w:pPr>
    </w:p>
    <w:p w14:paraId="74AF4671" w14:textId="2624F2A3" w:rsidR="00D777D7" w:rsidRPr="00E56743" w:rsidRDefault="00A20382" w:rsidP="00E56743">
      <w:pPr>
        <w:spacing w:after="0" w:line="269" w:lineRule="auto"/>
        <w:rPr>
          <w:rFonts w:ascii="Arial" w:hAnsi="Arial" w:cs="Arial"/>
          <w:sz w:val="22"/>
          <w:szCs w:val="22"/>
        </w:rPr>
      </w:pPr>
      <w:r w:rsidRPr="00E56743">
        <w:rPr>
          <w:rFonts w:ascii="Arial" w:hAnsi="Arial" w:cs="Arial"/>
          <w:sz w:val="22"/>
          <w:szCs w:val="22"/>
        </w:rPr>
        <w:t>Ethics comes up a lot in HR because decisions aren’t just about what is legal or commercial, they affect actual, real people. The CIPD Code of Conduct and Ethics says that people professionals should act with integrity, use good judgement and think about the impact of decisions (CIPD, 2023).</w:t>
      </w:r>
      <w:r w:rsidRPr="00E56743">
        <w:rPr>
          <w:rFonts w:ascii="Arial" w:hAnsi="Arial" w:cs="Arial"/>
          <w:sz w:val="22"/>
          <w:szCs w:val="22"/>
        </w:rPr>
        <w:br/>
      </w:r>
      <w:r w:rsidRPr="00E56743">
        <w:rPr>
          <w:rFonts w:ascii="Arial" w:hAnsi="Arial" w:cs="Arial"/>
          <w:sz w:val="22"/>
          <w:szCs w:val="22"/>
        </w:rPr>
        <w:br/>
        <w:t>A useful way to bring ethics into decision-making is to look at the same issue from more than one ethical angle. For example, imagine Technivara needed to change working patterns to reduce costs, it would impact employees in varying ways. Some could be fine with it and others may struggle because of things such as caring responsibilities.</w:t>
      </w:r>
      <w:r w:rsidRPr="00E56743">
        <w:rPr>
          <w:rFonts w:ascii="Arial" w:hAnsi="Arial" w:cs="Arial"/>
          <w:sz w:val="22"/>
          <w:szCs w:val="22"/>
        </w:rPr>
        <w:br/>
      </w:r>
      <w:r w:rsidRPr="00E56743">
        <w:rPr>
          <w:rFonts w:ascii="Arial" w:hAnsi="Arial" w:cs="Arial"/>
          <w:sz w:val="22"/>
          <w:szCs w:val="22"/>
        </w:rPr>
        <w:br/>
        <w:t>Looking at this through a utilitarian way of thinking would push HR to step back and ask which option causes the least harm and helps the most people overall</w:t>
      </w:r>
      <w:r w:rsidR="00727807" w:rsidRPr="00E56743">
        <w:rPr>
          <w:rFonts w:ascii="Arial" w:hAnsi="Arial" w:cs="Arial"/>
          <w:sz w:val="22"/>
          <w:szCs w:val="22"/>
        </w:rPr>
        <w:t xml:space="preserve"> (CIPD, 2024)</w:t>
      </w:r>
      <w:r w:rsidRPr="00E56743">
        <w:rPr>
          <w:rFonts w:ascii="Arial" w:hAnsi="Arial" w:cs="Arial"/>
          <w:sz w:val="22"/>
          <w:szCs w:val="22"/>
        </w:rPr>
        <w:t xml:space="preserve">. This might lead to a decision that improves business </w:t>
      </w:r>
      <w:r w:rsidR="00731126" w:rsidRPr="00E56743">
        <w:rPr>
          <w:rFonts w:ascii="Arial" w:hAnsi="Arial" w:cs="Arial"/>
          <w:sz w:val="22"/>
          <w:szCs w:val="22"/>
        </w:rPr>
        <w:t>needs</w:t>
      </w:r>
      <w:r w:rsidRPr="00E56743">
        <w:rPr>
          <w:rFonts w:ascii="Arial" w:hAnsi="Arial" w:cs="Arial"/>
          <w:sz w:val="22"/>
          <w:szCs w:val="22"/>
        </w:rPr>
        <w:t xml:space="preserve"> and works for most people, even if a small number are affected by it being more difficult. The strength of this approach is that it makes HR consider the wider impact, not just individual viewpoints. </w:t>
      </w:r>
      <w:r w:rsidR="00727807" w:rsidRPr="00E56743">
        <w:rPr>
          <w:rFonts w:ascii="Arial" w:hAnsi="Arial" w:cs="Arial"/>
          <w:sz w:val="22"/>
          <w:szCs w:val="22"/>
        </w:rPr>
        <w:t>However, t</w:t>
      </w:r>
      <w:r w:rsidRPr="00E56743">
        <w:rPr>
          <w:rFonts w:ascii="Arial" w:hAnsi="Arial" w:cs="Arial"/>
          <w:sz w:val="22"/>
          <w:szCs w:val="22"/>
        </w:rPr>
        <w:t>he downside is that it can feel unfair to those most affected if their personal circumstances are overshadowed by what benefits the majority</w:t>
      </w:r>
      <w:r w:rsidR="00727807" w:rsidRPr="00E56743">
        <w:rPr>
          <w:rFonts w:ascii="Arial" w:hAnsi="Arial" w:cs="Arial"/>
          <w:sz w:val="22"/>
          <w:szCs w:val="22"/>
        </w:rPr>
        <w:t xml:space="preserve"> (Armstrong and Taylor, 2023)</w:t>
      </w:r>
      <w:r w:rsidRPr="00E56743">
        <w:rPr>
          <w:rFonts w:ascii="Arial" w:hAnsi="Arial" w:cs="Arial"/>
          <w:sz w:val="22"/>
          <w:szCs w:val="22"/>
        </w:rPr>
        <w:t>.</w:t>
      </w:r>
      <w:r w:rsidRPr="00E56743">
        <w:rPr>
          <w:rFonts w:ascii="Arial" w:hAnsi="Arial" w:cs="Arial"/>
          <w:sz w:val="22"/>
          <w:szCs w:val="22"/>
        </w:rPr>
        <w:br/>
      </w:r>
      <w:r w:rsidRPr="00E56743">
        <w:rPr>
          <w:rFonts w:ascii="Arial" w:hAnsi="Arial" w:cs="Arial"/>
          <w:sz w:val="22"/>
          <w:szCs w:val="22"/>
        </w:rPr>
        <w:br/>
        <w:t>A deontological way looks at it slightly differently as it focuses less on the end result and more on ideas like fairness, consistency and responsibility. In this situation, HR at Technivara would be more concerned with whether the process feels fair, whether people are being treated consistently, and whether any promises or commitments are being overlooked (Britannica, 2025). This is important in things like disciplinary procedures or handling personal data where trust and ethics really matter. The downside is that it can feel inflexible, especially where more compassion may be required in individual circumstances.</w:t>
      </w:r>
      <w:r w:rsidRPr="00E56743">
        <w:rPr>
          <w:rFonts w:ascii="Arial" w:hAnsi="Arial" w:cs="Arial"/>
          <w:sz w:val="22"/>
          <w:szCs w:val="22"/>
        </w:rPr>
        <w:br/>
      </w:r>
      <w:r w:rsidRPr="00E56743">
        <w:rPr>
          <w:rFonts w:ascii="Arial" w:hAnsi="Arial" w:cs="Arial"/>
          <w:sz w:val="22"/>
          <w:szCs w:val="22"/>
        </w:rPr>
        <w:br/>
        <w:t xml:space="preserve">Used together, these perspectives can help Technivara make better </w:t>
      </w:r>
      <w:r w:rsidR="00731126" w:rsidRPr="00E56743">
        <w:rPr>
          <w:rFonts w:ascii="Arial" w:hAnsi="Arial" w:cs="Arial"/>
          <w:sz w:val="22"/>
          <w:szCs w:val="22"/>
        </w:rPr>
        <w:t xml:space="preserve">business </w:t>
      </w:r>
      <w:r w:rsidRPr="00E56743">
        <w:rPr>
          <w:rFonts w:ascii="Arial" w:hAnsi="Arial" w:cs="Arial"/>
          <w:sz w:val="22"/>
          <w:szCs w:val="22"/>
        </w:rPr>
        <w:t>decisions</w:t>
      </w:r>
      <w:r w:rsidR="00731126" w:rsidRPr="00E56743">
        <w:rPr>
          <w:rFonts w:ascii="Arial" w:hAnsi="Arial" w:cs="Arial"/>
          <w:sz w:val="22"/>
          <w:szCs w:val="22"/>
        </w:rPr>
        <w:t xml:space="preserve"> with fairness</w:t>
      </w:r>
      <w:r w:rsidRPr="00E56743">
        <w:rPr>
          <w:rFonts w:ascii="Arial" w:hAnsi="Arial" w:cs="Arial"/>
          <w:sz w:val="22"/>
          <w:szCs w:val="22"/>
        </w:rPr>
        <w:t xml:space="preserve">. Utilitarian thinking keeps an eye on wider impact, while deontological thinking helps HR </w:t>
      </w:r>
      <w:r w:rsidRPr="00E56743">
        <w:rPr>
          <w:rFonts w:ascii="Arial" w:hAnsi="Arial" w:cs="Arial"/>
          <w:sz w:val="22"/>
          <w:szCs w:val="22"/>
        </w:rPr>
        <w:lastRenderedPageBreak/>
        <w:t>hold the line on what is fair and acceptable. That balance supports ethical decision-making in practice and fits with the expectations set out in the CIPD Code</w:t>
      </w:r>
      <w:r w:rsidR="0064132B" w:rsidRPr="00E56743">
        <w:rPr>
          <w:rFonts w:ascii="Arial" w:hAnsi="Arial" w:cs="Arial"/>
          <w:sz w:val="22"/>
          <w:szCs w:val="22"/>
        </w:rPr>
        <w:t xml:space="preserve"> (CIPD, 2023)</w:t>
      </w:r>
      <w:r w:rsidRPr="00E56743">
        <w:rPr>
          <w:rFonts w:ascii="Arial" w:hAnsi="Arial" w:cs="Arial"/>
          <w:sz w:val="22"/>
          <w:szCs w:val="22"/>
        </w:rPr>
        <w:t>.</w:t>
      </w:r>
    </w:p>
    <w:p w14:paraId="59A99285" w14:textId="77777777" w:rsidR="00B26571" w:rsidRPr="00E56743" w:rsidRDefault="00B26571" w:rsidP="00E56743">
      <w:pPr>
        <w:spacing w:after="0" w:line="269" w:lineRule="auto"/>
        <w:rPr>
          <w:rFonts w:ascii="Arial" w:hAnsi="Arial" w:cs="Arial"/>
          <w:sz w:val="22"/>
          <w:szCs w:val="22"/>
        </w:rPr>
      </w:pPr>
    </w:p>
    <w:p w14:paraId="33AE3D83" w14:textId="448D04FE" w:rsidR="002F2395" w:rsidRPr="004B37AC" w:rsidRDefault="002F2395" w:rsidP="00E56743">
      <w:pPr>
        <w:spacing w:after="0" w:line="269" w:lineRule="auto"/>
        <w:rPr>
          <w:rFonts w:ascii="Arial" w:hAnsi="Arial" w:cs="Arial"/>
          <w:b/>
          <w:bCs/>
          <w:sz w:val="22"/>
          <w:szCs w:val="22"/>
        </w:rPr>
      </w:pPr>
      <w:r w:rsidRPr="004B37AC">
        <w:rPr>
          <w:rFonts w:ascii="Arial" w:hAnsi="Arial" w:cs="Arial"/>
          <w:b/>
          <w:bCs/>
          <w:sz w:val="22"/>
          <w:szCs w:val="22"/>
        </w:rPr>
        <w:t>3.1</w:t>
      </w:r>
    </w:p>
    <w:p w14:paraId="59C40CC0" w14:textId="77777777" w:rsidR="00B26571" w:rsidRPr="00E56743" w:rsidRDefault="00B26571" w:rsidP="00E56743">
      <w:pPr>
        <w:spacing w:after="0" w:line="269" w:lineRule="auto"/>
        <w:rPr>
          <w:rFonts w:ascii="Arial" w:hAnsi="Arial" w:cs="Arial"/>
          <w:sz w:val="22"/>
          <w:szCs w:val="22"/>
        </w:rPr>
      </w:pPr>
    </w:p>
    <w:p w14:paraId="3E7A89C1" w14:textId="68607148" w:rsidR="002F2395" w:rsidRPr="00E56743" w:rsidRDefault="002F2395" w:rsidP="00E56743">
      <w:pPr>
        <w:spacing w:after="0" w:line="269" w:lineRule="auto"/>
        <w:rPr>
          <w:rFonts w:ascii="Arial" w:hAnsi="Arial" w:cs="Arial"/>
          <w:sz w:val="22"/>
          <w:szCs w:val="22"/>
        </w:rPr>
      </w:pPr>
      <w:r w:rsidRPr="00E56743">
        <w:rPr>
          <w:rFonts w:ascii="Arial" w:hAnsi="Arial" w:cs="Arial"/>
          <w:sz w:val="22"/>
          <w:szCs w:val="22"/>
        </w:rPr>
        <w:t xml:space="preserve">Technivara could measure financial performance by monitoring its profit margin which shows how much profit the organisation retains after costs have been deducted from revenue. As a long-established engineering business supplying the electronics, medical and automotive sectors and experiencing sixteen consecutive years of growth, this measure would be particularly useful as the board considers expansion, as it indicates whether growth is sustainable and whether the organisation can afford further investment in technology and people. Profit margin also supports workforce planning decisions, such as recruiting specialist engineers or increasing training budgets, which are critical in a competitive technical industry (Kaplan and Norton, 1992). </w:t>
      </w:r>
      <w:r w:rsidRPr="00E56743">
        <w:rPr>
          <w:rFonts w:ascii="Arial" w:hAnsi="Arial" w:cs="Arial"/>
          <w:sz w:val="22"/>
          <w:szCs w:val="22"/>
        </w:rPr>
        <w:br/>
      </w:r>
      <w:r w:rsidRPr="00E56743">
        <w:rPr>
          <w:rFonts w:ascii="Arial" w:hAnsi="Arial" w:cs="Arial"/>
          <w:sz w:val="22"/>
          <w:szCs w:val="22"/>
        </w:rPr>
        <w:br/>
        <w:t>However, this only tells the business what the figures look like and not what is causing them to change. A drop in profit might be down to higher energy bills or materials costing more and not that employees are doing anything differently. One practical way Technivara could still use this measure would be to look at profit margins before and after running more technical training for production staff, to see if there is any noticeable improvement in efficiency or a reduction in mistakes over time.</w:t>
      </w:r>
      <w:r w:rsidRPr="00E56743">
        <w:rPr>
          <w:rFonts w:ascii="Arial" w:hAnsi="Arial" w:cs="Arial"/>
          <w:sz w:val="22"/>
          <w:szCs w:val="22"/>
        </w:rPr>
        <w:br/>
      </w:r>
      <w:r w:rsidRPr="00E56743">
        <w:rPr>
          <w:rFonts w:ascii="Arial" w:hAnsi="Arial" w:cs="Arial"/>
          <w:sz w:val="22"/>
          <w:szCs w:val="22"/>
        </w:rPr>
        <w:br/>
        <w:t>Alongside this, Technivara could use employee engagement or staff satisfaction surveys. This gives the organisation a chance to step back and listen to how staff are actually finding their jobs, whether they feel supported and what it is really like to work there</w:t>
      </w:r>
      <w:r w:rsidR="00FD27CF" w:rsidRPr="00E56743">
        <w:rPr>
          <w:rFonts w:ascii="Arial" w:hAnsi="Arial" w:cs="Arial"/>
          <w:sz w:val="22"/>
          <w:szCs w:val="22"/>
        </w:rPr>
        <w:t xml:space="preserve"> (CIPD, 2025</w:t>
      </w:r>
      <w:r w:rsidR="009F16D4" w:rsidRPr="00E56743">
        <w:rPr>
          <w:rFonts w:ascii="Arial" w:hAnsi="Arial" w:cs="Arial"/>
          <w:sz w:val="22"/>
          <w:szCs w:val="22"/>
        </w:rPr>
        <w:t>f</w:t>
      </w:r>
      <w:r w:rsidR="00FD27CF" w:rsidRPr="00E56743">
        <w:rPr>
          <w:rFonts w:ascii="Arial" w:hAnsi="Arial" w:cs="Arial"/>
          <w:sz w:val="22"/>
          <w:szCs w:val="22"/>
        </w:rPr>
        <w:t>)</w:t>
      </w:r>
      <w:r w:rsidRPr="00E56743">
        <w:rPr>
          <w:rFonts w:ascii="Arial" w:hAnsi="Arial" w:cs="Arial"/>
          <w:sz w:val="22"/>
          <w:szCs w:val="22"/>
        </w:rPr>
        <w:t>. This matters even more at Technivara where Bill Swanky is very involved in how things are done and prefers to keep working practices as they are. As the business grows, some employees could find the changes a bit difficult or feel unsettled, which could impact motivation if not picked up early.</w:t>
      </w:r>
      <w:r w:rsidRPr="00E56743">
        <w:rPr>
          <w:rFonts w:ascii="Arial" w:hAnsi="Arial" w:cs="Arial"/>
          <w:sz w:val="22"/>
          <w:szCs w:val="22"/>
        </w:rPr>
        <w:br/>
      </w:r>
      <w:r w:rsidRPr="00E56743">
        <w:rPr>
          <w:rFonts w:ascii="Arial" w:hAnsi="Arial" w:cs="Arial"/>
          <w:sz w:val="22"/>
          <w:szCs w:val="22"/>
        </w:rPr>
        <w:br/>
        <w:t>The survey that was carried out after the recent learning and development session is a good example of this. It showed that most staff felt clearer about what was expected of them and more confident afterwards, but also that some were unsure how to use what they had learned in practice. That kind of feedback would be easy to miss if the organisation only looked at financial results (</w:t>
      </w:r>
      <w:r w:rsidR="001D6DA9" w:rsidRPr="00E56743">
        <w:rPr>
          <w:rFonts w:ascii="Arial" w:hAnsi="Arial" w:cs="Arial"/>
          <w:sz w:val="22"/>
          <w:szCs w:val="22"/>
        </w:rPr>
        <w:t>Hayden, 2024</w:t>
      </w:r>
      <w:r w:rsidRPr="00E56743">
        <w:rPr>
          <w:rFonts w:ascii="Arial" w:hAnsi="Arial" w:cs="Arial"/>
          <w:sz w:val="22"/>
          <w:szCs w:val="22"/>
        </w:rPr>
        <w:t>).</w:t>
      </w:r>
      <w:r w:rsidRPr="00E56743">
        <w:rPr>
          <w:rFonts w:ascii="Arial" w:hAnsi="Arial" w:cs="Arial"/>
          <w:sz w:val="22"/>
          <w:szCs w:val="22"/>
        </w:rPr>
        <w:br/>
      </w:r>
      <w:r w:rsidRPr="00E56743">
        <w:rPr>
          <w:rFonts w:ascii="Arial" w:hAnsi="Arial" w:cs="Arial"/>
          <w:sz w:val="22"/>
          <w:szCs w:val="22"/>
        </w:rPr>
        <w:br/>
        <w:t>Of course, surveys are not perfect. People may answer differently depending on their mood or how safe they feel being honest. Even so, if the same questions are asked regularly, the results can help spot trends such as falling engagement or an increased risk of staff leaving, which gives the organisation a chance to act early.</w:t>
      </w:r>
    </w:p>
    <w:p w14:paraId="57572B78" w14:textId="77777777" w:rsidR="00B26571" w:rsidRPr="00E56743" w:rsidRDefault="00B26571" w:rsidP="00E56743">
      <w:pPr>
        <w:spacing w:after="0" w:line="269" w:lineRule="auto"/>
        <w:rPr>
          <w:rFonts w:ascii="Arial" w:hAnsi="Arial" w:cs="Arial"/>
          <w:sz w:val="22"/>
          <w:szCs w:val="22"/>
        </w:rPr>
      </w:pPr>
    </w:p>
    <w:p w14:paraId="69AB9C2A" w14:textId="3EC79AC2" w:rsidR="002F2395" w:rsidRPr="004B37AC" w:rsidRDefault="002F2395" w:rsidP="00E56743">
      <w:pPr>
        <w:spacing w:after="0" w:line="269" w:lineRule="auto"/>
        <w:rPr>
          <w:rFonts w:ascii="Arial" w:hAnsi="Arial" w:cs="Arial"/>
          <w:b/>
          <w:bCs/>
          <w:sz w:val="22"/>
          <w:szCs w:val="22"/>
        </w:rPr>
      </w:pPr>
      <w:r w:rsidRPr="004B37AC">
        <w:rPr>
          <w:rFonts w:ascii="Arial" w:hAnsi="Arial" w:cs="Arial"/>
          <w:b/>
          <w:bCs/>
          <w:sz w:val="22"/>
          <w:szCs w:val="22"/>
        </w:rPr>
        <w:t>3.2</w:t>
      </w:r>
    </w:p>
    <w:p w14:paraId="0C9D124F" w14:textId="77777777" w:rsidR="00B26571" w:rsidRPr="00E56743" w:rsidRDefault="00B26571" w:rsidP="00E56743">
      <w:pPr>
        <w:spacing w:after="0" w:line="269" w:lineRule="auto"/>
        <w:rPr>
          <w:rFonts w:ascii="Arial" w:hAnsi="Arial" w:cs="Arial"/>
          <w:sz w:val="22"/>
          <w:szCs w:val="22"/>
        </w:rPr>
      </w:pPr>
    </w:p>
    <w:p w14:paraId="2CA8C09E" w14:textId="289E23BC" w:rsidR="00E56743" w:rsidRDefault="002F2395" w:rsidP="00E56743">
      <w:pPr>
        <w:spacing w:after="0" w:line="269" w:lineRule="auto"/>
        <w:rPr>
          <w:rFonts w:ascii="Arial" w:hAnsi="Arial" w:cs="Arial"/>
          <w:sz w:val="22"/>
          <w:szCs w:val="22"/>
        </w:rPr>
      </w:pPr>
      <w:r w:rsidRPr="00E56743">
        <w:rPr>
          <w:rFonts w:ascii="Arial" w:hAnsi="Arial" w:cs="Arial"/>
          <w:sz w:val="22"/>
          <w:szCs w:val="22"/>
        </w:rPr>
        <w:t>People practices can add value to Technivara in simple but important ways, especially as the company continues to grow and plans to expand. One example is recruitment. Because Technivara designs and engineers specialist components, the skills of its workforce really matter. Taking time to recruit people with the right technical ability and the right attitude can help avoid problems later on, such as poor performance, repeated mistakes or people leaving shortly after starting (</w:t>
      </w:r>
      <w:r w:rsidRPr="00E56743">
        <w:rPr>
          <w:rFonts w:ascii="Arial" w:hAnsi="Arial" w:cs="Arial"/>
          <w:kern w:val="0"/>
          <w:sz w:val="22"/>
          <w:szCs w:val="22"/>
        </w:rPr>
        <w:t>Picardi, 2020)</w:t>
      </w:r>
      <w:r w:rsidRPr="00E56743">
        <w:rPr>
          <w:rFonts w:ascii="Arial" w:hAnsi="Arial" w:cs="Arial"/>
          <w:sz w:val="22"/>
          <w:szCs w:val="22"/>
        </w:rPr>
        <w:t>. All of these can be costly and disruptive in a production environment.</w:t>
      </w:r>
      <w:r w:rsidRPr="00E56743">
        <w:rPr>
          <w:rFonts w:ascii="Arial" w:hAnsi="Arial" w:cs="Arial"/>
          <w:sz w:val="22"/>
          <w:szCs w:val="22"/>
        </w:rPr>
        <w:br/>
      </w:r>
      <w:r w:rsidRPr="00E56743">
        <w:rPr>
          <w:rFonts w:ascii="Arial" w:hAnsi="Arial" w:cs="Arial"/>
          <w:sz w:val="22"/>
          <w:szCs w:val="22"/>
        </w:rPr>
        <w:br/>
        <w:t>Another area where people practices could add value is learning and development</w:t>
      </w:r>
      <w:r w:rsidR="008627DF" w:rsidRPr="00E56743">
        <w:rPr>
          <w:rFonts w:ascii="Arial" w:hAnsi="Arial" w:cs="Arial"/>
          <w:sz w:val="22"/>
          <w:szCs w:val="22"/>
        </w:rPr>
        <w:t xml:space="preserve"> (CIPD, 2025</w:t>
      </w:r>
      <w:r w:rsidR="009F16D4" w:rsidRPr="00E56743">
        <w:rPr>
          <w:rFonts w:ascii="Arial" w:hAnsi="Arial" w:cs="Arial"/>
          <w:sz w:val="22"/>
          <w:szCs w:val="22"/>
        </w:rPr>
        <w:t>g</w:t>
      </w:r>
      <w:r w:rsidR="008627DF" w:rsidRPr="00E56743">
        <w:rPr>
          <w:rFonts w:ascii="Arial" w:hAnsi="Arial" w:cs="Arial"/>
          <w:sz w:val="22"/>
          <w:szCs w:val="22"/>
        </w:rPr>
        <w:t>)</w:t>
      </w:r>
      <w:r w:rsidRPr="00E56743">
        <w:rPr>
          <w:rFonts w:ascii="Arial" w:hAnsi="Arial" w:cs="Arial"/>
          <w:sz w:val="22"/>
          <w:szCs w:val="22"/>
        </w:rPr>
        <w:t xml:space="preserve">. As Technivara grows, the job itself is likely to change in small ways, such as using new machinery, working to tighter deadlines or dealing with more complex orders. Without the right training, this </w:t>
      </w:r>
      <w:r w:rsidRPr="00E56743">
        <w:rPr>
          <w:rFonts w:ascii="Arial" w:hAnsi="Arial" w:cs="Arial"/>
          <w:sz w:val="22"/>
          <w:szCs w:val="22"/>
        </w:rPr>
        <w:lastRenderedPageBreak/>
        <w:t>can easily lead to people feeling out of their depth or making avoidable mistakes. Giving staff time to learn and build their skills can help them feel more confident in what they are doing and reduce errors on the production line. It can also help those in more senior roles, such as supervisors, feel more comfortable managing others, rather than everything needing to go through Bill directly.</w:t>
      </w:r>
      <w:r w:rsidRPr="00E56743">
        <w:rPr>
          <w:rFonts w:ascii="Arial" w:hAnsi="Arial" w:cs="Arial"/>
          <w:sz w:val="22"/>
          <w:szCs w:val="22"/>
        </w:rPr>
        <w:br/>
      </w:r>
      <w:r w:rsidRPr="00E56743">
        <w:rPr>
          <w:rFonts w:ascii="Arial" w:hAnsi="Arial" w:cs="Arial"/>
          <w:sz w:val="22"/>
          <w:szCs w:val="22"/>
        </w:rPr>
        <w:br/>
        <w:t>One way of checking whether this is actually making a difference is to look at staff turnover. If people are recruited carefully and then supported properly once they start, they are more likely to stay (Vulpen, 2018). This is really important in technical roles as skilled employees have other options if they become unhappy. If Technivara sees less people leaving over time, it would mean staff are settling in and feeling happier about staying with them. It would also reduce the disruption and cost of having to recruit and train new people on an ongoing basis.</w:t>
      </w:r>
      <w:r w:rsidRPr="00E56743">
        <w:rPr>
          <w:rFonts w:ascii="Arial" w:hAnsi="Arial" w:cs="Arial"/>
          <w:sz w:val="22"/>
          <w:szCs w:val="22"/>
        </w:rPr>
        <w:br/>
      </w:r>
      <w:r w:rsidRPr="00E56743">
        <w:rPr>
          <w:rFonts w:ascii="Arial" w:hAnsi="Arial" w:cs="Arial"/>
          <w:sz w:val="22"/>
          <w:szCs w:val="22"/>
        </w:rPr>
        <w:br/>
        <w:t>Another simple method is to keep an eye on absence levels (CIPD, 2025</w:t>
      </w:r>
      <w:r w:rsidR="001D6DA9" w:rsidRPr="00E56743">
        <w:rPr>
          <w:rFonts w:ascii="Arial" w:hAnsi="Arial" w:cs="Arial"/>
          <w:sz w:val="22"/>
          <w:szCs w:val="22"/>
        </w:rPr>
        <w:t>e</w:t>
      </w:r>
      <w:r w:rsidRPr="00E56743">
        <w:rPr>
          <w:rFonts w:ascii="Arial" w:hAnsi="Arial" w:cs="Arial"/>
          <w:sz w:val="22"/>
          <w:szCs w:val="22"/>
        </w:rPr>
        <w:t>). When employees feel capable in their roles and supported by their managers, they are generally less likely to take time off because of stress or anxiety. If people start taking fewer sick days after training and extra support, that would be a good sign that work feels more manageable. It also makes life easier for the business by reducing the impact caused by any unexpected absence.</w:t>
      </w:r>
      <w:r w:rsidRPr="00E56743">
        <w:rPr>
          <w:rFonts w:ascii="Arial" w:hAnsi="Arial" w:cs="Arial"/>
          <w:sz w:val="22"/>
          <w:szCs w:val="22"/>
        </w:rPr>
        <w:br/>
      </w:r>
      <w:r w:rsidRPr="00E56743">
        <w:rPr>
          <w:rFonts w:ascii="Arial" w:hAnsi="Arial" w:cs="Arial"/>
          <w:sz w:val="22"/>
          <w:szCs w:val="22"/>
        </w:rPr>
        <w:br/>
        <w:t>In simple terms, these measures help the company see whether its approach to people is actually working, rather than just assuming it is.</w:t>
      </w:r>
    </w:p>
    <w:p w14:paraId="503FA080" w14:textId="77777777" w:rsidR="00E56743" w:rsidRPr="00E56743" w:rsidRDefault="00E56743" w:rsidP="00E56743">
      <w:pPr>
        <w:spacing w:after="0" w:line="269" w:lineRule="auto"/>
        <w:rPr>
          <w:rFonts w:ascii="Arial" w:hAnsi="Arial" w:cs="Arial"/>
          <w:sz w:val="22"/>
          <w:szCs w:val="22"/>
        </w:rPr>
      </w:pPr>
    </w:p>
    <w:p w14:paraId="57C85FDB" w14:textId="77777777" w:rsidR="002F2395" w:rsidRPr="00E56743" w:rsidRDefault="002F2395" w:rsidP="00E56743">
      <w:pPr>
        <w:spacing w:after="0" w:line="269" w:lineRule="auto"/>
        <w:rPr>
          <w:rFonts w:ascii="Arial" w:hAnsi="Arial" w:cs="Arial"/>
          <w:sz w:val="22"/>
          <w:szCs w:val="22"/>
        </w:rPr>
      </w:pPr>
    </w:p>
    <w:p w14:paraId="2D551CBE" w14:textId="4E72B1ED" w:rsidR="00CD6480" w:rsidRPr="00E56743" w:rsidRDefault="002F2395" w:rsidP="00E56743">
      <w:pPr>
        <w:spacing w:after="0" w:line="269" w:lineRule="auto"/>
        <w:rPr>
          <w:rFonts w:ascii="Arial" w:hAnsi="Arial" w:cs="Arial"/>
          <w:b/>
          <w:bCs/>
          <w:sz w:val="22"/>
          <w:szCs w:val="22"/>
        </w:rPr>
      </w:pPr>
      <w:r w:rsidRPr="00E56743">
        <w:rPr>
          <w:rFonts w:ascii="Arial" w:hAnsi="Arial" w:cs="Arial"/>
          <w:b/>
          <w:bCs/>
          <w:sz w:val="22"/>
          <w:szCs w:val="22"/>
        </w:rPr>
        <w:t>TASK TWO</w:t>
      </w:r>
    </w:p>
    <w:p w14:paraId="649802B0" w14:textId="77777777" w:rsidR="00B26571" w:rsidRPr="00E56743" w:rsidRDefault="00B26571" w:rsidP="00E56743">
      <w:pPr>
        <w:spacing w:after="0" w:line="269" w:lineRule="auto"/>
        <w:rPr>
          <w:rFonts w:ascii="Arial" w:hAnsi="Arial" w:cs="Arial"/>
          <w:b/>
          <w:bCs/>
          <w:sz w:val="22"/>
          <w:szCs w:val="22"/>
        </w:rPr>
      </w:pPr>
    </w:p>
    <w:p w14:paraId="4ADC5293" w14:textId="0CD0FC63" w:rsidR="00B21081" w:rsidRPr="004B37AC" w:rsidRDefault="00B21081" w:rsidP="00E56743">
      <w:pPr>
        <w:spacing w:after="0" w:line="269" w:lineRule="auto"/>
        <w:rPr>
          <w:rFonts w:ascii="Arial" w:hAnsi="Arial" w:cs="Arial"/>
          <w:b/>
          <w:bCs/>
          <w:sz w:val="22"/>
          <w:szCs w:val="22"/>
        </w:rPr>
      </w:pPr>
      <w:r w:rsidRPr="004B37AC">
        <w:rPr>
          <w:rFonts w:ascii="Arial" w:hAnsi="Arial" w:cs="Arial"/>
          <w:b/>
          <w:bCs/>
          <w:sz w:val="22"/>
          <w:szCs w:val="22"/>
        </w:rPr>
        <w:t>2.1</w:t>
      </w:r>
    </w:p>
    <w:p w14:paraId="011DCF1E" w14:textId="77777777" w:rsidR="00B26571" w:rsidRPr="00E56743" w:rsidRDefault="00B26571" w:rsidP="00E56743">
      <w:pPr>
        <w:spacing w:after="0" w:line="269" w:lineRule="auto"/>
        <w:rPr>
          <w:rFonts w:ascii="Arial" w:hAnsi="Arial" w:cs="Arial"/>
          <w:sz w:val="22"/>
          <w:szCs w:val="22"/>
        </w:rPr>
      </w:pPr>
    </w:p>
    <w:p w14:paraId="4E5B7CA9" w14:textId="78B044DF" w:rsidR="00B21081" w:rsidRPr="00E56743" w:rsidRDefault="0038056A" w:rsidP="00E56743">
      <w:pPr>
        <w:spacing w:after="0" w:line="269" w:lineRule="auto"/>
        <w:rPr>
          <w:rFonts w:ascii="Arial" w:hAnsi="Arial" w:cs="Arial"/>
          <w:sz w:val="22"/>
          <w:szCs w:val="22"/>
        </w:rPr>
      </w:pPr>
      <w:r w:rsidRPr="00E56743">
        <w:rPr>
          <w:rFonts w:ascii="Arial" w:hAnsi="Arial" w:cs="Arial"/>
          <w:noProof/>
          <w:sz w:val="22"/>
          <w:szCs w:val="22"/>
        </w:rPr>
        <w:drawing>
          <wp:inline distT="0" distB="0" distL="0" distR="0" wp14:anchorId="3B4AE984" wp14:editId="0E64B356">
            <wp:extent cx="6390640" cy="3538004"/>
            <wp:effectExtent l="0" t="0" r="0" b="5715"/>
            <wp:docPr id="17763943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01707" cy="3544131"/>
                    </a:xfrm>
                    <a:prstGeom prst="rect">
                      <a:avLst/>
                    </a:prstGeom>
                    <a:noFill/>
                    <a:ln>
                      <a:noFill/>
                    </a:ln>
                  </pic:spPr>
                </pic:pic>
              </a:graphicData>
            </a:graphic>
          </wp:inline>
        </w:drawing>
      </w:r>
    </w:p>
    <w:p w14:paraId="38057D4B" w14:textId="77777777" w:rsidR="00E56743" w:rsidRDefault="00E56743" w:rsidP="00E56743">
      <w:pPr>
        <w:spacing w:after="0" w:line="269" w:lineRule="auto"/>
        <w:rPr>
          <w:rFonts w:ascii="Arial" w:hAnsi="Arial" w:cs="Arial"/>
          <w:sz w:val="22"/>
          <w:szCs w:val="22"/>
        </w:rPr>
      </w:pPr>
    </w:p>
    <w:p w14:paraId="63399835" w14:textId="54835315" w:rsidR="000C38D5" w:rsidRPr="004B37AC" w:rsidRDefault="000C38D5" w:rsidP="00E56743">
      <w:pPr>
        <w:spacing w:after="0" w:line="269" w:lineRule="auto"/>
        <w:rPr>
          <w:rFonts w:ascii="Arial" w:hAnsi="Arial" w:cs="Arial"/>
          <w:b/>
          <w:bCs/>
          <w:sz w:val="22"/>
          <w:szCs w:val="22"/>
        </w:rPr>
      </w:pPr>
      <w:r w:rsidRPr="004B37AC">
        <w:rPr>
          <w:rFonts w:ascii="Arial" w:hAnsi="Arial" w:cs="Arial"/>
          <w:b/>
          <w:bCs/>
          <w:noProof/>
          <w:sz w:val="22"/>
          <w:szCs w:val="22"/>
        </w:rPr>
        <w:lastRenderedPageBreak/>
        <w:drawing>
          <wp:anchor distT="0" distB="0" distL="114300" distR="114300" simplePos="0" relativeHeight="251658752" behindDoc="0" locked="0" layoutInCell="1" allowOverlap="1" wp14:anchorId="638B7F30" wp14:editId="33726699">
            <wp:simplePos x="0" y="0"/>
            <wp:positionH relativeFrom="column">
              <wp:posOffset>0</wp:posOffset>
            </wp:positionH>
            <wp:positionV relativeFrom="paragraph">
              <wp:posOffset>339725</wp:posOffset>
            </wp:positionV>
            <wp:extent cx="6390640" cy="3409950"/>
            <wp:effectExtent l="0" t="0" r="10160" b="0"/>
            <wp:wrapSquare wrapText="bothSides"/>
            <wp:docPr id="589962249" name="Chart 1">
              <a:extLst xmlns:a="http://schemas.openxmlformats.org/drawingml/2006/main">
                <a:ext uri="{FF2B5EF4-FFF2-40B4-BE49-F238E27FC236}">
                  <a16:creationId xmlns:a16="http://schemas.microsoft.com/office/drawing/2014/main" id="{41C36918-0EA2-DF7C-017E-F769D99601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4B37AC">
        <w:rPr>
          <w:rFonts w:ascii="Arial" w:hAnsi="Arial" w:cs="Arial"/>
          <w:b/>
          <w:bCs/>
          <w:sz w:val="22"/>
          <w:szCs w:val="22"/>
        </w:rPr>
        <w:t>2.2</w:t>
      </w:r>
    </w:p>
    <w:p w14:paraId="12F4A782" w14:textId="77777777" w:rsidR="000C38D5" w:rsidRPr="00E56743" w:rsidRDefault="000C38D5" w:rsidP="00E56743">
      <w:pPr>
        <w:spacing w:after="0" w:line="269" w:lineRule="auto"/>
        <w:rPr>
          <w:rFonts w:ascii="Arial" w:hAnsi="Arial" w:cs="Arial"/>
          <w:sz w:val="22"/>
          <w:szCs w:val="22"/>
        </w:rPr>
      </w:pPr>
    </w:p>
    <w:p w14:paraId="2990341A" w14:textId="0A47C98D" w:rsidR="000C38D5" w:rsidRPr="00E56743" w:rsidRDefault="00BA1403" w:rsidP="00E56743">
      <w:pPr>
        <w:spacing w:after="0" w:line="269" w:lineRule="auto"/>
        <w:rPr>
          <w:rFonts w:ascii="Arial" w:hAnsi="Arial" w:cs="Arial"/>
          <w:sz w:val="22"/>
          <w:szCs w:val="22"/>
        </w:rPr>
      </w:pPr>
      <w:r w:rsidRPr="00E56743">
        <w:rPr>
          <w:rFonts w:ascii="Arial" w:hAnsi="Arial" w:cs="Arial"/>
          <w:noProof/>
          <w:sz w:val="22"/>
          <w:szCs w:val="22"/>
        </w:rPr>
        <w:drawing>
          <wp:inline distT="0" distB="0" distL="0" distR="0" wp14:anchorId="6B86CA00" wp14:editId="16B5D3A7">
            <wp:extent cx="6305550" cy="3795773"/>
            <wp:effectExtent l="0" t="0" r="0" b="0"/>
            <wp:docPr id="19667086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13988" cy="3800853"/>
                    </a:xfrm>
                    <a:prstGeom prst="rect">
                      <a:avLst/>
                    </a:prstGeom>
                    <a:noFill/>
                  </pic:spPr>
                </pic:pic>
              </a:graphicData>
            </a:graphic>
          </wp:inline>
        </w:drawing>
      </w:r>
    </w:p>
    <w:p w14:paraId="527F91D1" w14:textId="722D696C" w:rsidR="002B22A0" w:rsidRPr="00E56743" w:rsidRDefault="002542A3" w:rsidP="00E56743">
      <w:pPr>
        <w:spacing w:after="0" w:line="269" w:lineRule="auto"/>
        <w:rPr>
          <w:rFonts w:ascii="Arial" w:hAnsi="Arial" w:cs="Arial"/>
          <w:sz w:val="22"/>
          <w:szCs w:val="22"/>
        </w:rPr>
      </w:pPr>
      <w:r w:rsidRPr="00E56743">
        <w:rPr>
          <w:rFonts w:ascii="Arial" w:hAnsi="Arial" w:cs="Arial"/>
          <w:noProof/>
          <w:sz w:val="22"/>
          <w:szCs w:val="22"/>
        </w:rPr>
        <w:lastRenderedPageBreak/>
        <w:drawing>
          <wp:inline distT="0" distB="0" distL="0" distR="0" wp14:anchorId="7A9FF48E" wp14:editId="79F61C36">
            <wp:extent cx="6305550" cy="3806910"/>
            <wp:effectExtent l="0" t="0" r="0" b="3175"/>
            <wp:docPr id="4614605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15301" cy="3812797"/>
                    </a:xfrm>
                    <a:prstGeom prst="rect">
                      <a:avLst/>
                    </a:prstGeom>
                    <a:noFill/>
                  </pic:spPr>
                </pic:pic>
              </a:graphicData>
            </a:graphic>
          </wp:inline>
        </w:drawing>
      </w:r>
    </w:p>
    <w:p w14:paraId="4CE42A04" w14:textId="77777777" w:rsidR="00CA5E4A" w:rsidRPr="00E56743" w:rsidRDefault="00CA5E4A" w:rsidP="00E56743">
      <w:pPr>
        <w:spacing w:after="0" w:line="269" w:lineRule="auto"/>
        <w:rPr>
          <w:rFonts w:ascii="Arial" w:hAnsi="Arial" w:cs="Arial"/>
          <w:sz w:val="22"/>
          <w:szCs w:val="22"/>
        </w:rPr>
      </w:pPr>
    </w:p>
    <w:p w14:paraId="794F70B5" w14:textId="44EFCD77" w:rsidR="004F455F" w:rsidRPr="004B37AC" w:rsidRDefault="004F455F" w:rsidP="00E56743">
      <w:pPr>
        <w:spacing w:after="0" w:line="269" w:lineRule="auto"/>
        <w:rPr>
          <w:rFonts w:ascii="Arial" w:hAnsi="Arial" w:cs="Arial"/>
          <w:b/>
          <w:bCs/>
          <w:sz w:val="22"/>
          <w:szCs w:val="22"/>
        </w:rPr>
      </w:pPr>
      <w:r w:rsidRPr="004B37AC">
        <w:rPr>
          <w:rFonts w:ascii="Arial" w:hAnsi="Arial" w:cs="Arial"/>
          <w:b/>
          <w:bCs/>
          <w:sz w:val="22"/>
          <w:szCs w:val="22"/>
        </w:rPr>
        <w:t>2.3</w:t>
      </w:r>
    </w:p>
    <w:p w14:paraId="51B5FD66" w14:textId="77777777" w:rsidR="00B26571" w:rsidRPr="00E56743" w:rsidRDefault="00B26571" w:rsidP="00E56743">
      <w:pPr>
        <w:spacing w:after="0" w:line="269" w:lineRule="auto"/>
        <w:rPr>
          <w:rFonts w:ascii="Arial" w:hAnsi="Arial" w:cs="Arial"/>
          <w:sz w:val="22"/>
          <w:szCs w:val="22"/>
        </w:rPr>
      </w:pPr>
    </w:p>
    <w:p w14:paraId="3E036511" w14:textId="451BABBF"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The evaluation feedback from the learning and development activity was well received</w:t>
      </w:r>
      <w:r w:rsidR="00163B24" w:rsidRPr="00E56743">
        <w:rPr>
          <w:rFonts w:ascii="Arial" w:hAnsi="Arial" w:cs="Arial"/>
          <w:sz w:val="22"/>
          <w:szCs w:val="22"/>
        </w:rPr>
        <w:t>.</w:t>
      </w:r>
      <w:r w:rsidRPr="00E56743">
        <w:rPr>
          <w:rFonts w:ascii="Arial" w:hAnsi="Arial" w:cs="Arial"/>
          <w:sz w:val="22"/>
          <w:szCs w:val="22"/>
        </w:rPr>
        <w:t xml:space="preserve"> The 42 employees seemed clear on why the session was held and thought the content was relevant to their roles meaning they gained confidence. However, the survey also showed two areas where Technivara could strengthen their approach next time. These are supporting employees to apply what they learned once they return to work, along with taking individual learning preferences into account when planning training. The recommendations below have been developed directly from this data and will hopefully improve the impact of future learning activities.</w:t>
      </w:r>
    </w:p>
    <w:p w14:paraId="6B227F34" w14:textId="77777777" w:rsidR="00B26571" w:rsidRPr="00E56743" w:rsidRDefault="00B26571" w:rsidP="00E56743">
      <w:pPr>
        <w:spacing w:after="0" w:line="269" w:lineRule="auto"/>
        <w:rPr>
          <w:rFonts w:ascii="Arial" w:hAnsi="Arial" w:cs="Arial"/>
          <w:sz w:val="22"/>
          <w:szCs w:val="22"/>
        </w:rPr>
      </w:pPr>
    </w:p>
    <w:p w14:paraId="234913DF" w14:textId="77777777" w:rsidR="001D6DA9" w:rsidRPr="00E56743" w:rsidRDefault="001D6DA9" w:rsidP="00E56743">
      <w:pPr>
        <w:spacing w:after="0" w:line="269" w:lineRule="auto"/>
        <w:rPr>
          <w:rFonts w:ascii="Arial" w:hAnsi="Arial" w:cs="Arial"/>
          <w:sz w:val="22"/>
          <w:szCs w:val="22"/>
          <w:u w:val="single"/>
        </w:rPr>
      </w:pPr>
      <w:r w:rsidRPr="00E56743">
        <w:rPr>
          <w:rFonts w:ascii="Arial" w:hAnsi="Arial" w:cs="Arial"/>
          <w:sz w:val="22"/>
          <w:szCs w:val="22"/>
          <w:u w:val="single"/>
        </w:rPr>
        <w:t>Supporting employees to apply learning in practice</w:t>
      </w:r>
    </w:p>
    <w:p w14:paraId="59FE557D" w14:textId="77777777" w:rsidR="00B26571" w:rsidRPr="00E56743" w:rsidRDefault="00B26571" w:rsidP="00E56743">
      <w:pPr>
        <w:spacing w:after="0" w:line="269" w:lineRule="auto"/>
        <w:rPr>
          <w:rFonts w:ascii="Arial" w:hAnsi="Arial" w:cs="Arial"/>
          <w:sz w:val="22"/>
          <w:szCs w:val="22"/>
          <w:u w:val="single"/>
        </w:rPr>
      </w:pPr>
    </w:p>
    <w:p w14:paraId="458C0B8E" w14:textId="0791D2E7"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 xml:space="preserve">The information collected shows that confidence increased after the session but it was not as good when employees were asked about whether they thought they could use the learnings in their current job. This shows a gap between understanding the training given and then actually applying it day to day. This is a common issue with one-off workplace training days as per Nigel Cassidy’s comments, </w:t>
      </w:r>
      <w:r w:rsidR="00B345C0" w:rsidRPr="00E56743">
        <w:rPr>
          <w:rFonts w:ascii="Arial" w:hAnsi="Arial" w:cs="Arial"/>
          <w:sz w:val="22"/>
          <w:szCs w:val="22"/>
        </w:rPr>
        <w:t xml:space="preserve">information </w:t>
      </w:r>
      <w:r w:rsidRPr="00E56743">
        <w:rPr>
          <w:rFonts w:ascii="Arial" w:hAnsi="Arial" w:cs="Arial"/>
          <w:sz w:val="22"/>
          <w:szCs w:val="22"/>
        </w:rPr>
        <w:t>retention rates can be as little as 10% (Cassidy, 2022, 3:20).</w:t>
      </w:r>
    </w:p>
    <w:p w14:paraId="7F5898D2" w14:textId="77777777" w:rsidR="00B26571" w:rsidRPr="00E56743" w:rsidRDefault="00B26571" w:rsidP="00E56743">
      <w:pPr>
        <w:spacing w:after="0" w:line="269" w:lineRule="auto"/>
        <w:rPr>
          <w:rFonts w:ascii="Arial" w:hAnsi="Arial" w:cs="Arial"/>
          <w:sz w:val="22"/>
          <w:szCs w:val="22"/>
        </w:rPr>
      </w:pPr>
    </w:p>
    <w:p w14:paraId="28A4339C" w14:textId="444CE46A"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This needs to be addressed to ensure the training isn’t forgotten and that employees don’t go straight back to their old ways. They need to feel supported about trying out the new learnings to ensure Technivara maximises the time and money already invested in the training. Introducing a follow-up process after future development activities would be one idea as this gives employees time to action ideas plus allow a check-in on how they’ve been doing and identify any potential blockers. A short session, either in-person or virtually, abou</w:t>
      </w:r>
      <w:r w:rsidR="00163B24" w:rsidRPr="00E56743">
        <w:rPr>
          <w:rFonts w:ascii="Arial" w:hAnsi="Arial" w:cs="Arial"/>
          <w:sz w:val="22"/>
          <w:szCs w:val="22"/>
        </w:rPr>
        <w:t>t</w:t>
      </w:r>
      <w:r w:rsidRPr="00E56743">
        <w:rPr>
          <w:rFonts w:ascii="Arial" w:hAnsi="Arial" w:cs="Arial"/>
          <w:sz w:val="22"/>
          <w:szCs w:val="22"/>
        </w:rPr>
        <w:t xml:space="preserve"> four to six weeks after the original training could help with this and revisit key points to instil the learnings. Line managers could also be given support on how to have conversations with their team about how they are finding putting the learning into practice and offering guidance or assistance where needed, to help staff truly connect the relevance of the training to their roles and make sure it’s effective. Even agreeing a </w:t>
      </w:r>
      <w:r w:rsidRPr="00E56743">
        <w:rPr>
          <w:rFonts w:ascii="Arial" w:hAnsi="Arial" w:cs="Arial"/>
          <w:sz w:val="22"/>
          <w:szCs w:val="22"/>
        </w:rPr>
        <w:lastRenderedPageBreak/>
        <w:t xml:space="preserve">couple of basic tasks or goals for people to achieve can help learning feel more relevant and improve post-training knowledge (Blume </w:t>
      </w:r>
      <w:r w:rsidRPr="00E56743">
        <w:rPr>
          <w:rFonts w:ascii="Arial" w:hAnsi="Arial" w:cs="Arial"/>
          <w:i/>
          <w:iCs/>
          <w:sz w:val="22"/>
          <w:szCs w:val="22"/>
        </w:rPr>
        <w:t>et al.</w:t>
      </w:r>
      <w:r w:rsidRPr="00E56743">
        <w:rPr>
          <w:rFonts w:ascii="Arial" w:hAnsi="Arial" w:cs="Arial"/>
          <w:sz w:val="22"/>
          <w:szCs w:val="22"/>
        </w:rPr>
        <w:t>, 2010).</w:t>
      </w:r>
    </w:p>
    <w:p w14:paraId="6279B11A" w14:textId="77777777" w:rsidR="00B26571" w:rsidRPr="00E56743" w:rsidRDefault="00B26571" w:rsidP="00E56743">
      <w:pPr>
        <w:spacing w:after="0" w:line="269" w:lineRule="auto"/>
        <w:rPr>
          <w:rFonts w:ascii="Arial" w:hAnsi="Arial" w:cs="Arial"/>
          <w:sz w:val="22"/>
          <w:szCs w:val="22"/>
        </w:rPr>
      </w:pPr>
    </w:p>
    <w:p w14:paraId="3E5CA62A" w14:textId="0113D69E"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In terms of cost, UK training providers vary quite a bit depending on delivery but publicly available market data suggests that full-day in-house leadership workshops most often fall in the region of £800 – £2,500 per day, with shorter half-day options around £500 and open courses up to about £995 for one to two day events (Leadership Training Hub, 2024). Based on these kinds of ranges, running two shorter follow-up sessions each year would cost roughly £1,000 – £1,600 in total, plus a small amount of internal management time. Compared with the cost of delivering the original training, this would be a relatively modest additional investment to help protect and reinforce the value of what people have learned.</w:t>
      </w:r>
      <w:r w:rsidR="002D4FEA" w:rsidRPr="00E56743">
        <w:rPr>
          <w:rFonts w:ascii="Arial" w:hAnsi="Arial" w:cs="Arial"/>
          <w:sz w:val="22"/>
          <w:szCs w:val="22"/>
        </w:rPr>
        <w:t xml:space="preserve"> </w:t>
      </w:r>
    </w:p>
    <w:p w14:paraId="24B1BED7" w14:textId="77777777" w:rsidR="00B26571" w:rsidRPr="00E56743" w:rsidRDefault="00B26571" w:rsidP="00E56743">
      <w:pPr>
        <w:spacing w:after="0" w:line="269" w:lineRule="auto"/>
        <w:rPr>
          <w:rFonts w:ascii="Arial" w:hAnsi="Arial" w:cs="Arial"/>
          <w:sz w:val="22"/>
          <w:szCs w:val="22"/>
        </w:rPr>
      </w:pPr>
    </w:p>
    <w:p w14:paraId="58D31413" w14:textId="05B687FB" w:rsidR="00E56743" w:rsidRPr="00E56743" w:rsidRDefault="001D6DA9" w:rsidP="00E56743">
      <w:pPr>
        <w:spacing w:after="0" w:line="269" w:lineRule="auto"/>
        <w:rPr>
          <w:rFonts w:ascii="Arial" w:hAnsi="Arial" w:cs="Arial"/>
          <w:sz w:val="22"/>
          <w:szCs w:val="22"/>
        </w:rPr>
      </w:pPr>
      <w:r w:rsidRPr="00E56743">
        <w:rPr>
          <w:rFonts w:ascii="Arial" w:hAnsi="Arial" w:cs="Arial"/>
          <w:sz w:val="22"/>
          <w:szCs w:val="22"/>
        </w:rPr>
        <w:t>A realistic timeline would be two to three weeks to design the follow-up format and manager guidance, delivery of a pilot session within two months and full integration into Technivara’s learning programme within four months. The outcome of the changes could then be reviewed through a short survey approximately three months after the training. This, plus informal conversations with managers to get feedback on any changes they notice in their team's confidence and how they are working day to day, should give a full insight into the success of the changes (Cassidy, 2022, 17:50).</w:t>
      </w:r>
    </w:p>
    <w:p w14:paraId="7332CFE1" w14:textId="77777777" w:rsidR="00B26571" w:rsidRPr="00E56743" w:rsidRDefault="00B26571" w:rsidP="00E56743">
      <w:pPr>
        <w:spacing w:after="0" w:line="269" w:lineRule="auto"/>
        <w:rPr>
          <w:rFonts w:ascii="Arial" w:hAnsi="Arial" w:cs="Arial"/>
          <w:sz w:val="22"/>
          <w:szCs w:val="22"/>
        </w:rPr>
      </w:pPr>
    </w:p>
    <w:p w14:paraId="7CDE39A2" w14:textId="77777777" w:rsidR="001D6DA9" w:rsidRPr="00E56743" w:rsidRDefault="001D6DA9" w:rsidP="00E56743">
      <w:pPr>
        <w:spacing w:after="0" w:line="269" w:lineRule="auto"/>
        <w:rPr>
          <w:rFonts w:ascii="Arial" w:hAnsi="Arial" w:cs="Arial"/>
          <w:sz w:val="22"/>
          <w:szCs w:val="22"/>
          <w:u w:val="single"/>
        </w:rPr>
      </w:pPr>
      <w:r w:rsidRPr="00E56743">
        <w:rPr>
          <w:rFonts w:ascii="Arial" w:hAnsi="Arial" w:cs="Arial"/>
          <w:sz w:val="22"/>
          <w:szCs w:val="22"/>
          <w:u w:val="single"/>
        </w:rPr>
        <w:t>Taking learning preferences into account before training</w:t>
      </w:r>
    </w:p>
    <w:p w14:paraId="50F3F255" w14:textId="77777777" w:rsidR="00B26571" w:rsidRPr="00E56743" w:rsidRDefault="00B26571" w:rsidP="00E56743">
      <w:pPr>
        <w:spacing w:after="0" w:line="269" w:lineRule="auto"/>
        <w:rPr>
          <w:rFonts w:ascii="Arial" w:hAnsi="Arial" w:cs="Arial"/>
          <w:sz w:val="22"/>
          <w:szCs w:val="22"/>
          <w:u w:val="single"/>
        </w:rPr>
      </w:pPr>
    </w:p>
    <w:p w14:paraId="74560125" w14:textId="77777777"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The evaluation data also showed lower agreement around whether learning preferences had been considered before the session took place. This suggests that the training was probably delivered in a fairly standard way. While this clearly worked for a lot of people, it didn’t suit everyone equally.</w:t>
      </w:r>
    </w:p>
    <w:p w14:paraId="7718E271" w14:textId="77777777" w:rsidR="00B26571" w:rsidRPr="00E56743" w:rsidRDefault="00B26571" w:rsidP="00E56743">
      <w:pPr>
        <w:spacing w:after="0" w:line="269" w:lineRule="auto"/>
        <w:rPr>
          <w:rFonts w:ascii="Arial" w:hAnsi="Arial" w:cs="Arial"/>
          <w:sz w:val="22"/>
          <w:szCs w:val="22"/>
        </w:rPr>
      </w:pPr>
    </w:p>
    <w:p w14:paraId="2276EE0A" w14:textId="77777777"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 xml:space="preserve">People do not all learn in the same way. Some prefer talking things through, others like practical examples and some are happier reading or working things out quietly (Knowles </w:t>
      </w:r>
      <w:r w:rsidRPr="00E56743">
        <w:rPr>
          <w:rFonts w:ascii="Arial" w:hAnsi="Arial" w:cs="Arial"/>
          <w:i/>
          <w:iCs/>
          <w:sz w:val="22"/>
          <w:szCs w:val="22"/>
        </w:rPr>
        <w:t>et al</w:t>
      </w:r>
      <w:r w:rsidRPr="00E56743">
        <w:rPr>
          <w:rFonts w:ascii="Arial" w:hAnsi="Arial" w:cs="Arial"/>
          <w:sz w:val="22"/>
          <w:szCs w:val="22"/>
        </w:rPr>
        <w:t>, 2020). If training only uses one style, some employees may switch off slightly, even if the session itself is well delivered. Over time, this can affect how confident people feel and how much they actually take away from it.</w:t>
      </w:r>
    </w:p>
    <w:p w14:paraId="67608283" w14:textId="77777777" w:rsidR="00B26571" w:rsidRPr="00E56743" w:rsidRDefault="00B26571" w:rsidP="00E56743">
      <w:pPr>
        <w:spacing w:after="0" w:line="269" w:lineRule="auto"/>
        <w:rPr>
          <w:rFonts w:ascii="Arial" w:hAnsi="Arial" w:cs="Arial"/>
          <w:sz w:val="22"/>
          <w:szCs w:val="22"/>
        </w:rPr>
      </w:pPr>
    </w:p>
    <w:p w14:paraId="4796CA60" w14:textId="77777777"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One way Technivara could improve this would be to ask employees a few simple questions before training takes place. This could cover how confident they currently feel in their role, what they find difficult and how they tend to learn best. This would give the trainer a better idea of what the group needs and help shape the session, rather than using the same format every time (Hayden, 2024).</w:t>
      </w:r>
    </w:p>
    <w:p w14:paraId="32E8D7BE" w14:textId="77777777" w:rsidR="00B26571" w:rsidRPr="00E56743" w:rsidRDefault="00B26571" w:rsidP="00E56743">
      <w:pPr>
        <w:spacing w:after="0" w:line="269" w:lineRule="auto"/>
        <w:rPr>
          <w:rFonts w:ascii="Arial" w:hAnsi="Arial" w:cs="Arial"/>
          <w:sz w:val="22"/>
          <w:szCs w:val="22"/>
        </w:rPr>
      </w:pPr>
    </w:p>
    <w:p w14:paraId="7EDEAF6B" w14:textId="77777777"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The cost of doing this would be low. Tools such as Microsoft Forms are free and even paid survey tools are only a few pounds per person. For 42 employees, this would likely be under £250 in total (Online Surveys, 2025). The questions could be written within a couple of days and then used for the next training session, meaning this change could be introduced very quickly.</w:t>
      </w:r>
    </w:p>
    <w:p w14:paraId="63C60A82" w14:textId="77777777" w:rsidR="00B26571" w:rsidRPr="00E56743" w:rsidRDefault="00B26571" w:rsidP="00E56743">
      <w:pPr>
        <w:spacing w:after="0" w:line="269" w:lineRule="auto"/>
        <w:rPr>
          <w:rFonts w:ascii="Arial" w:hAnsi="Arial" w:cs="Arial"/>
          <w:sz w:val="22"/>
          <w:szCs w:val="22"/>
        </w:rPr>
      </w:pPr>
    </w:p>
    <w:p w14:paraId="3FFCA750" w14:textId="77777777"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This could also be checked by looking at future feedback forms and seeing what people say about the sessions, such as whether they found them useful to their role. Over time, this should make it easier to see what kind of training tends to work best for different groups.</w:t>
      </w:r>
    </w:p>
    <w:p w14:paraId="45E4467C" w14:textId="77777777" w:rsidR="00B26571" w:rsidRPr="00E56743" w:rsidRDefault="00B26571" w:rsidP="00E56743">
      <w:pPr>
        <w:spacing w:after="0" w:line="269" w:lineRule="auto"/>
        <w:rPr>
          <w:rFonts w:ascii="Arial" w:hAnsi="Arial" w:cs="Arial"/>
          <w:sz w:val="22"/>
          <w:szCs w:val="22"/>
        </w:rPr>
      </w:pPr>
    </w:p>
    <w:p w14:paraId="5AAB8340" w14:textId="77777777" w:rsidR="001D6DA9" w:rsidRPr="00E56743" w:rsidRDefault="001D6DA9" w:rsidP="00E56743">
      <w:pPr>
        <w:spacing w:after="0" w:line="269" w:lineRule="auto"/>
        <w:rPr>
          <w:rFonts w:ascii="Arial" w:hAnsi="Arial" w:cs="Arial"/>
          <w:sz w:val="22"/>
          <w:szCs w:val="22"/>
          <w:u w:val="single"/>
        </w:rPr>
      </w:pPr>
      <w:r w:rsidRPr="00E56743">
        <w:rPr>
          <w:rFonts w:ascii="Arial" w:hAnsi="Arial" w:cs="Arial"/>
          <w:sz w:val="22"/>
          <w:szCs w:val="22"/>
          <w:u w:val="single"/>
        </w:rPr>
        <w:t>Improving future evaluation</w:t>
      </w:r>
    </w:p>
    <w:p w14:paraId="404FD3BA" w14:textId="77777777" w:rsidR="00B26571" w:rsidRPr="00E56743" w:rsidRDefault="00B26571" w:rsidP="00E56743">
      <w:pPr>
        <w:spacing w:after="0" w:line="269" w:lineRule="auto"/>
        <w:rPr>
          <w:rFonts w:ascii="Arial" w:hAnsi="Arial" w:cs="Arial"/>
          <w:sz w:val="22"/>
          <w:szCs w:val="22"/>
          <w:u w:val="single"/>
        </w:rPr>
      </w:pPr>
    </w:p>
    <w:p w14:paraId="54B18847" w14:textId="3748C763"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 xml:space="preserve">Finally, although the current evaluation is useful for understanding how employees felt about the session, it only shows part of the picture. If Technivara wants to make better decisions about </w:t>
      </w:r>
      <w:r w:rsidRPr="00E56743">
        <w:rPr>
          <w:rFonts w:ascii="Arial" w:hAnsi="Arial" w:cs="Arial"/>
          <w:sz w:val="22"/>
          <w:szCs w:val="22"/>
        </w:rPr>
        <w:lastRenderedPageBreak/>
        <w:t>learning and development in the future, it would help to collect a bit more information over time (Jacobs, 2024).</w:t>
      </w:r>
    </w:p>
    <w:p w14:paraId="5C814875" w14:textId="77777777" w:rsidR="00B26571" w:rsidRPr="00E56743" w:rsidRDefault="00B26571" w:rsidP="00E56743">
      <w:pPr>
        <w:spacing w:after="0" w:line="269" w:lineRule="auto"/>
        <w:rPr>
          <w:rFonts w:ascii="Arial" w:hAnsi="Arial" w:cs="Arial"/>
          <w:sz w:val="22"/>
          <w:szCs w:val="22"/>
        </w:rPr>
      </w:pPr>
    </w:p>
    <w:p w14:paraId="39C5E0C3" w14:textId="72E91FBF"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This could include asking people how confident they feel before and after training, having conversations with managers about whether they have noticed any changes in how people are working and sending out another short survey a few months later to see if anything has actually stuck.</w:t>
      </w:r>
    </w:p>
    <w:p w14:paraId="44059BE2" w14:textId="77777777" w:rsidR="00B26571" w:rsidRPr="00E56743" w:rsidRDefault="00B26571" w:rsidP="00E56743">
      <w:pPr>
        <w:spacing w:after="0" w:line="269" w:lineRule="auto"/>
        <w:rPr>
          <w:rFonts w:ascii="Arial" w:hAnsi="Arial" w:cs="Arial"/>
          <w:sz w:val="22"/>
          <w:szCs w:val="22"/>
        </w:rPr>
      </w:pPr>
    </w:p>
    <w:p w14:paraId="774C7D64" w14:textId="77777777" w:rsidR="001D6DA9" w:rsidRPr="00E56743" w:rsidRDefault="001D6DA9" w:rsidP="00E56743">
      <w:pPr>
        <w:spacing w:after="0" w:line="269" w:lineRule="auto"/>
        <w:rPr>
          <w:rFonts w:ascii="Arial" w:hAnsi="Arial" w:cs="Arial"/>
          <w:sz w:val="22"/>
          <w:szCs w:val="22"/>
        </w:rPr>
      </w:pPr>
      <w:r w:rsidRPr="00E56743">
        <w:rPr>
          <w:rFonts w:ascii="Arial" w:hAnsi="Arial" w:cs="Arial"/>
          <w:sz w:val="22"/>
          <w:szCs w:val="22"/>
        </w:rPr>
        <w:t>Doing this would help Technivara understand more than just whether people enjoyed the session on the day. It would give a better idea of whether the training is making any real difference once people are back in their roles.</w:t>
      </w:r>
    </w:p>
    <w:p w14:paraId="18887B7D" w14:textId="77777777" w:rsidR="00B26571" w:rsidRPr="00E56743" w:rsidRDefault="00B26571" w:rsidP="00E56743">
      <w:pPr>
        <w:spacing w:after="0" w:line="269" w:lineRule="auto"/>
        <w:rPr>
          <w:rFonts w:ascii="Arial" w:hAnsi="Arial" w:cs="Arial"/>
          <w:sz w:val="22"/>
          <w:szCs w:val="22"/>
        </w:rPr>
      </w:pPr>
    </w:p>
    <w:p w14:paraId="38BBC8D9" w14:textId="337FA08E" w:rsidR="00BD2D4D" w:rsidRDefault="001D6DA9" w:rsidP="00E56743">
      <w:pPr>
        <w:spacing w:after="0" w:line="269" w:lineRule="auto"/>
        <w:rPr>
          <w:rFonts w:ascii="Arial" w:hAnsi="Arial" w:cs="Arial"/>
          <w:sz w:val="22"/>
          <w:szCs w:val="22"/>
        </w:rPr>
      </w:pPr>
      <w:r w:rsidRPr="00E56743">
        <w:rPr>
          <w:rFonts w:ascii="Arial" w:hAnsi="Arial" w:cs="Arial"/>
          <w:sz w:val="22"/>
          <w:szCs w:val="22"/>
        </w:rPr>
        <w:t>Over time, this should also make it easier to work out what is worth spending money on and what might need changing, instead of relying on one set of feedback and hoping for the best. It supports a more evidence-based way of working too, as decisions are based on what is happening in practice rather than assumptions.</w:t>
      </w:r>
    </w:p>
    <w:p w14:paraId="6C50A82A" w14:textId="77777777" w:rsidR="00E56743" w:rsidRDefault="00E56743" w:rsidP="00E56743">
      <w:pPr>
        <w:spacing w:after="0" w:line="269" w:lineRule="auto"/>
        <w:rPr>
          <w:rFonts w:ascii="Arial" w:hAnsi="Arial" w:cs="Arial"/>
          <w:sz w:val="22"/>
          <w:szCs w:val="22"/>
        </w:rPr>
      </w:pPr>
    </w:p>
    <w:p w14:paraId="3E39E0A1" w14:textId="77777777" w:rsidR="00E56743" w:rsidRDefault="00E56743" w:rsidP="00E56743">
      <w:pPr>
        <w:spacing w:after="0" w:line="269" w:lineRule="auto"/>
        <w:rPr>
          <w:rFonts w:ascii="Arial" w:hAnsi="Arial" w:cs="Arial"/>
          <w:sz w:val="22"/>
          <w:szCs w:val="22"/>
        </w:rPr>
      </w:pPr>
    </w:p>
    <w:p w14:paraId="2C97419E" w14:textId="77777777" w:rsidR="00E56743" w:rsidRDefault="00E56743" w:rsidP="00E56743">
      <w:pPr>
        <w:spacing w:after="0" w:line="269" w:lineRule="auto"/>
        <w:rPr>
          <w:rFonts w:ascii="Arial" w:hAnsi="Arial" w:cs="Arial"/>
          <w:sz w:val="22"/>
          <w:szCs w:val="22"/>
        </w:rPr>
      </w:pPr>
    </w:p>
    <w:p w14:paraId="0DB725C5" w14:textId="77777777" w:rsidR="00E56743" w:rsidRDefault="00E56743" w:rsidP="00E56743">
      <w:pPr>
        <w:spacing w:after="0" w:line="269" w:lineRule="auto"/>
        <w:rPr>
          <w:rFonts w:ascii="Arial" w:hAnsi="Arial" w:cs="Arial"/>
          <w:sz w:val="22"/>
          <w:szCs w:val="22"/>
        </w:rPr>
      </w:pPr>
    </w:p>
    <w:p w14:paraId="5511ECFE" w14:textId="77777777" w:rsidR="00E56743" w:rsidRDefault="00E56743" w:rsidP="00E56743">
      <w:pPr>
        <w:spacing w:after="0" w:line="269" w:lineRule="auto"/>
        <w:rPr>
          <w:rFonts w:ascii="Arial" w:hAnsi="Arial" w:cs="Arial"/>
          <w:sz w:val="22"/>
          <w:szCs w:val="22"/>
        </w:rPr>
      </w:pPr>
    </w:p>
    <w:p w14:paraId="2840D9B0" w14:textId="77777777" w:rsidR="00E56743" w:rsidRDefault="00E56743" w:rsidP="00E56743">
      <w:pPr>
        <w:spacing w:after="0" w:line="269" w:lineRule="auto"/>
        <w:rPr>
          <w:rFonts w:ascii="Arial" w:hAnsi="Arial" w:cs="Arial"/>
          <w:sz w:val="22"/>
          <w:szCs w:val="22"/>
        </w:rPr>
      </w:pPr>
    </w:p>
    <w:p w14:paraId="2AE91205" w14:textId="77777777" w:rsidR="00E56743" w:rsidRDefault="00E56743" w:rsidP="00E56743">
      <w:pPr>
        <w:spacing w:after="0" w:line="269" w:lineRule="auto"/>
        <w:rPr>
          <w:rFonts w:ascii="Arial" w:hAnsi="Arial" w:cs="Arial"/>
          <w:sz w:val="22"/>
          <w:szCs w:val="22"/>
        </w:rPr>
      </w:pPr>
    </w:p>
    <w:p w14:paraId="24E7B7C6" w14:textId="77777777" w:rsidR="00E56743" w:rsidRDefault="00E56743" w:rsidP="00E56743">
      <w:pPr>
        <w:spacing w:after="0" w:line="269" w:lineRule="auto"/>
        <w:rPr>
          <w:rFonts w:ascii="Arial" w:hAnsi="Arial" w:cs="Arial"/>
          <w:sz w:val="22"/>
          <w:szCs w:val="22"/>
        </w:rPr>
      </w:pPr>
    </w:p>
    <w:p w14:paraId="5CB52AA3" w14:textId="77777777" w:rsidR="00E56743" w:rsidRDefault="00E56743" w:rsidP="00E56743">
      <w:pPr>
        <w:spacing w:after="0" w:line="269" w:lineRule="auto"/>
        <w:rPr>
          <w:rFonts w:ascii="Arial" w:hAnsi="Arial" w:cs="Arial"/>
          <w:sz w:val="22"/>
          <w:szCs w:val="22"/>
        </w:rPr>
      </w:pPr>
    </w:p>
    <w:p w14:paraId="60F92908" w14:textId="77777777" w:rsidR="00E56743" w:rsidRDefault="00E56743" w:rsidP="00E56743">
      <w:pPr>
        <w:spacing w:after="0" w:line="269" w:lineRule="auto"/>
        <w:rPr>
          <w:rFonts w:ascii="Arial" w:hAnsi="Arial" w:cs="Arial"/>
          <w:sz w:val="22"/>
          <w:szCs w:val="22"/>
        </w:rPr>
      </w:pPr>
    </w:p>
    <w:p w14:paraId="3542236B" w14:textId="77777777" w:rsidR="00E56743" w:rsidRDefault="00E56743" w:rsidP="00E56743">
      <w:pPr>
        <w:spacing w:after="0" w:line="269" w:lineRule="auto"/>
        <w:rPr>
          <w:rFonts w:ascii="Arial" w:hAnsi="Arial" w:cs="Arial"/>
          <w:sz w:val="22"/>
          <w:szCs w:val="22"/>
        </w:rPr>
      </w:pPr>
    </w:p>
    <w:p w14:paraId="7F27B619" w14:textId="77777777" w:rsidR="00E56743" w:rsidRDefault="00E56743" w:rsidP="00E56743">
      <w:pPr>
        <w:spacing w:after="0" w:line="269" w:lineRule="auto"/>
        <w:rPr>
          <w:rFonts w:ascii="Arial" w:hAnsi="Arial" w:cs="Arial"/>
          <w:sz w:val="22"/>
          <w:szCs w:val="22"/>
        </w:rPr>
      </w:pPr>
    </w:p>
    <w:p w14:paraId="5C7ADDA1" w14:textId="77777777" w:rsidR="00E56743" w:rsidRDefault="00E56743" w:rsidP="00E56743">
      <w:pPr>
        <w:spacing w:after="0" w:line="269" w:lineRule="auto"/>
        <w:rPr>
          <w:rFonts w:ascii="Arial" w:hAnsi="Arial" w:cs="Arial"/>
          <w:sz w:val="22"/>
          <w:szCs w:val="22"/>
        </w:rPr>
      </w:pPr>
    </w:p>
    <w:p w14:paraId="2BB48320" w14:textId="77777777" w:rsidR="00E56743" w:rsidRDefault="00E56743" w:rsidP="00E56743">
      <w:pPr>
        <w:spacing w:after="0" w:line="269" w:lineRule="auto"/>
        <w:rPr>
          <w:rFonts w:ascii="Arial" w:hAnsi="Arial" w:cs="Arial"/>
          <w:sz w:val="22"/>
          <w:szCs w:val="22"/>
        </w:rPr>
      </w:pPr>
    </w:p>
    <w:p w14:paraId="5FA0081C" w14:textId="77777777" w:rsidR="00E56743" w:rsidRDefault="00E56743" w:rsidP="00E56743">
      <w:pPr>
        <w:spacing w:after="0" w:line="269" w:lineRule="auto"/>
        <w:rPr>
          <w:rFonts w:ascii="Arial" w:hAnsi="Arial" w:cs="Arial"/>
          <w:sz w:val="22"/>
          <w:szCs w:val="22"/>
        </w:rPr>
      </w:pPr>
    </w:p>
    <w:p w14:paraId="2E1000AC" w14:textId="77777777" w:rsidR="00E56743" w:rsidRDefault="00E56743" w:rsidP="00E56743">
      <w:pPr>
        <w:spacing w:after="0" w:line="269" w:lineRule="auto"/>
        <w:rPr>
          <w:rFonts w:ascii="Arial" w:hAnsi="Arial" w:cs="Arial"/>
          <w:sz w:val="22"/>
          <w:szCs w:val="22"/>
        </w:rPr>
      </w:pPr>
    </w:p>
    <w:p w14:paraId="2CA57685" w14:textId="77777777" w:rsidR="00E56743" w:rsidRDefault="00E56743" w:rsidP="00E56743">
      <w:pPr>
        <w:spacing w:after="0" w:line="269" w:lineRule="auto"/>
        <w:rPr>
          <w:rFonts w:ascii="Arial" w:hAnsi="Arial" w:cs="Arial"/>
          <w:sz w:val="22"/>
          <w:szCs w:val="22"/>
        </w:rPr>
      </w:pPr>
    </w:p>
    <w:p w14:paraId="0EF614C8" w14:textId="77777777" w:rsidR="00E56743" w:rsidRDefault="00E56743" w:rsidP="00E56743">
      <w:pPr>
        <w:spacing w:after="0" w:line="269" w:lineRule="auto"/>
        <w:rPr>
          <w:rFonts w:ascii="Arial" w:hAnsi="Arial" w:cs="Arial"/>
          <w:sz w:val="22"/>
          <w:szCs w:val="22"/>
        </w:rPr>
      </w:pPr>
    </w:p>
    <w:p w14:paraId="28EB84D1" w14:textId="77777777" w:rsidR="00E56743" w:rsidRDefault="00E56743" w:rsidP="00E56743">
      <w:pPr>
        <w:spacing w:after="0" w:line="269" w:lineRule="auto"/>
        <w:rPr>
          <w:rFonts w:ascii="Arial" w:hAnsi="Arial" w:cs="Arial"/>
          <w:sz w:val="22"/>
          <w:szCs w:val="22"/>
        </w:rPr>
      </w:pPr>
    </w:p>
    <w:p w14:paraId="0258DD86" w14:textId="77777777" w:rsidR="00E56743" w:rsidRDefault="00E56743" w:rsidP="00E56743">
      <w:pPr>
        <w:spacing w:after="0" w:line="269" w:lineRule="auto"/>
        <w:rPr>
          <w:rFonts w:ascii="Arial" w:hAnsi="Arial" w:cs="Arial"/>
          <w:sz w:val="22"/>
          <w:szCs w:val="22"/>
        </w:rPr>
      </w:pPr>
    </w:p>
    <w:p w14:paraId="272D1924" w14:textId="77777777" w:rsidR="00E56743" w:rsidRDefault="00E56743" w:rsidP="00E56743">
      <w:pPr>
        <w:spacing w:after="0" w:line="269" w:lineRule="auto"/>
        <w:rPr>
          <w:rFonts w:ascii="Arial" w:hAnsi="Arial" w:cs="Arial"/>
          <w:sz w:val="22"/>
          <w:szCs w:val="22"/>
        </w:rPr>
      </w:pPr>
    </w:p>
    <w:p w14:paraId="59AE9DE1" w14:textId="77777777" w:rsidR="00E56743" w:rsidRDefault="00E56743" w:rsidP="00E56743">
      <w:pPr>
        <w:spacing w:after="0" w:line="269" w:lineRule="auto"/>
        <w:rPr>
          <w:rFonts w:ascii="Arial" w:hAnsi="Arial" w:cs="Arial"/>
          <w:sz w:val="22"/>
          <w:szCs w:val="22"/>
        </w:rPr>
      </w:pPr>
    </w:p>
    <w:p w14:paraId="5E5BF17E" w14:textId="77777777" w:rsidR="00E56743" w:rsidRDefault="00E56743" w:rsidP="00E56743">
      <w:pPr>
        <w:spacing w:after="0" w:line="269" w:lineRule="auto"/>
        <w:rPr>
          <w:rFonts w:ascii="Arial" w:hAnsi="Arial" w:cs="Arial"/>
          <w:sz w:val="22"/>
          <w:szCs w:val="22"/>
        </w:rPr>
      </w:pPr>
    </w:p>
    <w:p w14:paraId="74284292" w14:textId="77777777" w:rsidR="00E56743" w:rsidRDefault="00E56743" w:rsidP="00E56743">
      <w:pPr>
        <w:spacing w:after="0" w:line="269" w:lineRule="auto"/>
        <w:rPr>
          <w:rFonts w:ascii="Arial" w:hAnsi="Arial" w:cs="Arial"/>
          <w:sz w:val="22"/>
          <w:szCs w:val="22"/>
        </w:rPr>
      </w:pPr>
    </w:p>
    <w:p w14:paraId="4E414E0F" w14:textId="77777777" w:rsidR="00E56743" w:rsidRDefault="00E56743" w:rsidP="00E56743">
      <w:pPr>
        <w:spacing w:after="0" w:line="269" w:lineRule="auto"/>
        <w:rPr>
          <w:rFonts w:ascii="Arial" w:hAnsi="Arial" w:cs="Arial"/>
          <w:sz w:val="22"/>
          <w:szCs w:val="22"/>
        </w:rPr>
      </w:pPr>
    </w:p>
    <w:p w14:paraId="0AA43356" w14:textId="77777777" w:rsidR="00E56743" w:rsidRDefault="00E56743" w:rsidP="00E56743">
      <w:pPr>
        <w:spacing w:after="0" w:line="269" w:lineRule="auto"/>
        <w:rPr>
          <w:rFonts w:ascii="Arial" w:hAnsi="Arial" w:cs="Arial"/>
          <w:sz w:val="22"/>
          <w:szCs w:val="22"/>
        </w:rPr>
      </w:pPr>
    </w:p>
    <w:p w14:paraId="64A0A71B" w14:textId="77777777" w:rsidR="00E56743" w:rsidRDefault="00E56743" w:rsidP="00E56743">
      <w:pPr>
        <w:spacing w:after="0" w:line="269" w:lineRule="auto"/>
        <w:rPr>
          <w:rFonts w:ascii="Arial" w:hAnsi="Arial" w:cs="Arial"/>
          <w:sz w:val="22"/>
          <w:szCs w:val="22"/>
        </w:rPr>
      </w:pPr>
    </w:p>
    <w:p w14:paraId="29309C6B" w14:textId="77777777" w:rsidR="00E56743" w:rsidRDefault="00E56743" w:rsidP="00E56743">
      <w:pPr>
        <w:spacing w:after="0" w:line="269" w:lineRule="auto"/>
        <w:rPr>
          <w:rFonts w:ascii="Arial" w:hAnsi="Arial" w:cs="Arial"/>
          <w:sz w:val="22"/>
          <w:szCs w:val="22"/>
        </w:rPr>
      </w:pPr>
    </w:p>
    <w:p w14:paraId="58E84E90" w14:textId="77777777" w:rsidR="00E56743" w:rsidRDefault="00E56743" w:rsidP="00E56743">
      <w:pPr>
        <w:spacing w:after="0" w:line="269" w:lineRule="auto"/>
        <w:rPr>
          <w:rFonts w:ascii="Arial" w:hAnsi="Arial" w:cs="Arial"/>
          <w:sz w:val="22"/>
          <w:szCs w:val="22"/>
        </w:rPr>
      </w:pPr>
    </w:p>
    <w:p w14:paraId="17790019" w14:textId="77777777" w:rsidR="00E56743" w:rsidRDefault="00E56743" w:rsidP="00E56743">
      <w:pPr>
        <w:spacing w:after="0" w:line="269" w:lineRule="auto"/>
        <w:rPr>
          <w:rFonts w:ascii="Arial" w:hAnsi="Arial" w:cs="Arial"/>
          <w:sz w:val="22"/>
          <w:szCs w:val="22"/>
        </w:rPr>
      </w:pPr>
    </w:p>
    <w:p w14:paraId="25A69700" w14:textId="77777777" w:rsidR="00E56743" w:rsidRDefault="00E56743" w:rsidP="00E56743">
      <w:pPr>
        <w:spacing w:after="0" w:line="269" w:lineRule="auto"/>
        <w:rPr>
          <w:rFonts w:ascii="Arial" w:hAnsi="Arial" w:cs="Arial"/>
          <w:sz w:val="22"/>
          <w:szCs w:val="22"/>
        </w:rPr>
      </w:pPr>
    </w:p>
    <w:p w14:paraId="0A924D98" w14:textId="77777777" w:rsidR="00E56743" w:rsidRDefault="00E56743" w:rsidP="00E56743">
      <w:pPr>
        <w:spacing w:after="0" w:line="269" w:lineRule="auto"/>
        <w:rPr>
          <w:rFonts w:ascii="Arial" w:hAnsi="Arial" w:cs="Arial"/>
          <w:sz w:val="22"/>
          <w:szCs w:val="22"/>
        </w:rPr>
      </w:pPr>
    </w:p>
    <w:p w14:paraId="003FC0EB" w14:textId="77777777" w:rsidR="00E56743" w:rsidRDefault="00E56743" w:rsidP="00E56743">
      <w:pPr>
        <w:spacing w:after="0" w:line="269" w:lineRule="auto"/>
        <w:rPr>
          <w:rFonts w:ascii="Arial" w:hAnsi="Arial" w:cs="Arial"/>
          <w:sz w:val="22"/>
          <w:szCs w:val="22"/>
        </w:rPr>
      </w:pPr>
    </w:p>
    <w:p w14:paraId="18B68440" w14:textId="77777777" w:rsidR="00E56743" w:rsidRPr="00E56743" w:rsidRDefault="00E56743" w:rsidP="00E56743">
      <w:pPr>
        <w:spacing w:after="0" w:line="269" w:lineRule="auto"/>
        <w:rPr>
          <w:rFonts w:ascii="Arial" w:hAnsi="Arial" w:cs="Arial"/>
          <w:sz w:val="22"/>
          <w:szCs w:val="22"/>
        </w:rPr>
      </w:pPr>
    </w:p>
    <w:p w14:paraId="0D5C5FB1" w14:textId="77777777" w:rsidR="00BD2D4D" w:rsidRPr="00E56743" w:rsidRDefault="00BD2D4D" w:rsidP="00E56743">
      <w:pPr>
        <w:spacing w:after="0" w:line="269" w:lineRule="auto"/>
        <w:rPr>
          <w:rFonts w:ascii="Arial" w:hAnsi="Arial" w:cs="Arial"/>
          <w:sz w:val="22"/>
          <w:szCs w:val="22"/>
        </w:rPr>
      </w:pPr>
    </w:p>
    <w:p w14:paraId="4B85C268" w14:textId="77777777" w:rsidR="00BD2D4D" w:rsidRPr="00E56743" w:rsidRDefault="00BD2D4D" w:rsidP="00E56743">
      <w:pPr>
        <w:widowControl w:val="0"/>
        <w:autoSpaceDE w:val="0"/>
        <w:autoSpaceDN w:val="0"/>
        <w:adjustRightInd w:val="0"/>
        <w:spacing w:after="0" w:line="269" w:lineRule="auto"/>
        <w:rPr>
          <w:rFonts w:ascii="Arial" w:hAnsi="Arial" w:cs="Arial"/>
          <w:b/>
          <w:bCs/>
          <w:kern w:val="0"/>
          <w:sz w:val="22"/>
          <w:szCs w:val="22"/>
          <w:lang w:val="en-US"/>
        </w:rPr>
      </w:pPr>
      <w:r w:rsidRPr="00E56743">
        <w:rPr>
          <w:rFonts w:ascii="Arial" w:hAnsi="Arial" w:cs="Arial"/>
          <w:b/>
          <w:bCs/>
          <w:kern w:val="0"/>
          <w:sz w:val="22"/>
          <w:szCs w:val="22"/>
          <w:lang w:val="en-US"/>
        </w:rPr>
        <w:lastRenderedPageBreak/>
        <w:t>Bibliography</w:t>
      </w:r>
    </w:p>
    <w:p w14:paraId="0696728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lang w:val="en-US"/>
        </w:rPr>
      </w:pPr>
    </w:p>
    <w:p w14:paraId="657FFE9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Adair, J. (2022) </w:t>
      </w:r>
      <w:r w:rsidRPr="00E56743">
        <w:rPr>
          <w:rFonts w:ascii="Arial" w:hAnsi="Arial" w:cs="Arial"/>
          <w:i/>
          <w:iCs/>
          <w:kern w:val="0"/>
          <w:sz w:val="22"/>
          <w:szCs w:val="22"/>
        </w:rPr>
        <w:t>Decision Making and Problem Solving: Break Through Barriers and Banish Uncertainty at Work</w:t>
      </w:r>
      <w:r w:rsidRPr="00E56743">
        <w:rPr>
          <w:rFonts w:ascii="Arial" w:hAnsi="Arial" w:cs="Arial"/>
          <w:kern w:val="0"/>
          <w:sz w:val="22"/>
          <w:szCs w:val="22"/>
        </w:rPr>
        <w:t>. London; New York: Kogan Page.</w:t>
      </w:r>
    </w:p>
    <w:p w14:paraId="221161E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7A57263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Armstrong, M. and Taylor, S. (2023) </w:t>
      </w:r>
      <w:r w:rsidRPr="00E56743">
        <w:rPr>
          <w:rFonts w:ascii="Arial" w:hAnsi="Arial" w:cs="Arial"/>
          <w:i/>
          <w:iCs/>
          <w:kern w:val="0"/>
          <w:sz w:val="22"/>
          <w:szCs w:val="22"/>
        </w:rPr>
        <w:t>Armstrong’s Handbook of Human Resource Management Practice</w:t>
      </w:r>
      <w:r w:rsidRPr="00E56743">
        <w:rPr>
          <w:rFonts w:ascii="Arial" w:hAnsi="Arial" w:cs="Arial"/>
          <w:kern w:val="0"/>
          <w:sz w:val="22"/>
          <w:szCs w:val="22"/>
        </w:rPr>
        <w:t>. Sixteenth edition. New York: Kogan Page.</w:t>
      </w:r>
    </w:p>
    <w:p w14:paraId="67E45C80"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7C622F1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Aylott, E. (2018) </w:t>
      </w:r>
      <w:r w:rsidRPr="00E56743">
        <w:rPr>
          <w:rFonts w:ascii="Arial" w:hAnsi="Arial" w:cs="Arial"/>
          <w:i/>
          <w:iCs/>
          <w:kern w:val="0"/>
          <w:sz w:val="22"/>
          <w:szCs w:val="22"/>
        </w:rPr>
        <w:t xml:space="preserve">Employee Relations: A Practical Introduction. </w:t>
      </w:r>
      <w:r w:rsidRPr="00E56743">
        <w:rPr>
          <w:rFonts w:ascii="Arial" w:hAnsi="Arial" w:cs="Arial"/>
          <w:kern w:val="0"/>
          <w:sz w:val="22"/>
          <w:szCs w:val="22"/>
        </w:rPr>
        <w:t>Second edition. New York: Kogan Page.</w:t>
      </w:r>
    </w:p>
    <w:p w14:paraId="074CE673"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5DB5BC8E"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Barends, E. and Rousseau, D. (2018) </w:t>
      </w:r>
      <w:r w:rsidRPr="00E56743">
        <w:rPr>
          <w:rFonts w:ascii="Arial" w:hAnsi="Arial" w:cs="Arial"/>
          <w:i/>
          <w:iCs/>
          <w:kern w:val="0"/>
          <w:sz w:val="22"/>
          <w:szCs w:val="22"/>
        </w:rPr>
        <w:t>Evidence-based management.</w:t>
      </w:r>
      <w:r w:rsidRPr="00E56743">
        <w:rPr>
          <w:rFonts w:ascii="Arial" w:hAnsi="Arial" w:cs="Arial"/>
          <w:kern w:val="0"/>
          <w:sz w:val="22"/>
          <w:szCs w:val="22"/>
        </w:rPr>
        <w:t xml:space="preserve"> London: Kogan Page.</w:t>
      </w:r>
    </w:p>
    <w:p w14:paraId="03B5A03C"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200F71C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Blume, B.D., Ford, J.K., Baldwin, T.T. and Huang, J.L. (2010) ‘Transfer of Training: A Meta-Analytic Review’, </w:t>
      </w:r>
      <w:r w:rsidRPr="00E56743">
        <w:rPr>
          <w:rFonts w:ascii="Arial" w:hAnsi="Arial" w:cs="Arial"/>
          <w:i/>
          <w:iCs/>
          <w:kern w:val="0"/>
          <w:sz w:val="22"/>
          <w:szCs w:val="22"/>
        </w:rPr>
        <w:t>Journal of Management</w:t>
      </w:r>
      <w:r w:rsidRPr="00E56743">
        <w:rPr>
          <w:rFonts w:ascii="Arial" w:hAnsi="Arial" w:cs="Arial"/>
          <w:kern w:val="0"/>
          <w:sz w:val="22"/>
          <w:szCs w:val="22"/>
        </w:rPr>
        <w:t xml:space="preserve">, 36(4), pp.1065–1105. Available at: </w:t>
      </w:r>
      <w:hyperlink r:id="rId14" w:history="1">
        <w:r w:rsidRPr="00E56743">
          <w:rPr>
            <w:rStyle w:val="Hyperlink"/>
            <w:rFonts w:ascii="Arial" w:hAnsi="Arial" w:cs="Arial"/>
            <w:kern w:val="0"/>
            <w:sz w:val="22"/>
            <w:szCs w:val="22"/>
          </w:rPr>
          <w:t>https://doi.org/10.1177/0149206309352880</w:t>
        </w:r>
      </w:hyperlink>
      <w:r w:rsidRPr="00E56743">
        <w:rPr>
          <w:rFonts w:ascii="Arial" w:hAnsi="Arial" w:cs="Arial"/>
          <w:kern w:val="0"/>
          <w:sz w:val="22"/>
          <w:szCs w:val="22"/>
        </w:rPr>
        <w:t xml:space="preserve"> </w:t>
      </w:r>
    </w:p>
    <w:p w14:paraId="0B04BB9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0B8C78C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Briner, R. (2023) </w:t>
      </w:r>
      <w:r w:rsidRPr="00E56743">
        <w:rPr>
          <w:rFonts w:ascii="Arial" w:hAnsi="Arial" w:cs="Arial"/>
          <w:i/>
          <w:iCs/>
          <w:kern w:val="0"/>
          <w:sz w:val="22"/>
          <w:szCs w:val="22"/>
        </w:rPr>
        <w:t>Evidence-based HR and people analytics are the same, right? Afraid not</w:t>
      </w:r>
      <w:r w:rsidRPr="00E56743">
        <w:rPr>
          <w:rFonts w:ascii="Arial" w:hAnsi="Arial" w:cs="Arial"/>
          <w:kern w:val="0"/>
          <w:sz w:val="22"/>
          <w:szCs w:val="22"/>
        </w:rPr>
        <w:t xml:space="preserve">. Available at: </w:t>
      </w:r>
      <w:hyperlink r:id="rId15" w:history="1">
        <w:r w:rsidRPr="00E56743">
          <w:rPr>
            <w:rStyle w:val="Hyperlink"/>
            <w:rFonts w:ascii="Arial" w:hAnsi="Arial" w:cs="Arial"/>
            <w:kern w:val="0"/>
            <w:sz w:val="22"/>
            <w:szCs w:val="22"/>
          </w:rPr>
          <w:t>https://www.peoplemanagement.co.uk/article/1851101/evidence-based-hr-people-analytics-same-right-afraid-not</w:t>
        </w:r>
      </w:hyperlink>
      <w:r w:rsidRPr="00E56743">
        <w:rPr>
          <w:rFonts w:ascii="Arial" w:hAnsi="Arial" w:cs="Arial"/>
          <w:kern w:val="0"/>
          <w:sz w:val="22"/>
          <w:szCs w:val="22"/>
        </w:rPr>
        <w:t xml:space="preserve"> (Accessed: 23 December 2025).</w:t>
      </w:r>
    </w:p>
    <w:p w14:paraId="5CA342C7"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2701EE1E"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Briner, R.B., Denyer, D. and Rousseau, D.M. (2009) </w:t>
      </w:r>
      <w:r w:rsidRPr="00E56743">
        <w:rPr>
          <w:rFonts w:ascii="Arial" w:hAnsi="Arial" w:cs="Arial"/>
          <w:i/>
          <w:iCs/>
          <w:kern w:val="0"/>
          <w:sz w:val="22"/>
          <w:szCs w:val="22"/>
          <w:lang w:val="en-US"/>
        </w:rPr>
        <w:t>Evidence-Based Management: Concept Cleanup Time?</w:t>
      </w:r>
      <w:r w:rsidRPr="00E56743">
        <w:rPr>
          <w:rFonts w:ascii="Arial" w:hAnsi="Arial" w:cs="Arial"/>
          <w:kern w:val="0"/>
          <w:sz w:val="22"/>
          <w:szCs w:val="22"/>
          <w:lang w:val="en-US"/>
        </w:rPr>
        <w:t xml:space="preserve"> </w:t>
      </w:r>
      <w:r w:rsidRPr="00E56743">
        <w:rPr>
          <w:rFonts w:ascii="Arial" w:hAnsi="Arial" w:cs="Arial"/>
          <w:i/>
          <w:iCs/>
          <w:kern w:val="0"/>
          <w:sz w:val="22"/>
          <w:szCs w:val="22"/>
          <w:lang w:val="en-US"/>
        </w:rPr>
        <w:t>Academy of Management Perspectives</w:t>
      </w:r>
      <w:r w:rsidRPr="00E56743">
        <w:rPr>
          <w:rFonts w:ascii="Arial" w:hAnsi="Arial" w:cs="Arial"/>
          <w:kern w:val="0"/>
          <w:sz w:val="22"/>
          <w:szCs w:val="22"/>
          <w:lang w:val="en-US"/>
        </w:rPr>
        <w:t xml:space="preserve">, 23(4). </w:t>
      </w:r>
      <w:r w:rsidRPr="00E56743">
        <w:rPr>
          <w:rFonts w:ascii="Arial" w:hAnsi="Arial" w:cs="Arial"/>
          <w:kern w:val="0"/>
          <w:sz w:val="22"/>
          <w:szCs w:val="22"/>
        </w:rPr>
        <w:t xml:space="preserve">Available at: </w:t>
      </w:r>
      <w:hyperlink r:id="rId16" w:history="1">
        <w:r w:rsidRPr="00E56743">
          <w:rPr>
            <w:rStyle w:val="Hyperlink"/>
            <w:rFonts w:ascii="Arial" w:hAnsi="Arial" w:cs="Arial"/>
            <w:kern w:val="0"/>
            <w:sz w:val="22"/>
            <w:szCs w:val="22"/>
          </w:rPr>
          <w:t>https://www.researchgate.net/publication/228576116_Evidence-Based_Management_Concept_Cleanup_Time</w:t>
        </w:r>
      </w:hyperlink>
      <w:r w:rsidRPr="00E56743">
        <w:rPr>
          <w:rFonts w:ascii="Arial" w:hAnsi="Arial" w:cs="Arial"/>
          <w:kern w:val="0"/>
          <w:sz w:val="22"/>
          <w:szCs w:val="22"/>
        </w:rPr>
        <w:t xml:space="preserve"> (Accessed: 8 January 2026).</w:t>
      </w:r>
    </w:p>
    <w:p w14:paraId="528A266F"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1018B27E"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Brinkerhoff, R.O., Brethower, D.M., Hiuchyj, T. and Nowakowski, J. (2014) </w:t>
      </w:r>
      <w:r w:rsidRPr="00E56743">
        <w:rPr>
          <w:rFonts w:ascii="Arial" w:hAnsi="Arial" w:cs="Arial"/>
          <w:i/>
          <w:iCs/>
          <w:kern w:val="0"/>
          <w:sz w:val="22"/>
          <w:szCs w:val="22"/>
        </w:rPr>
        <w:t>Program evaluation: a practitioner’s guide for trainers and educators: sourcebook-casebook</w:t>
      </w:r>
      <w:r w:rsidRPr="00E56743">
        <w:rPr>
          <w:rFonts w:ascii="Arial" w:hAnsi="Arial" w:cs="Arial"/>
          <w:kern w:val="0"/>
          <w:sz w:val="22"/>
          <w:szCs w:val="22"/>
        </w:rPr>
        <w:t>. Boston: Kluwer-Nijhoff.</w:t>
      </w:r>
    </w:p>
    <w:p w14:paraId="7DEA659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lang w:val="en-US"/>
        </w:rPr>
      </w:pPr>
    </w:p>
    <w:p w14:paraId="1E844B17"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Britannica (2025) </w:t>
      </w:r>
      <w:r w:rsidRPr="00E56743">
        <w:rPr>
          <w:rFonts w:ascii="Arial" w:hAnsi="Arial" w:cs="Arial"/>
          <w:i/>
          <w:iCs/>
          <w:kern w:val="0"/>
          <w:sz w:val="22"/>
          <w:szCs w:val="22"/>
        </w:rPr>
        <w:t>Deontological Ethics in</w:t>
      </w:r>
      <w:r w:rsidRPr="00E56743">
        <w:rPr>
          <w:rFonts w:ascii="Arial" w:hAnsi="Arial" w:cs="Arial"/>
          <w:kern w:val="0"/>
          <w:sz w:val="22"/>
          <w:szCs w:val="22"/>
        </w:rPr>
        <w:t xml:space="preserve"> </w:t>
      </w:r>
      <w:r w:rsidRPr="00E56743">
        <w:rPr>
          <w:rFonts w:ascii="Arial" w:hAnsi="Arial" w:cs="Arial"/>
          <w:i/>
          <w:iCs/>
          <w:kern w:val="0"/>
          <w:sz w:val="22"/>
          <w:szCs w:val="22"/>
        </w:rPr>
        <w:t>Encyclopædia Britannica</w:t>
      </w:r>
      <w:r w:rsidRPr="00E56743">
        <w:rPr>
          <w:rFonts w:ascii="Arial" w:hAnsi="Arial" w:cs="Arial"/>
          <w:kern w:val="0"/>
          <w:sz w:val="22"/>
          <w:szCs w:val="22"/>
        </w:rPr>
        <w:t xml:space="preserve">. Available at: </w:t>
      </w:r>
      <w:hyperlink r:id="rId17" w:history="1">
        <w:r w:rsidRPr="00E56743">
          <w:rPr>
            <w:rStyle w:val="Hyperlink"/>
            <w:rFonts w:ascii="Arial" w:hAnsi="Arial" w:cs="Arial"/>
            <w:kern w:val="0"/>
            <w:sz w:val="22"/>
            <w:szCs w:val="22"/>
          </w:rPr>
          <w:t>https://www.britannica.com/topic/deontological-ethics</w:t>
        </w:r>
      </w:hyperlink>
      <w:r w:rsidRPr="00E56743">
        <w:rPr>
          <w:rFonts w:ascii="Arial" w:hAnsi="Arial" w:cs="Arial"/>
          <w:kern w:val="0"/>
          <w:sz w:val="22"/>
          <w:szCs w:val="22"/>
        </w:rPr>
        <w:t xml:space="preserve"> (Accessed: 2 January 2026).</w:t>
      </w:r>
    </w:p>
    <w:p w14:paraId="73DFE63C"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5441777D"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Cadle, J., Paul, D. and Turner, P. (2014) </w:t>
      </w:r>
      <w:r w:rsidRPr="00E56743">
        <w:rPr>
          <w:rFonts w:ascii="Arial" w:hAnsi="Arial" w:cs="Arial"/>
          <w:i/>
          <w:iCs/>
          <w:kern w:val="0"/>
          <w:sz w:val="22"/>
          <w:szCs w:val="22"/>
        </w:rPr>
        <w:t>BUSINESS ANALYSIS TECHNIQUES 72 Essential Tools for Success</w:t>
      </w:r>
      <w:r w:rsidRPr="00E56743">
        <w:rPr>
          <w:rFonts w:ascii="Arial" w:hAnsi="Arial" w:cs="Arial"/>
          <w:kern w:val="0"/>
          <w:sz w:val="22"/>
          <w:szCs w:val="22"/>
        </w:rPr>
        <w:t xml:space="preserve">. Available at: </w:t>
      </w:r>
      <w:hyperlink r:id="rId18" w:history="1">
        <w:r w:rsidRPr="00E56743">
          <w:rPr>
            <w:rStyle w:val="Hyperlink"/>
            <w:rFonts w:ascii="Arial" w:hAnsi="Arial" w:cs="Arial"/>
            <w:kern w:val="0"/>
            <w:sz w:val="22"/>
            <w:szCs w:val="22"/>
          </w:rPr>
          <w:t>https://www.britannica.com/topic/deontological-ethics</w:t>
        </w:r>
      </w:hyperlink>
      <w:r w:rsidRPr="00E56743">
        <w:rPr>
          <w:rFonts w:ascii="Arial" w:hAnsi="Arial" w:cs="Arial"/>
          <w:kern w:val="0"/>
          <w:sz w:val="22"/>
          <w:szCs w:val="22"/>
        </w:rPr>
        <w:t xml:space="preserve"> (Accessed: 29 December 2025).</w:t>
      </w:r>
    </w:p>
    <w:p w14:paraId="16521972"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6E91D0D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Cameron, S (2021). </w:t>
      </w:r>
      <w:r w:rsidRPr="00E56743">
        <w:rPr>
          <w:rFonts w:ascii="Arial" w:hAnsi="Arial" w:cs="Arial"/>
          <w:i/>
          <w:iCs/>
          <w:kern w:val="0"/>
          <w:sz w:val="22"/>
          <w:szCs w:val="22"/>
        </w:rPr>
        <w:t>The Business Student’s Handbook : Skills for Study and Employment</w:t>
      </w:r>
      <w:r w:rsidRPr="00E56743">
        <w:rPr>
          <w:rFonts w:ascii="Arial" w:hAnsi="Arial" w:cs="Arial"/>
          <w:kern w:val="0"/>
          <w:sz w:val="22"/>
          <w:szCs w:val="22"/>
        </w:rPr>
        <w:t>. Sixth edition. Harlow, England; Amsterdam: Pearson.</w:t>
      </w:r>
    </w:p>
    <w:p w14:paraId="29425505"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6B05F7E3"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Chatfield, T (2019). </w:t>
      </w:r>
      <w:r w:rsidRPr="00E56743">
        <w:rPr>
          <w:rFonts w:ascii="Arial" w:hAnsi="Arial" w:cs="Arial"/>
          <w:i/>
          <w:iCs/>
          <w:kern w:val="0"/>
          <w:sz w:val="22"/>
          <w:szCs w:val="22"/>
        </w:rPr>
        <w:t>Think Critically.</w:t>
      </w:r>
      <w:r w:rsidRPr="00E56743">
        <w:rPr>
          <w:rFonts w:ascii="Arial" w:hAnsi="Arial" w:cs="Arial"/>
          <w:kern w:val="0"/>
          <w:sz w:val="22"/>
          <w:szCs w:val="22"/>
        </w:rPr>
        <w:t xml:space="preserve"> SAGE.</w:t>
      </w:r>
    </w:p>
    <w:p w14:paraId="3BF018B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5F039E6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Cassidy, N (2022) </w:t>
      </w:r>
      <w:r w:rsidRPr="00E56743">
        <w:rPr>
          <w:rFonts w:ascii="Arial" w:hAnsi="Arial" w:cs="Arial"/>
          <w:i/>
          <w:iCs/>
          <w:kern w:val="0"/>
          <w:sz w:val="22"/>
          <w:szCs w:val="22"/>
        </w:rPr>
        <w:t xml:space="preserve">CIPD Podcast 181: Evidence-Based L&amp;D – Measuring Learning Transfer </w:t>
      </w:r>
      <w:r w:rsidRPr="00E56743">
        <w:rPr>
          <w:rFonts w:ascii="Arial" w:hAnsi="Arial" w:cs="Arial"/>
          <w:kern w:val="0"/>
          <w:sz w:val="22"/>
          <w:szCs w:val="22"/>
        </w:rPr>
        <w:t xml:space="preserve">[Podcast]. 8 March. Available at: </w:t>
      </w:r>
      <w:hyperlink r:id="rId19" w:history="1">
        <w:r w:rsidRPr="00E56743">
          <w:rPr>
            <w:rStyle w:val="Hyperlink"/>
            <w:rFonts w:ascii="Arial" w:hAnsi="Arial" w:cs="Arial"/>
            <w:kern w:val="0"/>
            <w:sz w:val="22"/>
            <w:szCs w:val="22"/>
          </w:rPr>
          <w:t>https://www.cipd.org/uk/knowledge/podcasts/transfer-of-learning/</w:t>
        </w:r>
      </w:hyperlink>
      <w:r w:rsidRPr="00E56743">
        <w:rPr>
          <w:rFonts w:ascii="Arial" w:hAnsi="Arial" w:cs="Arial"/>
          <w:kern w:val="0"/>
          <w:sz w:val="22"/>
          <w:szCs w:val="22"/>
        </w:rPr>
        <w:t xml:space="preserve"> (Accessed: 28 January 2026).</w:t>
      </w:r>
    </w:p>
    <w:p w14:paraId="35D37450"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28E08E4A"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(2023) </w:t>
      </w:r>
      <w:r w:rsidRPr="00E56743">
        <w:rPr>
          <w:rFonts w:ascii="Arial" w:hAnsi="Arial" w:cs="Arial"/>
          <w:i/>
          <w:iCs/>
          <w:kern w:val="0"/>
          <w:sz w:val="22"/>
          <w:szCs w:val="22"/>
        </w:rPr>
        <w:t>Code of Conduct and Ethics</w:t>
      </w:r>
      <w:r w:rsidRPr="00E56743">
        <w:rPr>
          <w:rFonts w:ascii="Arial" w:hAnsi="Arial" w:cs="Arial"/>
          <w:kern w:val="0"/>
          <w:sz w:val="22"/>
          <w:szCs w:val="22"/>
        </w:rPr>
        <w:t xml:space="preserve">. Available at: </w:t>
      </w:r>
      <w:hyperlink r:id="rId20" w:history="1">
        <w:r w:rsidRPr="00E56743">
          <w:rPr>
            <w:rStyle w:val="Hyperlink"/>
            <w:rFonts w:ascii="Arial" w:hAnsi="Arial" w:cs="Arial"/>
            <w:kern w:val="0"/>
            <w:sz w:val="22"/>
            <w:szCs w:val="22"/>
          </w:rPr>
          <w:t>https://www.cipd.org/globalassets/media/comms/code-of-conduct/2023-cipd-code-of-conduct-and-ethics.pdf</w:t>
        </w:r>
      </w:hyperlink>
      <w:r w:rsidRPr="00E56743">
        <w:rPr>
          <w:rFonts w:ascii="Arial" w:hAnsi="Arial" w:cs="Arial"/>
          <w:kern w:val="0"/>
          <w:sz w:val="22"/>
          <w:szCs w:val="22"/>
        </w:rPr>
        <w:t xml:space="preserve"> (Accessed: 4 January 2026).</w:t>
      </w:r>
    </w:p>
    <w:p w14:paraId="0AC0AE57"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49BF818D"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(2024) </w:t>
      </w:r>
      <w:r w:rsidRPr="00E56743">
        <w:rPr>
          <w:rFonts w:ascii="Arial" w:hAnsi="Arial" w:cs="Arial"/>
          <w:i/>
          <w:iCs/>
          <w:kern w:val="0"/>
          <w:sz w:val="22"/>
          <w:szCs w:val="22"/>
        </w:rPr>
        <w:t>Ethical Practice</w:t>
      </w:r>
      <w:r w:rsidRPr="00E56743">
        <w:rPr>
          <w:rFonts w:ascii="Arial" w:hAnsi="Arial" w:cs="Arial"/>
          <w:kern w:val="0"/>
          <w:sz w:val="22"/>
          <w:szCs w:val="22"/>
        </w:rPr>
        <w:t xml:space="preserve">. Available at: </w:t>
      </w:r>
      <w:hyperlink r:id="rId21" w:history="1">
        <w:r w:rsidRPr="00E56743">
          <w:rPr>
            <w:rStyle w:val="Hyperlink"/>
            <w:rFonts w:ascii="Arial" w:hAnsi="Arial" w:cs="Arial"/>
            <w:kern w:val="0"/>
            <w:sz w:val="22"/>
            <w:szCs w:val="22"/>
          </w:rPr>
          <w:t>https://www.cipd.org/uk/the-people-profession/the-profession-map/explore-the-profession-map/core-behaviours/ethical-practice/</w:t>
        </w:r>
      </w:hyperlink>
      <w:r w:rsidRPr="00E56743">
        <w:rPr>
          <w:rFonts w:ascii="Arial" w:hAnsi="Arial" w:cs="Arial"/>
          <w:kern w:val="0"/>
          <w:sz w:val="22"/>
          <w:szCs w:val="22"/>
        </w:rPr>
        <w:t xml:space="preserve"> (Accessed: 30 </w:t>
      </w:r>
      <w:r w:rsidRPr="00E56743">
        <w:rPr>
          <w:rFonts w:ascii="Arial" w:hAnsi="Arial" w:cs="Arial"/>
          <w:kern w:val="0"/>
          <w:sz w:val="22"/>
          <w:szCs w:val="22"/>
        </w:rPr>
        <w:lastRenderedPageBreak/>
        <w:t>January 2026).</w:t>
      </w:r>
    </w:p>
    <w:p w14:paraId="4A1C33F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52D9E1CD"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(2024a) </w:t>
      </w:r>
      <w:r w:rsidRPr="00E56743">
        <w:rPr>
          <w:rFonts w:ascii="Arial" w:hAnsi="Arial" w:cs="Arial"/>
          <w:i/>
          <w:iCs/>
          <w:kern w:val="0"/>
          <w:sz w:val="22"/>
          <w:szCs w:val="22"/>
        </w:rPr>
        <w:t>Using technology responsibly: Guidance for people professionals.</w:t>
      </w:r>
      <w:r w:rsidRPr="00E56743">
        <w:rPr>
          <w:rFonts w:ascii="Arial" w:hAnsi="Arial" w:cs="Arial"/>
          <w:kern w:val="0"/>
          <w:sz w:val="22"/>
          <w:szCs w:val="22"/>
        </w:rPr>
        <w:t xml:space="preserve"> Available at: </w:t>
      </w:r>
      <w:hyperlink r:id="rId22" w:history="1">
        <w:r w:rsidRPr="00E56743">
          <w:rPr>
            <w:rStyle w:val="Hyperlink"/>
            <w:rFonts w:ascii="Arial" w:hAnsi="Arial" w:cs="Arial"/>
            <w:kern w:val="0"/>
            <w:sz w:val="22"/>
            <w:szCs w:val="22"/>
          </w:rPr>
          <w:t>https://www.cipd.org/uk/knowledge/guides/responsible-technology-use</w:t>
        </w:r>
      </w:hyperlink>
      <w:r w:rsidRPr="00E56743">
        <w:rPr>
          <w:rFonts w:ascii="Arial" w:hAnsi="Arial" w:cs="Arial"/>
          <w:kern w:val="0"/>
          <w:sz w:val="22"/>
          <w:szCs w:val="22"/>
        </w:rPr>
        <w:t xml:space="preserve"> (Accessed: 7 December 2025).</w:t>
      </w:r>
    </w:p>
    <w:p w14:paraId="62DE733B"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0BB85EAD"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lang w:val="en-US"/>
        </w:rPr>
      </w:pPr>
      <w:r w:rsidRPr="00E56743">
        <w:rPr>
          <w:rFonts w:ascii="Arial" w:hAnsi="Arial" w:cs="Arial"/>
          <w:kern w:val="0"/>
          <w:sz w:val="22"/>
          <w:szCs w:val="22"/>
          <w:lang w:val="en-US"/>
        </w:rPr>
        <w:t xml:space="preserve">CIPD (2025a) </w:t>
      </w:r>
      <w:r w:rsidRPr="00E56743">
        <w:rPr>
          <w:rFonts w:ascii="Arial" w:hAnsi="Arial" w:cs="Arial"/>
          <w:i/>
          <w:iCs/>
          <w:kern w:val="0"/>
          <w:sz w:val="22"/>
          <w:szCs w:val="22"/>
          <w:lang w:val="en-US"/>
        </w:rPr>
        <w:t>Evidence-Based Practice for Effective Decision-Making.</w:t>
      </w:r>
      <w:r w:rsidRPr="00E56743">
        <w:rPr>
          <w:rFonts w:ascii="Arial" w:hAnsi="Arial" w:cs="Arial"/>
          <w:kern w:val="0"/>
          <w:sz w:val="22"/>
          <w:szCs w:val="22"/>
          <w:lang w:val="en-US"/>
        </w:rPr>
        <w:t xml:space="preserve"> </w:t>
      </w:r>
      <w:r w:rsidRPr="00E56743">
        <w:rPr>
          <w:rFonts w:ascii="Arial" w:hAnsi="Arial" w:cs="Arial"/>
          <w:kern w:val="0"/>
          <w:sz w:val="22"/>
          <w:szCs w:val="22"/>
        </w:rPr>
        <w:t xml:space="preserve">Available at: </w:t>
      </w:r>
      <w:hyperlink r:id="rId23" w:history="1">
        <w:r w:rsidRPr="00E56743">
          <w:rPr>
            <w:rStyle w:val="Hyperlink"/>
            <w:rFonts w:ascii="Arial" w:hAnsi="Arial" w:cs="Arial"/>
            <w:kern w:val="0"/>
            <w:sz w:val="22"/>
            <w:szCs w:val="22"/>
          </w:rPr>
          <w:t>www.cipd.org/uk/knowledge/factsheets/evidence-based-practice-factsheet/</w:t>
        </w:r>
      </w:hyperlink>
      <w:r w:rsidRPr="00E56743">
        <w:rPr>
          <w:rFonts w:ascii="Arial" w:hAnsi="Arial" w:cs="Arial"/>
          <w:kern w:val="0"/>
          <w:sz w:val="22"/>
          <w:szCs w:val="22"/>
        </w:rPr>
        <w:t xml:space="preserve"> (</w:t>
      </w:r>
      <w:r w:rsidRPr="00E56743">
        <w:rPr>
          <w:rFonts w:ascii="Arial" w:hAnsi="Arial" w:cs="Arial"/>
          <w:kern w:val="0"/>
          <w:sz w:val="22"/>
          <w:szCs w:val="22"/>
          <w:lang w:val="en-US"/>
        </w:rPr>
        <w:t>Accessed: 19 December 2025).</w:t>
      </w:r>
    </w:p>
    <w:p w14:paraId="547753F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lang w:val="en-US"/>
        </w:rPr>
      </w:pPr>
    </w:p>
    <w:p w14:paraId="3B14C73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(2025b) </w:t>
      </w:r>
      <w:r w:rsidRPr="00E56743">
        <w:rPr>
          <w:rFonts w:ascii="Arial" w:hAnsi="Arial" w:cs="Arial"/>
          <w:i/>
          <w:iCs/>
          <w:kern w:val="0"/>
          <w:sz w:val="22"/>
          <w:szCs w:val="22"/>
        </w:rPr>
        <w:t>PESTLE Analysis</w:t>
      </w:r>
      <w:r w:rsidRPr="00E56743">
        <w:rPr>
          <w:rFonts w:ascii="Arial" w:hAnsi="Arial" w:cs="Arial"/>
          <w:kern w:val="0"/>
          <w:sz w:val="22"/>
          <w:szCs w:val="22"/>
        </w:rPr>
        <w:t xml:space="preserve">. Available at: </w:t>
      </w:r>
      <w:hyperlink r:id="rId24" w:history="1">
        <w:r w:rsidRPr="00E56743">
          <w:rPr>
            <w:rStyle w:val="Hyperlink"/>
            <w:rFonts w:ascii="Arial" w:hAnsi="Arial" w:cs="Arial"/>
            <w:kern w:val="0"/>
            <w:sz w:val="22"/>
            <w:szCs w:val="22"/>
          </w:rPr>
          <w:t>https://www.cipd.org/uk/knowledge/factsheets/pestle-analysis-factsheet/</w:t>
        </w:r>
      </w:hyperlink>
      <w:r w:rsidRPr="00E56743">
        <w:rPr>
          <w:rFonts w:ascii="Arial" w:hAnsi="Arial" w:cs="Arial"/>
          <w:kern w:val="0"/>
          <w:sz w:val="22"/>
          <w:szCs w:val="22"/>
        </w:rPr>
        <w:t xml:space="preserve"> (Accessed: 28 December 2025).</w:t>
      </w:r>
    </w:p>
    <w:p w14:paraId="34C9A2FA"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272BAE4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(2025c) </w:t>
      </w:r>
      <w:r w:rsidRPr="00E56743">
        <w:rPr>
          <w:rFonts w:ascii="Arial" w:hAnsi="Arial" w:cs="Arial"/>
          <w:i/>
          <w:iCs/>
          <w:kern w:val="0"/>
          <w:sz w:val="22"/>
          <w:szCs w:val="22"/>
        </w:rPr>
        <w:t>People Analytics</w:t>
      </w:r>
      <w:r w:rsidRPr="00E56743">
        <w:rPr>
          <w:rFonts w:ascii="Arial" w:hAnsi="Arial" w:cs="Arial"/>
          <w:kern w:val="0"/>
          <w:sz w:val="22"/>
          <w:szCs w:val="22"/>
        </w:rPr>
        <w:t xml:space="preserve">. Available at: </w:t>
      </w:r>
      <w:hyperlink r:id="rId25" w:history="1">
        <w:r w:rsidRPr="00E56743">
          <w:rPr>
            <w:rStyle w:val="Hyperlink"/>
            <w:rFonts w:ascii="Arial" w:hAnsi="Arial" w:cs="Arial"/>
            <w:kern w:val="0"/>
            <w:sz w:val="22"/>
            <w:szCs w:val="22"/>
          </w:rPr>
          <w:t>https://www.cipd.org/uk/knowledge/factsheets/analytics-factsheet/</w:t>
        </w:r>
      </w:hyperlink>
      <w:r w:rsidRPr="00E56743">
        <w:rPr>
          <w:rFonts w:ascii="Arial" w:hAnsi="Arial" w:cs="Arial"/>
          <w:kern w:val="0"/>
          <w:sz w:val="22"/>
          <w:szCs w:val="22"/>
        </w:rPr>
        <w:t xml:space="preserve"> (Accessed: 29 December 2025).</w:t>
      </w:r>
    </w:p>
    <w:p w14:paraId="217C6F77"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51C981BB"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(2025d) </w:t>
      </w:r>
      <w:r w:rsidRPr="00E56743">
        <w:rPr>
          <w:rFonts w:ascii="Arial" w:hAnsi="Arial" w:cs="Arial"/>
          <w:i/>
          <w:iCs/>
          <w:kern w:val="0"/>
          <w:sz w:val="22"/>
          <w:szCs w:val="22"/>
        </w:rPr>
        <w:t>Ethical Practice and the Role of People Professionals</w:t>
      </w:r>
      <w:r w:rsidRPr="00E56743">
        <w:rPr>
          <w:rFonts w:ascii="Arial" w:hAnsi="Arial" w:cs="Arial"/>
          <w:kern w:val="0"/>
          <w:sz w:val="22"/>
          <w:szCs w:val="22"/>
        </w:rPr>
        <w:t xml:space="preserve">. Available at: </w:t>
      </w:r>
      <w:hyperlink r:id="rId26" w:history="1">
        <w:r w:rsidRPr="00E56743">
          <w:rPr>
            <w:rStyle w:val="Hyperlink"/>
            <w:rFonts w:ascii="Arial" w:hAnsi="Arial" w:cs="Arial"/>
            <w:kern w:val="0"/>
            <w:sz w:val="22"/>
            <w:szCs w:val="22"/>
          </w:rPr>
          <w:t>https://www.cipd.org/uk/knowledge/factsheets/ethics-role-hr-factsheet/</w:t>
        </w:r>
      </w:hyperlink>
      <w:r w:rsidRPr="00E56743">
        <w:rPr>
          <w:rFonts w:ascii="Arial" w:hAnsi="Arial" w:cs="Arial"/>
          <w:kern w:val="0"/>
          <w:sz w:val="22"/>
          <w:szCs w:val="22"/>
        </w:rPr>
        <w:t xml:space="preserve"> (Accessed: 4 January 2026).</w:t>
      </w:r>
    </w:p>
    <w:p w14:paraId="7BA1AC0C"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3A82B5A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(2025e) Absence Management Tools. Available at: </w:t>
      </w:r>
      <w:hyperlink r:id="rId27" w:history="1">
        <w:r w:rsidRPr="00E56743">
          <w:rPr>
            <w:rStyle w:val="Hyperlink"/>
            <w:rFonts w:ascii="Arial" w:hAnsi="Arial" w:cs="Arial"/>
            <w:kern w:val="0"/>
            <w:sz w:val="22"/>
            <w:szCs w:val="22"/>
          </w:rPr>
          <w:t>https://www.cipd.org/uk/knowledge/tools/absence-management/</w:t>
        </w:r>
      </w:hyperlink>
      <w:r w:rsidRPr="00E56743">
        <w:rPr>
          <w:rFonts w:ascii="Arial" w:hAnsi="Arial" w:cs="Arial"/>
          <w:kern w:val="0"/>
          <w:sz w:val="22"/>
          <w:szCs w:val="22"/>
        </w:rPr>
        <w:t xml:space="preserve"> (Accessed: 13 January 2026).</w:t>
      </w:r>
    </w:p>
    <w:p w14:paraId="60BCD067"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437FB5E3"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(2025f) </w:t>
      </w:r>
      <w:r w:rsidRPr="00E56743">
        <w:rPr>
          <w:rFonts w:ascii="Arial" w:hAnsi="Arial" w:cs="Arial"/>
          <w:i/>
          <w:iCs/>
          <w:kern w:val="0"/>
          <w:sz w:val="22"/>
          <w:szCs w:val="22"/>
        </w:rPr>
        <w:t>Employee voice channels: Guide for people professionals.</w:t>
      </w:r>
      <w:r w:rsidRPr="00E56743">
        <w:rPr>
          <w:rFonts w:ascii="Arial" w:hAnsi="Arial" w:cs="Arial"/>
          <w:kern w:val="0"/>
          <w:sz w:val="22"/>
          <w:szCs w:val="22"/>
        </w:rPr>
        <w:t xml:space="preserve"> Available at: </w:t>
      </w:r>
      <w:hyperlink r:id="rId28" w:history="1">
        <w:r w:rsidRPr="00E56743">
          <w:rPr>
            <w:rStyle w:val="Hyperlink"/>
            <w:rFonts w:ascii="Arial" w:hAnsi="Arial" w:cs="Arial"/>
            <w:kern w:val="0"/>
            <w:sz w:val="22"/>
            <w:szCs w:val="22"/>
          </w:rPr>
          <w:t>https://www.cipd.org/uk/knowledge/guides/employee-voice-channels-guide-for-people-professionals/</w:t>
        </w:r>
      </w:hyperlink>
      <w:r w:rsidRPr="00E56743">
        <w:rPr>
          <w:rFonts w:ascii="Arial" w:hAnsi="Arial" w:cs="Arial"/>
          <w:kern w:val="0"/>
          <w:sz w:val="22"/>
          <w:szCs w:val="22"/>
        </w:rPr>
        <w:t xml:space="preserve"> (Accessed: 4 January 2026).</w:t>
      </w:r>
    </w:p>
    <w:p w14:paraId="35B6F47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1571A6BA"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CIPD (2025g) Learning and development strategy and policy. Available at: </w:t>
      </w:r>
      <w:hyperlink r:id="rId29" w:history="1">
        <w:r w:rsidRPr="00E56743">
          <w:rPr>
            <w:rStyle w:val="Hyperlink"/>
            <w:rFonts w:ascii="Arial" w:hAnsi="Arial" w:cs="Arial"/>
            <w:kern w:val="0"/>
            <w:sz w:val="22"/>
            <w:szCs w:val="22"/>
          </w:rPr>
          <w:t>https://www.cipd.org/uk/knowledge/factsheets/strategy-development-factsheet/</w:t>
        </w:r>
      </w:hyperlink>
      <w:r w:rsidRPr="00E56743">
        <w:rPr>
          <w:rFonts w:ascii="Arial" w:hAnsi="Arial" w:cs="Arial"/>
          <w:kern w:val="0"/>
          <w:sz w:val="22"/>
          <w:szCs w:val="22"/>
        </w:rPr>
        <w:t xml:space="preserve"> Accessed: 31 January 2026).</w:t>
      </w:r>
    </w:p>
    <w:p w14:paraId="48194ED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4415D83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CMI (2020) </w:t>
      </w:r>
      <w:r w:rsidRPr="00E56743">
        <w:rPr>
          <w:rFonts w:ascii="Arial" w:hAnsi="Arial" w:cs="Arial"/>
          <w:i/>
          <w:iCs/>
          <w:kern w:val="0"/>
          <w:sz w:val="22"/>
          <w:szCs w:val="22"/>
        </w:rPr>
        <w:t>Decision Making</w:t>
      </w:r>
      <w:r w:rsidRPr="00E56743">
        <w:rPr>
          <w:rFonts w:ascii="Arial" w:hAnsi="Arial" w:cs="Arial"/>
          <w:kern w:val="0"/>
          <w:sz w:val="22"/>
          <w:szCs w:val="22"/>
        </w:rPr>
        <w:t xml:space="preserve">. Available at: </w:t>
      </w:r>
      <w:hyperlink r:id="rId30" w:history="1">
        <w:r w:rsidRPr="00E56743">
          <w:rPr>
            <w:rStyle w:val="Hyperlink"/>
            <w:rFonts w:ascii="Arial" w:hAnsi="Arial" w:cs="Arial"/>
            <w:kern w:val="0"/>
            <w:sz w:val="22"/>
            <w:szCs w:val="22"/>
          </w:rPr>
          <w:t>https://www.managers.org.uk/knowledge-and-insights/resource/decision-making/</w:t>
        </w:r>
      </w:hyperlink>
      <w:r w:rsidRPr="00E56743">
        <w:rPr>
          <w:rFonts w:ascii="Arial" w:hAnsi="Arial" w:cs="Arial"/>
          <w:kern w:val="0"/>
          <w:sz w:val="22"/>
          <w:szCs w:val="22"/>
        </w:rPr>
        <w:t xml:space="preserve"> (Accessed: 2 January 2026).</w:t>
      </w:r>
    </w:p>
    <w:p w14:paraId="340410E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15142A4B"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De Bono, E. (2017) </w:t>
      </w:r>
      <w:r w:rsidRPr="00E56743">
        <w:rPr>
          <w:rFonts w:ascii="Arial" w:hAnsi="Arial" w:cs="Arial"/>
          <w:i/>
          <w:iCs/>
          <w:kern w:val="0"/>
          <w:sz w:val="22"/>
          <w:szCs w:val="22"/>
        </w:rPr>
        <w:t>Six Thinking Hats: The multi-million bestselling guide to running better meetings and making faster decisions</w:t>
      </w:r>
      <w:r w:rsidRPr="00E56743">
        <w:rPr>
          <w:rFonts w:ascii="Arial" w:hAnsi="Arial" w:cs="Arial"/>
          <w:kern w:val="0"/>
          <w:sz w:val="22"/>
          <w:szCs w:val="22"/>
        </w:rPr>
        <w:t>. Penguin UK.</w:t>
      </w:r>
    </w:p>
    <w:p w14:paraId="51C4649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41A74C33"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Hayden, D. (2024) </w:t>
      </w:r>
      <w:r w:rsidRPr="00E56743">
        <w:rPr>
          <w:rFonts w:ascii="Arial" w:hAnsi="Arial" w:cs="Arial"/>
          <w:i/>
          <w:iCs/>
          <w:kern w:val="0"/>
          <w:sz w:val="22"/>
          <w:szCs w:val="22"/>
        </w:rPr>
        <w:t>Learning needs analysis</w:t>
      </w:r>
      <w:r w:rsidRPr="00E56743">
        <w:rPr>
          <w:rFonts w:ascii="Arial" w:hAnsi="Arial" w:cs="Arial"/>
          <w:kern w:val="0"/>
          <w:sz w:val="22"/>
          <w:szCs w:val="22"/>
        </w:rPr>
        <w:t xml:space="preserve">. Available at: </w:t>
      </w:r>
      <w:hyperlink r:id="rId31" w:history="1">
        <w:r w:rsidRPr="00E56743">
          <w:rPr>
            <w:rStyle w:val="Hyperlink"/>
            <w:rFonts w:ascii="Arial" w:hAnsi="Arial" w:cs="Arial"/>
            <w:kern w:val="0"/>
            <w:sz w:val="22"/>
            <w:szCs w:val="22"/>
          </w:rPr>
          <w:t>https://www.cipd.org/uk/knowledge/factsheets/learning-needs-factsheet/</w:t>
        </w:r>
      </w:hyperlink>
      <w:r w:rsidRPr="00E56743">
        <w:rPr>
          <w:rFonts w:ascii="Arial" w:hAnsi="Arial" w:cs="Arial"/>
          <w:kern w:val="0"/>
          <w:sz w:val="22"/>
          <w:szCs w:val="22"/>
        </w:rPr>
        <w:t xml:space="preserve"> (Accessed 26 January 2026).</w:t>
      </w:r>
    </w:p>
    <w:p w14:paraId="1764451A"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4A2308E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Howlett, W (2019) CIPD Podcast 154: Critical Thinking [Podcast]. 5 November. Available at: </w:t>
      </w:r>
      <w:hyperlink r:id="rId32" w:history="1">
        <w:r w:rsidRPr="00E56743">
          <w:rPr>
            <w:rStyle w:val="Hyperlink"/>
            <w:rFonts w:ascii="Arial" w:hAnsi="Arial" w:cs="Arial"/>
            <w:kern w:val="0"/>
            <w:sz w:val="22"/>
            <w:szCs w:val="22"/>
          </w:rPr>
          <w:t>https://www.cipd.org/uk/knowledge/podcasts/critical-thinking/</w:t>
        </w:r>
      </w:hyperlink>
      <w:r w:rsidRPr="00E56743">
        <w:rPr>
          <w:rFonts w:ascii="Arial" w:hAnsi="Arial" w:cs="Arial"/>
          <w:kern w:val="0"/>
          <w:sz w:val="22"/>
          <w:szCs w:val="22"/>
        </w:rPr>
        <w:t xml:space="preserve"> (Accessed: 30 December 2025).</w:t>
      </w:r>
    </w:p>
    <w:p w14:paraId="48F0B7B2"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3D1997F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Jacobs, A (2024) </w:t>
      </w:r>
      <w:r w:rsidRPr="00E56743">
        <w:rPr>
          <w:rFonts w:ascii="Arial" w:hAnsi="Arial" w:cs="Arial"/>
          <w:i/>
          <w:iCs/>
          <w:kern w:val="0"/>
          <w:sz w:val="22"/>
          <w:szCs w:val="22"/>
        </w:rPr>
        <w:t>Proving Impact: Measure effectiveness and drive results</w:t>
      </w:r>
      <w:r w:rsidRPr="00E56743">
        <w:rPr>
          <w:rFonts w:ascii="Arial" w:hAnsi="Arial" w:cs="Arial"/>
          <w:kern w:val="0"/>
          <w:sz w:val="22"/>
          <w:szCs w:val="22"/>
        </w:rPr>
        <w:t>. London: Amazon.</w:t>
      </w:r>
    </w:p>
    <w:p w14:paraId="5C497A3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19E7462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Kaplan, R.S. and Norton, D.P. (1992) </w:t>
      </w:r>
      <w:r w:rsidRPr="00E56743">
        <w:rPr>
          <w:rFonts w:ascii="Arial" w:hAnsi="Arial" w:cs="Arial"/>
          <w:i/>
          <w:iCs/>
          <w:kern w:val="0"/>
          <w:sz w:val="22"/>
          <w:szCs w:val="22"/>
        </w:rPr>
        <w:t>The Balanced Scorecard: Translating Strategy into Action</w:t>
      </w:r>
      <w:r w:rsidRPr="00E56743">
        <w:rPr>
          <w:rFonts w:ascii="Arial" w:hAnsi="Arial" w:cs="Arial"/>
          <w:kern w:val="0"/>
          <w:sz w:val="22"/>
          <w:szCs w:val="22"/>
        </w:rPr>
        <w:t>. Harvard: Harvard Business Review Press.</w:t>
      </w:r>
    </w:p>
    <w:p w14:paraId="5AF799B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587B3031"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Khan, N. and Millner, D. (2023) </w:t>
      </w:r>
      <w:r w:rsidRPr="00E56743">
        <w:rPr>
          <w:rFonts w:ascii="Arial" w:hAnsi="Arial" w:cs="Arial"/>
          <w:i/>
          <w:iCs/>
          <w:kern w:val="0"/>
          <w:sz w:val="22"/>
          <w:szCs w:val="22"/>
        </w:rPr>
        <w:t xml:space="preserve">Introduction to people analytics: a practical guide to data-driven </w:t>
      </w:r>
      <w:r w:rsidRPr="00E56743">
        <w:rPr>
          <w:rFonts w:ascii="Arial" w:hAnsi="Arial" w:cs="Arial"/>
          <w:i/>
          <w:iCs/>
          <w:kern w:val="0"/>
          <w:sz w:val="22"/>
          <w:szCs w:val="22"/>
        </w:rPr>
        <w:lastRenderedPageBreak/>
        <w:t>HR</w:t>
      </w:r>
      <w:r w:rsidRPr="00E56743">
        <w:rPr>
          <w:rFonts w:ascii="Arial" w:hAnsi="Arial" w:cs="Arial"/>
          <w:kern w:val="0"/>
          <w:sz w:val="22"/>
          <w:szCs w:val="22"/>
        </w:rPr>
        <w:t>. 2nd edn. London: Kogan Page.</w:t>
      </w:r>
    </w:p>
    <w:p w14:paraId="585CE6B1"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08F4A27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Knowles, M.S. </w:t>
      </w:r>
      <w:r w:rsidRPr="00E56743">
        <w:rPr>
          <w:rFonts w:ascii="Arial" w:hAnsi="Arial" w:cs="Arial"/>
          <w:i/>
          <w:iCs/>
          <w:kern w:val="0"/>
          <w:sz w:val="22"/>
          <w:szCs w:val="22"/>
        </w:rPr>
        <w:t>et al.</w:t>
      </w:r>
      <w:r w:rsidRPr="00E56743">
        <w:rPr>
          <w:rFonts w:ascii="Arial" w:hAnsi="Arial" w:cs="Arial"/>
          <w:kern w:val="0"/>
          <w:sz w:val="22"/>
          <w:szCs w:val="22"/>
        </w:rPr>
        <w:t> (2020) </w:t>
      </w:r>
      <w:r w:rsidRPr="00E56743">
        <w:rPr>
          <w:rFonts w:ascii="Arial" w:hAnsi="Arial" w:cs="Arial"/>
          <w:i/>
          <w:iCs/>
          <w:kern w:val="0"/>
          <w:sz w:val="22"/>
          <w:szCs w:val="22"/>
        </w:rPr>
        <w:t>The adult learner: the definitive classic in adult education and human resource development</w:t>
      </w:r>
      <w:r w:rsidRPr="00E56743">
        <w:rPr>
          <w:rFonts w:ascii="Arial" w:hAnsi="Arial" w:cs="Arial"/>
          <w:kern w:val="0"/>
          <w:sz w:val="22"/>
          <w:szCs w:val="22"/>
        </w:rPr>
        <w:t>. Ninth edition. Abingdon: Routledge.</w:t>
      </w:r>
    </w:p>
    <w:p w14:paraId="6563BE73"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2C0980D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i/>
          <w:iCs/>
          <w:kern w:val="0"/>
          <w:sz w:val="22"/>
          <w:szCs w:val="22"/>
        </w:rPr>
        <w:t>Leadership Training Hub</w:t>
      </w:r>
      <w:r w:rsidRPr="00E56743">
        <w:rPr>
          <w:rFonts w:ascii="Arial" w:hAnsi="Arial" w:cs="Arial"/>
          <w:kern w:val="0"/>
          <w:sz w:val="22"/>
          <w:szCs w:val="22"/>
        </w:rPr>
        <w:t xml:space="preserve"> (2024) Available at: </w:t>
      </w:r>
      <w:hyperlink r:id="rId33" w:history="1">
        <w:r w:rsidRPr="00E56743">
          <w:rPr>
            <w:rStyle w:val="Hyperlink"/>
            <w:rFonts w:ascii="Arial" w:hAnsi="Arial" w:cs="Arial"/>
            <w:kern w:val="0"/>
            <w:sz w:val="22"/>
            <w:szCs w:val="22"/>
          </w:rPr>
          <w:t>https://www.leadershiptraininghub.com/leadership-training-costs-uk/</w:t>
        </w:r>
      </w:hyperlink>
      <w:r w:rsidRPr="00E56743">
        <w:rPr>
          <w:rFonts w:ascii="Arial" w:hAnsi="Arial" w:cs="Arial"/>
          <w:kern w:val="0"/>
          <w:sz w:val="22"/>
          <w:szCs w:val="22"/>
        </w:rPr>
        <w:t xml:space="preserve"> (Accessed: 28 January 2026).</w:t>
      </w:r>
    </w:p>
    <w:p w14:paraId="6FD42AE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03A01771"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Martin, M., Whiting, F. and Jackson, T. (2010) </w:t>
      </w:r>
      <w:r w:rsidRPr="00E56743">
        <w:rPr>
          <w:rFonts w:ascii="Arial" w:hAnsi="Arial" w:cs="Arial"/>
          <w:i/>
          <w:iCs/>
          <w:kern w:val="0"/>
          <w:sz w:val="22"/>
          <w:szCs w:val="22"/>
        </w:rPr>
        <w:t>Human Resource Practice.</w:t>
      </w:r>
      <w:r w:rsidRPr="00E56743">
        <w:rPr>
          <w:rFonts w:ascii="Arial" w:hAnsi="Arial" w:cs="Arial"/>
          <w:kern w:val="0"/>
          <w:sz w:val="22"/>
          <w:szCs w:val="22"/>
        </w:rPr>
        <w:t xml:space="preserve"> Fifth edition. London: Chartered Institute of Personnel and Development.</w:t>
      </w:r>
    </w:p>
    <w:p w14:paraId="40D66CEA"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2FAFF609"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i/>
          <w:iCs/>
          <w:kern w:val="0"/>
          <w:sz w:val="22"/>
          <w:szCs w:val="22"/>
        </w:rPr>
        <w:t>Online Surveys</w:t>
      </w:r>
      <w:r w:rsidRPr="00E56743">
        <w:rPr>
          <w:rFonts w:ascii="Arial" w:hAnsi="Arial" w:cs="Arial"/>
          <w:kern w:val="0"/>
          <w:sz w:val="22"/>
          <w:szCs w:val="22"/>
        </w:rPr>
        <w:t xml:space="preserve"> (2025) Available at: </w:t>
      </w:r>
      <w:hyperlink r:id="rId34" w:history="1">
        <w:r w:rsidRPr="00E56743">
          <w:rPr>
            <w:rStyle w:val="Hyperlink"/>
            <w:rFonts w:ascii="Arial" w:hAnsi="Arial" w:cs="Arial"/>
            <w:kern w:val="0"/>
            <w:sz w:val="22"/>
            <w:szCs w:val="22"/>
          </w:rPr>
          <w:t>https://onlinesurveys.jisc.ac.uk/buy/</w:t>
        </w:r>
      </w:hyperlink>
      <w:r w:rsidRPr="00E56743">
        <w:rPr>
          <w:rFonts w:ascii="Arial" w:hAnsi="Arial" w:cs="Arial"/>
          <w:kern w:val="0"/>
          <w:sz w:val="22"/>
          <w:szCs w:val="22"/>
        </w:rPr>
        <w:t xml:space="preserve"> (Accessed 28 January 2026).</w:t>
      </w:r>
    </w:p>
    <w:p w14:paraId="61850EB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0C7E82A7"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Picardi, C.A. (2020) </w:t>
      </w:r>
      <w:r w:rsidRPr="00E56743">
        <w:rPr>
          <w:rFonts w:ascii="Arial" w:hAnsi="Arial" w:cs="Arial"/>
          <w:i/>
          <w:iCs/>
          <w:kern w:val="0"/>
          <w:sz w:val="22"/>
          <w:szCs w:val="22"/>
        </w:rPr>
        <w:t>Recruitment and selection : strategies for workforce planning and assessment</w:t>
      </w:r>
      <w:r w:rsidRPr="00E56743">
        <w:rPr>
          <w:rFonts w:ascii="Arial" w:hAnsi="Arial" w:cs="Arial"/>
          <w:kern w:val="0"/>
          <w:sz w:val="22"/>
          <w:szCs w:val="22"/>
        </w:rPr>
        <w:t>. Los Angeles, California: SAGE.</w:t>
      </w:r>
    </w:p>
    <w:p w14:paraId="3A69A5B1"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6C66E9CD"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Revans, R. (2017) </w:t>
      </w:r>
      <w:r w:rsidRPr="00E56743">
        <w:rPr>
          <w:rFonts w:ascii="Arial" w:hAnsi="Arial" w:cs="Arial"/>
          <w:i/>
          <w:iCs/>
          <w:kern w:val="0"/>
          <w:sz w:val="22"/>
          <w:szCs w:val="22"/>
        </w:rPr>
        <w:t>ABC of Action Learning.</w:t>
      </w:r>
      <w:r w:rsidRPr="00E56743">
        <w:rPr>
          <w:rFonts w:ascii="Arial" w:hAnsi="Arial" w:cs="Arial"/>
          <w:kern w:val="0"/>
          <w:sz w:val="22"/>
          <w:szCs w:val="22"/>
        </w:rPr>
        <w:t xml:space="preserve"> Abingdon: Taylor &amp; Francis Ltd.</w:t>
      </w:r>
    </w:p>
    <w:p w14:paraId="461BF27E"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432452F6"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Rousseau, D. (2012) </w:t>
      </w:r>
      <w:r w:rsidRPr="00E56743">
        <w:rPr>
          <w:rFonts w:ascii="Arial" w:hAnsi="Arial" w:cs="Arial"/>
          <w:i/>
          <w:iCs/>
          <w:kern w:val="0"/>
          <w:sz w:val="22"/>
          <w:szCs w:val="22"/>
        </w:rPr>
        <w:t>Evidence-Based Management</w:t>
      </w:r>
      <w:r w:rsidRPr="00E56743">
        <w:rPr>
          <w:rFonts w:ascii="Arial" w:hAnsi="Arial" w:cs="Arial"/>
          <w:kern w:val="0"/>
          <w:sz w:val="22"/>
          <w:szCs w:val="22"/>
        </w:rPr>
        <w:t xml:space="preserve">. Available at: </w:t>
      </w:r>
      <w:hyperlink r:id="rId35" w:history="1">
        <w:r w:rsidRPr="00E56743">
          <w:rPr>
            <w:rStyle w:val="Hyperlink"/>
            <w:rFonts w:ascii="Arial" w:hAnsi="Arial" w:cs="Arial"/>
            <w:kern w:val="0"/>
            <w:sz w:val="22"/>
            <w:szCs w:val="22"/>
          </w:rPr>
          <w:t>https://hstalks-com.ezproxy.uwtsd.ac.uk/t/2464/evidence-based-management-helping-managers-make-be/?business%20</w:t>
        </w:r>
      </w:hyperlink>
      <w:r w:rsidRPr="00E56743">
        <w:rPr>
          <w:rFonts w:ascii="Arial" w:hAnsi="Arial" w:cs="Arial"/>
          <w:kern w:val="0"/>
          <w:sz w:val="22"/>
          <w:szCs w:val="22"/>
        </w:rPr>
        <w:t xml:space="preserve"> (Accessed: 20 Dec. 2025).</w:t>
      </w:r>
    </w:p>
    <w:p w14:paraId="68615130"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638F7A03"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Scribd (2024) </w:t>
      </w:r>
      <w:r w:rsidRPr="00E56743">
        <w:rPr>
          <w:rFonts w:ascii="Arial" w:hAnsi="Arial" w:cs="Arial"/>
          <w:i/>
          <w:iCs/>
          <w:kern w:val="0"/>
          <w:sz w:val="22"/>
          <w:szCs w:val="22"/>
        </w:rPr>
        <w:t>The Six Thinking Hats</w:t>
      </w:r>
      <w:r w:rsidRPr="00E56743">
        <w:rPr>
          <w:rFonts w:ascii="Arial" w:hAnsi="Arial" w:cs="Arial"/>
          <w:kern w:val="0"/>
          <w:sz w:val="22"/>
          <w:szCs w:val="22"/>
        </w:rPr>
        <w:t xml:space="preserve">. Available at: </w:t>
      </w:r>
      <w:hyperlink r:id="rId36" w:history="1">
        <w:r w:rsidRPr="00E56743">
          <w:rPr>
            <w:rStyle w:val="Hyperlink"/>
            <w:rFonts w:ascii="Arial" w:hAnsi="Arial" w:cs="Arial"/>
            <w:kern w:val="0"/>
            <w:sz w:val="22"/>
            <w:szCs w:val="22"/>
          </w:rPr>
          <w:t>https://www.scribd.com/presentation/749067937/The-Six-Thinking-Hats</w:t>
        </w:r>
      </w:hyperlink>
      <w:r w:rsidRPr="00E56743">
        <w:rPr>
          <w:rFonts w:ascii="Arial" w:hAnsi="Arial" w:cs="Arial"/>
          <w:kern w:val="0"/>
          <w:sz w:val="22"/>
          <w:szCs w:val="22"/>
        </w:rPr>
        <w:t xml:space="preserve"> (Accessed: 28 December 2025).</w:t>
      </w:r>
    </w:p>
    <w:p w14:paraId="2C2AB46F"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1248AC58"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Taylor, S. (2011) </w:t>
      </w:r>
      <w:r w:rsidRPr="00E56743">
        <w:rPr>
          <w:rFonts w:ascii="Arial" w:hAnsi="Arial" w:cs="Arial"/>
          <w:i/>
          <w:iCs/>
          <w:kern w:val="0"/>
          <w:sz w:val="22"/>
          <w:szCs w:val="22"/>
        </w:rPr>
        <w:t>Contemporary Issues in Human Resource Management</w:t>
      </w:r>
      <w:r w:rsidRPr="00E56743">
        <w:rPr>
          <w:rFonts w:ascii="Arial" w:hAnsi="Arial" w:cs="Arial"/>
          <w:kern w:val="0"/>
          <w:sz w:val="22"/>
          <w:szCs w:val="22"/>
        </w:rPr>
        <w:t>. London: Chartered Institute Of Personnel And Development.</w:t>
      </w:r>
    </w:p>
    <w:p w14:paraId="53691647"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09086AFD"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Taylor, S. and Woodhams, C. (2022) </w:t>
      </w:r>
      <w:r w:rsidRPr="00E56743">
        <w:rPr>
          <w:rFonts w:ascii="Arial" w:hAnsi="Arial" w:cs="Arial"/>
          <w:i/>
          <w:kern w:val="0"/>
          <w:sz w:val="22"/>
          <w:szCs w:val="22"/>
        </w:rPr>
        <w:t>Human Resource Management: People and Organisations</w:t>
      </w:r>
      <w:r w:rsidRPr="00E56743">
        <w:rPr>
          <w:rFonts w:ascii="Arial" w:hAnsi="Arial" w:cs="Arial"/>
          <w:kern w:val="0"/>
          <w:sz w:val="22"/>
          <w:szCs w:val="22"/>
        </w:rPr>
        <w:t xml:space="preserve">. Third edition. London: Kogan Page. </w:t>
      </w:r>
    </w:p>
    <w:p w14:paraId="22FD162C"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0CC6680E" w14:textId="0BBC2673"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The Open University (2024) </w:t>
      </w:r>
      <w:r w:rsidRPr="00E56743">
        <w:rPr>
          <w:rFonts w:ascii="Arial" w:hAnsi="Arial" w:cs="Arial"/>
          <w:i/>
          <w:iCs/>
          <w:kern w:val="0"/>
          <w:sz w:val="22"/>
          <w:szCs w:val="22"/>
        </w:rPr>
        <w:t>The Open University</w:t>
      </w:r>
      <w:r w:rsidRPr="00E56743">
        <w:rPr>
          <w:rFonts w:ascii="Arial" w:hAnsi="Arial" w:cs="Arial"/>
          <w:kern w:val="0"/>
          <w:sz w:val="22"/>
          <w:szCs w:val="22"/>
        </w:rPr>
        <w:t xml:space="preserve">. Available at: </w:t>
      </w:r>
      <w:hyperlink r:id="rId37" w:history="1">
        <w:r w:rsidRPr="00E56743">
          <w:rPr>
            <w:rStyle w:val="Hyperlink"/>
            <w:rFonts w:ascii="Arial" w:hAnsi="Arial" w:cs="Arial"/>
            <w:kern w:val="0"/>
            <w:sz w:val="22"/>
            <w:szCs w:val="22"/>
          </w:rPr>
          <w:t>https://help.open.ac.uk/critical-reading-techniques/active-reading</w:t>
        </w:r>
      </w:hyperlink>
      <w:r w:rsidRPr="00E56743">
        <w:rPr>
          <w:rFonts w:ascii="Arial" w:hAnsi="Arial" w:cs="Arial"/>
          <w:kern w:val="0"/>
          <w:sz w:val="22"/>
          <w:szCs w:val="22"/>
        </w:rPr>
        <w:t xml:space="preserve"> (Accessed: 29 December 2025).</w:t>
      </w:r>
    </w:p>
    <w:p w14:paraId="609128C4" w14:textId="77777777"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p>
    <w:p w14:paraId="3292A798" w14:textId="6076D182" w:rsidR="00BD2D4D" w:rsidRPr="00E56743" w:rsidRDefault="00BD2D4D" w:rsidP="00E56743">
      <w:pPr>
        <w:widowControl w:val="0"/>
        <w:autoSpaceDE w:val="0"/>
        <w:autoSpaceDN w:val="0"/>
        <w:adjustRightInd w:val="0"/>
        <w:spacing w:after="0" w:line="269" w:lineRule="auto"/>
        <w:rPr>
          <w:rFonts w:ascii="Arial" w:hAnsi="Arial" w:cs="Arial"/>
          <w:kern w:val="0"/>
          <w:sz w:val="22"/>
          <w:szCs w:val="22"/>
        </w:rPr>
      </w:pPr>
      <w:r w:rsidRPr="00E56743">
        <w:rPr>
          <w:rFonts w:ascii="Arial" w:hAnsi="Arial" w:cs="Arial"/>
          <w:kern w:val="0"/>
          <w:sz w:val="22"/>
          <w:szCs w:val="22"/>
        </w:rPr>
        <w:t xml:space="preserve">Vulpen, E.V. (2018) </w:t>
      </w:r>
      <w:r w:rsidRPr="00E56743">
        <w:rPr>
          <w:rFonts w:ascii="Arial" w:hAnsi="Arial" w:cs="Arial"/>
          <w:i/>
          <w:iCs/>
          <w:kern w:val="0"/>
          <w:sz w:val="22"/>
          <w:szCs w:val="22"/>
        </w:rPr>
        <w:t>7 Human Resource Best Practices | A Mini-Guide to HRM</w:t>
      </w:r>
      <w:r w:rsidRPr="00E56743">
        <w:rPr>
          <w:rFonts w:ascii="Arial" w:hAnsi="Arial" w:cs="Arial"/>
          <w:kern w:val="0"/>
          <w:sz w:val="22"/>
          <w:szCs w:val="22"/>
        </w:rPr>
        <w:t xml:space="preserve">. Available at: </w:t>
      </w:r>
      <w:hyperlink r:id="rId38" w:history="1">
        <w:r w:rsidRPr="00E56743">
          <w:rPr>
            <w:rStyle w:val="Hyperlink"/>
            <w:rFonts w:ascii="Arial" w:hAnsi="Arial" w:cs="Arial"/>
            <w:kern w:val="0"/>
            <w:sz w:val="22"/>
            <w:szCs w:val="22"/>
          </w:rPr>
          <w:t>https://www.aihr.com/blog/human-resource-best-practices/</w:t>
        </w:r>
      </w:hyperlink>
      <w:r w:rsidRPr="00E56743">
        <w:rPr>
          <w:rFonts w:ascii="Arial" w:hAnsi="Arial" w:cs="Arial"/>
          <w:kern w:val="0"/>
          <w:sz w:val="22"/>
          <w:szCs w:val="22"/>
        </w:rPr>
        <w:t xml:space="preserve"> (Accessed: 13 January 2026).</w:t>
      </w:r>
    </w:p>
    <w:p w14:paraId="1DA7DAE8" w14:textId="77777777" w:rsidR="00BD2D4D" w:rsidRPr="00E56743" w:rsidRDefault="00BD2D4D" w:rsidP="00E56743">
      <w:pPr>
        <w:spacing w:after="0" w:line="269" w:lineRule="auto"/>
        <w:rPr>
          <w:rFonts w:ascii="Arial" w:hAnsi="Arial" w:cs="Arial"/>
          <w:sz w:val="22"/>
          <w:szCs w:val="22"/>
        </w:rPr>
      </w:pPr>
    </w:p>
    <w:p w14:paraId="5EA59B26" w14:textId="136B45FA" w:rsidR="000C38D5" w:rsidRPr="00E56743" w:rsidRDefault="000C38D5" w:rsidP="00E56743">
      <w:pPr>
        <w:spacing w:after="0" w:line="269" w:lineRule="auto"/>
        <w:rPr>
          <w:rFonts w:ascii="Arial" w:hAnsi="Arial" w:cs="Arial"/>
          <w:sz w:val="22"/>
          <w:szCs w:val="22"/>
        </w:rPr>
      </w:pPr>
    </w:p>
    <w:sectPr w:rsidR="000C38D5" w:rsidRPr="00E56743" w:rsidSect="00E56743">
      <w:footerReference w:type="default" r:id="rId39"/>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ABD57" w14:textId="77777777" w:rsidR="00634597" w:rsidRDefault="00634597" w:rsidP="00882FDB">
      <w:pPr>
        <w:spacing w:after="0" w:line="240" w:lineRule="auto"/>
      </w:pPr>
      <w:r>
        <w:separator/>
      </w:r>
    </w:p>
  </w:endnote>
  <w:endnote w:type="continuationSeparator" w:id="0">
    <w:p w14:paraId="33F1B9AA" w14:textId="77777777" w:rsidR="00634597" w:rsidRDefault="00634597" w:rsidP="00882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8974727"/>
      <w:docPartObj>
        <w:docPartGallery w:val="Page Numbers (Bottom of Page)"/>
        <w:docPartUnique/>
      </w:docPartObj>
    </w:sdtPr>
    <w:sdtEndPr>
      <w:rPr>
        <w:rFonts w:ascii="Arial" w:hAnsi="Arial" w:cs="Arial"/>
        <w:color w:val="595959" w:themeColor="text1" w:themeTint="A6"/>
        <w:sz w:val="16"/>
        <w:szCs w:val="16"/>
      </w:rPr>
    </w:sdtEndPr>
    <w:sdtContent>
      <w:p w14:paraId="47F3427B" w14:textId="6B715CAC" w:rsidR="00882FDB" w:rsidRPr="00882FDB" w:rsidRDefault="00882FDB">
        <w:pPr>
          <w:pStyle w:val="Footer"/>
          <w:jc w:val="right"/>
          <w:rPr>
            <w:rFonts w:ascii="Arial" w:hAnsi="Arial" w:cs="Arial"/>
            <w:color w:val="595959" w:themeColor="text1" w:themeTint="A6"/>
            <w:sz w:val="16"/>
            <w:szCs w:val="16"/>
          </w:rPr>
        </w:pPr>
        <w:r w:rsidRPr="00882FDB">
          <w:rPr>
            <w:rFonts w:ascii="Arial" w:hAnsi="Arial" w:cs="Arial"/>
            <w:color w:val="595959" w:themeColor="text1" w:themeTint="A6"/>
            <w:sz w:val="16"/>
            <w:szCs w:val="16"/>
          </w:rPr>
          <w:fldChar w:fldCharType="begin"/>
        </w:r>
        <w:r w:rsidRPr="00882FDB">
          <w:rPr>
            <w:rFonts w:ascii="Arial" w:hAnsi="Arial" w:cs="Arial"/>
            <w:color w:val="595959" w:themeColor="text1" w:themeTint="A6"/>
            <w:sz w:val="16"/>
            <w:szCs w:val="16"/>
          </w:rPr>
          <w:instrText>PAGE   \* MERGEFORMAT</w:instrText>
        </w:r>
        <w:r w:rsidRPr="00882FDB">
          <w:rPr>
            <w:rFonts w:ascii="Arial" w:hAnsi="Arial" w:cs="Arial"/>
            <w:color w:val="595959" w:themeColor="text1" w:themeTint="A6"/>
            <w:sz w:val="16"/>
            <w:szCs w:val="16"/>
          </w:rPr>
          <w:fldChar w:fldCharType="separate"/>
        </w:r>
        <w:r w:rsidRPr="00882FDB">
          <w:rPr>
            <w:rFonts w:ascii="Arial" w:hAnsi="Arial" w:cs="Arial"/>
            <w:color w:val="595959" w:themeColor="text1" w:themeTint="A6"/>
            <w:sz w:val="16"/>
            <w:szCs w:val="16"/>
          </w:rPr>
          <w:t>2</w:t>
        </w:r>
        <w:r w:rsidRPr="00882FDB">
          <w:rPr>
            <w:rFonts w:ascii="Arial" w:hAnsi="Arial" w:cs="Arial"/>
            <w:color w:val="595959" w:themeColor="text1" w:themeTint="A6"/>
            <w:sz w:val="16"/>
            <w:szCs w:val="16"/>
          </w:rPr>
          <w:fldChar w:fldCharType="end"/>
        </w:r>
      </w:p>
    </w:sdtContent>
  </w:sdt>
  <w:p w14:paraId="19EC5716" w14:textId="77777777" w:rsidR="00882FDB" w:rsidRDefault="00882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CA4C7" w14:textId="77777777" w:rsidR="00634597" w:rsidRDefault="00634597" w:rsidP="00882FDB">
      <w:pPr>
        <w:spacing w:after="0" w:line="240" w:lineRule="auto"/>
      </w:pPr>
      <w:r>
        <w:separator/>
      </w:r>
    </w:p>
  </w:footnote>
  <w:footnote w:type="continuationSeparator" w:id="0">
    <w:p w14:paraId="19A88478" w14:textId="77777777" w:rsidR="00634597" w:rsidRDefault="00634597" w:rsidP="00882F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598"/>
    <w:rsid w:val="000149B7"/>
    <w:rsid w:val="00070316"/>
    <w:rsid w:val="00090510"/>
    <w:rsid w:val="000A6C73"/>
    <w:rsid w:val="000B72EE"/>
    <w:rsid w:val="000C38D5"/>
    <w:rsid w:val="000C72A1"/>
    <w:rsid w:val="000D5A66"/>
    <w:rsid w:val="000D6F32"/>
    <w:rsid w:val="000E1760"/>
    <w:rsid w:val="000E279C"/>
    <w:rsid w:val="000E5996"/>
    <w:rsid w:val="00110732"/>
    <w:rsid w:val="0012215A"/>
    <w:rsid w:val="00134934"/>
    <w:rsid w:val="001373DF"/>
    <w:rsid w:val="00152F7B"/>
    <w:rsid w:val="00163B24"/>
    <w:rsid w:val="0017318D"/>
    <w:rsid w:val="00192933"/>
    <w:rsid w:val="001B3706"/>
    <w:rsid w:val="001D6DA9"/>
    <w:rsid w:val="001E2E31"/>
    <w:rsid w:val="001E6607"/>
    <w:rsid w:val="0020458E"/>
    <w:rsid w:val="00221117"/>
    <w:rsid w:val="0024575C"/>
    <w:rsid w:val="002542A3"/>
    <w:rsid w:val="002B22A0"/>
    <w:rsid w:val="002B367E"/>
    <w:rsid w:val="002D4138"/>
    <w:rsid w:val="002D4FEA"/>
    <w:rsid w:val="002E08F6"/>
    <w:rsid w:val="002F2395"/>
    <w:rsid w:val="002F2C20"/>
    <w:rsid w:val="002F4E7B"/>
    <w:rsid w:val="003340AE"/>
    <w:rsid w:val="00334CFE"/>
    <w:rsid w:val="00345F20"/>
    <w:rsid w:val="00371C5B"/>
    <w:rsid w:val="00380437"/>
    <w:rsid w:val="0038056A"/>
    <w:rsid w:val="00393A70"/>
    <w:rsid w:val="003C4ABB"/>
    <w:rsid w:val="003C6D47"/>
    <w:rsid w:val="003D50D4"/>
    <w:rsid w:val="003E66AC"/>
    <w:rsid w:val="0040660F"/>
    <w:rsid w:val="00417B14"/>
    <w:rsid w:val="00437A2D"/>
    <w:rsid w:val="00480A5B"/>
    <w:rsid w:val="00495DCD"/>
    <w:rsid w:val="004B37AC"/>
    <w:rsid w:val="004C10FF"/>
    <w:rsid w:val="004F2BE9"/>
    <w:rsid w:val="004F455F"/>
    <w:rsid w:val="00525762"/>
    <w:rsid w:val="00571FEC"/>
    <w:rsid w:val="005912B1"/>
    <w:rsid w:val="005C7D14"/>
    <w:rsid w:val="00634597"/>
    <w:rsid w:val="0064132B"/>
    <w:rsid w:val="006C0D1A"/>
    <w:rsid w:val="00701E45"/>
    <w:rsid w:val="00710FBD"/>
    <w:rsid w:val="00727807"/>
    <w:rsid w:val="00730D81"/>
    <w:rsid w:val="00731126"/>
    <w:rsid w:val="0073374F"/>
    <w:rsid w:val="007400D3"/>
    <w:rsid w:val="0074595F"/>
    <w:rsid w:val="00755694"/>
    <w:rsid w:val="007C624D"/>
    <w:rsid w:val="007C72F1"/>
    <w:rsid w:val="00861A0C"/>
    <w:rsid w:val="008627DF"/>
    <w:rsid w:val="00882FDB"/>
    <w:rsid w:val="008A2024"/>
    <w:rsid w:val="008B0598"/>
    <w:rsid w:val="008C6C65"/>
    <w:rsid w:val="00977632"/>
    <w:rsid w:val="009A2958"/>
    <w:rsid w:val="009F16D4"/>
    <w:rsid w:val="009F72CB"/>
    <w:rsid w:val="00A20382"/>
    <w:rsid w:val="00A310B1"/>
    <w:rsid w:val="00A71010"/>
    <w:rsid w:val="00AC230A"/>
    <w:rsid w:val="00AD6DAE"/>
    <w:rsid w:val="00AF5539"/>
    <w:rsid w:val="00B112F5"/>
    <w:rsid w:val="00B21081"/>
    <w:rsid w:val="00B26571"/>
    <w:rsid w:val="00B345C0"/>
    <w:rsid w:val="00B67E67"/>
    <w:rsid w:val="00BA1403"/>
    <w:rsid w:val="00BC2828"/>
    <w:rsid w:val="00BD2D4D"/>
    <w:rsid w:val="00C25852"/>
    <w:rsid w:val="00C44ADC"/>
    <w:rsid w:val="00C50894"/>
    <w:rsid w:val="00C53537"/>
    <w:rsid w:val="00C64D9E"/>
    <w:rsid w:val="00C73E83"/>
    <w:rsid w:val="00CA5E4A"/>
    <w:rsid w:val="00CB39EB"/>
    <w:rsid w:val="00CD6480"/>
    <w:rsid w:val="00CE046B"/>
    <w:rsid w:val="00CF4BDA"/>
    <w:rsid w:val="00D31212"/>
    <w:rsid w:val="00D777D7"/>
    <w:rsid w:val="00D83746"/>
    <w:rsid w:val="00DF1090"/>
    <w:rsid w:val="00E342DA"/>
    <w:rsid w:val="00E56743"/>
    <w:rsid w:val="00EA64A7"/>
    <w:rsid w:val="00EB477F"/>
    <w:rsid w:val="00EC7959"/>
    <w:rsid w:val="00ED1470"/>
    <w:rsid w:val="00EE132A"/>
    <w:rsid w:val="00EF625F"/>
    <w:rsid w:val="00F0141B"/>
    <w:rsid w:val="00F254E6"/>
    <w:rsid w:val="00F87303"/>
    <w:rsid w:val="00FB6F5B"/>
    <w:rsid w:val="00FD1A2D"/>
    <w:rsid w:val="00FD27CF"/>
    <w:rsid w:val="00FE0740"/>
    <w:rsid w:val="00FF517C"/>
    <w:rsid w:val="00FF5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516D0"/>
  <w15:chartTrackingRefBased/>
  <w15:docId w15:val="{F24B5037-1D54-44A5-9DBA-02D73A80D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5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05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05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05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05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05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5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5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5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5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05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05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05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05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05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5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5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598"/>
    <w:rPr>
      <w:rFonts w:eastAsiaTheme="majorEastAsia" w:cstheme="majorBidi"/>
      <w:color w:val="272727" w:themeColor="text1" w:themeTint="D8"/>
    </w:rPr>
  </w:style>
  <w:style w:type="paragraph" w:styleId="Title">
    <w:name w:val="Title"/>
    <w:basedOn w:val="Normal"/>
    <w:next w:val="Normal"/>
    <w:link w:val="TitleChar"/>
    <w:uiPriority w:val="10"/>
    <w:qFormat/>
    <w:rsid w:val="008B05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5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5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5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598"/>
    <w:pPr>
      <w:spacing w:before="160"/>
      <w:jc w:val="center"/>
    </w:pPr>
    <w:rPr>
      <w:i/>
      <w:iCs/>
      <w:color w:val="404040" w:themeColor="text1" w:themeTint="BF"/>
    </w:rPr>
  </w:style>
  <w:style w:type="character" w:customStyle="1" w:styleId="QuoteChar">
    <w:name w:val="Quote Char"/>
    <w:basedOn w:val="DefaultParagraphFont"/>
    <w:link w:val="Quote"/>
    <w:uiPriority w:val="29"/>
    <w:rsid w:val="008B0598"/>
    <w:rPr>
      <w:i/>
      <w:iCs/>
      <w:color w:val="404040" w:themeColor="text1" w:themeTint="BF"/>
    </w:rPr>
  </w:style>
  <w:style w:type="paragraph" w:styleId="ListParagraph">
    <w:name w:val="List Paragraph"/>
    <w:basedOn w:val="Normal"/>
    <w:uiPriority w:val="34"/>
    <w:qFormat/>
    <w:rsid w:val="008B0598"/>
    <w:pPr>
      <w:ind w:left="720"/>
      <w:contextualSpacing/>
    </w:pPr>
  </w:style>
  <w:style w:type="character" w:styleId="IntenseEmphasis">
    <w:name w:val="Intense Emphasis"/>
    <w:basedOn w:val="DefaultParagraphFont"/>
    <w:uiPriority w:val="21"/>
    <w:qFormat/>
    <w:rsid w:val="008B0598"/>
    <w:rPr>
      <w:i/>
      <w:iCs/>
      <w:color w:val="0F4761" w:themeColor="accent1" w:themeShade="BF"/>
    </w:rPr>
  </w:style>
  <w:style w:type="paragraph" w:styleId="IntenseQuote">
    <w:name w:val="Intense Quote"/>
    <w:basedOn w:val="Normal"/>
    <w:next w:val="Normal"/>
    <w:link w:val="IntenseQuoteChar"/>
    <w:uiPriority w:val="30"/>
    <w:qFormat/>
    <w:rsid w:val="008B05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0598"/>
    <w:rPr>
      <w:i/>
      <w:iCs/>
      <w:color w:val="0F4761" w:themeColor="accent1" w:themeShade="BF"/>
    </w:rPr>
  </w:style>
  <w:style w:type="character" w:styleId="IntenseReference">
    <w:name w:val="Intense Reference"/>
    <w:basedOn w:val="DefaultParagraphFont"/>
    <w:uiPriority w:val="32"/>
    <w:qFormat/>
    <w:rsid w:val="008B0598"/>
    <w:rPr>
      <w:b/>
      <w:bCs/>
      <w:smallCaps/>
      <w:color w:val="0F4761" w:themeColor="accent1" w:themeShade="BF"/>
      <w:spacing w:val="5"/>
    </w:rPr>
  </w:style>
  <w:style w:type="character" w:styleId="Hyperlink">
    <w:name w:val="Hyperlink"/>
    <w:basedOn w:val="DefaultParagraphFont"/>
    <w:uiPriority w:val="99"/>
    <w:unhideWhenUsed/>
    <w:rsid w:val="00BD2D4D"/>
    <w:rPr>
      <w:rFonts w:cs="Times New Roman"/>
      <w:color w:val="467886" w:themeColor="hyperlink"/>
      <w:u w:val="single"/>
    </w:rPr>
  </w:style>
  <w:style w:type="paragraph" w:styleId="Header">
    <w:name w:val="header"/>
    <w:basedOn w:val="Normal"/>
    <w:link w:val="HeaderChar"/>
    <w:uiPriority w:val="99"/>
    <w:unhideWhenUsed/>
    <w:rsid w:val="00882F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FDB"/>
  </w:style>
  <w:style w:type="paragraph" w:styleId="Footer">
    <w:name w:val="footer"/>
    <w:basedOn w:val="Normal"/>
    <w:link w:val="FooterChar"/>
    <w:uiPriority w:val="99"/>
    <w:unhideWhenUsed/>
    <w:rsid w:val="00882F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ndl.ethernet.edu.et/bitstream/123456789/19870/1/37.pdf" TargetMode="External"/><Relationship Id="rId26" Type="http://schemas.openxmlformats.org/officeDocument/2006/relationships/hyperlink" Target="https://www.cipd.org/uk/knowledge/factsheets/ethics-role-hr-factsheet/" TargetMode="External"/><Relationship Id="rId39" Type="http://schemas.openxmlformats.org/officeDocument/2006/relationships/footer" Target="footer1.xml"/><Relationship Id="rId21" Type="http://schemas.openxmlformats.org/officeDocument/2006/relationships/hyperlink" Target="https://www.cipd.org/uk/the-people-profession/the-profession-map/explore-the-profession-map/core-behaviours/ethical-practice/" TargetMode="External"/><Relationship Id="rId34" Type="http://schemas.openxmlformats.org/officeDocument/2006/relationships/hyperlink" Target="https://onlinesurveys.jisc.ac.uk/buy/"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researchgate.net/publication/228576116_Evidence-Based_Management_Concept_Cleanup_Time" TargetMode="External"/><Relationship Id="rId20" Type="http://schemas.openxmlformats.org/officeDocument/2006/relationships/hyperlink" Target="https://www.cipd.org/globalassets/media/comms/code-of-conduct/2023-cipd-code-of-conduct-and-ethics.pdf" TargetMode="External"/><Relationship Id="rId29" Type="http://schemas.openxmlformats.org/officeDocument/2006/relationships/hyperlink" Target="https://www.cipd.org/uk/knowledge/factsheets/strategy-development-factshee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www.cipd.org/uk/knowledge/podcasts/critical-thinking/" TargetMode="External"/><Relationship Id="rId37" Type="http://schemas.openxmlformats.org/officeDocument/2006/relationships/hyperlink" Target="https://help.open.ac.uk/critical-reading-techniques/active-reading"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peoplemanagement.co.uk/article/1851101/evidence-based-hr-people-analytics-same-right-afraid-not" TargetMode="External"/><Relationship Id="rId23" Type="http://schemas.openxmlformats.org/officeDocument/2006/relationships/hyperlink" Target="file:///C:\Users\Jennie%20Williams\Desktop\Uni\www.cipd.org\uk\knowledge\factsheets\evidence-based-practice-factsheet\" TargetMode="External"/><Relationship Id="rId28" Type="http://schemas.openxmlformats.org/officeDocument/2006/relationships/hyperlink" Target="https://www.cipd.org/uk/knowledge/guides/employee-voice-channels-guide-for-people-professionals/" TargetMode="External"/><Relationship Id="rId36" Type="http://schemas.openxmlformats.org/officeDocument/2006/relationships/hyperlink" Target="https://www.scribd.com/presentation/749067937/The-Six-Thinking-Hats" TargetMode="External"/><Relationship Id="rId10" Type="http://schemas.openxmlformats.org/officeDocument/2006/relationships/image" Target="media/image2.emf"/><Relationship Id="rId19" Type="http://schemas.openxmlformats.org/officeDocument/2006/relationships/hyperlink" Target="https://www.cipd.org/uk/knowledge/podcasts/transfer-of-learning/" TargetMode="External"/><Relationship Id="rId31" Type="http://schemas.openxmlformats.org/officeDocument/2006/relationships/hyperlink" Target="https://www.cipd.org/uk/knowledge/factsheets/learning-needs-factshee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77/0149206309352880" TargetMode="External"/><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tools/absence-management/" TargetMode="External"/><Relationship Id="rId30" Type="http://schemas.openxmlformats.org/officeDocument/2006/relationships/hyperlink" Target="https://www.managers.org.uk/knowledge-and-insights/resource/decision-making/" TargetMode="External"/><Relationship Id="rId35" Type="http://schemas.openxmlformats.org/officeDocument/2006/relationships/hyperlink" Target="https://hstalks-com.ezproxy.uwtsd.ac.uk/t/2464/evidence-based-management-helping-managers-make-be/?business%20"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britannica.com/topic/deontological-ethics" TargetMode="External"/><Relationship Id="rId25" Type="http://schemas.openxmlformats.org/officeDocument/2006/relationships/hyperlink" Target="https://www.cipd.org/uk/knowledge/factsheets/analytics-factsheet/?utm_source=chatgpt.com" TargetMode="External"/><Relationship Id="rId33" Type="http://schemas.openxmlformats.org/officeDocument/2006/relationships/hyperlink" Target="https://www.leadershiptraininghub.com/leadership-training-costs-uk/" TargetMode="External"/><Relationship Id="rId38" Type="http://schemas.openxmlformats.org/officeDocument/2006/relationships/hyperlink" Target="https://www.aihr.com/blog/human-resource-best-practice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r>
              <a:rPr lang="en-US" sz="1200">
                <a:solidFill>
                  <a:schemeClr val="tx1"/>
                </a:solidFill>
                <a:latin typeface="Aptos" panose="020B0004020202020204" pitchFamily="34" charset="0"/>
              </a:rPr>
              <a:t>Technivara Leavers by Department, 2024</a:t>
            </a:r>
          </a:p>
        </c:rich>
      </c:tx>
      <c:overlay val="0"/>
      <c:spPr>
        <a:noFill/>
        <a:ln>
          <a:noFill/>
        </a:ln>
        <a:effectLst/>
      </c:spPr>
      <c:txPr>
        <a:bodyPr rot="0" spcFirstLastPara="1" vertOverflow="ellipsis" vert="horz" wrap="square" anchor="ctr" anchorCtr="1"/>
        <a:lstStyle/>
        <a:p>
          <a:pPr algn="ct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c:f>
              <c:strCache>
                <c:ptCount val="1"/>
                <c:pt idx="0">
                  <c:v>Total in Department 2024</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Sheet1!$B$4:$B$22</c:f>
            </c:numRef>
          </c:val>
          <c:extLst>
            <c:ext xmlns:c16="http://schemas.microsoft.com/office/drawing/2014/chart" uri="{C3380CC4-5D6E-409C-BE32-E72D297353CC}">
              <c16:uniqueId val="{00000000-60FB-435B-8505-1F9260A72209}"/>
            </c:ext>
          </c:extLst>
        </c:ser>
        <c:ser>
          <c:idx val="1"/>
          <c:order val="1"/>
          <c:tx>
            <c:strRef>
              <c:f>Sheet1!$C$3</c:f>
              <c:strCache>
                <c:ptCount val="1"/>
                <c:pt idx="0">
                  <c:v>Leavers for 2024</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Sheet1!$C$4:$C$22</c:f>
            </c:numRef>
          </c:val>
          <c:extLst>
            <c:ext xmlns:c16="http://schemas.microsoft.com/office/drawing/2014/chart" uri="{C3380CC4-5D6E-409C-BE32-E72D297353CC}">
              <c16:uniqueId val="{00000001-60FB-435B-8505-1F9260A72209}"/>
            </c:ext>
          </c:extLst>
        </c:ser>
        <c:ser>
          <c:idx val="2"/>
          <c:order val="2"/>
          <c:tx>
            <c:strRef>
              <c:f>Sheet1!$D$3</c:f>
              <c:strCache>
                <c:ptCount val="1"/>
                <c:pt idx="0">
                  <c:v>Leavers as a % against total in each Department</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Sheet1!$D$4:$D$22</c:f>
              <c:numCache>
                <c:formatCode>General</c:formatCode>
                <c:ptCount val="19"/>
                <c:pt idx="0" formatCode="0%">
                  <c:v>0.23076923076923078</c:v>
                </c:pt>
                <c:pt idx="2" formatCode="0%">
                  <c:v>0.26666666666666666</c:v>
                </c:pt>
                <c:pt idx="4" formatCode="0%">
                  <c:v>0.125</c:v>
                </c:pt>
                <c:pt idx="6" formatCode="0%">
                  <c:v>0.5</c:v>
                </c:pt>
                <c:pt idx="8" formatCode="0%">
                  <c:v>0.26666666666666666</c:v>
                </c:pt>
                <c:pt idx="10" formatCode="0%">
                  <c:v>0.22857142857142856</c:v>
                </c:pt>
                <c:pt idx="12" formatCode="0%">
                  <c:v>0.5</c:v>
                </c:pt>
                <c:pt idx="14" formatCode="0%">
                  <c:v>0.33333333333333331</c:v>
                </c:pt>
                <c:pt idx="16" formatCode="0%">
                  <c:v>0.25</c:v>
                </c:pt>
                <c:pt idx="18" formatCode="0%">
                  <c:v>0.25</c:v>
                </c:pt>
              </c:numCache>
            </c:numRef>
          </c:val>
          <c:extLst>
            <c:ext xmlns:c16="http://schemas.microsoft.com/office/drawing/2014/chart" uri="{C3380CC4-5D6E-409C-BE32-E72D297353CC}">
              <c16:uniqueId val="{00000002-60FB-435B-8505-1F9260A72209}"/>
            </c:ext>
          </c:extLst>
        </c:ser>
        <c:dLbls>
          <c:showLegendKey val="0"/>
          <c:showVal val="0"/>
          <c:showCatName val="0"/>
          <c:showSerName val="0"/>
          <c:showPercent val="0"/>
          <c:showBubbleSize val="0"/>
        </c:dLbls>
        <c:gapWidth val="115"/>
        <c:overlap val="-20"/>
        <c:axId val="89237280"/>
        <c:axId val="89239680"/>
      </c:barChart>
      <c:catAx>
        <c:axId val="89237280"/>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solidFill>
                      <a:sysClr val="windowText" lastClr="000000"/>
                    </a:solidFill>
                  </a:rPr>
                  <a:t>Department</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9239680"/>
        <c:crosses val="autoZero"/>
        <c:auto val="1"/>
        <c:lblAlgn val="ctr"/>
        <c:lblOffset val="100"/>
        <c:noMultiLvlLbl val="0"/>
      </c:catAx>
      <c:valAx>
        <c:axId val="89239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solidFill>
                      <a:sysClr val="windowText" lastClr="000000"/>
                    </a:solidFill>
                  </a:rPr>
                  <a:t>Percentage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89237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3d93faa-9fe7-4f0b-81d6-5d42a3b9d02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C15AAC91DA82240BB8A9A5CCD2992F6" ma:contentTypeVersion="16" ma:contentTypeDescription="Create a new document." ma:contentTypeScope="" ma:versionID="58a0395b9cb79c118ef257ad4db4970f">
  <xsd:schema xmlns:xsd="http://www.w3.org/2001/XMLSchema" xmlns:xs="http://www.w3.org/2001/XMLSchema" xmlns:p="http://schemas.microsoft.com/office/2006/metadata/properties" xmlns:ns3="f3d93faa-9fe7-4f0b-81d6-5d42a3b9d02f" xmlns:ns4="1aa6976a-0bcb-497d-90c1-9a2d1d723063" targetNamespace="http://schemas.microsoft.com/office/2006/metadata/properties" ma:root="true" ma:fieldsID="41e9acabd8219d32300e844eb8bae346" ns3:_="" ns4:_="">
    <xsd:import namespace="f3d93faa-9fe7-4f0b-81d6-5d42a3b9d02f"/>
    <xsd:import namespace="1aa6976a-0bcb-497d-90c1-9a2d1d72306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3d93faa-9fe7-4f0b-81d6-5d42a3b9d02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aa6976a-0bcb-497d-90c1-9a2d1d723063"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5E52BB-5C3F-413B-9037-089EE6891252}">
  <ds:schemaRefs>
    <ds:schemaRef ds:uri="http://schemas.microsoft.com/sharepoint/v3/contenttype/forms"/>
  </ds:schemaRefs>
</ds:datastoreItem>
</file>

<file path=customXml/itemProps2.xml><?xml version="1.0" encoding="utf-8"?>
<ds:datastoreItem xmlns:ds="http://schemas.openxmlformats.org/officeDocument/2006/customXml" ds:itemID="{B7D39CEB-DEA2-423B-BAE3-4879A16E99D8}">
  <ds:schemaRefs>
    <ds:schemaRef ds:uri="http://schemas.microsoft.com/office/2006/metadata/properties"/>
    <ds:schemaRef ds:uri="http://schemas.microsoft.com/office/infopath/2007/PartnerControls"/>
    <ds:schemaRef ds:uri="f3d93faa-9fe7-4f0b-81d6-5d42a3b9d02f"/>
  </ds:schemaRefs>
</ds:datastoreItem>
</file>

<file path=customXml/itemProps3.xml><?xml version="1.0" encoding="utf-8"?>
<ds:datastoreItem xmlns:ds="http://schemas.openxmlformats.org/officeDocument/2006/customXml" ds:itemID="{D5340E81-304A-4DCD-882A-FDBF89C645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3d93faa-9fe7-4f0b-81d6-5d42a3b9d02f"/>
    <ds:schemaRef ds:uri="1aa6976a-0bcb-497d-90c1-9a2d1d72306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5097</Words>
  <Characters>29056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Jennie Williams</dc:creator>
  <cp:keywords/>
  <dc:description/>
  <cp:lastModifiedBy>Jennie Williams</cp:lastModifiedBy>
  <cp:revision>59</cp:revision>
  <dcterms:created xsi:type="dcterms:W3CDTF">2026-01-28T13:23:00Z</dcterms:created>
  <dcterms:modified xsi:type="dcterms:W3CDTF">2026-02-02T11:53:00Z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1b917612-3995-48e4-ac4a-cc9457368868</vt:lpwstr>
  </property>
  <property fmtid="{D5CDD505-2E9C-101B-9397-08002B2CF9AE}" pid="3" name="ContentTypeId">
    <vt:lpwstr>0x0101005C15AAC91DA82240BB8A9A5CCD2992F6</vt:lpwstr>
  </property>
</Properties>
</file>