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EADC56" w14:textId="77777777" w:rsidR="00715B3F" w:rsidRPr="00A5214C" w:rsidRDefault="00A5214C">
      <w:pPr>
        <w:rPr>
          <w:b/>
          <w:bCs/>
          <w:sz w:val="28"/>
          <w:szCs w:val="28"/>
        </w:rPr>
      </w:pPr>
      <w:r w:rsidRPr="00A5214C">
        <w:rPr>
          <w:b/>
          <w:bCs/>
          <w:sz w:val="28"/>
          <w:szCs w:val="28"/>
        </w:rPr>
        <w:t>HPRS7015</w:t>
      </w:r>
    </w:p>
    <w:p w14:paraId="7613ACE6" w14:textId="77777777" w:rsidR="00A5214C" w:rsidRPr="00A5214C" w:rsidRDefault="00A5214C">
      <w:pPr>
        <w:rPr>
          <w:b/>
          <w:bCs/>
          <w:sz w:val="28"/>
          <w:szCs w:val="28"/>
        </w:rPr>
      </w:pPr>
      <w:r w:rsidRPr="00A5214C">
        <w:rPr>
          <w:b/>
          <w:bCs/>
          <w:sz w:val="28"/>
          <w:szCs w:val="28"/>
        </w:rPr>
        <w:t>From Patriarchs to Prophets: Reading and Reception</w:t>
      </w:r>
    </w:p>
    <w:p w14:paraId="6BDCF5B4" w14:textId="4CFE920C" w:rsidR="00A5214C" w:rsidRDefault="00A5214C">
      <w:pPr>
        <w:rPr>
          <w:b/>
          <w:bCs/>
          <w:sz w:val="28"/>
          <w:szCs w:val="28"/>
        </w:rPr>
      </w:pPr>
      <w:r w:rsidRPr="00A5214C">
        <w:rPr>
          <w:b/>
          <w:bCs/>
          <w:sz w:val="28"/>
          <w:szCs w:val="28"/>
        </w:rPr>
        <w:t>Assessment 1</w:t>
      </w:r>
    </w:p>
    <w:p w14:paraId="5D35C181" w14:textId="288A18F6" w:rsidR="009E41A3" w:rsidRDefault="009E41A3">
      <w:pPr>
        <w:rPr>
          <w:b/>
          <w:bCs/>
          <w:sz w:val="28"/>
          <w:szCs w:val="28"/>
        </w:rPr>
      </w:pPr>
      <w:r>
        <w:rPr>
          <w:b/>
          <w:bCs/>
          <w:sz w:val="28"/>
          <w:szCs w:val="28"/>
        </w:rPr>
        <w:t>Word Count: 1497</w:t>
      </w:r>
    </w:p>
    <w:p w14:paraId="54EC6564" w14:textId="77777777" w:rsidR="00455DBF" w:rsidRDefault="00455DBF">
      <w:pPr>
        <w:rPr>
          <w:b/>
          <w:bCs/>
          <w:sz w:val="28"/>
          <w:szCs w:val="28"/>
        </w:rPr>
      </w:pPr>
    </w:p>
    <w:p w14:paraId="16CAE7DD" w14:textId="77777777" w:rsidR="00A5214C" w:rsidRPr="00455DBF" w:rsidRDefault="00A5214C">
      <w:pPr>
        <w:rPr>
          <w:b/>
          <w:bCs/>
          <w:sz w:val="32"/>
          <w:szCs w:val="32"/>
        </w:rPr>
      </w:pPr>
      <w:r w:rsidRPr="00455DBF">
        <w:rPr>
          <w:b/>
          <w:bCs/>
          <w:sz w:val="32"/>
          <w:szCs w:val="32"/>
        </w:rPr>
        <w:t>What is Reception History and Does it Have Value in Biblical Studies</w:t>
      </w:r>
    </w:p>
    <w:p w14:paraId="012DCB4D" w14:textId="77777777" w:rsidR="004C301F" w:rsidRDefault="004C301F">
      <w:pPr>
        <w:rPr>
          <w:b/>
          <w:bCs/>
          <w:sz w:val="28"/>
          <w:szCs w:val="28"/>
        </w:rPr>
      </w:pPr>
    </w:p>
    <w:p w14:paraId="54DCFD6C" w14:textId="2509488A" w:rsidR="004C301F" w:rsidRDefault="004C301F">
      <w:pPr>
        <w:rPr>
          <w:sz w:val="24"/>
          <w:szCs w:val="24"/>
        </w:rPr>
      </w:pPr>
      <w:r>
        <w:rPr>
          <w:sz w:val="24"/>
          <w:szCs w:val="24"/>
        </w:rPr>
        <w:t>Reception History considers how the interpretation and impact of Bible texts have changed and developed over time, influenced by their transmission within different cultures</w:t>
      </w:r>
      <w:r w:rsidR="00C5276E">
        <w:rPr>
          <w:sz w:val="24"/>
          <w:szCs w:val="24"/>
        </w:rPr>
        <w:t xml:space="preserve"> and</w:t>
      </w:r>
      <w:r>
        <w:rPr>
          <w:sz w:val="24"/>
          <w:szCs w:val="24"/>
        </w:rPr>
        <w:t xml:space="preserve"> historical con</w:t>
      </w:r>
      <w:r w:rsidR="00AD14E5">
        <w:rPr>
          <w:sz w:val="24"/>
          <w:szCs w:val="24"/>
        </w:rPr>
        <w:t>text</w:t>
      </w:r>
      <w:r w:rsidR="00C5276E">
        <w:rPr>
          <w:sz w:val="24"/>
          <w:szCs w:val="24"/>
        </w:rPr>
        <w:t>,</w:t>
      </w:r>
      <w:r>
        <w:rPr>
          <w:sz w:val="24"/>
          <w:szCs w:val="24"/>
        </w:rPr>
        <w:t xml:space="preserve"> and how they have been presented by </w:t>
      </w:r>
      <w:r w:rsidR="00AD14E5">
        <w:rPr>
          <w:sz w:val="24"/>
          <w:szCs w:val="24"/>
        </w:rPr>
        <w:t xml:space="preserve">varying </w:t>
      </w:r>
      <w:r>
        <w:rPr>
          <w:sz w:val="24"/>
          <w:szCs w:val="24"/>
        </w:rPr>
        <w:t>artists and their differing mediums. In contrast to Biblical Criticism which studies original texts and their meaning within their authors context</w:t>
      </w:r>
      <w:sdt>
        <w:sdtPr>
          <w:rPr>
            <w:sz w:val="24"/>
            <w:szCs w:val="24"/>
          </w:rPr>
          <w:id w:val="1499914673"/>
          <w:citation/>
        </w:sdtPr>
        <w:sdtEndPr/>
        <w:sdtContent>
          <w:r>
            <w:rPr>
              <w:sz w:val="24"/>
              <w:szCs w:val="24"/>
            </w:rPr>
            <w:fldChar w:fldCharType="begin"/>
          </w:r>
          <w:r>
            <w:rPr>
              <w:sz w:val="24"/>
              <w:szCs w:val="24"/>
            </w:rPr>
            <w:instrText xml:space="preserve"> CITATION Bre21 \l 2057 </w:instrText>
          </w:r>
          <w:r>
            <w:rPr>
              <w:sz w:val="24"/>
              <w:szCs w:val="24"/>
            </w:rPr>
            <w:fldChar w:fldCharType="separate"/>
          </w:r>
          <w:r>
            <w:rPr>
              <w:noProof/>
              <w:sz w:val="24"/>
              <w:szCs w:val="24"/>
            </w:rPr>
            <w:t xml:space="preserve"> </w:t>
          </w:r>
          <w:r w:rsidRPr="004C301F">
            <w:rPr>
              <w:noProof/>
              <w:sz w:val="24"/>
              <w:szCs w:val="24"/>
            </w:rPr>
            <w:t>(Breed, n.d.)</w:t>
          </w:r>
          <w:r>
            <w:rPr>
              <w:sz w:val="24"/>
              <w:szCs w:val="24"/>
            </w:rPr>
            <w:fldChar w:fldCharType="end"/>
          </w:r>
        </w:sdtContent>
      </w:sdt>
      <w:r w:rsidR="009554D9">
        <w:rPr>
          <w:sz w:val="24"/>
          <w:szCs w:val="24"/>
        </w:rPr>
        <w:t xml:space="preserve">, Reception History examines the developing and changing impact of Bible texts over the centuries and within different social consciousness, and thereby considers the emergence of new interpretations and insights. </w:t>
      </w:r>
      <w:r w:rsidR="00AD14E5">
        <w:rPr>
          <w:sz w:val="24"/>
          <w:szCs w:val="24"/>
        </w:rPr>
        <w:t>For example</w:t>
      </w:r>
      <w:r w:rsidR="009554D9">
        <w:rPr>
          <w:sz w:val="24"/>
          <w:szCs w:val="24"/>
        </w:rPr>
        <w:t xml:space="preserve">, whilst Christianity is a historical religion founded on the ministry, </w:t>
      </w:r>
      <w:proofErr w:type="gramStart"/>
      <w:r w:rsidR="009554D9">
        <w:rPr>
          <w:sz w:val="24"/>
          <w:szCs w:val="24"/>
        </w:rPr>
        <w:t>death</w:t>
      </w:r>
      <w:proofErr w:type="gramEnd"/>
      <w:r w:rsidR="009554D9">
        <w:rPr>
          <w:sz w:val="24"/>
          <w:szCs w:val="24"/>
        </w:rPr>
        <w:t xml:space="preserve"> and resurrection of Jesus Christ, what matters for reception historians is not the exact historical accuracy of the events, but how Christian belief in Jesus has influenced the consciousness and actions of people, society and nations to date.</w:t>
      </w:r>
      <w:r w:rsidR="00452558">
        <w:rPr>
          <w:sz w:val="24"/>
          <w:szCs w:val="24"/>
        </w:rPr>
        <w:t xml:space="preserve"> </w:t>
      </w:r>
    </w:p>
    <w:p w14:paraId="3CF2F7C5" w14:textId="2AD66A8F" w:rsidR="00452558" w:rsidRDefault="00452558">
      <w:pPr>
        <w:rPr>
          <w:sz w:val="24"/>
          <w:szCs w:val="24"/>
        </w:rPr>
      </w:pPr>
      <w:r>
        <w:rPr>
          <w:sz w:val="24"/>
          <w:szCs w:val="24"/>
        </w:rPr>
        <w:t>Reception History considers that there is no one, permanen</w:t>
      </w:r>
      <w:r w:rsidR="006C3897">
        <w:rPr>
          <w:sz w:val="24"/>
          <w:szCs w:val="24"/>
        </w:rPr>
        <w:t>tly ‘correct’ reading of a text, but rather, there is a continually changing and evolving interpretation of the text by new readers</w:t>
      </w:r>
      <w:sdt>
        <w:sdtPr>
          <w:rPr>
            <w:sz w:val="24"/>
            <w:szCs w:val="24"/>
          </w:rPr>
          <w:id w:val="2143309206"/>
          <w:citation/>
        </w:sdtPr>
        <w:sdtEndPr/>
        <w:sdtContent>
          <w:r w:rsidR="006C3897">
            <w:rPr>
              <w:sz w:val="24"/>
              <w:szCs w:val="24"/>
            </w:rPr>
            <w:fldChar w:fldCharType="begin"/>
          </w:r>
          <w:r w:rsidR="006C3897">
            <w:rPr>
              <w:sz w:val="24"/>
              <w:szCs w:val="24"/>
            </w:rPr>
            <w:instrText xml:space="preserve"> CITATION CAM15 \l 2057 </w:instrText>
          </w:r>
          <w:r w:rsidR="006C3897">
            <w:rPr>
              <w:sz w:val="24"/>
              <w:szCs w:val="24"/>
            </w:rPr>
            <w:fldChar w:fldCharType="separate"/>
          </w:r>
          <w:r w:rsidR="006C3897">
            <w:rPr>
              <w:noProof/>
              <w:sz w:val="24"/>
              <w:szCs w:val="24"/>
            </w:rPr>
            <w:t xml:space="preserve"> </w:t>
          </w:r>
          <w:r w:rsidR="006C3897" w:rsidRPr="006C3897">
            <w:rPr>
              <w:noProof/>
              <w:sz w:val="24"/>
              <w:szCs w:val="24"/>
            </w:rPr>
            <w:t>(Hardwick, 2015)</w:t>
          </w:r>
          <w:r w:rsidR="006C3897">
            <w:rPr>
              <w:sz w:val="24"/>
              <w:szCs w:val="24"/>
            </w:rPr>
            <w:fldChar w:fldCharType="end"/>
          </w:r>
        </w:sdtContent>
      </w:sdt>
      <w:r w:rsidR="006C3897">
        <w:rPr>
          <w:sz w:val="24"/>
          <w:szCs w:val="24"/>
        </w:rPr>
        <w:t xml:space="preserve">. Based on the work of the philosopher Hans Georg Gadamer, it could be considered that all interpretation is historically and linguistically </w:t>
      </w:r>
      <w:r w:rsidR="00917A4A">
        <w:rPr>
          <w:sz w:val="24"/>
          <w:szCs w:val="24"/>
        </w:rPr>
        <w:t>situated,</w:t>
      </w:r>
      <w:r w:rsidR="006C3897">
        <w:rPr>
          <w:sz w:val="24"/>
          <w:szCs w:val="24"/>
        </w:rPr>
        <w:t xml:space="preserve"> and that the reader of a text is not a passive </w:t>
      </w:r>
      <w:r w:rsidR="00917A4A">
        <w:rPr>
          <w:sz w:val="24"/>
          <w:szCs w:val="24"/>
        </w:rPr>
        <w:t>recipient but</w:t>
      </w:r>
      <w:r w:rsidR="006C3897">
        <w:rPr>
          <w:sz w:val="24"/>
          <w:szCs w:val="24"/>
        </w:rPr>
        <w:t xml:space="preserve"> is active in understanding and interpreting </w:t>
      </w:r>
      <w:r w:rsidR="00917A4A">
        <w:rPr>
          <w:sz w:val="24"/>
          <w:szCs w:val="24"/>
        </w:rPr>
        <w:t>its meaning</w:t>
      </w:r>
      <w:sdt>
        <w:sdtPr>
          <w:rPr>
            <w:sz w:val="24"/>
            <w:szCs w:val="24"/>
          </w:rPr>
          <w:id w:val="1491137125"/>
          <w:citation/>
        </w:sdtPr>
        <w:sdtEndPr/>
        <w:sdtContent>
          <w:r w:rsidR="00917A4A">
            <w:rPr>
              <w:sz w:val="24"/>
              <w:szCs w:val="24"/>
            </w:rPr>
            <w:fldChar w:fldCharType="begin"/>
          </w:r>
          <w:r w:rsidR="00917A4A">
            <w:rPr>
              <w:sz w:val="24"/>
              <w:szCs w:val="24"/>
            </w:rPr>
            <w:instrText xml:space="preserve"> CITATION Han04 \l 2057 </w:instrText>
          </w:r>
          <w:r w:rsidR="00917A4A">
            <w:rPr>
              <w:sz w:val="24"/>
              <w:szCs w:val="24"/>
            </w:rPr>
            <w:fldChar w:fldCharType="separate"/>
          </w:r>
          <w:r w:rsidR="00917A4A">
            <w:rPr>
              <w:noProof/>
              <w:sz w:val="24"/>
              <w:szCs w:val="24"/>
            </w:rPr>
            <w:t xml:space="preserve"> </w:t>
          </w:r>
          <w:r w:rsidR="00917A4A" w:rsidRPr="00917A4A">
            <w:rPr>
              <w:noProof/>
              <w:sz w:val="24"/>
              <w:szCs w:val="24"/>
            </w:rPr>
            <w:t>(Gadamer, 2004)</w:t>
          </w:r>
          <w:r w:rsidR="00917A4A">
            <w:rPr>
              <w:sz w:val="24"/>
              <w:szCs w:val="24"/>
            </w:rPr>
            <w:fldChar w:fldCharType="end"/>
          </w:r>
        </w:sdtContent>
      </w:sdt>
      <w:r w:rsidR="00917A4A">
        <w:rPr>
          <w:sz w:val="24"/>
          <w:szCs w:val="24"/>
        </w:rPr>
        <w:t xml:space="preserve">. Hans Robert </w:t>
      </w:r>
      <w:proofErr w:type="spellStart"/>
      <w:r w:rsidR="00917A4A">
        <w:rPr>
          <w:sz w:val="24"/>
          <w:szCs w:val="24"/>
        </w:rPr>
        <w:t>Jauss</w:t>
      </w:r>
      <w:proofErr w:type="spellEnd"/>
      <w:r w:rsidR="00917A4A">
        <w:rPr>
          <w:sz w:val="24"/>
          <w:szCs w:val="24"/>
        </w:rPr>
        <w:t xml:space="preserve"> developed this concept further</w:t>
      </w:r>
      <w:r w:rsidR="00281249" w:rsidRPr="00281249">
        <w:rPr>
          <w:sz w:val="24"/>
          <w:szCs w:val="24"/>
        </w:rPr>
        <w:t xml:space="preserve"> </w:t>
      </w:r>
      <w:r w:rsidR="00281249">
        <w:rPr>
          <w:sz w:val="24"/>
          <w:szCs w:val="24"/>
        </w:rPr>
        <w:t xml:space="preserve">and his work promoted the study of highly influential </w:t>
      </w:r>
      <w:r w:rsidR="00281249">
        <w:rPr>
          <w:sz w:val="24"/>
          <w:szCs w:val="24"/>
        </w:rPr>
        <w:t>B</w:t>
      </w:r>
      <w:r w:rsidR="00281249">
        <w:rPr>
          <w:sz w:val="24"/>
          <w:szCs w:val="24"/>
        </w:rPr>
        <w:t>ible commentators based on the significance of their impact on others</w:t>
      </w:r>
      <w:r w:rsidR="00281249">
        <w:rPr>
          <w:sz w:val="24"/>
          <w:szCs w:val="24"/>
        </w:rPr>
        <w:t xml:space="preserve"> </w:t>
      </w:r>
      <w:sdt>
        <w:sdtPr>
          <w:rPr>
            <w:sz w:val="24"/>
            <w:szCs w:val="24"/>
          </w:rPr>
          <w:id w:val="-609969461"/>
          <w:citation/>
        </w:sdtPr>
        <w:sdtEndPr/>
        <w:sdtContent>
          <w:r w:rsidR="00917A4A">
            <w:rPr>
              <w:sz w:val="24"/>
              <w:szCs w:val="24"/>
            </w:rPr>
            <w:fldChar w:fldCharType="begin"/>
          </w:r>
          <w:r w:rsidR="00917A4A">
            <w:rPr>
              <w:sz w:val="24"/>
              <w:szCs w:val="24"/>
            </w:rPr>
            <w:instrText xml:space="preserve"> CITATION Han82 \l 2057 </w:instrText>
          </w:r>
          <w:r w:rsidR="00917A4A">
            <w:rPr>
              <w:sz w:val="24"/>
              <w:szCs w:val="24"/>
            </w:rPr>
            <w:fldChar w:fldCharType="separate"/>
          </w:r>
          <w:r w:rsidR="00917A4A">
            <w:rPr>
              <w:noProof/>
              <w:sz w:val="24"/>
              <w:szCs w:val="24"/>
            </w:rPr>
            <w:t xml:space="preserve"> </w:t>
          </w:r>
          <w:r w:rsidR="00917A4A" w:rsidRPr="00917A4A">
            <w:rPr>
              <w:noProof/>
              <w:sz w:val="24"/>
              <w:szCs w:val="24"/>
            </w:rPr>
            <w:t>(Jauss, 1982)</w:t>
          </w:r>
          <w:r w:rsidR="00917A4A">
            <w:rPr>
              <w:sz w:val="24"/>
              <w:szCs w:val="24"/>
            </w:rPr>
            <w:fldChar w:fldCharType="end"/>
          </w:r>
        </w:sdtContent>
      </w:sdt>
      <w:r w:rsidR="00917A4A">
        <w:rPr>
          <w:sz w:val="24"/>
          <w:szCs w:val="24"/>
        </w:rPr>
        <w:t>.</w:t>
      </w:r>
      <w:r w:rsidR="00C5276E">
        <w:rPr>
          <w:sz w:val="24"/>
          <w:szCs w:val="24"/>
        </w:rPr>
        <w:t xml:space="preserve"> Whilst Anselm of </w:t>
      </w:r>
      <w:proofErr w:type="spellStart"/>
      <w:r w:rsidR="00C5276E">
        <w:rPr>
          <w:sz w:val="24"/>
          <w:szCs w:val="24"/>
        </w:rPr>
        <w:t>Caterbury</w:t>
      </w:r>
      <w:proofErr w:type="spellEnd"/>
      <w:r w:rsidR="00C5276E">
        <w:rPr>
          <w:sz w:val="24"/>
          <w:szCs w:val="24"/>
        </w:rPr>
        <w:t xml:space="preserve"> and Martin Luther would be considered worthy of</w:t>
      </w:r>
      <w:r w:rsidR="00FD4F5C">
        <w:rPr>
          <w:sz w:val="24"/>
          <w:szCs w:val="24"/>
        </w:rPr>
        <w:t xml:space="preserve"> Reception History</w:t>
      </w:r>
      <w:r w:rsidR="00C5276E">
        <w:rPr>
          <w:sz w:val="24"/>
          <w:szCs w:val="24"/>
        </w:rPr>
        <w:t xml:space="preserve"> study based on their significant international impact, an example within Wales would be the </w:t>
      </w:r>
      <w:r w:rsidR="00F31CA5">
        <w:rPr>
          <w:sz w:val="24"/>
          <w:szCs w:val="24"/>
        </w:rPr>
        <w:t>poet</w:t>
      </w:r>
      <w:r w:rsidR="00C5276E">
        <w:rPr>
          <w:sz w:val="24"/>
          <w:szCs w:val="24"/>
        </w:rPr>
        <w:t>, William Williams, Pantycelyn</w:t>
      </w:r>
      <w:r w:rsidR="00F31CA5">
        <w:rPr>
          <w:sz w:val="24"/>
          <w:szCs w:val="24"/>
        </w:rPr>
        <w:t xml:space="preserve"> whose prolific hymn writing, extensive travelling and ministry to the fledgling fellowship meetings was foundational in establishing and supporting the </w:t>
      </w:r>
      <w:r w:rsidR="00FD4F5C">
        <w:rPr>
          <w:sz w:val="24"/>
          <w:szCs w:val="24"/>
        </w:rPr>
        <w:t>W</w:t>
      </w:r>
      <w:r w:rsidR="00F31CA5">
        <w:rPr>
          <w:sz w:val="24"/>
          <w:szCs w:val="24"/>
        </w:rPr>
        <w:t>elsh Methodist movement in the 18</w:t>
      </w:r>
      <w:r w:rsidR="00F31CA5" w:rsidRPr="00F31CA5">
        <w:rPr>
          <w:sz w:val="24"/>
          <w:szCs w:val="24"/>
          <w:vertAlign w:val="superscript"/>
        </w:rPr>
        <w:t>th</w:t>
      </w:r>
      <w:r w:rsidR="00F31CA5">
        <w:rPr>
          <w:sz w:val="24"/>
          <w:szCs w:val="24"/>
        </w:rPr>
        <w:t xml:space="preserve"> century. Indeed, his hymns remain the cornerstone</w:t>
      </w:r>
      <w:r w:rsidR="00A67917">
        <w:rPr>
          <w:sz w:val="24"/>
          <w:szCs w:val="24"/>
        </w:rPr>
        <w:t xml:space="preserve"> of </w:t>
      </w:r>
      <w:r w:rsidR="00FD4F5C">
        <w:rPr>
          <w:sz w:val="24"/>
          <w:szCs w:val="24"/>
        </w:rPr>
        <w:t>present-day</w:t>
      </w:r>
      <w:r w:rsidR="00A67917">
        <w:rPr>
          <w:sz w:val="24"/>
          <w:szCs w:val="24"/>
        </w:rPr>
        <w:t xml:space="preserve"> worship within </w:t>
      </w:r>
      <w:r w:rsidR="00FD4F5C">
        <w:rPr>
          <w:sz w:val="24"/>
          <w:szCs w:val="24"/>
        </w:rPr>
        <w:t>W</w:t>
      </w:r>
      <w:r w:rsidR="00A67917">
        <w:rPr>
          <w:sz w:val="24"/>
          <w:szCs w:val="24"/>
        </w:rPr>
        <w:t>elsh chapel services. Whilst another celebrated Welsh hymn writer, Ann Griffiths was not as prolific as Williams, her work has been described as containing some of the great Christian poetry of Europe</w:t>
      </w:r>
      <w:r w:rsidR="00D95390" w:rsidRPr="00D95390">
        <w:rPr>
          <w:sz w:val="24"/>
          <w:szCs w:val="24"/>
        </w:rPr>
        <w:t xml:space="preserve"> </w:t>
      </w:r>
      <w:r w:rsidR="00D95390">
        <w:rPr>
          <w:sz w:val="24"/>
          <w:szCs w:val="24"/>
        </w:rPr>
        <w:t xml:space="preserve">and her hymns as one of the highlights of </w:t>
      </w:r>
      <w:r w:rsidR="00FD4F5C">
        <w:rPr>
          <w:sz w:val="24"/>
          <w:szCs w:val="24"/>
        </w:rPr>
        <w:t>W</w:t>
      </w:r>
      <w:r w:rsidR="00D95390">
        <w:rPr>
          <w:sz w:val="24"/>
          <w:szCs w:val="24"/>
        </w:rPr>
        <w:t xml:space="preserve">elsh literature </w:t>
      </w:r>
      <w:sdt>
        <w:sdtPr>
          <w:rPr>
            <w:sz w:val="24"/>
            <w:szCs w:val="24"/>
          </w:rPr>
          <w:id w:val="-2020460911"/>
          <w:citation/>
        </w:sdtPr>
        <w:sdtEndPr/>
        <w:sdtContent>
          <w:r w:rsidR="00A67917">
            <w:rPr>
              <w:sz w:val="24"/>
              <w:szCs w:val="24"/>
            </w:rPr>
            <w:fldChar w:fldCharType="begin"/>
          </w:r>
          <w:r w:rsidR="00A67917">
            <w:rPr>
              <w:sz w:val="24"/>
              <w:szCs w:val="24"/>
            </w:rPr>
            <w:instrText xml:space="preserve">CITATION EWy21 \l 2057 </w:instrText>
          </w:r>
          <w:r w:rsidR="00A67917">
            <w:rPr>
              <w:sz w:val="24"/>
              <w:szCs w:val="24"/>
            </w:rPr>
            <w:fldChar w:fldCharType="separate"/>
          </w:r>
          <w:r w:rsidR="00A67917">
            <w:rPr>
              <w:noProof/>
              <w:sz w:val="24"/>
              <w:szCs w:val="24"/>
            </w:rPr>
            <w:t xml:space="preserve"> </w:t>
          </w:r>
          <w:r w:rsidR="00A67917" w:rsidRPr="00A67917">
            <w:rPr>
              <w:noProof/>
              <w:sz w:val="24"/>
              <w:szCs w:val="24"/>
            </w:rPr>
            <w:t>(James, 2003)</w:t>
          </w:r>
          <w:r w:rsidR="00A67917">
            <w:rPr>
              <w:sz w:val="24"/>
              <w:szCs w:val="24"/>
            </w:rPr>
            <w:fldChar w:fldCharType="end"/>
          </w:r>
        </w:sdtContent>
      </w:sdt>
      <w:r w:rsidR="00D95390">
        <w:rPr>
          <w:sz w:val="24"/>
          <w:szCs w:val="24"/>
        </w:rPr>
        <w:t xml:space="preserve">. Ann Griffiths herself has become a prominent icon for </w:t>
      </w:r>
      <w:r w:rsidR="00FD4F5C">
        <w:rPr>
          <w:sz w:val="24"/>
          <w:szCs w:val="24"/>
        </w:rPr>
        <w:t>W</w:t>
      </w:r>
      <w:r w:rsidR="00D95390">
        <w:rPr>
          <w:sz w:val="24"/>
          <w:szCs w:val="24"/>
        </w:rPr>
        <w:t xml:space="preserve">elsh speaking people of Wales, generating novels, </w:t>
      </w:r>
      <w:proofErr w:type="gramStart"/>
      <w:r w:rsidR="00D95390">
        <w:rPr>
          <w:sz w:val="24"/>
          <w:szCs w:val="24"/>
        </w:rPr>
        <w:t>dramas</w:t>
      </w:r>
      <w:proofErr w:type="gramEnd"/>
      <w:r w:rsidR="00D95390">
        <w:rPr>
          <w:sz w:val="24"/>
          <w:szCs w:val="24"/>
        </w:rPr>
        <w:t xml:space="preserve"> and films of her life. Canon </w:t>
      </w:r>
      <w:proofErr w:type="spellStart"/>
      <w:r w:rsidR="00D95390">
        <w:rPr>
          <w:sz w:val="24"/>
          <w:szCs w:val="24"/>
        </w:rPr>
        <w:t>Alchin</w:t>
      </w:r>
      <w:proofErr w:type="spellEnd"/>
      <w:r w:rsidR="00D95390">
        <w:rPr>
          <w:sz w:val="24"/>
          <w:szCs w:val="24"/>
        </w:rPr>
        <w:t>, a leading authority on Christian spirituality stated that “her stature is to be measured against the great and unquestioned figures of the church’s history”</w:t>
      </w:r>
      <w:sdt>
        <w:sdtPr>
          <w:rPr>
            <w:sz w:val="24"/>
            <w:szCs w:val="24"/>
          </w:rPr>
          <w:id w:val="-2000183153"/>
          <w:citation/>
        </w:sdtPr>
        <w:sdtEndPr/>
        <w:sdtContent>
          <w:r w:rsidR="00D95390">
            <w:rPr>
              <w:sz w:val="24"/>
              <w:szCs w:val="24"/>
            </w:rPr>
            <w:fldChar w:fldCharType="begin"/>
          </w:r>
          <w:r w:rsidR="00D95390">
            <w:rPr>
              <w:sz w:val="24"/>
              <w:szCs w:val="24"/>
            </w:rPr>
            <w:instrText xml:space="preserve"> CITATION EWy21 \l 2057 </w:instrText>
          </w:r>
          <w:r w:rsidR="00D95390">
            <w:rPr>
              <w:sz w:val="24"/>
              <w:szCs w:val="24"/>
            </w:rPr>
            <w:fldChar w:fldCharType="separate"/>
          </w:r>
          <w:r w:rsidR="00D95390">
            <w:rPr>
              <w:noProof/>
              <w:sz w:val="24"/>
              <w:szCs w:val="24"/>
            </w:rPr>
            <w:t xml:space="preserve"> </w:t>
          </w:r>
          <w:r w:rsidR="00D95390" w:rsidRPr="00D95390">
            <w:rPr>
              <w:noProof/>
              <w:sz w:val="24"/>
              <w:szCs w:val="24"/>
            </w:rPr>
            <w:t>(James, 2003)</w:t>
          </w:r>
          <w:r w:rsidR="00D95390">
            <w:rPr>
              <w:sz w:val="24"/>
              <w:szCs w:val="24"/>
            </w:rPr>
            <w:fldChar w:fldCharType="end"/>
          </w:r>
        </w:sdtContent>
      </w:sdt>
      <w:r w:rsidR="00D95390">
        <w:rPr>
          <w:sz w:val="24"/>
          <w:szCs w:val="24"/>
        </w:rPr>
        <w:t xml:space="preserve">. </w:t>
      </w:r>
      <w:r w:rsidR="003162CA">
        <w:rPr>
          <w:sz w:val="24"/>
          <w:szCs w:val="24"/>
        </w:rPr>
        <w:t>T</w:t>
      </w:r>
      <w:r w:rsidR="0040469B">
        <w:rPr>
          <w:sz w:val="24"/>
          <w:szCs w:val="24"/>
        </w:rPr>
        <w:t>he significant impact that Williams and Griffiths have had within Wales, and similarly the Wesley brothers in England, would support the view of some reception historians that “how people have interpreted, and been influenced by, a sacred text like the Bible is often as interesting and historically important as what it originally meant”</w:t>
      </w:r>
      <w:sdt>
        <w:sdtPr>
          <w:rPr>
            <w:sz w:val="24"/>
            <w:szCs w:val="24"/>
          </w:rPr>
          <w:id w:val="-1496337881"/>
          <w:citation/>
        </w:sdtPr>
        <w:sdtEndPr/>
        <w:sdtContent>
          <w:r w:rsidR="0040469B">
            <w:rPr>
              <w:sz w:val="24"/>
              <w:szCs w:val="24"/>
            </w:rPr>
            <w:fldChar w:fldCharType="begin"/>
          </w:r>
          <w:r w:rsidR="0040469B">
            <w:rPr>
              <w:sz w:val="24"/>
              <w:szCs w:val="24"/>
            </w:rPr>
            <w:instrText xml:space="preserve"> CITATION Row04 \l 2057 </w:instrText>
          </w:r>
          <w:r w:rsidR="0040469B">
            <w:rPr>
              <w:sz w:val="24"/>
              <w:szCs w:val="24"/>
            </w:rPr>
            <w:fldChar w:fldCharType="separate"/>
          </w:r>
          <w:r w:rsidR="0040469B">
            <w:rPr>
              <w:noProof/>
              <w:sz w:val="24"/>
              <w:szCs w:val="24"/>
            </w:rPr>
            <w:t xml:space="preserve"> </w:t>
          </w:r>
          <w:r w:rsidR="0040469B" w:rsidRPr="0040469B">
            <w:rPr>
              <w:noProof/>
              <w:sz w:val="24"/>
              <w:szCs w:val="24"/>
            </w:rPr>
            <w:t>(Rowland, 2004)</w:t>
          </w:r>
          <w:r w:rsidR="0040469B">
            <w:rPr>
              <w:sz w:val="24"/>
              <w:szCs w:val="24"/>
            </w:rPr>
            <w:fldChar w:fldCharType="end"/>
          </w:r>
        </w:sdtContent>
      </w:sdt>
      <w:r w:rsidR="007A222B">
        <w:rPr>
          <w:sz w:val="24"/>
          <w:szCs w:val="24"/>
        </w:rPr>
        <w:t>. R</w:t>
      </w:r>
      <w:r w:rsidR="00D95390">
        <w:rPr>
          <w:sz w:val="24"/>
          <w:szCs w:val="24"/>
        </w:rPr>
        <w:t xml:space="preserve">eception </w:t>
      </w:r>
      <w:proofErr w:type="gramStart"/>
      <w:r w:rsidR="00F91CB5">
        <w:rPr>
          <w:sz w:val="24"/>
          <w:szCs w:val="24"/>
        </w:rPr>
        <w:t>History</w:t>
      </w:r>
      <w:proofErr w:type="gramEnd"/>
      <w:r w:rsidR="00F91CB5">
        <w:rPr>
          <w:sz w:val="24"/>
          <w:szCs w:val="24"/>
        </w:rPr>
        <w:t xml:space="preserve"> </w:t>
      </w:r>
      <w:r w:rsidR="00FD4F5C">
        <w:rPr>
          <w:sz w:val="24"/>
          <w:szCs w:val="24"/>
        </w:rPr>
        <w:t xml:space="preserve">therefore, </w:t>
      </w:r>
      <w:r w:rsidR="00D95390">
        <w:rPr>
          <w:sz w:val="24"/>
          <w:szCs w:val="24"/>
        </w:rPr>
        <w:t>in incorporating the work</w:t>
      </w:r>
      <w:r w:rsidR="001E5628">
        <w:rPr>
          <w:sz w:val="24"/>
          <w:szCs w:val="24"/>
        </w:rPr>
        <w:t xml:space="preserve"> of key figures </w:t>
      </w:r>
      <w:r w:rsidR="00D95390">
        <w:rPr>
          <w:sz w:val="24"/>
          <w:szCs w:val="24"/>
        </w:rPr>
        <w:t>and the</w:t>
      </w:r>
      <w:r w:rsidR="00D732F5">
        <w:rPr>
          <w:sz w:val="24"/>
          <w:szCs w:val="24"/>
        </w:rPr>
        <w:t>ir</w:t>
      </w:r>
      <w:r w:rsidR="00D95390">
        <w:rPr>
          <w:sz w:val="24"/>
          <w:szCs w:val="24"/>
        </w:rPr>
        <w:t xml:space="preserve"> ongoing impact and influence </w:t>
      </w:r>
      <w:r w:rsidR="00F91CB5">
        <w:rPr>
          <w:sz w:val="24"/>
          <w:szCs w:val="24"/>
        </w:rPr>
        <w:t>on</w:t>
      </w:r>
      <w:r w:rsidR="001E5628">
        <w:rPr>
          <w:sz w:val="24"/>
          <w:szCs w:val="24"/>
        </w:rPr>
        <w:t xml:space="preserve"> </w:t>
      </w:r>
      <w:r w:rsidR="00D95390">
        <w:rPr>
          <w:sz w:val="24"/>
          <w:szCs w:val="24"/>
        </w:rPr>
        <w:t>the lives of people drawn to their</w:t>
      </w:r>
      <w:r w:rsidR="001E5628">
        <w:rPr>
          <w:sz w:val="24"/>
          <w:szCs w:val="24"/>
        </w:rPr>
        <w:t xml:space="preserve"> work enriches Biblical Studies</w:t>
      </w:r>
      <w:r w:rsidR="003C3F3F">
        <w:rPr>
          <w:sz w:val="24"/>
          <w:szCs w:val="24"/>
        </w:rPr>
        <w:t xml:space="preserve"> and </w:t>
      </w:r>
      <w:r w:rsidR="00FD4F5C">
        <w:rPr>
          <w:sz w:val="24"/>
          <w:szCs w:val="24"/>
        </w:rPr>
        <w:t>broadens the appeal</w:t>
      </w:r>
      <w:r w:rsidR="003C3F3F">
        <w:rPr>
          <w:sz w:val="24"/>
          <w:szCs w:val="24"/>
        </w:rPr>
        <w:t xml:space="preserve"> </w:t>
      </w:r>
      <w:r w:rsidR="00FD4F5C">
        <w:rPr>
          <w:sz w:val="24"/>
          <w:szCs w:val="24"/>
        </w:rPr>
        <w:t xml:space="preserve">to </w:t>
      </w:r>
      <w:r w:rsidR="003C3F3F">
        <w:rPr>
          <w:sz w:val="24"/>
          <w:szCs w:val="24"/>
        </w:rPr>
        <w:t>those drawn to study the field</w:t>
      </w:r>
      <w:r w:rsidR="001E5628">
        <w:rPr>
          <w:sz w:val="24"/>
          <w:szCs w:val="24"/>
        </w:rPr>
        <w:t>.</w:t>
      </w:r>
      <w:r w:rsidR="00D95390">
        <w:rPr>
          <w:sz w:val="24"/>
          <w:szCs w:val="24"/>
        </w:rPr>
        <w:t xml:space="preserve"> </w:t>
      </w:r>
    </w:p>
    <w:p w14:paraId="713F232C" w14:textId="77777777" w:rsidR="003162CA" w:rsidRDefault="00D732F5">
      <w:pPr>
        <w:rPr>
          <w:sz w:val="24"/>
          <w:szCs w:val="24"/>
        </w:rPr>
      </w:pPr>
      <w:r>
        <w:rPr>
          <w:sz w:val="24"/>
          <w:szCs w:val="24"/>
        </w:rPr>
        <w:t xml:space="preserve">For some </w:t>
      </w:r>
      <w:r w:rsidR="006A163F">
        <w:rPr>
          <w:sz w:val="24"/>
          <w:szCs w:val="24"/>
        </w:rPr>
        <w:t>R</w:t>
      </w:r>
      <w:r>
        <w:rPr>
          <w:sz w:val="24"/>
          <w:szCs w:val="24"/>
        </w:rPr>
        <w:t xml:space="preserve">eception historians, the question of the historical origin and original meaning of a text recedes into the background and instead, there is greater value in focussing on the actual usage, its interpretation, development, growth and impact within communities and individuals. James Crossly has suggested that there are three categories of </w:t>
      </w:r>
      <w:r w:rsidR="00FD4F5C">
        <w:rPr>
          <w:sz w:val="24"/>
          <w:szCs w:val="24"/>
        </w:rPr>
        <w:t>R</w:t>
      </w:r>
      <w:r>
        <w:rPr>
          <w:sz w:val="24"/>
          <w:szCs w:val="24"/>
        </w:rPr>
        <w:t xml:space="preserve">eception historians: those that work within the boundaries of a theological tradition; those that utilise </w:t>
      </w:r>
      <w:r w:rsidR="00FD4F5C">
        <w:rPr>
          <w:sz w:val="24"/>
          <w:szCs w:val="24"/>
        </w:rPr>
        <w:t>R</w:t>
      </w:r>
      <w:r>
        <w:rPr>
          <w:sz w:val="24"/>
          <w:szCs w:val="24"/>
        </w:rPr>
        <w:t xml:space="preserve">eception </w:t>
      </w:r>
      <w:r w:rsidR="00FD4F5C">
        <w:rPr>
          <w:sz w:val="24"/>
          <w:szCs w:val="24"/>
        </w:rPr>
        <w:t>H</w:t>
      </w:r>
      <w:r>
        <w:rPr>
          <w:sz w:val="24"/>
          <w:szCs w:val="24"/>
        </w:rPr>
        <w:t xml:space="preserve">istory study to establish the correct interpretation of a text; and those who have a very broad inclusive approach </w:t>
      </w:r>
      <w:r w:rsidR="001F6B49">
        <w:rPr>
          <w:sz w:val="24"/>
          <w:szCs w:val="24"/>
        </w:rPr>
        <w:t>for contributors</w:t>
      </w:r>
      <w:sdt>
        <w:sdtPr>
          <w:rPr>
            <w:sz w:val="24"/>
            <w:szCs w:val="24"/>
          </w:rPr>
          <w:id w:val="-118602926"/>
          <w:citation/>
        </w:sdtPr>
        <w:sdtEndPr/>
        <w:sdtContent>
          <w:r w:rsidR="001F6B49">
            <w:rPr>
              <w:sz w:val="24"/>
              <w:szCs w:val="24"/>
            </w:rPr>
            <w:fldChar w:fldCharType="begin"/>
          </w:r>
          <w:r w:rsidR="001860AF">
            <w:rPr>
              <w:sz w:val="24"/>
              <w:szCs w:val="24"/>
            </w:rPr>
            <w:instrText xml:space="preserve">CITATION Jam10 \p 117-130 \l 2057 </w:instrText>
          </w:r>
          <w:r w:rsidR="001F6B49">
            <w:rPr>
              <w:sz w:val="24"/>
              <w:szCs w:val="24"/>
            </w:rPr>
            <w:fldChar w:fldCharType="separate"/>
          </w:r>
          <w:r w:rsidR="001860AF">
            <w:rPr>
              <w:noProof/>
              <w:sz w:val="24"/>
              <w:szCs w:val="24"/>
            </w:rPr>
            <w:t xml:space="preserve"> </w:t>
          </w:r>
          <w:r w:rsidR="001860AF" w:rsidRPr="001860AF">
            <w:rPr>
              <w:noProof/>
              <w:sz w:val="24"/>
              <w:szCs w:val="24"/>
            </w:rPr>
            <w:t>(Crossley, 2010, pp. 117-130)</w:t>
          </w:r>
          <w:r w:rsidR="001F6B49">
            <w:rPr>
              <w:sz w:val="24"/>
              <w:szCs w:val="24"/>
            </w:rPr>
            <w:fldChar w:fldCharType="end"/>
          </w:r>
        </w:sdtContent>
      </w:sdt>
      <w:r w:rsidR="001F6B49">
        <w:rPr>
          <w:sz w:val="24"/>
          <w:szCs w:val="24"/>
        </w:rPr>
        <w:t xml:space="preserve">. There is merit in taking a broad, inclusive approach to </w:t>
      </w:r>
      <w:r w:rsidR="003162CA">
        <w:rPr>
          <w:sz w:val="24"/>
          <w:szCs w:val="24"/>
        </w:rPr>
        <w:t>R</w:t>
      </w:r>
      <w:r w:rsidR="001F6B49">
        <w:rPr>
          <w:sz w:val="24"/>
          <w:szCs w:val="24"/>
        </w:rPr>
        <w:t xml:space="preserve">eception </w:t>
      </w:r>
      <w:r w:rsidR="003162CA">
        <w:rPr>
          <w:sz w:val="24"/>
          <w:szCs w:val="24"/>
        </w:rPr>
        <w:t>H</w:t>
      </w:r>
      <w:r w:rsidR="001F6B49">
        <w:rPr>
          <w:sz w:val="24"/>
          <w:szCs w:val="24"/>
        </w:rPr>
        <w:t xml:space="preserve">istory, not least because it gives opportunities from those who are not the ‘historically usual’ white male contributors. That is, Reception History contributions from women and </w:t>
      </w:r>
      <w:r w:rsidR="007B2994">
        <w:rPr>
          <w:sz w:val="24"/>
          <w:szCs w:val="24"/>
        </w:rPr>
        <w:t>non-white</w:t>
      </w:r>
      <w:r w:rsidR="001F6B49">
        <w:rPr>
          <w:sz w:val="24"/>
          <w:szCs w:val="24"/>
        </w:rPr>
        <w:t xml:space="preserve"> people greatly enriches the interpretative meaning, understanding and impact of Biblical texts, to the benefit of all.</w:t>
      </w:r>
    </w:p>
    <w:p w14:paraId="5C6FF73A" w14:textId="40D84DDE" w:rsidR="00D732F5" w:rsidRDefault="001F6B49">
      <w:pPr>
        <w:rPr>
          <w:sz w:val="24"/>
          <w:szCs w:val="24"/>
        </w:rPr>
      </w:pPr>
      <w:r>
        <w:rPr>
          <w:sz w:val="24"/>
          <w:szCs w:val="24"/>
        </w:rPr>
        <w:t xml:space="preserve">It is also evident that different generations and communities interpret Biblical texts within their own context and </w:t>
      </w:r>
      <w:r w:rsidR="007B2994">
        <w:rPr>
          <w:sz w:val="24"/>
          <w:szCs w:val="24"/>
        </w:rPr>
        <w:t>circumstances and</w:t>
      </w:r>
      <w:r>
        <w:rPr>
          <w:sz w:val="24"/>
          <w:szCs w:val="24"/>
        </w:rPr>
        <w:t xml:space="preserve"> use their own situations </w:t>
      </w:r>
      <w:r w:rsidR="007B2994">
        <w:rPr>
          <w:sz w:val="24"/>
          <w:szCs w:val="24"/>
        </w:rPr>
        <w:t>to</w:t>
      </w:r>
      <w:r>
        <w:rPr>
          <w:sz w:val="24"/>
          <w:szCs w:val="24"/>
        </w:rPr>
        <w:t xml:space="preserve"> aid their understanding and how to apply their teaching</w:t>
      </w:r>
      <w:sdt>
        <w:sdtPr>
          <w:rPr>
            <w:sz w:val="24"/>
            <w:szCs w:val="24"/>
          </w:rPr>
          <w:id w:val="1077473266"/>
          <w:citation/>
        </w:sdtPr>
        <w:sdtEndPr/>
        <w:sdtContent>
          <w:r w:rsidR="00F6179B">
            <w:rPr>
              <w:sz w:val="24"/>
              <w:szCs w:val="24"/>
            </w:rPr>
            <w:fldChar w:fldCharType="begin"/>
          </w:r>
          <w:r w:rsidR="00D26D6D">
            <w:rPr>
              <w:sz w:val="24"/>
              <w:szCs w:val="24"/>
            </w:rPr>
            <w:instrText xml:space="preserve">CITATION Lan10 \p 1 \l 2057 </w:instrText>
          </w:r>
          <w:r w:rsidR="00F6179B">
            <w:rPr>
              <w:sz w:val="24"/>
              <w:szCs w:val="24"/>
            </w:rPr>
            <w:fldChar w:fldCharType="separate"/>
          </w:r>
          <w:r w:rsidR="00D26D6D">
            <w:rPr>
              <w:noProof/>
              <w:sz w:val="24"/>
              <w:szCs w:val="24"/>
            </w:rPr>
            <w:t xml:space="preserve"> </w:t>
          </w:r>
          <w:r w:rsidR="00D26D6D" w:rsidRPr="00D26D6D">
            <w:rPr>
              <w:noProof/>
              <w:sz w:val="24"/>
              <w:szCs w:val="24"/>
            </w:rPr>
            <w:t>(Langston, 2010, p. 1)</w:t>
          </w:r>
          <w:r w:rsidR="00F6179B">
            <w:rPr>
              <w:sz w:val="24"/>
              <w:szCs w:val="24"/>
            </w:rPr>
            <w:fldChar w:fldCharType="end"/>
          </w:r>
        </w:sdtContent>
      </w:sdt>
      <w:r w:rsidR="007B2994">
        <w:rPr>
          <w:sz w:val="24"/>
          <w:szCs w:val="24"/>
        </w:rPr>
        <w:t>. For example, John S</w:t>
      </w:r>
      <w:r w:rsidR="009A5BDD">
        <w:rPr>
          <w:sz w:val="24"/>
          <w:szCs w:val="24"/>
        </w:rPr>
        <w:t>. M</w:t>
      </w:r>
      <w:r w:rsidR="007B2994">
        <w:rPr>
          <w:sz w:val="24"/>
          <w:szCs w:val="24"/>
        </w:rPr>
        <w:t>bit</w:t>
      </w:r>
      <w:r w:rsidR="009A5BDD">
        <w:rPr>
          <w:sz w:val="24"/>
          <w:szCs w:val="24"/>
        </w:rPr>
        <w:t>i</w:t>
      </w:r>
      <w:r w:rsidR="007B2994">
        <w:rPr>
          <w:sz w:val="24"/>
          <w:szCs w:val="24"/>
        </w:rPr>
        <w:t xml:space="preserve"> considers that “Africans hear their stories in the Bible” and </w:t>
      </w:r>
      <w:r w:rsidR="007F104B">
        <w:rPr>
          <w:sz w:val="24"/>
          <w:szCs w:val="24"/>
        </w:rPr>
        <w:t>that people</w:t>
      </w:r>
      <w:r w:rsidR="009A5BDD">
        <w:rPr>
          <w:sz w:val="24"/>
          <w:szCs w:val="24"/>
        </w:rPr>
        <w:t xml:space="preserve"> interpret </w:t>
      </w:r>
      <w:r w:rsidR="007F104B">
        <w:rPr>
          <w:sz w:val="24"/>
          <w:szCs w:val="24"/>
        </w:rPr>
        <w:t xml:space="preserve">Bible stories </w:t>
      </w:r>
      <w:r w:rsidR="009A5BDD">
        <w:rPr>
          <w:sz w:val="24"/>
          <w:szCs w:val="24"/>
        </w:rPr>
        <w:t xml:space="preserve">in </w:t>
      </w:r>
      <w:r w:rsidR="007F104B">
        <w:rPr>
          <w:sz w:val="24"/>
          <w:szCs w:val="24"/>
        </w:rPr>
        <w:t>their own</w:t>
      </w:r>
      <w:r w:rsidR="009A5BDD">
        <w:rPr>
          <w:sz w:val="24"/>
          <w:szCs w:val="24"/>
        </w:rPr>
        <w:t xml:space="preserve"> personal way</w:t>
      </w:r>
      <w:sdt>
        <w:sdtPr>
          <w:rPr>
            <w:sz w:val="24"/>
            <w:szCs w:val="24"/>
          </w:rPr>
          <w:id w:val="-577894269"/>
          <w:citation/>
        </w:sdtPr>
        <w:sdtEndPr/>
        <w:sdtContent>
          <w:r w:rsidR="009A5BDD">
            <w:rPr>
              <w:sz w:val="24"/>
              <w:szCs w:val="24"/>
            </w:rPr>
            <w:fldChar w:fldCharType="begin"/>
          </w:r>
          <w:r w:rsidR="00E23EDD">
            <w:rPr>
              <w:sz w:val="24"/>
              <w:szCs w:val="24"/>
            </w:rPr>
            <w:instrText xml:space="preserve">CITATION Joh86 \p 26 \l 2057 </w:instrText>
          </w:r>
          <w:r w:rsidR="009A5BDD">
            <w:rPr>
              <w:sz w:val="24"/>
              <w:szCs w:val="24"/>
            </w:rPr>
            <w:fldChar w:fldCharType="separate"/>
          </w:r>
          <w:r w:rsidR="00E23EDD">
            <w:rPr>
              <w:noProof/>
              <w:sz w:val="24"/>
              <w:szCs w:val="24"/>
            </w:rPr>
            <w:t xml:space="preserve"> </w:t>
          </w:r>
          <w:r w:rsidR="00E23EDD" w:rsidRPr="00E23EDD">
            <w:rPr>
              <w:noProof/>
              <w:sz w:val="24"/>
              <w:szCs w:val="24"/>
            </w:rPr>
            <w:t>(Mbiti, 1986, p. 26)</w:t>
          </w:r>
          <w:r w:rsidR="009A5BDD">
            <w:rPr>
              <w:sz w:val="24"/>
              <w:szCs w:val="24"/>
            </w:rPr>
            <w:fldChar w:fldCharType="end"/>
          </w:r>
        </w:sdtContent>
      </w:sdt>
      <w:r w:rsidR="009A5BDD">
        <w:rPr>
          <w:sz w:val="24"/>
          <w:szCs w:val="24"/>
        </w:rPr>
        <w:t xml:space="preserve">. This accords with the view that Christians generally read the Bible as if it were timeless and addressed to themselves </w:t>
      </w:r>
      <w:sdt>
        <w:sdtPr>
          <w:rPr>
            <w:sz w:val="24"/>
            <w:szCs w:val="24"/>
          </w:rPr>
          <w:id w:val="1523508487"/>
          <w:citation/>
        </w:sdtPr>
        <w:sdtEndPr/>
        <w:sdtContent>
          <w:r w:rsidR="009A5BDD">
            <w:rPr>
              <w:sz w:val="24"/>
              <w:szCs w:val="24"/>
            </w:rPr>
            <w:fldChar w:fldCharType="begin"/>
          </w:r>
          <w:r w:rsidR="00E23EDD">
            <w:rPr>
              <w:sz w:val="24"/>
              <w:szCs w:val="24"/>
            </w:rPr>
            <w:instrText xml:space="preserve">CITATION Car00 \p 19 \l 2057 </w:instrText>
          </w:r>
          <w:r w:rsidR="009A5BDD">
            <w:rPr>
              <w:sz w:val="24"/>
              <w:szCs w:val="24"/>
            </w:rPr>
            <w:fldChar w:fldCharType="separate"/>
          </w:r>
          <w:r w:rsidR="00E23EDD" w:rsidRPr="00E23EDD">
            <w:rPr>
              <w:noProof/>
              <w:sz w:val="24"/>
              <w:szCs w:val="24"/>
            </w:rPr>
            <w:t>(Carroll, 2000, p. 19)</w:t>
          </w:r>
          <w:r w:rsidR="009A5BDD">
            <w:rPr>
              <w:sz w:val="24"/>
              <w:szCs w:val="24"/>
            </w:rPr>
            <w:fldChar w:fldCharType="end"/>
          </w:r>
        </w:sdtContent>
      </w:sdt>
      <w:r w:rsidR="007E6552">
        <w:rPr>
          <w:sz w:val="24"/>
          <w:szCs w:val="24"/>
        </w:rPr>
        <w:t xml:space="preserve"> and </w:t>
      </w:r>
      <w:r w:rsidR="00A2640C">
        <w:rPr>
          <w:sz w:val="24"/>
          <w:szCs w:val="24"/>
        </w:rPr>
        <w:t>therefore there is</w:t>
      </w:r>
      <w:r w:rsidR="007E6552">
        <w:rPr>
          <w:sz w:val="24"/>
          <w:szCs w:val="24"/>
        </w:rPr>
        <w:t xml:space="preserve"> great value </w:t>
      </w:r>
      <w:r w:rsidR="00A2640C">
        <w:rPr>
          <w:sz w:val="24"/>
          <w:szCs w:val="24"/>
        </w:rPr>
        <w:t>to Biblical Studies in</w:t>
      </w:r>
      <w:r w:rsidR="00326CA4">
        <w:rPr>
          <w:sz w:val="24"/>
          <w:szCs w:val="24"/>
        </w:rPr>
        <w:t xml:space="preserve"> </w:t>
      </w:r>
      <w:r w:rsidR="007E6552">
        <w:rPr>
          <w:sz w:val="24"/>
          <w:szCs w:val="24"/>
        </w:rPr>
        <w:t>R</w:t>
      </w:r>
      <w:r w:rsidR="00326CA4">
        <w:rPr>
          <w:sz w:val="24"/>
          <w:szCs w:val="24"/>
        </w:rPr>
        <w:t xml:space="preserve">eception </w:t>
      </w:r>
      <w:r w:rsidR="007E6552">
        <w:rPr>
          <w:sz w:val="24"/>
          <w:szCs w:val="24"/>
        </w:rPr>
        <w:t>H</w:t>
      </w:r>
      <w:r w:rsidR="00326CA4">
        <w:rPr>
          <w:sz w:val="24"/>
          <w:szCs w:val="24"/>
        </w:rPr>
        <w:t>istory</w:t>
      </w:r>
      <w:r w:rsidR="00A2640C">
        <w:rPr>
          <w:sz w:val="24"/>
          <w:szCs w:val="24"/>
        </w:rPr>
        <w:t xml:space="preserve">’s contribution of </w:t>
      </w:r>
      <w:r w:rsidR="00326CA4">
        <w:rPr>
          <w:sz w:val="24"/>
          <w:szCs w:val="24"/>
        </w:rPr>
        <w:t>stud</w:t>
      </w:r>
      <w:r w:rsidR="007E6552">
        <w:rPr>
          <w:sz w:val="24"/>
          <w:szCs w:val="24"/>
        </w:rPr>
        <w:t>ying</w:t>
      </w:r>
      <w:r w:rsidR="00326CA4">
        <w:rPr>
          <w:sz w:val="24"/>
          <w:szCs w:val="24"/>
        </w:rPr>
        <w:t xml:space="preserve"> </w:t>
      </w:r>
      <w:r w:rsidR="007E6552">
        <w:rPr>
          <w:sz w:val="24"/>
          <w:szCs w:val="24"/>
        </w:rPr>
        <w:t>the</w:t>
      </w:r>
      <w:r w:rsidR="00326CA4">
        <w:rPr>
          <w:sz w:val="24"/>
          <w:szCs w:val="24"/>
        </w:rPr>
        <w:t xml:space="preserve"> interpretation, transmission, </w:t>
      </w:r>
      <w:r w:rsidR="007E6552">
        <w:rPr>
          <w:sz w:val="24"/>
          <w:szCs w:val="24"/>
        </w:rPr>
        <w:t>influence,</w:t>
      </w:r>
      <w:r w:rsidR="00326CA4">
        <w:rPr>
          <w:sz w:val="24"/>
          <w:szCs w:val="24"/>
        </w:rPr>
        <w:t xml:space="preserve"> and impact of Biblical texts over history</w:t>
      </w:r>
      <w:r w:rsidR="003162CA">
        <w:rPr>
          <w:sz w:val="24"/>
          <w:szCs w:val="24"/>
        </w:rPr>
        <w:t xml:space="preserve"> and cultures</w:t>
      </w:r>
      <w:r w:rsidR="00326CA4">
        <w:rPr>
          <w:sz w:val="24"/>
          <w:szCs w:val="24"/>
        </w:rPr>
        <w:t>.</w:t>
      </w:r>
      <w:r w:rsidR="007E6552">
        <w:rPr>
          <w:sz w:val="24"/>
          <w:szCs w:val="24"/>
        </w:rPr>
        <w:t xml:space="preserve"> </w:t>
      </w:r>
    </w:p>
    <w:p w14:paraId="22A9D1A2" w14:textId="2FDDE2C9" w:rsidR="002F2875" w:rsidRDefault="0079450A">
      <w:pPr>
        <w:rPr>
          <w:sz w:val="24"/>
          <w:szCs w:val="24"/>
        </w:rPr>
      </w:pPr>
      <w:r>
        <w:rPr>
          <w:sz w:val="24"/>
          <w:szCs w:val="24"/>
        </w:rPr>
        <w:t>The Seventh Ecumenical Council in 787</w:t>
      </w:r>
      <w:r w:rsidR="003162CA">
        <w:rPr>
          <w:sz w:val="24"/>
          <w:szCs w:val="24"/>
        </w:rPr>
        <w:t>CE</w:t>
      </w:r>
      <w:r>
        <w:rPr>
          <w:sz w:val="24"/>
          <w:szCs w:val="24"/>
        </w:rPr>
        <w:t xml:space="preserve"> </w:t>
      </w:r>
      <w:r w:rsidR="003162CA">
        <w:rPr>
          <w:sz w:val="24"/>
          <w:szCs w:val="24"/>
        </w:rPr>
        <w:t>accepted</w:t>
      </w:r>
      <w:r>
        <w:rPr>
          <w:sz w:val="24"/>
          <w:szCs w:val="24"/>
        </w:rPr>
        <w:t xml:space="preserve"> the legitimacy of Christian art and thereafter</w:t>
      </w:r>
      <w:r w:rsidR="00B06078">
        <w:rPr>
          <w:sz w:val="24"/>
          <w:szCs w:val="24"/>
        </w:rPr>
        <w:t>,</w:t>
      </w:r>
      <w:r>
        <w:rPr>
          <w:sz w:val="24"/>
          <w:szCs w:val="24"/>
        </w:rPr>
        <w:t xml:space="preserve"> </w:t>
      </w:r>
      <w:r w:rsidR="003162CA">
        <w:rPr>
          <w:sz w:val="24"/>
          <w:szCs w:val="24"/>
        </w:rPr>
        <w:t>artists</w:t>
      </w:r>
      <w:r>
        <w:rPr>
          <w:sz w:val="24"/>
          <w:szCs w:val="24"/>
        </w:rPr>
        <w:t xml:space="preserve"> </w:t>
      </w:r>
      <w:r w:rsidR="003162CA">
        <w:rPr>
          <w:sz w:val="24"/>
          <w:szCs w:val="24"/>
        </w:rPr>
        <w:t xml:space="preserve">have </w:t>
      </w:r>
      <w:r>
        <w:rPr>
          <w:sz w:val="24"/>
          <w:szCs w:val="24"/>
        </w:rPr>
        <w:t xml:space="preserve">made a considerable contribution to the </w:t>
      </w:r>
      <w:r w:rsidR="00B06078">
        <w:rPr>
          <w:sz w:val="24"/>
          <w:szCs w:val="24"/>
        </w:rPr>
        <w:t>presentation and understanding of Biblical texts</w:t>
      </w:r>
      <w:sdt>
        <w:sdtPr>
          <w:rPr>
            <w:sz w:val="24"/>
            <w:szCs w:val="24"/>
          </w:rPr>
          <w:id w:val="-243497230"/>
          <w:citation/>
        </w:sdtPr>
        <w:sdtContent>
          <w:r>
            <w:rPr>
              <w:sz w:val="24"/>
              <w:szCs w:val="24"/>
            </w:rPr>
            <w:fldChar w:fldCharType="begin"/>
          </w:r>
          <w:r w:rsidR="00977173">
            <w:rPr>
              <w:sz w:val="24"/>
              <w:szCs w:val="24"/>
            </w:rPr>
            <w:instrText xml:space="preserve">CITATION Ric20 \p 1 \l 2057 </w:instrText>
          </w:r>
          <w:r>
            <w:rPr>
              <w:sz w:val="24"/>
              <w:szCs w:val="24"/>
            </w:rPr>
            <w:fldChar w:fldCharType="separate"/>
          </w:r>
          <w:r w:rsidR="00977173">
            <w:rPr>
              <w:noProof/>
              <w:sz w:val="24"/>
              <w:szCs w:val="24"/>
            </w:rPr>
            <w:t xml:space="preserve"> </w:t>
          </w:r>
          <w:r w:rsidR="00977173" w:rsidRPr="00977173">
            <w:rPr>
              <w:noProof/>
              <w:sz w:val="24"/>
              <w:szCs w:val="24"/>
            </w:rPr>
            <w:t>(Harries, 2020, p. 1)</w:t>
          </w:r>
          <w:r>
            <w:rPr>
              <w:sz w:val="24"/>
              <w:szCs w:val="24"/>
            </w:rPr>
            <w:fldChar w:fldCharType="end"/>
          </w:r>
        </w:sdtContent>
      </w:sdt>
      <w:r w:rsidR="00B06078">
        <w:rPr>
          <w:sz w:val="24"/>
          <w:szCs w:val="24"/>
        </w:rPr>
        <w:t>. V</w:t>
      </w:r>
      <w:r w:rsidR="00B43B68">
        <w:rPr>
          <w:sz w:val="24"/>
          <w:szCs w:val="24"/>
        </w:rPr>
        <w:t>isually representing people and events from the Bible became widespread during the Middle Ages and on through the Renaissance in Europe, to the extent that they provided insightful and sophisticated interpretations of Biblical texts</w:t>
      </w:r>
      <w:sdt>
        <w:sdtPr>
          <w:rPr>
            <w:sz w:val="24"/>
            <w:szCs w:val="24"/>
          </w:rPr>
          <w:id w:val="1835718119"/>
          <w:citation/>
        </w:sdtPr>
        <w:sdtContent>
          <w:r w:rsidR="00B43B68">
            <w:rPr>
              <w:sz w:val="24"/>
              <w:szCs w:val="24"/>
            </w:rPr>
            <w:fldChar w:fldCharType="begin"/>
          </w:r>
          <w:r w:rsidR="002D4731">
            <w:rPr>
              <w:sz w:val="24"/>
              <w:szCs w:val="24"/>
            </w:rPr>
            <w:instrText xml:space="preserve">CITATION Alb14 \p 175 \l 2057 </w:instrText>
          </w:r>
          <w:r w:rsidR="00B43B68">
            <w:rPr>
              <w:sz w:val="24"/>
              <w:szCs w:val="24"/>
            </w:rPr>
            <w:fldChar w:fldCharType="separate"/>
          </w:r>
          <w:r w:rsidR="002D4731">
            <w:rPr>
              <w:noProof/>
              <w:sz w:val="24"/>
              <w:szCs w:val="24"/>
            </w:rPr>
            <w:t xml:space="preserve"> </w:t>
          </w:r>
          <w:r w:rsidR="002D4731" w:rsidRPr="002D4731">
            <w:rPr>
              <w:noProof/>
              <w:sz w:val="24"/>
              <w:szCs w:val="24"/>
            </w:rPr>
            <w:t>(Labriola, 2014, p. 175)</w:t>
          </w:r>
          <w:r w:rsidR="00B43B68">
            <w:rPr>
              <w:sz w:val="24"/>
              <w:szCs w:val="24"/>
            </w:rPr>
            <w:fldChar w:fldCharType="end"/>
          </w:r>
        </w:sdtContent>
      </w:sdt>
      <w:r w:rsidR="00B43B68">
        <w:rPr>
          <w:sz w:val="24"/>
          <w:szCs w:val="24"/>
        </w:rPr>
        <w:t xml:space="preserve">. </w:t>
      </w:r>
      <w:r>
        <w:rPr>
          <w:sz w:val="24"/>
          <w:szCs w:val="24"/>
        </w:rPr>
        <w:t>Paintings</w:t>
      </w:r>
      <w:r w:rsidR="007E22E1">
        <w:rPr>
          <w:sz w:val="24"/>
          <w:szCs w:val="24"/>
        </w:rPr>
        <w:t xml:space="preserve"> sometimes couple images from the Old Testament with the New Testament to present the former characters or events as foreshadowing their counterparts in the latter. In this manner</w:t>
      </w:r>
      <w:r w:rsidR="00DD46BB">
        <w:rPr>
          <w:sz w:val="24"/>
          <w:szCs w:val="24"/>
        </w:rPr>
        <w:t>,</w:t>
      </w:r>
      <w:r w:rsidR="007E22E1">
        <w:rPr>
          <w:sz w:val="24"/>
          <w:szCs w:val="24"/>
        </w:rPr>
        <w:t xml:space="preserve"> they visually present Jesus Christ as fulfilling the messianic prophesies of the Old Testament. </w:t>
      </w:r>
      <w:r w:rsidR="00DD46BB">
        <w:rPr>
          <w:sz w:val="24"/>
          <w:szCs w:val="24"/>
        </w:rPr>
        <w:t>I</w:t>
      </w:r>
      <w:r w:rsidR="007E22E1">
        <w:rPr>
          <w:sz w:val="24"/>
          <w:szCs w:val="24"/>
        </w:rPr>
        <w:t>mages of the Trinity often have the Holy Spirit depicted as a dove</w:t>
      </w:r>
      <w:r w:rsidR="002D4731">
        <w:rPr>
          <w:sz w:val="24"/>
          <w:szCs w:val="24"/>
        </w:rPr>
        <w:t xml:space="preserve"> who is placed above the Father and the </w:t>
      </w:r>
      <w:r w:rsidR="00D507D1">
        <w:rPr>
          <w:sz w:val="24"/>
          <w:szCs w:val="24"/>
        </w:rPr>
        <w:t xml:space="preserve">Son </w:t>
      </w:r>
      <w:r w:rsidR="002D4731">
        <w:rPr>
          <w:sz w:val="24"/>
          <w:szCs w:val="24"/>
        </w:rPr>
        <w:t>at the apex of a triangular presentation, thereby reinforcing the Triune message of the Godhead</w:t>
      </w:r>
      <w:sdt>
        <w:sdtPr>
          <w:rPr>
            <w:sz w:val="24"/>
            <w:szCs w:val="24"/>
          </w:rPr>
          <w:id w:val="1874955392"/>
          <w:citation/>
        </w:sdtPr>
        <w:sdtContent>
          <w:r w:rsidR="002D4731">
            <w:rPr>
              <w:sz w:val="24"/>
              <w:szCs w:val="24"/>
            </w:rPr>
            <w:fldChar w:fldCharType="begin"/>
          </w:r>
          <w:r w:rsidR="002D4731">
            <w:rPr>
              <w:sz w:val="24"/>
              <w:szCs w:val="24"/>
            </w:rPr>
            <w:instrText xml:space="preserve">CITATION Alb14 \p 176-177 \l 2057 </w:instrText>
          </w:r>
          <w:r w:rsidR="002D4731">
            <w:rPr>
              <w:sz w:val="24"/>
              <w:szCs w:val="24"/>
            </w:rPr>
            <w:fldChar w:fldCharType="separate"/>
          </w:r>
          <w:r w:rsidR="002D4731">
            <w:rPr>
              <w:noProof/>
              <w:sz w:val="24"/>
              <w:szCs w:val="24"/>
            </w:rPr>
            <w:t xml:space="preserve"> </w:t>
          </w:r>
          <w:r w:rsidR="002D4731" w:rsidRPr="002D4731">
            <w:rPr>
              <w:noProof/>
              <w:sz w:val="24"/>
              <w:szCs w:val="24"/>
            </w:rPr>
            <w:t>(Labriola, 2014, pp. 176-177)</w:t>
          </w:r>
          <w:r w:rsidR="002D4731">
            <w:rPr>
              <w:sz w:val="24"/>
              <w:szCs w:val="24"/>
            </w:rPr>
            <w:fldChar w:fldCharType="end"/>
          </w:r>
        </w:sdtContent>
      </w:sdt>
      <w:r w:rsidR="002D4731">
        <w:rPr>
          <w:sz w:val="24"/>
          <w:szCs w:val="24"/>
        </w:rPr>
        <w:t xml:space="preserve">. </w:t>
      </w:r>
      <w:r w:rsidR="0028536A">
        <w:rPr>
          <w:sz w:val="24"/>
          <w:szCs w:val="24"/>
        </w:rPr>
        <w:t xml:space="preserve">After Jesus’ death, </w:t>
      </w:r>
      <w:r w:rsidR="00D507D1">
        <w:rPr>
          <w:sz w:val="24"/>
          <w:szCs w:val="24"/>
        </w:rPr>
        <w:t xml:space="preserve">presentations of </w:t>
      </w:r>
      <w:r w:rsidR="0028536A">
        <w:rPr>
          <w:sz w:val="24"/>
          <w:szCs w:val="24"/>
        </w:rPr>
        <w:t xml:space="preserve">his resurrection </w:t>
      </w:r>
      <w:r w:rsidR="00D507D1">
        <w:rPr>
          <w:sz w:val="24"/>
          <w:szCs w:val="24"/>
        </w:rPr>
        <w:t>are</w:t>
      </w:r>
      <w:r w:rsidR="0028536A">
        <w:rPr>
          <w:sz w:val="24"/>
          <w:szCs w:val="24"/>
        </w:rPr>
        <w:t xml:space="preserve"> often in dramatic Christus Victor representation</w:t>
      </w:r>
      <w:r w:rsidR="00D507D1">
        <w:rPr>
          <w:sz w:val="24"/>
          <w:szCs w:val="24"/>
        </w:rPr>
        <w:t xml:space="preserve">s. Jesus is shown </w:t>
      </w:r>
      <w:r w:rsidR="0028536A">
        <w:rPr>
          <w:sz w:val="24"/>
          <w:szCs w:val="24"/>
        </w:rPr>
        <w:t>standing victorious over his tomb with banner in hand and a new dawn emerging on a landscape background</w:t>
      </w:r>
      <w:r w:rsidR="00D507D1">
        <w:rPr>
          <w:sz w:val="24"/>
          <w:szCs w:val="24"/>
        </w:rPr>
        <w:t>, thereby depicting his glorious victory over death and the rallying point for the faithful</w:t>
      </w:r>
      <w:r w:rsidR="0028536A">
        <w:rPr>
          <w:sz w:val="24"/>
          <w:szCs w:val="24"/>
        </w:rPr>
        <w:t>.</w:t>
      </w:r>
      <w:r w:rsidR="00D507D1">
        <w:rPr>
          <w:sz w:val="24"/>
          <w:szCs w:val="24"/>
        </w:rPr>
        <w:t xml:space="preserve"> </w:t>
      </w:r>
      <w:r w:rsidR="0028536A">
        <w:rPr>
          <w:sz w:val="24"/>
          <w:szCs w:val="24"/>
        </w:rPr>
        <w:t xml:space="preserve"> </w:t>
      </w:r>
      <w:r w:rsidR="007F548D">
        <w:rPr>
          <w:sz w:val="24"/>
          <w:szCs w:val="24"/>
        </w:rPr>
        <w:t>Ano</w:t>
      </w:r>
      <w:r w:rsidR="0028536A">
        <w:rPr>
          <w:sz w:val="24"/>
          <w:szCs w:val="24"/>
        </w:rPr>
        <w:t xml:space="preserve">ther popular </w:t>
      </w:r>
      <w:r w:rsidR="00D507D1">
        <w:rPr>
          <w:sz w:val="24"/>
          <w:szCs w:val="24"/>
        </w:rPr>
        <w:t xml:space="preserve">visual </w:t>
      </w:r>
      <w:r w:rsidR="0028536A">
        <w:rPr>
          <w:sz w:val="24"/>
          <w:szCs w:val="24"/>
        </w:rPr>
        <w:t xml:space="preserve">theme </w:t>
      </w:r>
      <w:r w:rsidR="007F548D">
        <w:rPr>
          <w:sz w:val="24"/>
          <w:szCs w:val="24"/>
        </w:rPr>
        <w:t>is</w:t>
      </w:r>
      <w:r w:rsidR="0028536A">
        <w:rPr>
          <w:sz w:val="24"/>
          <w:szCs w:val="24"/>
        </w:rPr>
        <w:t xml:space="preserve"> the Annunciation which usually link</w:t>
      </w:r>
      <w:r w:rsidR="007F548D">
        <w:rPr>
          <w:sz w:val="24"/>
          <w:szCs w:val="24"/>
        </w:rPr>
        <w:t>s</w:t>
      </w:r>
      <w:r w:rsidR="0028536A">
        <w:rPr>
          <w:sz w:val="24"/>
          <w:szCs w:val="24"/>
        </w:rPr>
        <w:t xml:space="preserve"> Mary with Old Testament prophesies</w:t>
      </w:r>
      <w:r w:rsidR="007F548D">
        <w:rPr>
          <w:sz w:val="24"/>
          <w:szCs w:val="24"/>
        </w:rPr>
        <w:t>,</w:t>
      </w:r>
      <w:r w:rsidR="0028536A">
        <w:rPr>
          <w:sz w:val="24"/>
          <w:szCs w:val="24"/>
        </w:rPr>
        <w:t xml:space="preserve"> with the addition of a dove representing the Holy Spirit’s </w:t>
      </w:r>
      <w:r w:rsidR="00D507D1">
        <w:rPr>
          <w:sz w:val="24"/>
          <w:szCs w:val="24"/>
        </w:rPr>
        <w:t xml:space="preserve">presence and </w:t>
      </w:r>
      <w:r w:rsidR="0028536A">
        <w:rPr>
          <w:sz w:val="24"/>
          <w:szCs w:val="24"/>
        </w:rPr>
        <w:t>interaction with Mary</w:t>
      </w:r>
      <w:r w:rsidR="00D507D1">
        <w:rPr>
          <w:sz w:val="24"/>
          <w:szCs w:val="24"/>
        </w:rPr>
        <w:t>.</w:t>
      </w:r>
      <w:r w:rsidR="007F548D">
        <w:rPr>
          <w:sz w:val="24"/>
          <w:szCs w:val="24"/>
        </w:rPr>
        <w:t xml:space="preserve"> </w:t>
      </w:r>
      <w:r w:rsidR="00DD46BB">
        <w:rPr>
          <w:sz w:val="24"/>
          <w:szCs w:val="24"/>
        </w:rPr>
        <w:t>However, t</w:t>
      </w:r>
      <w:r w:rsidR="00043A5C">
        <w:rPr>
          <w:sz w:val="24"/>
          <w:szCs w:val="24"/>
        </w:rPr>
        <w:t xml:space="preserve">he usual </w:t>
      </w:r>
      <w:r w:rsidR="00573EEE">
        <w:rPr>
          <w:sz w:val="24"/>
          <w:szCs w:val="24"/>
        </w:rPr>
        <w:t xml:space="preserve">visual </w:t>
      </w:r>
      <w:r w:rsidR="00043A5C">
        <w:rPr>
          <w:sz w:val="24"/>
          <w:szCs w:val="24"/>
        </w:rPr>
        <w:t xml:space="preserve">presentation of </w:t>
      </w:r>
      <w:r w:rsidR="00573EEE">
        <w:rPr>
          <w:sz w:val="24"/>
          <w:szCs w:val="24"/>
        </w:rPr>
        <w:t xml:space="preserve">the other Mary, </w:t>
      </w:r>
      <w:r w:rsidR="00043A5C">
        <w:rPr>
          <w:sz w:val="24"/>
          <w:szCs w:val="24"/>
        </w:rPr>
        <w:t xml:space="preserve">Mary Magdalene, severely misrepresents the known facts </w:t>
      </w:r>
      <w:r w:rsidR="002F2875">
        <w:rPr>
          <w:sz w:val="24"/>
          <w:szCs w:val="24"/>
        </w:rPr>
        <w:t>because of</w:t>
      </w:r>
      <w:r w:rsidR="00043A5C">
        <w:rPr>
          <w:sz w:val="24"/>
          <w:szCs w:val="24"/>
        </w:rPr>
        <w:t xml:space="preserve"> </w:t>
      </w:r>
      <w:r w:rsidR="002F2875" w:rsidRPr="002F2875">
        <w:rPr>
          <w:rFonts w:cstheme="minorHAnsi"/>
          <w:sz w:val="24"/>
          <w:szCs w:val="24"/>
        </w:rPr>
        <w:t>Pope Gregory’s influential homily in c.591</w:t>
      </w:r>
      <w:r w:rsidR="00977173">
        <w:rPr>
          <w:rFonts w:cstheme="minorHAnsi"/>
          <w:sz w:val="24"/>
          <w:szCs w:val="24"/>
        </w:rPr>
        <w:t>. Pope Gregory</w:t>
      </w:r>
      <w:r w:rsidR="002F2875" w:rsidRPr="002F2875">
        <w:rPr>
          <w:rFonts w:cstheme="minorHAnsi"/>
          <w:sz w:val="24"/>
          <w:szCs w:val="24"/>
        </w:rPr>
        <w:t xml:space="preserve"> conflate</w:t>
      </w:r>
      <w:r w:rsidR="00977173">
        <w:rPr>
          <w:rFonts w:cstheme="minorHAnsi"/>
          <w:sz w:val="24"/>
          <w:szCs w:val="24"/>
        </w:rPr>
        <w:t>d</w:t>
      </w:r>
      <w:r w:rsidR="002F2875" w:rsidRPr="002F2875">
        <w:rPr>
          <w:rFonts w:cstheme="minorHAnsi"/>
          <w:sz w:val="24"/>
          <w:szCs w:val="24"/>
        </w:rPr>
        <w:t xml:space="preserve"> Mary Magdalene with the unidentified sinner in Luke’s Gospel who washe</w:t>
      </w:r>
      <w:r w:rsidR="00977173">
        <w:rPr>
          <w:rFonts w:cstheme="minorHAnsi"/>
          <w:sz w:val="24"/>
          <w:szCs w:val="24"/>
        </w:rPr>
        <w:t>d</w:t>
      </w:r>
      <w:r w:rsidR="002F2875" w:rsidRPr="002F2875">
        <w:rPr>
          <w:rFonts w:cstheme="minorHAnsi"/>
          <w:sz w:val="24"/>
          <w:szCs w:val="24"/>
        </w:rPr>
        <w:t xml:space="preserve"> Jesus’ feet with expensive perfume and drie</w:t>
      </w:r>
      <w:r w:rsidR="00977173">
        <w:rPr>
          <w:rFonts w:cstheme="minorHAnsi"/>
          <w:sz w:val="24"/>
          <w:szCs w:val="24"/>
        </w:rPr>
        <w:t>d</w:t>
      </w:r>
      <w:r w:rsidR="002F2875" w:rsidRPr="002F2875">
        <w:rPr>
          <w:rFonts w:cstheme="minorHAnsi"/>
          <w:sz w:val="24"/>
          <w:szCs w:val="24"/>
        </w:rPr>
        <w:t xml:space="preserve"> them with her hair. Pope Gregory state</w:t>
      </w:r>
      <w:r w:rsidR="002F2875">
        <w:rPr>
          <w:rFonts w:cstheme="minorHAnsi"/>
          <w:sz w:val="24"/>
          <w:szCs w:val="24"/>
        </w:rPr>
        <w:t>d</w:t>
      </w:r>
      <w:r w:rsidR="002F2875" w:rsidRPr="002F2875">
        <w:rPr>
          <w:rFonts w:cstheme="minorHAnsi"/>
          <w:sz w:val="24"/>
          <w:szCs w:val="24"/>
        </w:rPr>
        <w:t xml:space="preserve"> that her sins were of a sexual nature</w:t>
      </w:r>
      <w:r w:rsidR="002F2875">
        <w:rPr>
          <w:rFonts w:cstheme="minorHAnsi"/>
          <w:sz w:val="24"/>
          <w:szCs w:val="24"/>
        </w:rPr>
        <w:t xml:space="preserve"> and f</w:t>
      </w:r>
      <w:r w:rsidR="002F2875" w:rsidRPr="002F2875">
        <w:rPr>
          <w:rFonts w:cstheme="minorHAnsi"/>
          <w:sz w:val="24"/>
          <w:szCs w:val="24"/>
        </w:rPr>
        <w:t xml:space="preserve">rom this point, </w:t>
      </w:r>
      <w:r w:rsidR="002F2875" w:rsidRPr="002F2875">
        <w:rPr>
          <w:rFonts w:cstheme="minorHAnsi"/>
          <w:color w:val="202122"/>
          <w:sz w:val="24"/>
          <w:szCs w:val="24"/>
          <w:shd w:val="clear" w:color="auto" w:fill="FFFFFF"/>
        </w:rPr>
        <w:t>Mary Magdalene develops the reputation in Western Christianity of being a repentant prostitute</w:t>
      </w:r>
      <w:r w:rsidR="003162CA">
        <w:rPr>
          <w:rFonts w:cstheme="minorHAnsi"/>
          <w:color w:val="202122"/>
          <w:sz w:val="24"/>
          <w:szCs w:val="24"/>
          <w:shd w:val="clear" w:color="auto" w:fill="FFFFFF"/>
        </w:rPr>
        <w:t>,</w:t>
      </w:r>
      <w:r w:rsidR="002F2875" w:rsidRPr="002F2875">
        <w:rPr>
          <w:rFonts w:cstheme="minorHAnsi"/>
          <w:color w:val="202122"/>
          <w:sz w:val="24"/>
          <w:szCs w:val="24"/>
          <w:shd w:val="clear" w:color="auto" w:fill="FFFFFF"/>
        </w:rPr>
        <w:t xml:space="preserve"> which strongly influenced artists in their pres</w:t>
      </w:r>
      <w:r w:rsidR="00184AE8">
        <w:rPr>
          <w:rFonts w:cstheme="minorHAnsi"/>
          <w:color w:val="202122"/>
          <w:sz w:val="24"/>
          <w:szCs w:val="24"/>
          <w:shd w:val="clear" w:color="auto" w:fill="FFFFFF"/>
        </w:rPr>
        <w:t>entation</w:t>
      </w:r>
      <w:r w:rsidR="00DD46BB">
        <w:rPr>
          <w:rFonts w:cstheme="minorHAnsi"/>
          <w:color w:val="202122"/>
          <w:sz w:val="24"/>
          <w:szCs w:val="24"/>
          <w:shd w:val="clear" w:color="auto" w:fill="FFFFFF"/>
        </w:rPr>
        <w:t xml:space="preserve"> of her</w:t>
      </w:r>
      <w:r w:rsidR="002F2875" w:rsidRPr="002F2875">
        <w:rPr>
          <w:rFonts w:cstheme="minorHAnsi"/>
          <w:color w:val="202122"/>
          <w:sz w:val="24"/>
          <w:szCs w:val="24"/>
          <w:shd w:val="clear" w:color="auto" w:fill="FFFFFF"/>
        </w:rPr>
        <w:t xml:space="preserve">. Arising from the tradition that Mary Magdalene had been a prostitute, she </w:t>
      </w:r>
      <w:r w:rsidR="00977173">
        <w:rPr>
          <w:rFonts w:cstheme="minorHAnsi"/>
          <w:color w:val="202122"/>
          <w:sz w:val="24"/>
          <w:szCs w:val="24"/>
          <w:shd w:val="clear" w:color="auto" w:fill="FFFFFF"/>
        </w:rPr>
        <w:t xml:space="preserve">also </w:t>
      </w:r>
      <w:r w:rsidR="002F2875" w:rsidRPr="002F2875">
        <w:rPr>
          <w:rFonts w:cstheme="minorHAnsi"/>
          <w:color w:val="202122"/>
          <w:sz w:val="24"/>
          <w:szCs w:val="24"/>
          <w:shd w:val="clear" w:color="auto" w:fill="FFFFFF"/>
        </w:rPr>
        <w:t>became the patroness of "wayward women", and, in the eighteenth century, moral reformers established Magdalene Asylums to help save women from prostitution. Whilst latterly, the Vatican has corrected the misinterpretation of Mary Magdalene as a repentant prostitute, nonetheless the view of Mary as a repentant prostitute has continued to grow more prevalent in popular culture</w:t>
      </w:r>
      <w:r w:rsidR="002F2875">
        <w:rPr>
          <w:rFonts w:cstheme="minorHAnsi"/>
          <w:color w:val="202122"/>
          <w:sz w:val="24"/>
          <w:szCs w:val="24"/>
          <w:shd w:val="clear" w:color="auto" w:fill="FFFFFF"/>
        </w:rPr>
        <w:t>.</w:t>
      </w:r>
      <w:r w:rsidR="00977173">
        <w:rPr>
          <w:rFonts w:cstheme="minorHAnsi"/>
          <w:color w:val="202122"/>
          <w:sz w:val="24"/>
          <w:szCs w:val="24"/>
          <w:shd w:val="clear" w:color="auto" w:fill="FFFFFF"/>
        </w:rPr>
        <w:t xml:space="preserve"> Therefore, religious art has had a very significant impact on people’s understanding of Biblical text</w:t>
      </w:r>
      <w:r w:rsidR="00E66EF7">
        <w:rPr>
          <w:rFonts w:cstheme="minorHAnsi"/>
          <w:color w:val="202122"/>
          <w:sz w:val="24"/>
          <w:szCs w:val="24"/>
          <w:shd w:val="clear" w:color="auto" w:fill="FFFFFF"/>
        </w:rPr>
        <w:t xml:space="preserve"> and the inclusion of its interpretation and influence contributes greatly to Reception History and thereby broadens the boundaries of Biblical studies</w:t>
      </w:r>
    </w:p>
    <w:p w14:paraId="256836B4" w14:textId="3DA0DBFE" w:rsidR="00D732F5" w:rsidRDefault="00E66EF7">
      <w:pPr>
        <w:rPr>
          <w:sz w:val="24"/>
          <w:szCs w:val="24"/>
        </w:rPr>
      </w:pPr>
      <w:r>
        <w:rPr>
          <w:sz w:val="24"/>
          <w:szCs w:val="24"/>
        </w:rPr>
        <w:t>By Reception History e</w:t>
      </w:r>
      <w:r w:rsidR="007A50E9">
        <w:rPr>
          <w:sz w:val="24"/>
          <w:szCs w:val="24"/>
        </w:rPr>
        <w:t xml:space="preserve">xpanding the boundaries of </w:t>
      </w:r>
      <w:r>
        <w:rPr>
          <w:sz w:val="24"/>
          <w:szCs w:val="24"/>
        </w:rPr>
        <w:t>Biblical Studies, it</w:t>
      </w:r>
      <w:r w:rsidR="007A50E9">
        <w:rPr>
          <w:sz w:val="24"/>
          <w:szCs w:val="24"/>
        </w:rPr>
        <w:t xml:space="preserve"> draws in </w:t>
      </w:r>
      <w:r>
        <w:rPr>
          <w:sz w:val="24"/>
          <w:szCs w:val="24"/>
        </w:rPr>
        <w:t xml:space="preserve">the interest and contributions of </w:t>
      </w:r>
      <w:r w:rsidR="007A50E9">
        <w:rPr>
          <w:sz w:val="24"/>
          <w:szCs w:val="24"/>
        </w:rPr>
        <w:t xml:space="preserve">other disciplines, such as Philosophy, History, Cultural Studies, </w:t>
      </w:r>
      <w:proofErr w:type="gramStart"/>
      <w:r w:rsidR="007A50E9">
        <w:rPr>
          <w:sz w:val="24"/>
          <w:szCs w:val="24"/>
        </w:rPr>
        <w:t>Art</w:t>
      </w:r>
      <w:proofErr w:type="gramEnd"/>
      <w:r w:rsidR="007A50E9">
        <w:rPr>
          <w:sz w:val="24"/>
          <w:szCs w:val="24"/>
        </w:rPr>
        <w:t xml:space="preserve"> and Politics. This cross-fertilisation and collaboration of disciplines </w:t>
      </w:r>
      <w:r>
        <w:rPr>
          <w:sz w:val="24"/>
          <w:szCs w:val="24"/>
        </w:rPr>
        <w:t xml:space="preserve">will </w:t>
      </w:r>
      <w:r w:rsidR="007A50E9">
        <w:rPr>
          <w:sz w:val="24"/>
          <w:szCs w:val="24"/>
        </w:rPr>
        <w:t xml:space="preserve">produce new insights and understanding and should enable Biblical Studies to become </w:t>
      </w:r>
      <w:r>
        <w:rPr>
          <w:sz w:val="24"/>
          <w:szCs w:val="24"/>
        </w:rPr>
        <w:t xml:space="preserve">more </w:t>
      </w:r>
      <w:r w:rsidR="007A50E9">
        <w:rPr>
          <w:sz w:val="24"/>
          <w:szCs w:val="24"/>
        </w:rPr>
        <w:t>relevant to new audiences and new generations. Some may consider that “Reception History is Biblical Studies on holiday”</w:t>
      </w:r>
      <w:sdt>
        <w:sdtPr>
          <w:rPr>
            <w:sz w:val="24"/>
            <w:szCs w:val="24"/>
          </w:rPr>
          <w:id w:val="-366611284"/>
          <w:citation/>
        </w:sdtPr>
        <w:sdtEndPr/>
        <w:sdtContent>
          <w:r w:rsidR="007A50E9">
            <w:rPr>
              <w:sz w:val="24"/>
              <w:szCs w:val="24"/>
            </w:rPr>
            <w:fldChar w:fldCharType="begin"/>
          </w:r>
          <w:r w:rsidR="00E23EDD">
            <w:rPr>
              <w:sz w:val="24"/>
              <w:szCs w:val="24"/>
            </w:rPr>
            <w:instrText xml:space="preserve">CITATION Sus18 \p 17 \l 2057 </w:instrText>
          </w:r>
          <w:r w:rsidR="007A50E9">
            <w:rPr>
              <w:sz w:val="24"/>
              <w:szCs w:val="24"/>
            </w:rPr>
            <w:fldChar w:fldCharType="separate"/>
          </w:r>
          <w:r w:rsidR="00E23EDD">
            <w:rPr>
              <w:noProof/>
              <w:sz w:val="24"/>
              <w:szCs w:val="24"/>
            </w:rPr>
            <w:t xml:space="preserve"> </w:t>
          </w:r>
          <w:r w:rsidR="00E23EDD" w:rsidRPr="00E23EDD">
            <w:rPr>
              <w:noProof/>
              <w:sz w:val="24"/>
              <w:szCs w:val="24"/>
            </w:rPr>
            <w:t>(Gillingham, 2018, p. 17)</w:t>
          </w:r>
          <w:r w:rsidR="007A50E9">
            <w:rPr>
              <w:sz w:val="24"/>
              <w:szCs w:val="24"/>
            </w:rPr>
            <w:fldChar w:fldCharType="end"/>
          </w:r>
        </w:sdtContent>
      </w:sdt>
      <w:r w:rsidR="007A50E9">
        <w:rPr>
          <w:sz w:val="24"/>
          <w:szCs w:val="24"/>
        </w:rPr>
        <w:t>, but the new perspectives the study field offers has a more substantial contribution to make than that phrase may imply.</w:t>
      </w:r>
      <w:r w:rsidR="00D802E5">
        <w:rPr>
          <w:sz w:val="24"/>
          <w:szCs w:val="24"/>
        </w:rPr>
        <w:t xml:space="preserve"> </w:t>
      </w:r>
      <w:r>
        <w:rPr>
          <w:sz w:val="24"/>
          <w:szCs w:val="24"/>
        </w:rPr>
        <w:t>Other commentators consider that Biblical texts is “Reception History all the way down…with…no clear starting point”</w:t>
      </w:r>
      <w:sdt>
        <w:sdtPr>
          <w:rPr>
            <w:sz w:val="24"/>
            <w:szCs w:val="24"/>
          </w:rPr>
          <w:id w:val="-1039194806"/>
          <w:citation/>
        </w:sdtPr>
        <w:sdtContent>
          <w:r>
            <w:rPr>
              <w:sz w:val="24"/>
              <w:szCs w:val="24"/>
            </w:rPr>
            <w:fldChar w:fldCharType="begin"/>
          </w:r>
          <w:r w:rsidR="00E23EDD">
            <w:rPr>
              <w:sz w:val="24"/>
              <w:szCs w:val="24"/>
            </w:rPr>
            <w:instrText xml:space="preserve">CITATION Bre12 \p 304 \l 2057 </w:instrText>
          </w:r>
          <w:r>
            <w:rPr>
              <w:sz w:val="24"/>
              <w:szCs w:val="24"/>
            </w:rPr>
            <w:fldChar w:fldCharType="separate"/>
          </w:r>
          <w:r w:rsidR="00E23EDD">
            <w:rPr>
              <w:noProof/>
              <w:sz w:val="24"/>
              <w:szCs w:val="24"/>
            </w:rPr>
            <w:t xml:space="preserve"> </w:t>
          </w:r>
          <w:r w:rsidR="00E23EDD" w:rsidRPr="00E23EDD">
            <w:rPr>
              <w:noProof/>
              <w:sz w:val="24"/>
              <w:szCs w:val="24"/>
            </w:rPr>
            <w:t>(Breed, 2012, p. 304)</w:t>
          </w:r>
          <w:r>
            <w:rPr>
              <w:sz w:val="24"/>
              <w:szCs w:val="24"/>
            </w:rPr>
            <w:fldChar w:fldCharType="end"/>
          </w:r>
        </w:sdtContent>
      </w:sdt>
      <w:r>
        <w:rPr>
          <w:sz w:val="24"/>
          <w:szCs w:val="24"/>
        </w:rPr>
        <w:t xml:space="preserve">. </w:t>
      </w:r>
      <w:r w:rsidR="00D802E5">
        <w:rPr>
          <w:sz w:val="24"/>
          <w:szCs w:val="24"/>
        </w:rPr>
        <w:t>If Biblical Studies is to remain relevant for current generations and new students, then there is a role to study</w:t>
      </w:r>
      <w:r>
        <w:rPr>
          <w:sz w:val="24"/>
          <w:szCs w:val="24"/>
        </w:rPr>
        <w:t xml:space="preserve"> historical and</w:t>
      </w:r>
      <w:r w:rsidR="00D802E5">
        <w:rPr>
          <w:sz w:val="24"/>
          <w:szCs w:val="24"/>
        </w:rPr>
        <w:t xml:space="preserve"> contemporary presentations of Biblical texts</w:t>
      </w:r>
      <w:r w:rsidR="00A73BDC">
        <w:rPr>
          <w:sz w:val="24"/>
          <w:szCs w:val="24"/>
        </w:rPr>
        <w:t xml:space="preserve">, </w:t>
      </w:r>
      <w:r w:rsidR="00D802E5">
        <w:rPr>
          <w:sz w:val="24"/>
          <w:szCs w:val="24"/>
        </w:rPr>
        <w:t>their interpretation</w:t>
      </w:r>
      <w:r w:rsidR="00A73BDC">
        <w:rPr>
          <w:sz w:val="24"/>
          <w:szCs w:val="24"/>
        </w:rPr>
        <w:t xml:space="preserve"> and impact,</w:t>
      </w:r>
      <w:r w:rsidR="00D802E5">
        <w:rPr>
          <w:sz w:val="24"/>
          <w:szCs w:val="24"/>
        </w:rPr>
        <w:t xml:space="preserve"> rather than </w:t>
      </w:r>
      <w:r w:rsidR="00B27AAD">
        <w:rPr>
          <w:sz w:val="24"/>
          <w:szCs w:val="24"/>
        </w:rPr>
        <w:t xml:space="preserve">in their ancient context alone. </w:t>
      </w:r>
    </w:p>
    <w:p w14:paraId="468540FF" w14:textId="5F246E2C" w:rsidR="00F91CB5" w:rsidRDefault="00A2640C" w:rsidP="00A2640C">
      <w:pPr>
        <w:rPr>
          <w:sz w:val="24"/>
          <w:szCs w:val="24"/>
        </w:rPr>
      </w:pPr>
      <w:r>
        <w:rPr>
          <w:sz w:val="24"/>
          <w:szCs w:val="24"/>
        </w:rPr>
        <w:t>It is evident that the Bible is a cultural text whose impact has affected most people of the world, either directly or indirectly. Ulrich Luz stated that “The history of the Bible is infinite”</w:t>
      </w:r>
      <w:sdt>
        <w:sdtPr>
          <w:rPr>
            <w:sz w:val="24"/>
            <w:szCs w:val="24"/>
          </w:rPr>
          <w:id w:val="1710380048"/>
          <w:citation/>
        </w:sdtPr>
        <w:sdtContent>
          <w:r>
            <w:rPr>
              <w:sz w:val="24"/>
              <w:szCs w:val="24"/>
            </w:rPr>
            <w:fldChar w:fldCharType="begin"/>
          </w:r>
          <w:r w:rsidR="00E23EDD">
            <w:rPr>
              <w:sz w:val="24"/>
              <w:szCs w:val="24"/>
            </w:rPr>
            <w:instrText xml:space="preserve">CITATION Ulr89 \p 95 \l 2057 </w:instrText>
          </w:r>
          <w:r>
            <w:rPr>
              <w:sz w:val="24"/>
              <w:szCs w:val="24"/>
            </w:rPr>
            <w:fldChar w:fldCharType="separate"/>
          </w:r>
          <w:r w:rsidR="00E23EDD">
            <w:rPr>
              <w:noProof/>
              <w:sz w:val="24"/>
              <w:szCs w:val="24"/>
            </w:rPr>
            <w:t xml:space="preserve"> </w:t>
          </w:r>
          <w:r w:rsidR="00E23EDD" w:rsidRPr="00E23EDD">
            <w:rPr>
              <w:noProof/>
              <w:sz w:val="24"/>
              <w:szCs w:val="24"/>
            </w:rPr>
            <w:t>(Luz, 1989, p. 95)</w:t>
          </w:r>
          <w:r>
            <w:rPr>
              <w:sz w:val="24"/>
              <w:szCs w:val="24"/>
            </w:rPr>
            <w:fldChar w:fldCharType="end"/>
          </w:r>
        </w:sdtContent>
      </w:sdt>
      <w:r>
        <w:rPr>
          <w:sz w:val="24"/>
          <w:szCs w:val="24"/>
        </w:rPr>
        <w:t xml:space="preserve"> whilst Markus </w:t>
      </w:r>
      <w:proofErr w:type="spellStart"/>
      <w:r>
        <w:rPr>
          <w:sz w:val="24"/>
          <w:szCs w:val="24"/>
        </w:rPr>
        <w:t>Bockmuehl</w:t>
      </w:r>
      <w:proofErr w:type="spellEnd"/>
      <w:r>
        <w:rPr>
          <w:sz w:val="24"/>
          <w:szCs w:val="24"/>
        </w:rPr>
        <w:t xml:space="preserve"> considered that Reception historians have only yet gathered what is visible of an iceberg</w:t>
      </w:r>
      <w:r w:rsidR="00A73BDC">
        <w:rPr>
          <w:sz w:val="24"/>
          <w:szCs w:val="24"/>
        </w:rPr>
        <w:t>,</w:t>
      </w:r>
      <w:r>
        <w:rPr>
          <w:sz w:val="24"/>
          <w:szCs w:val="24"/>
        </w:rPr>
        <w:t xml:space="preserve"> whereby there is much more to uncover which is “submerged beneath the waves of history”</w:t>
      </w:r>
      <w:sdt>
        <w:sdtPr>
          <w:rPr>
            <w:sz w:val="24"/>
            <w:szCs w:val="24"/>
          </w:rPr>
          <w:id w:val="-424958956"/>
          <w:citation/>
        </w:sdtPr>
        <w:sdtContent>
          <w:r>
            <w:rPr>
              <w:sz w:val="24"/>
              <w:szCs w:val="24"/>
            </w:rPr>
            <w:fldChar w:fldCharType="begin"/>
          </w:r>
          <w:r w:rsidR="00842166">
            <w:rPr>
              <w:sz w:val="24"/>
              <w:szCs w:val="24"/>
            </w:rPr>
            <w:instrText xml:space="preserve">CITATION Boc95 \p 66 \l 2057 </w:instrText>
          </w:r>
          <w:r>
            <w:rPr>
              <w:sz w:val="24"/>
              <w:szCs w:val="24"/>
            </w:rPr>
            <w:fldChar w:fldCharType="separate"/>
          </w:r>
          <w:r w:rsidR="00842166">
            <w:rPr>
              <w:noProof/>
              <w:sz w:val="24"/>
              <w:szCs w:val="24"/>
            </w:rPr>
            <w:t xml:space="preserve"> </w:t>
          </w:r>
          <w:r w:rsidR="00842166" w:rsidRPr="00842166">
            <w:rPr>
              <w:noProof/>
              <w:sz w:val="24"/>
              <w:szCs w:val="24"/>
            </w:rPr>
            <w:t>(Bockmuehl, 1995, p. 66)</w:t>
          </w:r>
          <w:r>
            <w:rPr>
              <w:sz w:val="24"/>
              <w:szCs w:val="24"/>
            </w:rPr>
            <w:fldChar w:fldCharType="end"/>
          </w:r>
        </w:sdtContent>
      </w:sdt>
      <w:r>
        <w:rPr>
          <w:sz w:val="24"/>
          <w:szCs w:val="24"/>
        </w:rPr>
        <w:t xml:space="preserve">. Therefore, studying Biblical texts in terms of their use, abuse, </w:t>
      </w:r>
      <w:proofErr w:type="gramStart"/>
      <w:r w:rsidR="00842166">
        <w:rPr>
          <w:sz w:val="24"/>
          <w:szCs w:val="24"/>
        </w:rPr>
        <w:t>influence</w:t>
      </w:r>
      <w:proofErr w:type="gramEnd"/>
      <w:r>
        <w:rPr>
          <w:sz w:val="24"/>
          <w:szCs w:val="24"/>
        </w:rPr>
        <w:t xml:space="preserve"> and impact is of significant value to Biblical Studies</w:t>
      </w:r>
      <w:r w:rsidR="00842166">
        <w:rPr>
          <w:sz w:val="24"/>
          <w:szCs w:val="24"/>
        </w:rPr>
        <w:t>,</w:t>
      </w:r>
      <w:r>
        <w:rPr>
          <w:sz w:val="24"/>
          <w:szCs w:val="24"/>
        </w:rPr>
        <w:t xml:space="preserve"> because that is the means by which justice is truly done to the Bible </w:t>
      </w:r>
      <w:sdt>
        <w:sdtPr>
          <w:rPr>
            <w:sz w:val="24"/>
            <w:szCs w:val="24"/>
          </w:rPr>
          <w:id w:val="-1726981252"/>
          <w:citation/>
        </w:sdtPr>
        <w:sdtContent>
          <w:r>
            <w:rPr>
              <w:sz w:val="24"/>
              <w:szCs w:val="24"/>
            </w:rPr>
            <w:fldChar w:fldCharType="begin"/>
          </w:r>
          <w:r w:rsidR="00842166">
            <w:rPr>
              <w:sz w:val="24"/>
              <w:szCs w:val="24"/>
            </w:rPr>
            <w:instrText xml:space="preserve">CITATION Lyo18 \p 13 \l 2057 </w:instrText>
          </w:r>
          <w:r>
            <w:rPr>
              <w:sz w:val="24"/>
              <w:szCs w:val="24"/>
            </w:rPr>
            <w:fldChar w:fldCharType="separate"/>
          </w:r>
          <w:r w:rsidR="00842166" w:rsidRPr="00842166">
            <w:rPr>
              <w:noProof/>
              <w:sz w:val="24"/>
              <w:szCs w:val="24"/>
            </w:rPr>
            <w:t>(Lyons, 2018, p. 13)</w:t>
          </w:r>
          <w:r>
            <w:rPr>
              <w:sz w:val="24"/>
              <w:szCs w:val="24"/>
            </w:rPr>
            <w:fldChar w:fldCharType="end"/>
          </w:r>
        </w:sdtContent>
      </w:sdt>
      <w:r>
        <w:rPr>
          <w:sz w:val="24"/>
          <w:szCs w:val="24"/>
        </w:rPr>
        <w:t xml:space="preserve">. </w:t>
      </w:r>
      <w:r w:rsidR="00E66EF7">
        <w:rPr>
          <w:sz w:val="24"/>
          <w:szCs w:val="24"/>
        </w:rPr>
        <w:t xml:space="preserve">Therefore, Reception History is likely to be of great value in attracting new contributions and new students to Biblical </w:t>
      </w:r>
      <w:r w:rsidR="006A2E50">
        <w:rPr>
          <w:sz w:val="24"/>
          <w:szCs w:val="24"/>
        </w:rPr>
        <w:t>S</w:t>
      </w:r>
      <w:r w:rsidR="00E66EF7">
        <w:rPr>
          <w:sz w:val="24"/>
          <w:szCs w:val="24"/>
        </w:rPr>
        <w:t>tudies, given its inclusive approach. In this manner Biblical Studies, through Reception History, can contribute to understanding human history and the changing nature of society and faith.</w:t>
      </w:r>
    </w:p>
    <w:p w14:paraId="182FA031" w14:textId="77777777" w:rsidR="00455DBF" w:rsidRDefault="00455DBF" w:rsidP="00A2640C">
      <w:pPr>
        <w:rPr>
          <w:sz w:val="24"/>
          <w:szCs w:val="24"/>
        </w:rPr>
      </w:pPr>
    </w:p>
    <w:p w14:paraId="7EBDE77B" w14:textId="43A75180" w:rsidR="00B27AAD" w:rsidRDefault="00B27AAD">
      <w:pPr>
        <w:rPr>
          <w:sz w:val="24"/>
          <w:szCs w:val="24"/>
        </w:rPr>
      </w:pPr>
    </w:p>
    <w:p w14:paraId="04EE641C" w14:textId="68DE98DF" w:rsidR="00F91CB5" w:rsidRDefault="00F91CB5">
      <w:pPr>
        <w:rPr>
          <w:sz w:val="24"/>
          <w:szCs w:val="24"/>
        </w:rPr>
      </w:pPr>
      <w:r>
        <w:rPr>
          <w:sz w:val="24"/>
          <w:szCs w:val="24"/>
        </w:rPr>
        <w:t>References:</w:t>
      </w:r>
    </w:p>
    <w:p w14:paraId="17741C9B" w14:textId="77777777" w:rsidR="00F91CB5" w:rsidRDefault="00F91CB5" w:rsidP="00F91CB5">
      <w:pPr>
        <w:pStyle w:val="Bibliography"/>
        <w:rPr>
          <w:noProof/>
          <w:sz w:val="24"/>
          <w:szCs w:val="24"/>
        </w:rPr>
      </w:pPr>
      <w:r>
        <w:rPr>
          <w:sz w:val="24"/>
          <w:szCs w:val="24"/>
        </w:rPr>
        <w:fldChar w:fldCharType="begin"/>
      </w:r>
      <w:r>
        <w:rPr>
          <w:sz w:val="24"/>
          <w:szCs w:val="24"/>
        </w:rPr>
        <w:instrText xml:space="preserve"> BIBLIOGRAPHY  \l 2057 </w:instrText>
      </w:r>
      <w:r>
        <w:rPr>
          <w:sz w:val="24"/>
          <w:szCs w:val="24"/>
        </w:rPr>
        <w:fldChar w:fldCharType="separate"/>
      </w:r>
      <w:r>
        <w:rPr>
          <w:noProof/>
        </w:rPr>
        <w:t xml:space="preserve">Bockmuehl, M., 1995. A Commentator's Approach to the 'Effective History' of Philippians. </w:t>
      </w:r>
      <w:r>
        <w:rPr>
          <w:i/>
          <w:iCs/>
          <w:noProof/>
        </w:rPr>
        <w:t xml:space="preserve">Journal For the Study of the New Testament, </w:t>
      </w:r>
      <w:r>
        <w:rPr>
          <w:noProof/>
        </w:rPr>
        <w:t>Issue 60, p. 66.</w:t>
      </w:r>
    </w:p>
    <w:p w14:paraId="5C7A2C4B" w14:textId="77777777" w:rsidR="00F91CB5" w:rsidRDefault="00F91CB5" w:rsidP="00F91CB5">
      <w:pPr>
        <w:pStyle w:val="Bibliography"/>
        <w:rPr>
          <w:noProof/>
        </w:rPr>
      </w:pPr>
      <w:r>
        <w:rPr>
          <w:noProof/>
        </w:rPr>
        <w:t xml:space="preserve">Breed, B., n.d. </w:t>
      </w:r>
      <w:r>
        <w:rPr>
          <w:i/>
          <w:iCs/>
          <w:noProof/>
        </w:rPr>
        <w:t xml:space="preserve">Bible Odyssey - Bible Basics. </w:t>
      </w:r>
      <w:r>
        <w:rPr>
          <w:noProof/>
        </w:rPr>
        <w:t xml:space="preserve">[Online] </w:t>
      </w:r>
      <w:r>
        <w:rPr>
          <w:noProof/>
        </w:rPr>
        <w:br/>
        <w:t xml:space="preserve">Available at: </w:t>
      </w:r>
      <w:r>
        <w:rPr>
          <w:noProof/>
          <w:u w:val="single"/>
        </w:rPr>
        <w:t>https://www.bibleodyssey.org:443/en/tools/bible-basics/what-is-reception-history</w:t>
      </w:r>
      <w:r>
        <w:rPr>
          <w:noProof/>
        </w:rPr>
        <w:br/>
        <w:t>[Accessed 21 09 2021].</w:t>
      </w:r>
    </w:p>
    <w:p w14:paraId="5602141D" w14:textId="77777777" w:rsidR="00F91CB5" w:rsidRDefault="00F91CB5" w:rsidP="00F91CB5">
      <w:pPr>
        <w:pStyle w:val="Bibliography"/>
        <w:rPr>
          <w:noProof/>
        </w:rPr>
      </w:pPr>
      <w:r>
        <w:rPr>
          <w:noProof/>
        </w:rPr>
        <w:t xml:space="preserve">Breed, B. W., 2012. Nomadology of the Bible: A Processual Approach to Biblical Reception History. </w:t>
      </w:r>
      <w:r>
        <w:rPr>
          <w:i/>
          <w:iCs/>
          <w:noProof/>
        </w:rPr>
        <w:t xml:space="preserve">Biblical reception 1, </w:t>
      </w:r>
      <w:r>
        <w:rPr>
          <w:noProof/>
        </w:rPr>
        <w:t>p. 304.</w:t>
      </w:r>
    </w:p>
    <w:p w14:paraId="28CA8AE8" w14:textId="77777777" w:rsidR="00F91CB5" w:rsidRDefault="00F91CB5" w:rsidP="00F91CB5">
      <w:pPr>
        <w:pStyle w:val="Bibliography"/>
        <w:rPr>
          <w:noProof/>
        </w:rPr>
      </w:pPr>
      <w:r>
        <w:rPr>
          <w:noProof/>
        </w:rPr>
        <w:t xml:space="preserve">Carroll, R. P., 2000. The Reader and the Text. In: A. Mayes, ed. </w:t>
      </w:r>
      <w:r>
        <w:rPr>
          <w:i/>
          <w:iCs/>
          <w:noProof/>
        </w:rPr>
        <w:t xml:space="preserve">Text in Context: Essays by Members of the Society for Old Testament Study. </w:t>
      </w:r>
      <w:r>
        <w:rPr>
          <w:noProof/>
        </w:rPr>
        <w:t>Oxford: Oxford University Press, p. 19.</w:t>
      </w:r>
    </w:p>
    <w:p w14:paraId="7D3FAF1C" w14:textId="77777777" w:rsidR="00F91CB5" w:rsidRDefault="00F91CB5" w:rsidP="00F91CB5">
      <w:pPr>
        <w:pStyle w:val="Bibliography"/>
        <w:rPr>
          <w:noProof/>
        </w:rPr>
      </w:pPr>
      <w:r>
        <w:rPr>
          <w:noProof/>
        </w:rPr>
        <w:t xml:space="preserve">Crossley, J., 2010. </w:t>
      </w:r>
      <w:r>
        <w:rPr>
          <w:i/>
          <w:iCs/>
          <w:noProof/>
        </w:rPr>
        <w:t xml:space="preserve">Reading the New Testament: Contemporary Approaches. </w:t>
      </w:r>
      <w:r>
        <w:rPr>
          <w:noProof/>
        </w:rPr>
        <w:t>London: Routledge.</w:t>
      </w:r>
    </w:p>
    <w:p w14:paraId="0F2DB44B" w14:textId="77777777" w:rsidR="00F91CB5" w:rsidRDefault="00F91CB5" w:rsidP="00F91CB5">
      <w:pPr>
        <w:pStyle w:val="Bibliography"/>
        <w:rPr>
          <w:noProof/>
        </w:rPr>
      </w:pPr>
      <w:r>
        <w:rPr>
          <w:noProof/>
        </w:rPr>
        <w:t xml:space="preserve">Gadamer, H.-G., 2004. </w:t>
      </w:r>
      <w:r>
        <w:rPr>
          <w:i/>
          <w:iCs/>
          <w:noProof/>
        </w:rPr>
        <w:t xml:space="preserve">Truth and Method. </w:t>
      </w:r>
      <w:r>
        <w:rPr>
          <w:noProof/>
        </w:rPr>
        <w:t>2nd ed. London and New York: Continuum.</w:t>
      </w:r>
    </w:p>
    <w:p w14:paraId="676A631B" w14:textId="77777777" w:rsidR="00F91CB5" w:rsidRDefault="00F91CB5" w:rsidP="00F91CB5">
      <w:pPr>
        <w:pStyle w:val="Bibliography"/>
        <w:rPr>
          <w:noProof/>
        </w:rPr>
      </w:pPr>
      <w:r>
        <w:rPr>
          <w:noProof/>
        </w:rPr>
        <w:t xml:space="preserve">Gillingham, S., 2018. Biblical Studies on Holiday? A Personal View of Reception History. In: E. E. &amp;. W. J. Lyons, ed. </w:t>
      </w:r>
      <w:r>
        <w:rPr>
          <w:i/>
          <w:iCs/>
          <w:noProof/>
        </w:rPr>
        <w:t xml:space="preserve">Reception History and Biblical Studies. </w:t>
      </w:r>
      <w:r>
        <w:rPr>
          <w:noProof/>
        </w:rPr>
        <w:t>London: T &amp; T Clark, p. 17.</w:t>
      </w:r>
    </w:p>
    <w:p w14:paraId="7768F60C" w14:textId="77777777" w:rsidR="00F91CB5" w:rsidRDefault="00F91CB5" w:rsidP="00F91CB5">
      <w:pPr>
        <w:pStyle w:val="Bibliography"/>
        <w:rPr>
          <w:noProof/>
        </w:rPr>
      </w:pPr>
      <w:r>
        <w:rPr>
          <w:noProof/>
        </w:rPr>
        <w:t xml:space="preserve">Hardwick, C. A. M. a. L., 2015. </w:t>
      </w:r>
      <w:r>
        <w:rPr>
          <w:i/>
          <w:iCs/>
          <w:noProof/>
        </w:rPr>
        <w:t xml:space="preserve">Oxford Classical Dictionary - Reception. </w:t>
      </w:r>
      <w:r>
        <w:rPr>
          <w:noProof/>
        </w:rPr>
        <w:t xml:space="preserve">[Online] </w:t>
      </w:r>
      <w:r>
        <w:rPr>
          <w:noProof/>
        </w:rPr>
        <w:br/>
        <w:t xml:space="preserve">Available at: </w:t>
      </w:r>
      <w:r>
        <w:rPr>
          <w:noProof/>
          <w:u w:val="single"/>
        </w:rPr>
        <w:t>https://doi.org/10.1093/acrefore/9780199381135.013.5507</w:t>
      </w:r>
      <w:r>
        <w:rPr>
          <w:noProof/>
        </w:rPr>
        <w:br/>
        <w:t>[Accessed 07 10 2021].</w:t>
      </w:r>
    </w:p>
    <w:p w14:paraId="10B41223" w14:textId="77777777" w:rsidR="00F91CB5" w:rsidRDefault="00F91CB5" w:rsidP="00F91CB5">
      <w:pPr>
        <w:pStyle w:val="Bibliography"/>
        <w:rPr>
          <w:noProof/>
        </w:rPr>
      </w:pPr>
      <w:r>
        <w:rPr>
          <w:noProof/>
        </w:rPr>
        <w:t xml:space="preserve">Harries, R., 2020. </w:t>
      </w:r>
      <w:r>
        <w:rPr>
          <w:i/>
          <w:iCs/>
          <w:noProof/>
        </w:rPr>
        <w:t xml:space="preserve">Seeing God in Art. </w:t>
      </w:r>
      <w:r>
        <w:rPr>
          <w:noProof/>
        </w:rPr>
        <w:t>Norfork: SPCK Publishing.</w:t>
      </w:r>
    </w:p>
    <w:p w14:paraId="67289238" w14:textId="77777777" w:rsidR="00F91CB5" w:rsidRDefault="00F91CB5" w:rsidP="00F91CB5">
      <w:pPr>
        <w:pStyle w:val="Bibliography"/>
        <w:rPr>
          <w:noProof/>
        </w:rPr>
      </w:pPr>
      <w:r>
        <w:rPr>
          <w:noProof/>
        </w:rPr>
        <w:t xml:space="preserve">James, E. W., 2003. </w:t>
      </w:r>
      <w:r>
        <w:rPr>
          <w:i/>
          <w:iCs/>
          <w:noProof/>
        </w:rPr>
        <w:t xml:space="preserve">Gwefan Ann Griffiths Website - Introduction to the life and work of Ann Griffiths. </w:t>
      </w:r>
      <w:r>
        <w:rPr>
          <w:noProof/>
        </w:rPr>
        <w:t xml:space="preserve">[Online] </w:t>
      </w:r>
      <w:r>
        <w:rPr>
          <w:noProof/>
        </w:rPr>
        <w:br/>
        <w:t xml:space="preserve">Available at: </w:t>
      </w:r>
      <w:r>
        <w:rPr>
          <w:noProof/>
          <w:u w:val="single"/>
        </w:rPr>
        <w:t>https://www.anngriffiths.cardiff.ac.uk/introduction.html</w:t>
      </w:r>
      <w:r>
        <w:rPr>
          <w:noProof/>
        </w:rPr>
        <w:br/>
        <w:t>[Accessed 10 10 2021].</w:t>
      </w:r>
    </w:p>
    <w:p w14:paraId="1A7E4F74" w14:textId="77777777" w:rsidR="00F91CB5" w:rsidRDefault="00F91CB5" w:rsidP="00F91CB5">
      <w:pPr>
        <w:pStyle w:val="Bibliography"/>
        <w:rPr>
          <w:noProof/>
        </w:rPr>
      </w:pPr>
      <w:r>
        <w:rPr>
          <w:noProof/>
        </w:rPr>
        <w:t xml:space="preserve">Jauss, H. R., 1982. </w:t>
      </w:r>
      <w:r>
        <w:rPr>
          <w:i/>
          <w:iCs/>
          <w:noProof/>
        </w:rPr>
        <w:t xml:space="preserve">Towards an Aesthetic of Reception. </w:t>
      </w:r>
      <w:r>
        <w:rPr>
          <w:noProof/>
        </w:rPr>
        <w:t>Minneapolis: University of Minnesota Press.</w:t>
      </w:r>
    </w:p>
    <w:p w14:paraId="7ABAD833" w14:textId="77777777" w:rsidR="00F91CB5" w:rsidRDefault="00F91CB5" w:rsidP="00F91CB5">
      <w:pPr>
        <w:pStyle w:val="Bibliography"/>
        <w:rPr>
          <w:noProof/>
        </w:rPr>
      </w:pPr>
      <w:r>
        <w:rPr>
          <w:noProof/>
        </w:rPr>
        <w:t xml:space="preserve">Labriola, A. C., 2014. The Bible and Iconography. In: E. M. &amp;. C. R. M. Lieb, ed. </w:t>
      </w:r>
      <w:r>
        <w:rPr>
          <w:i/>
          <w:iCs/>
          <w:noProof/>
        </w:rPr>
        <w:t xml:space="preserve">The Oxford Handbook of the Reception History of the Bible. </w:t>
      </w:r>
      <w:r>
        <w:rPr>
          <w:noProof/>
        </w:rPr>
        <w:t>New York: Oxford University Press, p. 175.</w:t>
      </w:r>
    </w:p>
    <w:p w14:paraId="6D050C2B" w14:textId="77777777" w:rsidR="00F91CB5" w:rsidRDefault="00F91CB5" w:rsidP="00F91CB5">
      <w:pPr>
        <w:pStyle w:val="Bibliography"/>
        <w:rPr>
          <w:noProof/>
        </w:rPr>
      </w:pPr>
      <w:r>
        <w:rPr>
          <w:noProof/>
        </w:rPr>
        <w:t xml:space="preserve">Langston, S., 2010. </w:t>
      </w:r>
      <w:r>
        <w:rPr>
          <w:i/>
          <w:iCs/>
          <w:noProof/>
        </w:rPr>
        <w:t xml:space="preserve">Teaching the Bible: An The Exodus in American History and Culture. </w:t>
      </w:r>
      <w:r>
        <w:rPr>
          <w:noProof/>
        </w:rPr>
        <w:t xml:space="preserve">[Online] </w:t>
      </w:r>
      <w:r>
        <w:rPr>
          <w:noProof/>
        </w:rPr>
        <w:br/>
        <w:t xml:space="preserve">Available at: </w:t>
      </w:r>
      <w:r>
        <w:rPr>
          <w:noProof/>
          <w:u w:val="single"/>
        </w:rPr>
        <w:t>http://www.sbl-site.org/assets/pdfs/TB6_Exodus_SL.pdf</w:t>
      </w:r>
      <w:r>
        <w:rPr>
          <w:noProof/>
        </w:rPr>
        <w:br/>
        <w:t>[Accessed 13 08 2012].</w:t>
      </w:r>
    </w:p>
    <w:p w14:paraId="75B0C055" w14:textId="77777777" w:rsidR="00F91CB5" w:rsidRDefault="00F91CB5" w:rsidP="00F91CB5">
      <w:pPr>
        <w:pStyle w:val="Bibliography"/>
        <w:rPr>
          <w:noProof/>
        </w:rPr>
      </w:pPr>
      <w:r>
        <w:rPr>
          <w:noProof/>
        </w:rPr>
        <w:t xml:space="preserve">Luz, U., 1989. </w:t>
      </w:r>
      <w:r>
        <w:rPr>
          <w:i/>
          <w:iCs/>
          <w:noProof/>
        </w:rPr>
        <w:t xml:space="preserve">Mathew 1-7: A Commentary. </w:t>
      </w:r>
      <w:r>
        <w:rPr>
          <w:noProof/>
        </w:rPr>
        <w:t>Edinburgh: T &amp; T Clark.</w:t>
      </w:r>
    </w:p>
    <w:p w14:paraId="18CF80AE" w14:textId="77777777" w:rsidR="00F91CB5" w:rsidRDefault="00F91CB5" w:rsidP="00F91CB5">
      <w:pPr>
        <w:pStyle w:val="Bibliography"/>
        <w:rPr>
          <w:noProof/>
        </w:rPr>
      </w:pPr>
      <w:r>
        <w:rPr>
          <w:noProof/>
        </w:rPr>
        <w:t xml:space="preserve">Lyons, E. E. &amp;. W. J. L., 2018. </w:t>
      </w:r>
      <w:r>
        <w:rPr>
          <w:i/>
          <w:iCs/>
          <w:noProof/>
        </w:rPr>
        <w:t xml:space="preserve">Reception History and Biblical Studies. </w:t>
      </w:r>
      <w:r>
        <w:rPr>
          <w:noProof/>
        </w:rPr>
        <w:t>London: T &amp; T Clark.</w:t>
      </w:r>
    </w:p>
    <w:p w14:paraId="6B885A2A" w14:textId="77777777" w:rsidR="00F91CB5" w:rsidRDefault="00F91CB5" w:rsidP="00F91CB5">
      <w:pPr>
        <w:pStyle w:val="Bibliography"/>
        <w:rPr>
          <w:noProof/>
        </w:rPr>
      </w:pPr>
      <w:r>
        <w:rPr>
          <w:noProof/>
        </w:rPr>
        <w:t xml:space="preserve">Mbiti, J. S., 1986. </w:t>
      </w:r>
      <w:r>
        <w:rPr>
          <w:i/>
          <w:iCs/>
          <w:noProof/>
        </w:rPr>
        <w:t xml:space="preserve">Bible and Theology in African Christianity. </w:t>
      </w:r>
      <w:r>
        <w:rPr>
          <w:noProof/>
        </w:rPr>
        <w:t>Nairobi: Oxford University Press.</w:t>
      </w:r>
    </w:p>
    <w:p w14:paraId="68F7FDFC" w14:textId="77777777" w:rsidR="00F91CB5" w:rsidRDefault="00F91CB5" w:rsidP="00F91CB5">
      <w:pPr>
        <w:pStyle w:val="Bibliography"/>
        <w:rPr>
          <w:noProof/>
        </w:rPr>
      </w:pPr>
      <w:r>
        <w:rPr>
          <w:noProof/>
        </w:rPr>
        <w:t xml:space="preserve">Rowland, J. K. &amp;. C., 2004. </w:t>
      </w:r>
      <w:r>
        <w:rPr>
          <w:i/>
          <w:iCs/>
          <w:noProof/>
        </w:rPr>
        <w:t xml:space="preserve">Revelation: The Apocalypse of Jesus Christ. </w:t>
      </w:r>
      <w:r>
        <w:rPr>
          <w:noProof/>
        </w:rPr>
        <w:t>Oxford &amp; Malden: Blackwell.</w:t>
      </w:r>
    </w:p>
    <w:p w14:paraId="2D31C6A1" w14:textId="0CD788C9" w:rsidR="00B27AAD" w:rsidRPr="004C301F" w:rsidRDefault="00F91CB5" w:rsidP="00F91CB5">
      <w:pPr>
        <w:rPr>
          <w:sz w:val="24"/>
          <w:szCs w:val="24"/>
        </w:rPr>
      </w:pPr>
      <w:r>
        <w:rPr>
          <w:sz w:val="24"/>
          <w:szCs w:val="24"/>
        </w:rPr>
        <w:fldChar w:fldCharType="end"/>
      </w:r>
    </w:p>
    <w:p w14:paraId="50181635" w14:textId="77777777" w:rsidR="00D95390" w:rsidRPr="004C301F" w:rsidRDefault="00D95390">
      <w:pPr>
        <w:rPr>
          <w:sz w:val="24"/>
          <w:szCs w:val="24"/>
        </w:rPr>
      </w:pPr>
    </w:p>
    <w:sectPr w:rsidR="00D95390" w:rsidRPr="004C30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14C"/>
    <w:rsid w:val="00043A5C"/>
    <w:rsid w:val="000E3641"/>
    <w:rsid w:val="00184AE8"/>
    <w:rsid w:val="001860AF"/>
    <w:rsid w:val="001E5628"/>
    <w:rsid w:val="001F6B49"/>
    <w:rsid w:val="002700C6"/>
    <w:rsid w:val="00281249"/>
    <w:rsid w:val="0028536A"/>
    <w:rsid w:val="002D4731"/>
    <w:rsid w:val="002F2875"/>
    <w:rsid w:val="003162CA"/>
    <w:rsid w:val="00326CA4"/>
    <w:rsid w:val="003C3F3F"/>
    <w:rsid w:val="0040469B"/>
    <w:rsid w:val="00452558"/>
    <w:rsid w:val="00455DBF"/>
    <w:rsid w:val="004C301F"/>
    <w:rsid w:val="00573EEE"/>
    <w:rsid w:val="005C34B6"/>
    <w:rsid w:val="0067321D"/>
    <w:rsid w:val="006A163F"/>
    <w:rsid w:val="006A2E50"/>
    <w:rsid w:val="006C3897"/>
    <w:rsid w:val="00715B3F"/>
    <w:rsid w:val="00730888"/>
    <w:rsid w:val="0075712F"/>
    <w:rsid w:val="007856BA"/>
    <w:rsid w:val="00790CAF"/>
    <w:rsid w:val="0079450A"/>
    <w:rsid w:val="007A222B"/>
    <w:rsid w:val="007A50E9"/>
    <w:rsid w:val="007B2994"/>
    <w:rsid w:val="007E22E1"/>
    <w:rsid w:val="007E6552"/>
    <w:rsid w:val="007F104B"/>
    <w:rsid w:val="007F548D"/>
    <w:rsid w:val="00842166"/>
    <w:rsid w:val="008C3D25"/>
    <w:rsid w:val="00917A4A"/>
    <w:rsid w:val="009554D9"/>
    <w:rsid w:val="00977173"/>
    <w:rsid w:val="009A5BDD"/>
    <w:rsid w:val="009E41A3"/>
    <w:rsid w:val="00A2640C"/>
    <w:rsid w:val="00A5214C"/>
    <w:rsid w:val="00A67917"/>
    <w:rsid w:val="00A73BDC"/>
    <w:rsid w:val="00AA4CAA"/>
    <w:rsid w:val="00AD14E5"/>
    <w:rsid w:val="00B06078"/>
    <w:rsid w:val="00B27AAD"/>
    <w:rsid w:val="00B40355"/>
    <w:rsid w:val="00B43B68"/>
    <w:rsid w:val="00BB5D79"/>
    <w:rsid w:val="00BF4DDF"/>
    <w:rsid w:val="00C5276E"/>
    <w:rsid w:val="00D26D6D"/>
    <w:rsid w:val="00D507D1"/>
    <w:rsid w:val="00D732F5"/>
    <w:rsid w:val="00D802E5"/>
    <w:rsid w:val="00D95390"/>
    <w:rsid w:val="00DD46BB"/>
    <w:rsid w:val="00E21C3A"/>
    <w:rsid w:val="00E23EDD"/>
    <w:rsid w:val="00E66EF7"/>
    <w:rsid w:val="00EB14CB"/>
    <w:rsid w:val="00F31CA5"/>
    <w:rsid w:val="00F6179B"/>
    <w:rsid w:val="00F91CB5"/>
    <w:rsid w:val="00FD4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06094"/>
  <w15:chartTrackingRefBased/>
  <w15:docId w15:val="{EAC72FA6-FF6C-45EE-9279-0FB0B1D78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F91C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18927">
      <w:bodyDiv w:val="1"/>
      <w:marLeft w:val="0"/>
      <w:marRight w:val="0"/>
      <w:marTop w:val="0"/>
      <w:marBottom w:val="0"/>
      <w:divBdr>
        <w:top w:val="none" w:sz="0" w:space="0" w:color="auto"/>
        <w:left w:val="none" w:sz="0" w:space="0" w:color="auto"/>
        <w:bottom w:val="none" w:sz="0" w:space="0" w:color="auto"/>
        <w:right w:val="none" w:sz="0" w:space="0" w:color="auto"/>
      </w:divBdr>
    </w:div>
    <w:div w:id="47461373">
      <w:bodyDiv w:val="1"/>
      <w:marLeft w:val="0"/>
      <w:marRight w:val="0"/>
      <w:marTop w:val="0"/>
      <w:marBottom w:val="0"/>
      <w:divBdr>
        <w:top w:val="none" w:sz="0" w:space="0" w:color="auto"/>
        <w:left w:val="none" w:sz="0" w:space="0" w:color="auto"/>
        <w:bottom w:val="none" w:sz="0" w:space="0" w:color="auto"/>
        <w:right w:val="none" w:sz="0" w:space="0" w:color="auto"/>
      </w:divBdr>
    </w:div>
    <w:div w:id="337773867">
      <w:bodyDiv w:val="1"/>
      <w:marLeft w:val="0"/>
      <w:marRight w:val="0"/>
      <w:marTop w:val="0"/>
      <w:marBottom w:val="0"/>
      <w:divBdr>
        <w:top w:val="none" w:sz="0" w:space="0" w:color="auto"/>
        <w:left w:val="none" w:sz="0" w:space="0" w:color="auto"/>
        <w:bottom w:val="none" w:sz="0" w:space="0" w:color="auto"/>
        <w:right w:val="none" w:sz="0" w:space="0" w:color="auto"/>
      </w:divBdr>
    </w:div>
    <w:div w:id="383525157">
      <w:bodyDiv w:val="1"/>
      <w:marLeft w:val="0"/>
      <w:marRight w:val="0"/>
      <w:marTop w:val="0"/>
      <w:marBottom w:val="0"/>
      <w:divBdr>
        <w:top w:val="none" w:sz="0" w:space="0" w:color="auto"/>
        <w:left w:val="none" w:sz="0" w:space="0" w:color="auto"/>
        <w:bottom w:val="none" w:sz="0" w:space="0" w:color="auto"/>
        <w:right w:val="none" w:sz="0" w:space="0" w:color="auto"/>
      </w:divBdr>
    </w:div>
    <w:div w:id="690765118">
      <w:bodyDiv w:val="1"/>
      <w:marLeft w:val="0"/>
      <w:marRight w:val="0"/>
      <w:marTop w:val="0"/>
      <w:marBottom w:val="0"/>
      <w:divBdr>
        <w:top w:val="none" w:sz="0" w:space="0" w:color="auto"/>
        <w:left w:val="none" w:sz="0" w:space="0" w:color="auto"/>
        <w:bottom w:val="none" w:sz="0" w:space="0" w:color="auto"/>
        <w:right w:val="none" w:sz="0" w:space="0" w:color="auto"/>
      </w:divBdr>
    </w:div>
    <w:div w:id="741610390">
      <w:bodyDiv w:val="1"/>
      <w:marLeft w:val="0"/>
      <w:marRight w:val="0"/>
      <w:marTop w:val="0"/>
      <w:marBottom w:val="0"/>
      <w:divBdr>
        <w:top w:val="none" w:sz="0" w:space="0" w:color="auto"/>
        <w:left w:val="none" w:sz="0" w:space="0" w:color="auto"/>
        <w:bottom w:val="none" w:sz="0" w:space="0" w:color="auto"/>
        <w:right w:val="none" w:sz="0" w:space="0" w:color="auto"/>
      </w:divBdr>
    </w:div>
    <w:div w:id="748890703">
      <w:bodyDiv w:val="1"/>
      <w:marLeft w:val="0"/>
      <w:marRight w:val="0"/>
      <w:marTop w:val="0"/>
      <w:marBottom w:val="0"/>
      <w:divBdr>
        <w:top w:val="none" w:sz="0" w:space="0" w:color="auto"/>
        <w:left w:val="none" w:sz="0" w:space="0" w:color="auto"/>
        <w:bottom w:val="none" w:sz="0" w:space="0" w:color="auto"/>
        <w:right w:val="none" w:sz="0" w:space="0" w:color="auto"/>
      </w:divBdr>
    </w:div>
    <w:div w:id="820118034">
      <w:bodyDiv w:val="1"/>
      <w:marLeft w:val="0"/>
      <w:marRight w:val="0"/>
      <w:marTop w:val="0"/>
      <w:marBottom w:val="0"/>
      <w:divBdr>
        <w:top w:val="none" w:sz="0" w:space="0" w:color="auto"/>
        <w:left w:val="none" w:sz="0" w:space="0" w:color="auto"/>
        <w:bottom w:val="none" w:sz="0" w:space="0" w:color="auto"/>
        <w:right w:val="none" w:sz="0" w:space="0" w:color="auto"/>
      </w:divBdr>
    </w:div>
    <w:div w:id="824392558">
      <w:bodyDiv w:val="1"/>
      <w:marLeft w:val="0"/>
      <w:marRight w:val="0"/>
      <w:marTop w:val="0"/>
      <w:marBottom w:val="0"/>
      <w:divBdr>
        <w:top w:val="none" w:sz="0" w:space="0" w:color="auto"/>
        <w:left w:val="none" w:sz="0" w:space="0" w:color="auto"/>
        <w:bottom w:val="none" w:sz="0" w:space="0" w:color="auto"/>
        <w:right w:val="none" w:sz="0" w:space="0" w:color="auto"/>
      </w:divBdr>
    </w:div>
    <w:div w:id="986861242">
      <w:bodyDiv w:val="1"/>
      <w:marLeft w:val="0"/>
      <w:marRight w:val="0"/>
      <w:marTop w:val="0"/>
      <w:marBottom w:val="0"/>
      <w:divBdr>
        <w:top w:val="none" w:sz="0" w:space="0" w:color="auto"/>
        <w:left w:val="none" w:sz="0" w:space="0" w:color="auto"/>
        <w:bottom w:val="none" w:sz="0" w:space="0" w:color="auto"/>
        <w:right w:val="none" w:sz="0" w:space="0" w:color="auto"/>
      </w:divBdr>
    </w:div>
    <w:div w:id="1048722456">
      <w:bodyDiv w:val="1"/>
      <w:marLeft w:val="0"/>
      <w:marRight w:val="0"/>
      <w:marTop w:val="0"/>
      <w:marBottom w:val="0"/>
      <w:divBdr>
        <w:top w:val="none" w:sz="0" w:space="0" w:color="auto"/>
        <w:left w:val="none" w:sz="0" w:space="0" w:color="auto"/>
        <w:bottom w:val="none" w:sz="0" w:space="0" w:color="auto"/>
        <w:right w:val="none" w:sz="0" w:space="0" w:color="auto"/>
      </w:divBdr>
    </w:div>
    <w:div w:id="1116021289">
      <w:bodyDiv w:val="1"/>
      <w:marLeft w:val="0"/>
      <w:marRight w:val="0"/>
      <w:marTop w:val="0"/>
      <w:marBottom w:val="0"/>
      <w:divBdr>
        <w:top w:val="none" w:sz="0" w:space="0" w:color="auto"/>
        <w:left w:val="none" w:sz="0" w:space="0" w:color="auto"/>
        <w:bottom w:val="none" w:sz="0" w:space="0" w:color="auto"/>
        <w:right w:val="none" w:sz="0" w:space="0" w:color="auto"/>
      </w:divBdr>
    </w:div>
    <w:div w:id="1121611169">
      <w:bodyDiv w:val="1"/>
      <w:marLeft w:val="0"/>
      <w:marRight w:val="0"/>
      <w:marTop w:val="0"/>
      <w:marBottom w:val="0"/>
      <w:divBdr>
        <w:top w:val="none" w:sz="0" w:space="0" w:color="auto"/>
        <w:left w:val="none" w:sz="0" w:space="0" w:color="auto"/>
        <w:bottom w:val="none" w:sz="0" w:space="0" w:color="auto"/>
        <w:right w:val="none" w:sz="0" w:space="0" w:color="auto"/>
      </w:divBdr>
    </w:div>
    <w:div w:id="1194462402">
      <w:bodyDiv w:val="1"/>
      <w:marLeft w:val="0"/>
      <w:marRight w:val="0"/>
      <w:marTop w:val="0"/>
      <w:marBottom w:val="0"/>
      <w:divBdr>
        <w:top w:val="none" w:sz="0" w:space="0" w:color="auto"/>
        <w:left w:val="none" w:sz="0" w:space="0" w:color="auto"/>
        <w:bottom w:val="none" w:sz="0" w:space="0" w:color="auto"/>
        <w:right w:val="none" w:sz="0" w:space="0" w:color="auto"/>
      </w:divBdr>
    </w:div>
    <w:div w:id="1325745795">
      <w:bodyDiv w:val="1"/>
      <w:marLeft w:val="0"/>
      <w:marRight w:val="0"/>
      <w:marTop w:val="0"/>
      <w:marBottom w:val="0"/>
      <w:divBdr>
        <w:top w:val="none" w:sz="0" w:space="0" w:color="auto"/>
        <w:left w:val="none" w:sz="0" w:space="0" w:color="auto"/>
        <w:bottom w:val="none" w:sz="0" w:space="0" w:color="auto"/>
        <w:right w:val="none" w:sz="0" w:space="0" w:color="auto"/>
      </w:divBdr>
    </w:div>
    <w:div w:id="1331520818">
      <w:bodyDiv w:val="1"/>
      <w:marLeft w:val="0"/>
      <w:marRight w:val="0"/>
      <w:marTop w:val="0"/>
      <w:marBottom w:val="0"/>
      <w:divBdr>
        <w:top w:val="none" w:sz="0" w:space="0" w:color="auto"/>
        <w:left w:val="none" w:sz="0" w:space="0" w:color="auto"/>
        <w:bottom w:val="none" w:sz="0" w:space="0" w:color="auto"/>
        <w:right w:val="none" w:sz="0" w:space="0" w:color="auto"/>
      </w:divBdr>
    </w:div>
    <w:div w:id="1376154062">
      <w:bodyDiv w:val="1"/>
      <w:marLeft w:val="0"/>
      <w:marRight w:val="0"/>
      <w:marTop w:val="0"/>
      <w:marBottom w:val="0"/>
      <w:divBdr>
        <w:top w:val="none" w:sz="0" w:space="0" w:color="auto"/>
        <w:left w:val="none" w:sz="0" w:space="0" w:color="auto"/>
        <w:bottom w:val="none" w:sz="0" w:space="0" w:color="auto"/>
        <w:right w:val="none" w:sz="0" w:space="0" w:color="auto"/>
      </w:divBdr>
    </w:div>
    <w:div w:id="1387755379">
      <w:bodyDiv w:val="1"/>
      <w:marLeft w:val="0"/>
      <w:marRight w:val="0"/>
      <w:marTop w:val="0"/>
      <w:marBottom w:val="0"/>
      <w:divBdr>
        <w:top w:val="none" w:sz="0" w:space="0" w:color="auto"/>
        <w:left w:val="none" w:sz="0" w:space="0" w:color="auto"/>
        <w:bottom w:val="none" w:sz="0" w:space="0" w:color="auto"/>
        <w:right w:val="none" w:sz="0" w:space="0" w:color="auto"/>
      </w:divBdr>
    </w:div>
    <w:div w:id="1393237811">
      <w:bodyDiv w:val="1"/>
      <w:marLeft w:val="0"/>
      <w:marRight w:val="0"/>
      <w:marTop w:val="0"/>
      <w:marBottom w:val="0"/>
      <w:divBdr>
        <w:top w:val="none" w:sz="0" w:space="0" w:color="auto"/>
        <w:left w:val="none" w:sz="0" w:space="0" w:color="auto"/>
        <w:bottom w:val="none" w:sz="0" w:space="0" w:color="auto"/>
        <w:right w:val="none" w:sz="0" w:space="0" w:color="auto"/>
      </w:divBdr>
    </w:div>
    <w:div w:id="1397167255">
      <w:bodyDiv w:val="1"/>
      <w:marLeft w:val="0"/>
      <w:marRight w:val="0"/>
      <w:marTop w:val="0"/>
      <w:marBottom w:val="0"/>
      <w:divBdr>
        <w:top w:val="none" w:sz="0" w:space="0" w:color="auto"/>
        <w:left w:val="none" w:sz="0" w:space="0" w:color="auto"/>
        <w:bottom w:val="none" w:sz="0" w:space="0" w:color="auto"/>
        <w:right w:val="none" w:sz="0" w:space="0" w:color="auto"/>
      </w:divBdr>
    </w:div>
    <w:div w:id="1401713986">
      <w:bodyDiv w:val="1"/>
      <w:marLeft w:val="0"/>
      <w:marRight w:val="0"/>
      <w:marTop w:val="0"/>
      <w:marBottom w:val="0"/>
      <w:divBdr>
        <w:top w:val="none" w:sz="0" w:space="0" w:color="auto"/>
        <w:left w:val="none" w:sz="0" w:space="0" w:color="auto"/>
        <w:bottom w:val="none" w:sz="0" w:space="0" w:color="auto"/>
        <w:right w:val="none" w:sz="0" w:space="0" w:color="auto"/>
      </w:divBdr>
    </w:div>
    <w:div w:id="1427772775">
      <w:bodyDiv w:val="1"/>
      <w:marLeft w:val="0"/>
      <w:marRight w:val="0"/>
      <w:marTop w:val="0"/>
      <w:marBottom w:val="0"/>
      <w:divBdr>
        <w:top w:val="none" w:sz="0" w:space="0" w:color="auto"/>
        <w:left w:val="none" w:sz="0" w:space="0" w:color="auto"/>
        <w:bottom w:val="none" w:sz="0" w:space="0" w:color="auto"/>
        <w:right w:val="none" w:sz="0" w:space="0" w:color="auto"/>
      </w:divBdr>
    </w:div>
    <w:div w:id="1588808021">
      <w:bodyDiv w:val="1"/>
      <w:marLeft w:val="0"/>
      <w:marRight w:val="0"/>
      <w:marTop w:val="0"/>
      <w:marBottom w:val="0"/>
      <w:divBdr>
        <w:top w:val="none" w:sz="0" w:space="0" w:color="auto"/>
        <w:left w:val="none" w:sz="0" w:space="0" w:color="auto"/>
        <w:bottom w:val="none" w:sz="0" w:space="0" w:color="auto"/>
        <w:right w:val="none" w:sz="0" w:space="0" w:color="auto"/>
      </w:divBdr>
    </w:div>
    <w:div w:id="1632436662">
      <w:bodyDiv w:val="1"/>
      <w:marLeft w:val="0"/>
      <w:marRight w:val="0"/>
      <w:marTop w:val="0"/>
      <w:marBottom w:val="0"/>
      <w:divBdr>
        <w:top w:val="none" w:sz="0" w:space="0" w:color="auto"/>
        <w:left w:val="none" w:sz="0" w:space="0" w:color="auto"/>
        <w:bottom w:val="none" w:sz="0" w:space="0" w:color="auto"/>
        <w:right w:val="none" w:sz="0" w:space="0" w:color="auto"/>
      </w:divBdr>
    </w:div>
    <w:div w:id="1656563028">
      <w:bodyDiv w:val="1"/>
      <w:marLeft w:val="0"/>
      <w:marRight w:val="0"/>
      <w:marTop w:val="0"/>
      <w:marBottom w:val="0"/>
      <w:divBdr>
        <w:top w:val="none" w:sz="0" w:space="0" w:color="auto"/>
        <w:left w:val="none" w:sz="0" w:space="0" w:color="auto"/>
        <w:bottom w:val="none" w:sz="0" w:space="0" w:color="auto"/>
        <w:right w:val="none" w:sz="0" w:space="0" w:color="auto"/>
      </w:divBdr>
    </w:div>
    <w:div w:id="1688210821">
      <w:bodyDiv w:val="1"/>
      <w:marLeft w:val="0"/>
      <w:marRight w:val="0"/>
      <w:marTop w:val="0"/>
      <w:marBottom w:val="0"/>
      <w:divBdr>
        <w:top w:val="none" w:sz="0" w:space="0" w:color="auto"/>
        <w:left w:val="none" w:sz="0" w:space="0" w:color="auto"/>
        <w:bottom w:val="none" w:sz="0" w:space="0" w:color="auto"/>
        <w:right w:val="none" w:sz="0" w:space="0" w:color="auto"/>
      </w:divBdr>
    </w:div>
    <w:div w:id="1750228176">
      <w:bodyDiv w:val="1"/>
      <w:marLeft w:val="0"/>
      <w:marRight w:val="0"/>
      <w:marTop w:val="0"/>
      <w:marBottom w:val="0"/>
      <w:divBdr>
        <w:top w:val="none" w:sz="0" w:space="0" w:color="auto"/>
        <w:left w:val="none" w:sz="0" w:space="0" w:color="auto"/>
        <w:bottom w:val="none" w:sz="0" w:space="0" w:color="auto"/>
        <w:right w:val="none" w:sz="0" w:space="0" w:color="auto"/>
      </w:divBdr>
    </w:div>
    <w:div w:id="1797719283">
      <w:bodyDiv w:val="1"/>
      <w:marLeft w:val="0"/>
      <w:marRight w:val="0"/>
      <w:marTop w:val="0"/>
      <w:marBottom w:val="0"/>
      <w:divBdr>
        <w:top w:val="none" w:sz="0" w:space="0" w:color="auto"/>
        <w:left w:val="none" w:sz="0" w:space="0" w:color="auto"/>
        <w:bottom w:val="none" w:sz="0" w:space="0" w:color="auto"/>
        <w:right w:val="none" w:sz="0" w:space="0" w:color="auto"/>
      </w:divBdr>
    </w:div>
    <w:div w:id="1840541946">
      <w:bodyDiv w:val="1"/>
      <w:marLeft w:val="0"/>
      <w:marRight w:val="0"/>
      <w:marTop w:val="0"/>
      <w:marBottom w:val="0"/>
      <w:divBdr>
        <w:top w:val="none" w:sz="0" w:space="0" w:color="auto"/>
        <w:left w:val="none" w:sz="0" w:space="0" w:color="auto"/>
        <w:bottom w:val="none" w:sz="0" w:space="0" w:color="auto"/>
        <w:right w:val="none" w:sz="0" w:space="0" w:color="auto"/>
      </w:divBdr>
    </w:div>
    <w:div w:id="1913854030">
      <w:bodyDiv w:val="1"/>
      <w:marLeft w:val="0"/>
      <w:marRight w:val="0"/>
      <w:marTop w:val="0"/>
      <w:marBottom w:val="0"/>
      <w:divBdr>
        <w:top w:val="none" w:sz="0" w:space="0" w:color="auto"/>
        <w:left w:val="none" w:sz="0" w:space="0" w:color="auto"/>
        <w:bottom w:val="none" w:sz="0" w:space="0" w:color="auto"/>
        <w:right w:val="none" w:sz="0" w:space="0" w:color="auto"/>
      </w:divBdr>
    </w:div>
    <w:div w:id="1949777060">
      <w:bodyDiv w:val="1"/>
      <w:marLeft w:val="0"/>
      <w:marRight w:val="0"/>
      <w:marTop w:val="0"/>
      <w:marBottom w:val="0"/>
      <w:divBdr>
        <w:top w:val="none" w:sz="0" w:space="0" w:color="auto"/>
        <w:left w:val="none" w:sz="0" w:space="0" w:color="auto"/>
        <w:bottom w:val="none" w:sz="0" w:space="0" w:color="auto"/>
        <w:right w:val="none" w:sz="0" w:space="0" w:color="auto"/>
      </w:divBdr>
    </w:div>
    <w:div w:id="1962344492">
      <w:bodyDiv w:val="1"/>
      <w:marLeft w:val="0"/>
      <w:marRight w:val="0"/>
      <w:marTop w:val="0"/>
      <w:marBottom w:val="0"/>
      <w:divBdr>
        <w:top w:val="none" w:sz="0" w:space="0" w:color="auto"/>
        <w:left w:val="none" w:sz="0" w:space="0" w:color="auto"/>
        <w:bottom w:val="none" w:sz="0" w:space="0" w:color="auto"/>
        <w:right w:val="none" w:sz="0" w:space="0" w:color="auto"/>
      </w:divBdr>
    </w:div>
    <w:div w:id="2135367639">
      <w:bodyDiv w:val="1"/>
      <w:marLeft w:val="0"/>
      <w:marRight w:val="0"/>
      <w:marTop w:val="0"/>
      <w:marBottom w:val="0"/>
      <w:divBdr>
        <w:top w:val="none" w:sz="0" w:space="0" w:color="auto"/>
        <w:left w:val="none" w:sz="0" w:space="0" w:color="auto"/>
        <w:bottom w:val="none" w:sz="0" w:space="0" w:color="auto"/>
        <w:right w:val="none" w:sz="0" w:space="0" w:color="auto"/>
      </w:divBdr>
    </w:div>
    <w:div w:id="2140605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Bre21</b:Tag>
    <b:SourceType>DocumentFromInternetSite</b:SourceType>
    <b:Guid>{93F7F974-6C47-4B1D-B5EF-3198FE8BF58F}</b:Guid>
    <b:Title>Bible Odyssey - Bible Basics</b:Title>
    <b:Author>
      <b:Author>
        <b:NameList>
          <b:Person>
            <b:Last>Breed</b:Last>
            <b:First>Brennan</b:First>
          </b:Person>
        </b:NameList>
      </b:Author>
    </b:Author>
    <b:YearAccessed>2021</b:YearAccessed>
    <b:MonthAccessed>09</b:MonthAccessed>
    <b:DayAccessed>21</b:DayAccessed>
    <b:URL>https://www.bibleodyssey.org:443/en/tools/bible-basics/what-is-reception-history</b:URL>
    <b:RefOrder>1</b:RefOrder>
  </b:Source>
  <b:Source>
    <b:Tag>CAM15</b:Tag>
    <b:SourceType>DocumentFromInternetSite</b:SourceType>
    <b:Guid>{A566100A-49AD-4568-920F-90536ADA55D1}</b:Guid>
    <b:Author>
      <b:Author>
        <b:NameList>
          <b:Person>
            <b:Last>Hardwick</b:Last>
            <b:First>C.</b:First>
            <b:Middle>A. Martindale and Lorna</b:Middle>
          </b:Person>
        </b:NameList>
      </b:Author>
    </b:Author>
    <b:Title>Oxford Classical Dictionary - Reception</b:Title>
    <b:Year>2015</b:Year>
    <b:Month>July</b:Month>
    <b:Day>06</b:Day>
    <b:YearAccessed>2021</b:YearAccessed>
    <b:MonthAccessed>10</b:MonthAccessed>
    <b:DayAccessed>07</b:DayAccessed>
    <b:URL>https://doi.org/10.1093/acrefore/9780199381135.013.5507</b:URL>
    <b:RefOrder>2</b:RefOrder>
  </b:Source>
  <b:Source>
    <b:Tag>Han04</b:Tag>
    <b:SourceType>Book</b:SourceType>
    <b:Guid>{F274CCE1-7329-4F7F-B848-13F2F9E3225E}</b:Guid>
    <b:Title>Truth and Method </b:Title>
    <b:Year>2004</b:Year>
    <b:Author>
      <b:Author>
        <b:NameList>
          <b:Person>
            <b:Last>Gadamer</b:Last>
            <b:First>Hans-Georg</b:First>
          </b:Person>
        </b:NameList>
      </b:Author>
    </b:Author>
    <b:City>London and New York</b:City>
    <b:Publisher>Continuum</b:Publisher>
    <b:Edition>2nd</b:Edition>
    <b:RefOrder>3</b:RefOrder>
  </b:Source>
  <b:Source>
    <b:Tag>Han82</b:Tag>
    <b:SourceType>Book</b:SourceType>
    <b:Guid>{EF9C7C25-FE8C-4E5C-BF35-FE0325C6EE69}</b:Guid>
    <b:Author>
      <b:Author>
        <b:NameList>
          <b:Person>
            <b:Last>Jauss</b:Last>
            <b:First>Hans</b:First>
            <b:Middle>Robert</b:Middle>
          </b:Person>
        </b:NameList>
      </b:Author>
    </b:Author>
    <b:Title>Towards an Aesthetic of Reception</b:Title>
    <b:Year>1982</b:Year>
    <b:City>Minneapolis</b:City>
    <b:Publisher>University of Minnesota Press</b:Publisher>
    <b:RefOrder>4</b:RefOrder>
  </b:Source>
  <b:Source>
    <b:Tag>EWy21</b:Tag>
    <b:SourceType>InternetSite</b:SourceType>
    <b:Guid>{D5C75FE8-4015-4061-97A7-478F3DDF471F}</b:Guid>
    <b:Title>Gwefan Ann Griffiths Website - Introduction to the life and work of Ann Griffiths</b:Title>
    <b:Author>
      <b:Author>
        <b:NameList>
          <b:Person>
            <b:Last>James</b:Last>
            <b:First>E.</b:First>
            <b:Middle>Wyn</b:Middle>
          </b:Person>
        </b:NameList>
      </b:Author>
    </b:Author>
    <b:YearAccessed>2021</b:YearAccessed>
    <b:MonthAccessed>10</b:MonthAccessed>
    <b:DayAccessed>10</b:DayAccessed>
    <b:URL>https://www.anngriffiths.cardiff.ac.uk/introduction.html</b:URL>
    <b:Year>2003</b:Year>
    <b:RefOrder>5</b:RefOrder>
  </b:Source>
  <b:Source>
    <b:Tag>Row04</b:Tag>
    <b:SourceType>Book</b:SourceType>
    <b:Guid>{1543DA6F-BB0D-42E3-B1BC-09D20414F6AF}</b:Guid>
    <b:Title>Revelation: The Apocalypse of Jesus Christ</b:Title>
    <b:Year>2004</b:Year>
    <b:Author>
      <b:Author>
        <b:NameList>
          <b:Person>
            <b:Last>Rowland</b:Last>
            <b:First>Judith</b:First>
            <b:Middle>Kovacs &amp; Christopher</b:Middle>
          </b:Person>
        </b:NameList>
      </b:Author>
    </b:Author>
    <b:City>Oxford &amp; Malden</b:City>
    <b:Publisher>Blackwell</b:Publisher>
    <b:RefOrder>6</b:RefOrder>
  </b:Source>
  <b:Source>
    <b:Tag>Jam10</b:Tag>
    <b:SourceType>Book</b:SourceType>
    <b:Guid>{08C31216-A6A7-418B-AED7-A6BCB9374BF0}</b:Guid>
    <b:Author>
      <b:Author>
        <b:NameList>
          <b:Person>
            <b:Last>Crossley</b:Last>
            <b:First>James</b:First>
          </b:Person>
        </b:NameList>
      </b:Author>
    </b:Author>
    <b:Title>Reading the New Testament: Contemporary Approaches</b:Title>
    <b:Year>2010</b:Year>
    <b:City>London</b:City>
    <b:Publisher>Routledge</b:Publisher>
    <b:RefOrder>7</b:RefOrder>
  </b:Source>
  <b:Source>
    <b:Tag>Lan10</b:Tag>
    <b:SourceType>InternetSite</b:SourceType>
    <b:Guid>{B42FAA35-2D33-4BD5-8F7E-A1F45684C43A}</b:Guid>
    <b:Author>
      <b:Author>
        <b:NameList>
          <b:Person>
            <b:Last>Langston</b:Last>
            <b:First>S.M.</b:First>
          </b:Person>
        </b:NameList>
      </b:Author>
    </b:Author>
    <b:Title>Teaching the Bible: An The Exodus in American History and Culture</b:Title>
    <b:Year>2010</b:Year>
    <b:YearAccessed>2012</b:YearAccessed>
    <b:MonthAccessed>08</b:MonthAccessed>
    <b:DayAccessed>13</b:DayAccessed>
    <b:URL>http://www.sbl-site.org/assets/pdfs/TB6_Exodus_SL.pdf</b:URL>
    <b:RefOrder>8</b:RefOrder>
  </b:Source>
  <b:Source>
    <b:Tag>Joh86</b:Tag>
    <b:SourceType>Book</b:SourceType>
    <b:Guid>{9C9795E5-14AC-45FD-8A93-B7FB6262BBEE}</b:Guid>
    <b:Title>Bible and Theology in African Christianity</b:Title>
    <b:Year>1986</b:Year>
    <b:Author>
      <b:Author>
        <b:NameList>
          <b:Person>
            <b:Last>Mbiti</b:Last>
            <b:First>John</b:First>
            <b:Middle>S.</b:Middle>
          </b:Person>
        </b:NameList>
      </b:Author>
    </b:Author>
    <b:City>Nairobi</b:City>
    <b:Publisher>Oxford University Press</b:Publisher>
    <b:RefOrder>9</b:RefOrder>
  </b:Source>
  <b:Source>
    <b:Tag>Car00</b:Tag>
    <b:SourceType>BookSection</b:SourceType>
    <b:Guid>{BF553D6F-581F-4269-9410-1E8184B7C88E}</b:Guid>
    <b:Author>
      <b:Author>
        <b:NameList>
          <b:Person>
            <b:Last>Carroll</b:Last>
            <b:First>Robert</b:First>
            <b:Middle>P.</b:Middle>
          </b:Person>
        </b:NameList>
      </b:Author>
      <b:Editor>
        <b:NameList>
          <b:Person>
            <b:Last>Mayes</b:Last>
            <b:First>A.D.H.</b:First>
          </b:Person>
        </b:NameList>
      </b:Editor>
    </b:Author>
    <b:Title>The Reader and the Text</b:Title>
    <b:Year>2000</b:Year>
    <b:City>Oxford</b:City>
    <b:Publisher>Oxford University Press</b:Publisher>
    <b:BookTitle>Text in Context: Essays by Members of the Society for Old Testament Study</b:BookTitle>
    <b:Pages>19</b:Pages>
    <b:RefOrder>10</b:RefOrder>
  </b:Source>
  <b:Source>
    <b:Tag>Ulr89</b:Tag>
    <b:SourceType>Book</b:SourceType>
    <b:Guid>{CC1D5115-F109-4E00-B299-FB3576DC5EAD}</b:Guid>
    <b:Title>Mathew 1-7: A Commentary</b:Title>
    <b:Year>1989</b:Year>
    <b:City>Edinburgh</b:City>
    <b:Publisher>T &amp; T Clark</b:Publisher>
    <b:Author>
      <b:Author>
        <b:NameList>
          <b:Person>
            <b:Last>Luz</b:Last>
            <b:First>Ulrich</b:First>
          </b:Person>
        </b:NameList>
      </b:Author>
    </b:Author>
    <b:RefOrder>15</b:RefOrder>
  </b:Source>
  <b:Source>
    <b:Tag>Boc95</b:Tag>
    <b:SourceType>JournalArticle</b:SourceType>
    <b:Guid>{6AE7411F-60EB-4B87-96CF-C15A21D3A1FC}</b:Guid>
    <b:Author>
      <b:Author>
        <b:NameList>
          <b:Person>
            <b:Last>Bockmuehl</b:Last>
            <b:First>Markus</b:First>
          </b:Person>
        </b:NameList>
      </b:Author>
    </b:Author>
    <b:Title>A Commentator's Approach to the 'Effective History' of Philippians</b:Title>
    <b:Year>1995</b:Year>
    <b:JournalName>Journal For the Study of the New Testament</b:JournalName>
    <b:Pages>66</b:Pages>
    <b:Issue>60</b:Issue>
    <b:RefOrder>16</b:RefOrder>
  </b:Source>
  <b:Source>
    <b:Tag>Lyo18</b:Tag>
    <b:SourceType>Book</b:SourceType>
    <b:Guid>{F6783B2A-D88E-428F-81E9-5F1620C75F7B}</b:Guid>
    <b:Author>
      <b:Author>
        <b:NameList>
          <b:Person>
            <b:Last>Lyons</b:Last>
            <b:First>Emma</b:First>
            <b:Middle>England &amp; William John Lyons</b:Middle>
          </b:Person>
        </b:NameList>
      </b:Author>
    </b:Author>
    <b:Title>Reception History and Biblical Studies</b:Title>
    <b:Year>2018</b:Year>
    <b:City>London</b:City>
    <b:Publisher>T &amp; T Clark</b:Publisher>
    <b:RefOrder>17</b:RefOrder>
  </b:Source>
  <b:Source>
    <b:Tag>Sus18</b:Tag>
    <b:SourceType>BookSection</b:SourceType>
    <b:Guid>{4CC4E7F7-635A-402A-9B45-A8F54A9E7701}</b:Guid>
    <b:Title>Biblical Studies on Holiday? A Personal View of Reception History</b:Title>
    <b:Year>2018</b:Year>
    <b:City>London</b:City>
    <b:Publisher>T &amp; T Clark</b:Publisher>
    <b:Author>
      <b:Author>
        <b:NameList>
          <b:Person>
            <b:Last>Gillingham</b:Last>
            <b:First>Susan</b:First>
          </b:Person>
        </b:NameList>
      </b:Author>
      <b:Editor>
        <b:NameList>
          <b:Person>
            <b:Last>Lyons</b:Last>
            <b:First>Emma</b:First>
            <b:Middle>England &amp; William John</b:Middle>
          </b:Person>
        </b:NameList>
      </b:Editor>
    </b:Author>
    <b:BookTitle>Reception History and Biblical Studies</b:BookTitle>
    <b:Pages>17</b:Pages>
    <b:RefOrder>13</b:RefOrder>
  </b:Source>
  <b:Source>
    <b:Tag>Bre12</b:Tag>
    <b:SourceType>JournalArticle</b:SourceType>
    <b:Guid>{4846A5E4-69BC-429D-9581-899DB8F8471A}</b:Guid>
    <b:Title>Nomadology of the Bible: A Processual Approach to Biblical Reception History</b:Title>
    <b:BookTitle>Biblical Reception</b:BookTitle>
    <b:Year>2012</b:Year>
    <b:Pages>304</b:Pages>
    <b:Author>
      <b:Author>
        <b:NameList>
          <b:Person>
            <b:Last>Breed</b:Last>
            <b:First>Brennan</b:First>
            <b:Middle>W.</b:Middle>
          </b:Person>
        </b:NameList>
      </b:Author>
    </b:Author>
    <b:JournalName>Biblical reception 1</b:JournalName>
    <b:RefOrder>14</b:RefOrder>
  </b:Source>
  <b:Source>
    <b:Tag>Alb14</b:Tag>
    <b:SourceType>BookSection</b:SourceType>
    <b:Guid>{BA7337BA-4704-48F3-8E3B-50E1AA656DB8}</b:Guid>
    <b:Title>The Bible and Iconography</b:Title>
    <b:Year>2014</b:Year>
    <b:Pages>175</b:Pages>
    <b:Author>
      <b:Author>
        <b:NameList>
          <b:Person>
            <b:Last>Labriola</b:Last>
            <b:First>Albert</b:First>
            <b:Middle>C.</b:Middle>
          </b:Person>
        </b:NameList>
      </b:Author>
      <b:Editor>
        <b:NameList>
          <b:Person>
            <b:Last>M. Lieb</b:Last>
            <b:First>E</b:First>
            <b:Middle>Masson &amp; C Rowland</b:Middle>
          </b:Person>
        </b:NameList>
      </b:Editor>
    </b:Author>
    <b:BookTitle>The Oxford Handbook of the Reception History of the Bible</b:BookTitle>
    <b:City>New York</b:City>
    <b:Publisher>Oxford University Press</b:Publisher>
    <b:RefOrder>12</b:RefOrder>
  </b:Source>
  <b:Source>
    <b:Tag>Ric20</b:Tag>
    <b:SourceType>Book</b:SourceType>
    <b:Guid>{4341640F-A481-4595-94CA-C79583795422}</b:Guid>
    <b:Title>Seeing God in Art</b:Title>
    <b:Year>2020</b:Year>
    <b:City>Norfork</b:City>
    <b:Publisher>SPCK Publishing</b:Publisher>
    <b:Author>
      <b:Author>
        <b:NameList>
          <b:Person>
            <b:Last>Harries</b:Last>
            <b:First>Richard</b:First>
          </b:Person>
        </b:NameList>
      </b:Author>
    </b:Author>
    <b:RefOrder>11</b:RefOrder>
  </b:Source>
</b:Sources>
</file>

<file path=customXml/itemProps1.xml><?xml version="1.0" encoding="utf-8"?>
<ds:datastoreItem xmlns:ds="http://schemas.openxmlformats.org/officeDocument/2006/customXml" ds:itemID="{E8E22603-6DB2-488D-AC2B-EFBEB8313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1933</Words>
  <Characters>11022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Eifion Williams (HEIW)</dc:creator>
  <cp:keywords/>
  <dc:description/>
  <cp:lastModifiedBy>Eifion Williams (HEIW)</cp:lastModifiedBy>
  <cp:revision>2</cp:revision>
  <dcterms:created xsi:type="dcterms:W3CDTF">2021-10-25T11:44:00Z</dcterms:created>
  <dcterms:modified xsi:type="dcterms:W3CDTF">2021-10-25T11:44:00Z</dcterms:modified>
</cp:coreProperties>
</file>