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7B512A" w14:textId="77777777" w:rsidR="00435D56" w:rsidRPr="00435D56" w:rsidRDefault="00435D56" w:rsidP="00435D56">
      <w:pPr>
        <w:pStyle w:val="Title"/>
        <w:spacing w:line="360" w:lineRule="auto"/>
        <w:jc w:val="both"/>
        <w:rPr>
          <w:rFonts w:ascii="Arial" w:hAnsi="Arial" w:cs="Arial"/>
          <w:sz w:val="28"/>
          <w:szCs w:val="28"/>
        </w:rPr>
      </w:pPr>
      <w:r w:rsidRPr="00435D56">
        <w:rPr>
          <w:rFonts w:ascii="Arial" w:hAnsi="Arial" w:cs="Arial"/>
          <w:sz w:val="28"/>
          <w:szCs w:val="28"/>
        </w:rPr>
        <w:t xml:space="preserve">A critical evaluation and the identification of next teaching and learning steps focusing on a case study of an individual learner or a group of learners, based on an observed critical incident. </w:t>
      </w:r>
    </w:p>
    <w:p w14:paraId="24E103F1" w14:textId="77777777" w:rsidR="00A92F6D" w:rsidRDefault="00A92F6D" w:rsidP="00072E69">
      <w:pPr>
        <w:rPr>
          <w:rFonts w:ascii="Times New Roman" w:hAnsi="Times New Roman" w:cs="Times New Roman"/>
          <w:sz w:val="22"/>
          <w:szCs w:val="22"/>
        </w:rPr>
      </w:pPr>
    </w:p>
    <w:p w14:paraId="2AF23F33" w14:textId="2781285C" w:rsidR="00072E69" w:rsidRPr="00435D56" w:rsidRDefault="00072E69" w:rsidP="00A75317">
      <w:pPr>
        <w:spacing w:line="360" w:lineRule="auto"/>
        <w:jc w:val="both"/>
        <w:rPr>
          <w:rFonts w:ascii="Arial" w:hAnsi="Arial" w:cs="Arial"/>
          <w:sz w:val="22"/>
          <w:szCs w:val="22"/>
        </w:rPr>
      </w:pPr>
      <w:r w:rsidRPr="00435D56">
        <w:rPr>
          <w:rFonts w:ascii="Arial" w:hAnsi="Arial" w:cs="Arial"/>
          <w:sz w:val="22"/>
          <w:szCs w:val="22"/>
        </w:rPr>
        <w:t xml:space="preserve">This assignment will outline the effective use of analysing critical incidents, and the effective use of observation models to gain information and improve teaching practice. </w:t>
      </w:r>
      <w:r w:rsidR="00E54427" w:rsidRPr="00435D56">
        <w:rPr>
          <w:rFonts w:ascii="Arial" w:hAnsi="Arial" w:cs="Arial"/>
          <w:sz w:val="22"/>
          <w:szCs w:val="22"/>
        </w:rPr>
        <w:t>Throughout the assignment I will refer to Observati</w:t>
      </w:r>
      <w:r w:rsidR="00A25891" w:rsidRPr="00435D56">
        <w:rPr>
          <w:rFonts w:ascii="Arial" w:hAnsi="Arial" w:cs="Arial"/>
          <w:sz w:val="22"/>
          <w:szCs w:val="22"/>
        </w:rPr>
        <w:t>on 1 and Assisted reflective conclusions</w:t>
      </w:r>
      <w:r w:rsidR="00E54427" w:rsidRPr="00435D56">
        <w:rPr>
          <w:rFonts w:ascii="Arial" w:hAnsi="Arial" w:cs="Arial"/>
          <w:sz w:val="22"/>
          <w:szCs w:val="22"/>
        </w:rPr>
        <w:t xml:space="preserve"> 1. </w:t>
      </w:r>
      <w:r w:rsidRPr="00435D56">
        <w:rPr>
          <w:rFonts w:ascii="Arial" w:hAnsi="Arial" w:cs="Arial"/>
          <w:sz w:val="22"/>
          <w:szCs w:val="22"/>
        </w:rPr>
        <w:t xml:space="preserve">According to Tripp (1993) cited in Spencer-Oatey (2013), and Angelides (2001) cited in Shapira-Lishchinsky </w:t>
      </w:r>
      <w:r w:rsidRPr="00435D56">
        <w:rPr>
          <w:rFonts w:ascii="Arial" w:eastAsia="MS Mincho" w:hAnsi="Arial" w:cs="Arial"/>
          <w:sz w:val="22"/>
          <w:szCs w:val="22"/>
        </w:rPr>
        <w:t>(2011)</w:t>
      </w:r>
      <w:r w:rsidRPr="00435D56">
        <w:rPr>
          <w:rFonts w:ascii="Arial" w:hAnsi="Arial" w:cs="Arial"/>
          <w:sz w:val="22"/>
          <w:szCs w:val="22"/>
        </w:rPr>
        <w:t xml:space="preserve">, it is through observations that enable us to create critical incidents, as it allows us to form our own judgement and interpretation on the situation and therefore, creating a critical incident. Firstly, Richards and Fartell (2010) cited in (Raj Joshi, 2018, p. 83) define a critical incident as ‘’ </w:t>
      </w:r>
      <w:r w:rsidRPr="00435D56">
        <w:rPr>
          <w:rStyle w:val="QuoteChar"/>
          <w:rFonts w:ascii="Arial" w:hAnsi="Arial" w:cs="Arial"/>
          <w:color w:val="000000" w:themeColor="text1"/>
          <w:sz w:val="22"/>
          <w:szCs w:val="22"/>
        </w:rPr>
        <w:t>an unplanned and unanticipated event that occurs during a lesson and that serves to trigger insights about some aspect of teaching and learning</w:t>
      </w:r>
      <w:r w:rsidRPr="00435D56">
        <w:rPr>
          <w:rFonts w:ascii="Arial" w:hAnsi="Arial" w:cs="Arial"/>
          <w:color w:val="000000"/>
          <w:sz w:val="22"/>
          <w:szCs w:val="22"/>
        </w:rPr>
        <w:t xml:space="preserve">”. </w:t>
      </w:r>
      <w:r w:rsidRPr="00435D56">
        <w:rPr>
          <w:rFonts w:ascii="Arial" w:hAnsi="Arial" w:cs="Arial"/>
          <w:sz w:val="22"/>
          <w:szCs w:val="22"/>
        </w:rPr>
        <w:t>In this case, Raj Joshi (2018) would argue that the learning aspects gained would</w:t>
      </w:r>
      <w:r w:rsidR="00A84BA7" w:rsidRPr="00435D56">
        <w:rPr>
          <w:rFonts w:ascii="Arial" w:hAnsi="Arial" w:cs="Arial"/>
          <w:sz w:val="22"/>
          <w:szCs w:val="22"/>
        </w:rPr>
        <w:t xml:space="preserve"> develop the teachers practice since </w:t>
      </w:r>
      <w:r w:rsidRPr="00435D56">
        <w:rPr>
          <w:rFonts w:ascii="Arial" w:hAnsi="Arial" w:cs="Arial"/>
          <w:sz w:val="22"/>
          <w:szCs w:val="22"/>
        </w:rPr>
        <w:t>the reflec</w:t>
      </w:r>
      <w:r w:rsidR="00A84BA7" w:rsidRPr="00435D56">
        <w:rPr>
          <w:rFonts w:ascii="Arial" w:hAnsi="Arial" w:cs="Arial"/>
          <w:sz w:val="22"/>
          <w:szCs w:val="22"/>
        </w:rPr>
        <w:t xml:space="preserve">tion allows them to question the </w:t>
      </w:r>
      <w:r w:rsidRPr="00435D56">
        <w:rPr>
          <w:rFonts w:ascii="Arial" w:hAnsi="Arial" w:cs="Arial"/>
          <w:sz w:val="22"/>
          <w:szCs w:val="22"/>
        </w:rPr>
        <w:t>e</w:t>
      </w:r>
      <w:r w:rsidR="00A84BA7" w:rsidRPr="00435D56">
        <w:rPr>
          <w:rFonts w:ascii="Arial" w:hAnsi="Arial" w:cs="Arial"/>
          <w:sz w:val="22"/>
          <w:szCs w:val="22"/>
        </w:rPr>
        <w:t>vent and</w:t>
      </w:r>
      <w:r w:rsidRPr="00435D56">
        <w:rPr>
          <w:rFonts w:ascii="Arial" w:hAnsi="Arial" w:cs="Arial"/>
          <w:sz w:val="22"/>
          <w:szCs w:val="22"/>
        </w:rPr>
        <w:t xml:space="preserve"> analyse it to identify areas of good practice, and areas that need improving. Therefore, </w:t>
      </w:r>
      <w:r w:rsidR="00A84BA7" w:rsidRPr="00435D56">
        <w:rPr>
          <w:rFonts w:ascii="Arial" w:hAnsi="Arial" w:cs="Arial"/>
          <w:sz w:val="22"/>
          <w:szCs w:val="22"/>
        </w:rPr>
        <w:t xml:space="preserve">this supports the view of </w:t>
      </w:r>
      <w:r w:rsidRPr="00435D56">
        <w:rPr>
          <w:rFonts w:ascii="Arial" w:hAnsi="Arial" w:cs="Arial"/>
          <w:sz w:val="22"/>
          <w:szCs w:val="22"/>
        </w:rPr>
        <w:t xml:space="preserve">Schon (1983) cited in Newman (1999) </w:t>
      </w:r>
      <w:r w:rsidR="00A84BA7" w:rsidRPr="00435D56">
        <w:rPr>
          <w:rFonts w:ascii="Arial" w:hAnsi="Arial" w:cs="Arial"/>
          <w:sz w:val="22"/>
          <w:szCs w:val="22"/>
        </w:rPr>
        <w:t xml:space="preserve">who </w:t>
      </w:r>
      <w:r w:rsidRPr="00435D56">
        <w:rPr>
          <w:rFonts w:ascii="Arial" w:hAnsi="Arial" w:cs="Arial"/>
          <w:sz w:val="22"/>
          <w:szCs w:val="22"/>
        </w:rPr>
        <w:t>believe</w:t>
      </w:r>
      <w:r w:rsidR="00A84BA7" w:rsidRPr="00435D56">
        <w:rPr>
          <w:rFonts w:ascii="Arial" w:hAnsi="Arial" w:cs="Arial"/>
          <w:sz w:val="22"/>
          <w:szCs w:val="22"/>
        </w:rPr>
        <w:t>d</w:t>
      </w:r>
      <w:r w:rsidRPr="00435D56">
        <w:rPr>
          <w:rFonts w:ascii="Arial" w:hAnsi="Arial" w:cs="Arial"/>
          <w:sz w:val="22"/>
          <w:szCs w:val="22"/>
        </w:rPr>
        <w:t xml:space="preserve"> that the use of reflection is </w:t>
      </w:r>
      <w:r w:rsidR="00A84BA7" w:rsidRPr="00435D56">
        <w:rPr>
          <w:rFonts w:ascii="Arial" w:hAnsi="Arial" w:cs="Arial"/>
          <w:sz w:val="22"/>
          <w:szCs w:val="22"/>
        </w:rPr>
        <w:t>effective as it can improve teacher’s knowledge as</w:t>
      </w:r>
      <w:r w:rsidRPr="00435D56">
        <w:rPr>
          <w:rFonts w:ascii="Arial" w:hAnsi="Arial" w:cs="Arial"/>
          <w:sz w:val="22"/>
          <w:szCs w:val="22"/>
        </w:rPr>
        <w:t xml:space="preserve"> all teachers make mistakes, even those with years of experience. The critical incident that I observed was a disruptive child who was motivated to compl</w:t>
      </w:r>
      <w:r w:rsidR="00A84BA7" w:rsidRPr="00435D56">
        <w:rPr>
          <w:rFonts w:ascii="Arial" w:hAnsi="Arial" w:cs="Arial"/>
          <w:sz w:val="22"/>
          <w:szCs w:val="22"/>
        </w:rPr>
        <w:t>ete the task after observing</w:t>
      </w:r>
      <w:r w:rsidRPr="00435D56">
        <w:rPr>
          <w:rFonts w:ascii="Arial" w:hAnsi="Arial" w:cs="Arial"/>
          <w:sz w:val="22"/>
          <w:szCs w:val="22"/>
        </w:rPr>
        <w:t xml:space="preserve"> peers receive praise from the class teacher. The motivation led to the child completing the</w:t>
      </w:r>
      <w:r w:rsidR="00A84BA7" w:rsidRPr="00435D56">
        <w:rPr>
          <w:rFonts w:ascii="Arial" w:hAnsi="Arial" w:cs="Arial"/>
          <w:sz w:val="22"/>
          <w:szCs w:val="22"/>
        </w:rPr>
        <w:t xml:space="preserve"> task to </w:t>
      </w:r>
      <w:r w:rsidRPr="00435D56">
        <w:rPr>
          <w:rFonts w:ascii="Arial" w:hAnsi="Arial" w:cs="Arial"/>
          <w:sz w:val="22"/>
          <w:szCs w:val="22"/>
        </w:rPr>
        <w:t xml:space="preserve">receive praise </w:t>
      </w:r>
      <w:r w:rsidR="00A84BA7" w:rsidRPr="00435D56">
        <w:rPr>
          <w:rFonts w:ascii="Arial" w:hAnsi="Arial" w:cs="Arial"/>
          <w:sz w:val="22"/>
          <w:szCs w:val="22"/>
        </w:rPr>
        <w:t xml:space="preserve">and a challenge </w:t>
      </w:r>
      <w:r w:rsidRPr="00435D56">
        <w:rPr>
          <w:rFonts w:ascii="Arial" w:hAnsi="Arial" w:cs="Arial"/>
          <w:sz w:val="22"/>
          <w:szCs w:val="22"/>
        </w:rPr>
        <w:t>by the class teacher.</w:t>
      </w:r>
      <w:r w:rsidR="00A84BA7" w:rsidRPr="00435D56">
        <w:rPr>
          <w:rFonts w:ascii="Arial" w:hAnsi="Arial" w:cs="Arial"/>
          <w:sz w:val="22"/>
          <w:szCs w:val="22"/>
        </w:rPr>
        <w:t xml:space="preserve"> This impact of praise will later be </w:t>
      </w:r>
      <w:r w:rsidRPr="00435D56">
        <w:rPr>
          <w:rFonts w:ascii="Arial" w:hAnsi="Arial" w:cs="Arial"/>
          <w:sz w:val="22"/>
          <w:szCs w:val="22"/>
        </w:rPr>
        <w:t xml:space="preserve">discussed and will look closely at </w:t>
      </w:r>
      <w:r w:rsidR="00A84BA7" w:rsidRPr="00435D56">
        <w:rPr>
          <w:rFonts w:ascii="Arial" w:hAnsi="Arial" w:cs="Arial"/>
          <w:sz w:val="22"/>
          <w:szCs w:val="22"/>
        </w:rPr>
        <w:t xml:space="preserve">its effect on </w:t>
      </w:r>
      <w:r w:rsidRPr="00435D56">
        <w:rPr>
          <w:rFonts w:ascii="Arial" w:hAnsi="Arial" w:cs="Arial"/>
          <w:sz w:val="22"/>
          <w:szCs w:val="22"/>
        </w:rPr>
        <w:t>behaviour and mindset.</w:t>
      </w:r>
    </w:p>
    <w:p w14:paraId="2A6F59F3" w14:textId="77777777" w:rsidR="00AB2F6C" w:rsidRPr="00435D56" w:rsidRDefault="0020641A" w:rsidP="00A75317">
      <w:pPr>
        <w:spacing w:line="360" w:lineRule="auto"/>
        <w:jc w:val="both"/>
        <w:rPr>
          <w:rFonts w:ascii="Arial" w:hAnsi="Arial" w:cs="Arial"/>
          <w:sz w:val="22"/>
          <w:szCs w:val="22"/>
        </w:rPr>
      </w:pPr>
    </w:p>
    <w:p w14:paraId="0CDA91A1" w14:textId="13A05D67" w:rsidR="00072E69" w:rsidRPr="00435D56" w:rsidRDefault="00A84BA7" w:rsidP="00A75317">
      <w:pPr>
        <w:spacing w:line="360" w:lineRule="auto"/>
        <w:jc w:val="both"/>
        <w:rPr>
          <w:rFonts w:ascii="Arial" w:hAnsi="Arial" w:cs="Arial"/>
          <w:sz w:val="22"/>
          <w:szCs w:val="22"/>
        </w:rPr>
      </w:pPr>
      <w:r w:rsidRPr="00435D56">
        <w:rPr>
          <w:rFonts w:ascii="Arial" w:hAnsi="Arial" w:cs="Arial"/>
          <w:sz w:val="22"/>
          <w:szCs w:val="22"/>
        </w:rPr>
        <w:t>Firstly, t</w:t>
      </w:r>
      <w:r w:rsidR="00072E69" w:rsidRPr="00435D56">
        <w:rPr>
          <w:rFonts w:ascii="Arial" w:hAnsi="Arial" w:cs="Arial"/>
          <w:sz w:val="22"/>
          <w:szCs w:val="22"/>
        </w:rPr>
        <w:t xml:space="preserve">he observation </w:t>
      </w:r>
      <w:r w:rsidRPr="00435D56">
        <w:rPr>
          <w:rFonts w:ascii="Arial" w:hAnsi="Arial" w:cs="Arial"/>
          <w:sz w:val="22"/>
          <w:szCs w:val="22"/>
        </w:rPr>
        <w:t>that was carried out took place</w:t>
      </w:r>
      <w:r w:rsidR="00072E69" w:rsidRPr="00435D56">
        <w:rPr>
          <w:rFonts w:ascii="Arial" w:hAnsi="Arial" w:cs="Arial"/>
          <w:sz w:val="22"/>
          <w:szCs w:val="22"/>
        </w:rPr>
        <w:t xml:space="preserve"> in a year 2 class of a city bas</w:t>
      </w:r>
      <w:r w:rsidRPr="00435D56">
        <w:rPr>
          <w:rFonts w:ascii="Arial" w:hAnsi="Arial" w:cs="Arial"/>
          <w:sz w:val="22"/>
          <w:szCs w:val="22"/>
        </w:rPr>
        <w:t>ed primary school. Throughout the</w:t>
      </w:r>
      <w:r w:rsidR="00072E69" w:rsidRPr="00435D56">
        <w:rPr>
          <w:rFonts w:ascii="Arial" w:hAnsi="Arial" w:cs="Arial"/>
          <w:sz w:val="22"/>
          <w:szCs w:val="22"/>
        </w:rPr>
        <w:t xml:space="preserve"> assignment I will refer to this school as ‘School A’ in accordance with BERA guidelines (2018). There is an estimate of 470 pupils within this school and most are from various ethnic backgrounds who speak English as their second language. 26% of children are eligible for free school meals which is above the national average and 28% of children have an additional learning need which is also higher than the national average (Esytn, 2017). The school is a pioneer school who are continuously working with the Welsh Government to help design and implement the new curriculum. </w:t>
      </w:r>
    </w:p>
    <w:p w14:paraId="38117281" w14:textId="77777777" w:rsidR="00072E69" w:rsidRPr="00435D56" w:rsidRDefault="00072E69" w:rsidP="00A75317">
      <w:pPr>
        <w:spacing w:line="360" w:lineRule="auto"/>
        <w:jc w:val="both"/>
        <w:rPr>
          <w:rFonts w:ascii="Arial" w:hAnsi="Arial" w:cs="Arial"/>
          <w:sz w:val="22"/>
          <w:szCs w:val="22"/>
        </w:rPr>
      </w:pPr>
    </w:p>
    <w:p w14:paraId="10628E5E" w14:textId="7B688774" w:rsidR="00072E69" w:rsidRPr="00435D56" w:rsidRDefault="00A84BA7" w:rsidP="00A75317">
      <w:pPr>
        <w:spacing w:line="360" w:lineRule="auto"/>
        <w:jc w:val="both"/>
        <w:rPr>
          <w:rFonts w:ascii="Arial" w:hAnsi="Arial" w:cs="Arial"/>
          <w:sz w:val="22"/>
          <w:szCs w:val="22"/>
        </w:rPr>
      </w:pPr>
      <w:r w:rsidRPr="00435D56">
        <w:rPr>
          <w:rFonts w:ascii="Arial" w:hAnsi="Arial" w:cs="Arial"/>
          <w:sz w:val="22"/>
          <w:szCs w:val="22"/>
        </w:rPr>
        <w:t xml:space="preserve">According to Shapira-Lishchinksy (2011), </w:t>
      </w:r>
      <w:r w:rsidR="00072E69" w:rsidRPr="00435D56">
        <w:rPr>
          <w:rFonts w:ascii="Arial" w:hAnsi="Arial" w:cs="Arial"/>
          <w:sz w:val="22"/>
          <w:szCs w:val="22"/>
        </w:rPr>
        <w:t xml:space="preserve">the use of critical incidents are becoming a common tool for research. This may be because Richards and Lockhart (1994) cited in Farrell (2013) believe that critical incidents allow teachers to reflect on particular experiences in order to </w:t>
      </w:r>
      <w:r w:rsidR="00072E69" w:rsidRPr="00435D56">
        <w:rPr>
          <w:rFonts w:ascii="Arial" w:hAnsi="Arial" w:cs="Arial"/>
          <w:sz w:val="22"/>
          <w:szCs w:val="22"/>
        </w:rPr>
        <w:lastRenderedPageBreak/>
        <w:t xml:space="preserve">make sense of why the incident occurred. It can also be argued that this notion for research comes from the push by the Welsh Government to encourage teachers to undertake research to better their practice (Welsh Assembly Government, 2009). </w:t>
      </w:r>
      <w:r w:rsidR="00072E69" w:rsidRPr="00435D56">
        <w:rPr>
          <w:rFonts w:ascii="Arial" w:hAnsi="Arial" w:cs="Arial"/>
          <w:b/>
          <w:sz w:val="22"/>
          <w:szCs w:val="22"/>
        </w:rPr>
        <w:t xml:space="preserve"> </w:t>
      </w:r>
      <w:r w:rsidRPr="00435D56">
        <w:rPr>
          <w:rFonts w:ascii="Arial" w:hAnsi="Arial" w:cs="Arial"/>
          <w:sz w:val="22"/>
          <w:szCs w:val="22"/>
        </w:rPr>
        <w:t>Richards and Lockhart (1994) cited in Farrell (2013) believe that p</w:t>
      </w:r>
      <w:r w:rsidR="00072E69" w:rsidRPr="00435D56">
        <w:rPr>
          <w:rFonts w:ascii="Arial" w:hAnsi="Arial" w:cs="Arial"/>
          <w:sz w:val="22"/>
          <w:szCs w:val="22"/>
        </w:rPr>
        <w:t xml:space="preserve">ractice </w:t>
      </w:r>
      <w:r w:rsidRPr="00435D56">
        <w:rPr>
          <w:rFonts w:ascii="Arial" w:hAnsi="Arial" w:cs="Arial"/>
          <w:sz w:val="22"/>
          <w:szCs w:val="22"/>
        </w:rPr>
        <w:t xml:space="preserve">can be improved as research </w:t>
      </w:r>
      <w:r w:rsidR="00072E69" w:rsidRPr="00435D56">
        <w:rPr>
          <w:rFonts w:ascii="Arial" w:hAnsi="Arial" w:cs="Arial"/>
          <w:sz w:val="22"/>
          <w:szCs w:val="22"/>
        </w:rPr>
        <w:t>help</w:t>
      </w:r>
      <w:r w:rsidRPr="00435D56">
        <w:rPr>
          <w:rFonts w:ascii="Arial" w:hAnsi="Arial" w:cs="Arial"/>
          <w:sz w:val="22"/>
          <w:szCs w:val="22"/>
        </w:rPr>
        <w:t>s</w:t>
      </w:r>
      <w:r w:rsidR="00072E69" w:rsidRPr="00435D56">
        <w:rPr>
          <w:rFonts w:ascii="Arial" w:hAnsi="Arial" w:cs="Arial"/>
          <w:sz w:val="22"/>
          <w:szCs w:val="22"/>
        </w:rPr>
        <w:t xml:space="preserve"> the observer gather a greater insight into the events that occurred</w:t>
      </w:r>
      <w:r w:rsidRPr="00435D56">
        <w:rPr>
          <w:rFonts w:ascii="Arial" w:hAnsi="Arial" w:cs="Arial"/>
          <w:sz w:val="22"/>
          <w:szCs w:val="22"/>
        </w:rPr>
        <w:t>,</w:t>
      </w:r>
      <w:r w:rsidR="00072E69" w:rsidRPr="00435D56">
        <w:rPr>
          <w:rFonts w:ascii="Arial" w:hAnsi="Arial" w:cs="Arial"/>
          <w:sz w:val="22"/>
          <w:szCs w:val="22"/>
        </w:rPr>
        <w:t xml:space="preserve"> and it is through reflection where the teacher can understand what can be done to prevent</w:t>
      </w:r>
      <w:r w:rsidRPr="00435D56">
        <w:rPr>
          <w:rFonts w:ascii="Arial" w:hAnsi="Arial" w:cs="Arial"/>
          <w:sz w:val="22"/>
          <w:szCs w:val="22"/>
        </w:rPr>
        <w:t>,</w:t>
      </w:r>
      <w:r w:rsidR="00072E69" w:rsidRPr="00435D56">
        <w:rPr>
          <w:rFonts w:ascii="Arial" w:hAnsi="Arial" w:cs="Arial"/>
          <w:sz w:val="22"/>
          <w:szCs w:val="22"/>
        </w:rPr>
        <w:t xml:space="preserve"> or conti</w:t>
      </w:r>
      <w:r w:rsidRPr="00435D56">
        <w:rPr>
          <w:rFonts w:ascii="Arial" w:hAnsi="Arial" w:cs="Arial"/>
          <w:sz w:val="22"/>
          <w:szCs w:val="22"/>
        </w:rPr>
        <w:t>nue the impacts of the incident.</w:t>
      </w:r>
      <w:r w:rsidR="00072E69" w:rsidRPr="00435D56">
        <w:rPr>
          <w:rFonts w:ascii="Arial" w:hAnsi="Arial" w:cs="Arial"/>
          <w:sz w:val="22"/>
          <w:szCs w:val="22"/>
        </w:rPr>
        <w:t xml:space="preserve"> However, Gremler (2004) cited in Lin et al. (2011) argue that because critical incidents are remembered, they can cause an emotional reaction to the observer and this can result in the user shortening the incident if it creates distress. Acknowledging this, I will still continue to use the critical incident and case study approach to gain information as the detailed narrative will enable me to discover areas of improvement (Crowe et al. 2011 and Yin, 1994 cited in Rowley, 2002). I am </w:t>
      </w:r>
      <w:r w:rsidRPr="00435D56">
        <w:rPr>
          <w:rFonts w:ascii="Arial" w:hAnsi="Arial" w:cs="Arial"/>
          <w:sz w:val="22"/>
          <w:szCs w:val="22"/>
        </w:rPr>
        <w:t xml:space="preserve">also </w:t>
      </w:r>
      <w:r w:rsidR="00072E69" w:rsidRPr="00435D56">
        <w:rPr>
          <w:rFonts w:ascii="Arial" w:hAnsi="Arial" w:cs="Arial"/>
          <w:sz w:val="22"/>
          <w:szCs w:val="22"/>
        </w:rPr>
        <w:t>mindful of the research found by Flyvbjerg (2006) that case studies can be biased since researchers may look for events that confirm what</w:t>
      </w:r>
      <w:r w:rsidRPr="00435D56">
        <w:rPr>
          <w:rFonts w:ascii="Arial" w:hAnsi="Arial" w:cs="Arial"/>
          <w:sz w:val="22"/>
          <w:szCs w:val="22"/>
        </w:rPr>
        <w:t xml:space="preserve"> they are</w:t>
      </w:r>
      <w:r w:rsidR="00435D56">
        <w:rPr>
          <w:rFonts w:ascii="Arial" w:hAnsi="Arial" w:cs="Arial"/>
          <w:sz w:val="22"/>
          <w:szCs w:val="22"/>
        </w:rPr>
        <w:t xml:space="preserve"> looking for. However, I </w:t>
      </w:r>
      <w:r w:rsidRPr="00435D56">
        <w:rPr>
          <w:rFonts w:ascii="Arial" w:hAnsi="Arial" w:cs="Arial"/>
          <w:sz w:val="22"/>
          <w:szCs w:val="22"/>
        </w:rPr>
        <w:t xml:space="preserve">enter </w:t>
      </w:r>
      <w:r w:rsidR="00072E69" w:rsidRPr="00435D56">
        <w:rPr>
          <w:rFonts w:ascii="Arial" w:hAnsi="Arial" w:cs="Arial"/>
          <w:sz w:val="22"/>
          <w:szCs w:val="22"/>
        </w:rPr>
        <w:t xml:space="preserve">the classroom without the conception of trying to confirm an opinion. </w:t>
      </w:r>
    </w:p>
    <w:p w14:paraId="2FFC54E9" w14:textId="77777777" w:rsidR="00072E69" w:rsidRPr="00435D56" w:rsidRDefault="00072E69" w:rsidP="00A75317">
      <w:pPr>
        <w:spacing w:line="360" w:lineRule="auto"/>
        <w:jc w:val="both"/>
        <w:rPr>
          <w:rFonts w:ascii="Arial" w:hAnsi="Arial" w:cs="Arial"/>
          <w:sz w:val="22"/>
          <w:szCs w:val="22"/>
        </w:rPr>
      </w:pPr>
    </w:p>
    <w:p w14:paraId="349F9B23" w14:textId="5DDC3A60" w:rsidR="00072E69" w:rsidRPr="00435D56" w:rsidRDefault="00072E69" w:rsidP="00A75317">
      <w:pPr>
        <w:spacing w:line="360" w:lineRule="auto"/>
        <w:jc w:val="both"/>
        <w:rPr>
          <w:rFonts w:ascii="Arial" w:hAnsi="Arial" w:cs="Arial"/>
          <w:sz w:val="22"/>
          <w:szCs w:val="22"/>
        </w:rPr>
      </w:pPr>
      <w:r w:rsidRPr="00435D56">
        <w:rPr>
          <w:rFonts w:ascii="Arial" w:hAnsi="Arial" w:cs="Arial"/>
          <w:sz w:val="22"/>
          <w:szCs w:val="22"/>
        </w:rPr>
        <w:t xml:space="preserve">In order to create the critical incident, I have considered many observation strategies that can be used to gain information that will allow me to form a judgement. The strategy I have chosen is the non-participant observation method. Williams (2008) reveals that non-participant observation is a research method that involves collecting rich information without direct interaction with subjects. Cohen et al. </w:t>
      </w:r>
      <w:r w:rsidR="00A84BA7" w:rsidRPr="00435D56">
        <w:rPr>
          <w:rFonts w:ascii="Arial" w:hAnsi="Arial" w:cs="Arial"/>
          <w:sz w:val="22"/>
          <w:szCs w:val="22"/>
        </w:rPr>
        <w:t>(2011) share that user</w:t>
      </w:r>
      <w:r w:rsidRPr="00435D56">
        <w:rPr>
          <w:rFonts w:ascii="Arial" w:hAnsi="Arial" w:cs="Arial"/>
          <w:sz w:val="22"/>
          <w:szCs w:val="22"/>
        </w:rPr>
        <w:t>s must be mindful of this method as subjects in the observation ma</w:t>
      </w:r>
      <w:r w:rsidR="00A84BA7" w:rsidRPr="00435D56">
        <w:rPr>
          <w:rFonts w:ascii="Arial" w:hAnsi="Arial" w:cs="Arial"/>
          <w:sz w:val="22"/>
          <w:szCs w:val="22"/>
        </w:rPr>
        <w:t>y behave differently if they identify</w:t>
      </w:r>
      <w:r w:rsidRPr="00435D56">
        <w:rPr>
          <w:rFonts w:ascii="Arial" w:hAnsi="Arial" w:cs="Arial"/>
          <w:sz w:val="22"/>
          <w:szCs w:val="22"/>
        </w:rPr>
        <w:t xml:space="preserve"> the gender of the researcher or the personality of the observer. However, afte</w:t>
      </w:r>
      <w:r w:rsidR="00A84BA7" w:rsidRPr="00435D56">
        <w:rPr>
          <w:rFonts w:ascii="Arial" w:hAnsi="Arial" w:cs="Arial"/>
          <w:sz w:val="22"/>
          <w:szCs w:val="22"/>
        </w:rPr>
        <w:t xml:space="preserve">r researching strategies, I </w:t>
      </w:r>
      <w:r w:rsidRPr="00435D56">
        <w:rPr>
          <w:rFonts w:ascii="Arial" w:hAnsi="Arial" w:cs="Arial"/>
          <w:sz w:val="22"/>
          <w:szCs w:val="22"/>
        </w:rPr>
        <w:t>decided to use this method as I feel it will be the most effective since it can offer detailed information that will be useful for analysing the incident. Therefore, when using this strategy, I will follow the advice of Flyvbjerg (2</w:t>
      </w:r>
      <w:r w:rsidR="00BB0C86" w:rsidRPr="00435D56">
        <w:rPr>
          <w:rFonts w:ascii="Arial" w:hAnsi="Arial" w:cs="Arial"/>
          <w:sz w:val="22"/>
          <w:szCs w:val="22"/>
        </w:rPr>
        <w:t>006) who advises that researchers</w:t>
      </w:r>
      <w:r w:rsidRPr="00435D56">
        <w:rPr>
          <w:rFonts w:ascii="Arial" w:hAnsi="Arial" w:cs="Arial"/>
          <w:sz w:val="22"/>
          <w:szCs w:val="22"/>
        </w:rPr>
        <w:t xml:space="preserve"> should enter the classroom with the idea of broadening their learning as opposed to trying to prove something. Montessori (1912) cited in Papatheodorou et al (2011) agrees, and states that entering the observation with an open mind to discover something new can create many surprises. This is one of the reasons why I excluded the target child method as this method focuses on a particula</w:t>
      </w:r>
      <w:r w:rsidR="00BB0C86" w:rsidRPr="00435D56">
        <w:rPr>
          <w:rFonts w:ascii="Arial" w:hAnsi="Arial" w:cs="Arial"/>
          <w:sz w:val="22"/>
          <w:szCs w:val="22"/>
        </w:rPr>
        <w:t>r child, and by doing this I might</w:t>
      </w:r>
      <w:r w:rsidRPr="00435D56">
        <w:rPr>
          <w:rFonts w:ascii="Arial" w:hAnsi="Arial" w:cs="Arial"/>
          <w:sz w:val="22"/>
          <w:szCs w:val="22"/>
        </w:rPr>
        <w:t xml:space="preserve"> have missed the incident I found. Therefore, this supports the belief of Papatheodorou et al. (2011) who states that non-participant observation allows the user to focus more on the observation and as a result, Ostrower (1998) believes it can be a useful method since it opens the idea of writing a detailed report of events that may not seem useful at first glance, but reflecting on them afterwards can open up many ideas for discussion. However, the target child approach may have been an effective approach as it would have provided information </w:t>
      </w:r>
      <w:r w:rsidR="00BB0C86" w:rsidRPr="00435D56">
        <w:rPr>
          <w:rFonts w:ascii="Arial" w:hAnsi="Arial" w:cs="Arial"/>
          <w:sz w:val="22"/>
          <w:szCs w:val="22"/>
        </w:rPr>
        <w:t>that lead</w:t>
      </w:r>
      <w:r w:rsidRPr="00435D56">
        <w:rPr>
          <w:rFonts w:ascii="Arial" w:hAnsi="Arial" w:cs="Arial"/>
          <w:sz w:val="22"/>
          <w:szCs w:val="22"/>
        </w:rPr>
        <w:t xml:space="preserve"> up</w:t>
      </w:r>
      <w:r w:rsidR="00BB0C86" w:rsidRPr="00435D56">
        <w:rPr>
          <w:rFonts w:ascii="Arial" w:hAnsi="Arial" w:cs="Arial"/>
          <w:sz w:val="22"/>
          <w:szCs w:val="22"/>
        </w:rPr>
        <w:t xml:space="preserve"> to</w:t>
      </w:r>
      <w:r w:rsidRPr="00435D56">
        <w:rPr>
          <w:rFonts w:ascii="Arial" w:hAnsi="Arial" w:cs="Arial"/>
          <w:sz w:val="22"/>
          <w:szCs w:val="22"/>
        </w:rPr>
        <w:t xml:space="preserve"> the event (Papatheodorou et al. 2011). For example, by observing one child, I could easily compare the motivation levels at the beginning of the day to the levels displayed earlier on into the activity. This would help me to realise why the child was distracted as oppose to assume. </w:t>
      </w:r>
    </w:p>
    <w:p w14:paraId="2A67704B" w14:textId="77777777" w:rsidR="00072E69" w:rsidRPr="00435D56" w:rsidRDefault="00072E69" w:rsidP="00A75317">
      <w:pPr>
        <w:spacing w:line="360" w:lineRule="auto"/>
        <w:jc w:val="both"/>
        <w:rPr>
          <w:rFonts w:ascii="Arial" w:hAnsi="Arial" w:cs="Arial"/>
          <w:sz w:val="22"/>
          <w:szCs w:val="22"/>
        </w:rPr>
      </w:pPr>
    </w:p>
    <w:p w14:paraId="1E9266AC" w14:textId="233177E6" w:rsidR="00BB0C86" w:rsidRPr="00435D56" w:rsidRDefault="00BB0C86" w:rsidP="00A75317">
      <w:pPr>
        <w:spacing w:line="360" w:lineRule="auto"/>
        <w:jc w:val="both"/>
        <w:rPr>
          <w:rFonts w:ascii="Arial" w:hAnsi="Arial" w:cs="Arial"/>
          <w:sz w:val="22"/>
          <w:szCs w:val="22"/>
        </w:rPr>
      </w:pPr>
      <w:r w:rsidRPr="00435D56">
        <w:rPr>
          <w:rFonts w:ascii="Arial" w:hAnsi="Arial" w:cs="Arial"/>
          <w:sz w:val="22"/>
          <w:szCs w:val="22"/>
        </w:rPr>
        <w:t xml:space="preserve">The critical incident that was </w:t>
      </w:r>
      <w:r w:rsidR="00072E69" w:rsidRPr="00435D56">
        <w:rPr>
          <w:rFonts w:ascii="Arial" w:hAnsi="Arial" w:cs="Arial"/>
          <w:sz w:val="22"/>
          <w:szCs w:val="22"/>
        </w:rPr>
        <w:t xml:space="preserve">observed links to each purpose </w:t>
      </w:r>
      <w:r w:rsidRPr="00435D56">
        <w:rPr>
          <w:rFonts w:ascii="Arial" w:hAnsi="Arial" w:cs="Arial"/>
          <w:sz w:val="22"/>
          <w:szCs w:val="22"/>
        </w:rPr>
        <w:t>of the new curriculum which is being drafted from the basis of Donaldson’s ‘Successful Futures (Donaldson, 2015). Donaldson’s four purposes underpins the new curriculum with the aim to promote ambitious, capable learners, enterprising, creative contributors, ethical informed citizens and healthy, confident individuals (Welsh Government, 2019 and Donaldson, 2015).</w:t>
      </w:r>
    </w:p>
    <w:p w14:paraId="73CA7B26" w14:textId="77777777" w:rsidR="00435D56" w:rsidRDefault="00435D56" w:rsidP="00A75317">
      <w:pPr>
        <w:spacing w:line="360" w:lineRule="auto"/>
        <w:jc w:val="both"/>
        <w:rPr>
          <w:rFonts w:ascii="Arial" w:hAnsi="Arial" w:cs="Arial"/>
          <w:sz w:val="22"/>
          <w:szCs w:val="22"/>
        </w:rPr>
      </w:pPr>
    </w:p>
    <w:p w14:paraId="3AA67C44" w14:textId="19C69EE5" w:rsidR="00072E69" w:rsidRPr="00435D56" w:rsidRDefault="00072E69" w:rsidP="00A75317">
      <w:pPr>
        <w:spacing w:line="360" w:lineRule="auto"/>
        <w:jc w:val="both"/>
        <w:rPr>
          <w:rFonts w:ascii="Arial" w:hAnsi="Arial" w:cs="Arial"/>
          <w:sz w:val="22"/>
          <w:szCs w:val="22"/>
        </w:rPr>
      </w:pPr>
      <w:r w:rsidRPr="00435D56">
        <w:rPr>
          <w:rFonts w:ascii="Arial" w:hAnsi="Arial" w:cs="Arial"/>
          <w:sz w:val="22"/>
          <w:szCs w:val="22"/>
        </w:rPr>
        <w:t>Firstly, the critical incident that was observed showed the change of a child’s motivat</w:t>
      </w:r>
      <w:r w:rsidR="00BB0C86" w:rsidRPr="00435D56">
        <w:rPr>
          <w:rFonts w:ascii="Arial" w:hAnsi="Arial" w:cs="Arial"/>
          <w:sz w:val="22"/>
          <w:szCs w:val="22"/>
        </w:rPr>
        <w:t>ion level after witnessing</w:t>
      </w:r>
      <w:r w:rsidRPr="00435D56">
        <w:rPr>
          <w:rFonts w:ascii="Arial" w:hAnsi="Arial" w:cs="Arial"/>
          <w:sz w:val="22"/>
          <w:szCs w:val="22"/>
        </w:rPr>
        <w:t xml:space="preserve"> classmates receive praise </w:t>
      </w:r>
      <w:r w:rsidR="00BB0C86" w:rsidRPr="00435D56">
        <w:rPr>
          <w:rFonts w:ascii="Arial" w:hAnsi="Arial" w:cs="Arial"/>
          <w:sz w:val="22"/>
          <w:szCs w:val="22"/>
        </w:rPr>
        <w:t xml:space="preserve">and challenges </w:t>
      </w:r>
      <w:r w:rsidRPr="00435D56">
        <w:rPr>
          <w:rFonts w:ascii="Arial" w:hAnsi="Arial" w:cs="Arial"/>
          <w:sz w:val="22"/>
          <w:szCs w:val="22"/>
        </w:rPr>
        <w:t>from the teacher when they had completed a task. This motivated the child to complete the work in order to receive the same praise and eventually, the child was praised. The significant part of this incident was</w:t>
      </w:r>
      <w:r w:rsidR="00BB0C86" w:rsidRPr="00435D56">
        <w:rPr>
          <w:rFonts w:ascii="Arial" w:hAnsi="Arial" w:cs="Arial"/>
          <w:sz w:val="22"/>
          <w:szCs w:val="22"/>
        </w:rPr>
        <w:t xml:space="preserve"> the use of process praise to motivate</w:t>
      </w:r>
      <w:r w:rsidRPr="00435D56">
        <w:rPr>
          <w:rFonts w:ascii="Arial" w:hAnsi="Arial" w:cs="Arial"/>
          <w:sz w:val="22"/>
          <w:szCs w:val="22"/>
        </w:rPr>
        <w:t xml:space="preserve"> the child to take on a challenge. According to Gunderson et al. (2018) it is this type of praise that motivates children to complete challenges as it focuses on their effort, rather than their intelligence. According to, Dreikurs et al. (1982) cited in Rogers (2017) the use of encouragement can increase a child’s confidence which can lead to the child taking learning risks. Deci and Porac (1978) cited in Clifford (no date) believe that taking learning risks can increase a child to acquire skills of persistence to overcome challenges and this would link Donaldson’s (2015) purposes of ‘ambitious, capable learner’s’ due to enjoying challenge and ‘enterprising, creative contributor’s’ due to taking measured risks. Jamsek (2017) believes that teachers should give children the opportunities to solve problems independently as keeping children from the feelings of frustration that occur with challenges can reduce their chance of developing the skills of persistence and resilience. Donaldson (2015) supports this as the need for children who display problem solving and creativity skills is a key component in the shaping of the new curriculum,</w:t>
      </w:r>
      <w:r w:rsidRPr="00435D56">
        <w:rPr>
          <w:rFonts w:ascii="Arial" w:hAnsi="Arial" w:cs="Arial"/>
          <w:b/>
          <w:sz w:val="22"/>
          <w:szCs w:val="22"/>
        </w:rPr>
        <w:t xml:space="preserve"> </w:t>
      </w:r>
      <w:r w:rsidRPr="00435D56">
        <w:rPr>
          <w:rFonts w:ascii="Arial" w:hAnsi="Arial" w:cs="Arial"/>
          <w:sz w:val="22"/>
          <w:szCs w:val="22"/>
        </w:rPr>
        <w:t xml:space="preserve">especially when the modern workforce requires these types of skills (Welsh Government, 2019). In addition, he also supports the belief that opportunities to problem solve can allow children to become resilient, and this can allow them to deal with obstacles. Public Health England (2014) and Rutter (2012) cited in Banerjee et al. (2016) reveal that resilience is not a mindset that children are born with, instead, it is a skill that is shaped by teachers providing opportunities that enhance this skill and the opportunity in this critical incident was the use of challenge in the praise. </w:t>
      </w:r>
      <w:r w:rsidR="00547286" w:rsidRPr="00435D56">
        <w:rPr>
          <w:rFonts w:ascii="Arial" w:hAnsi="Arial" w:cs="Arial"/>
          <w:sz w:val="22"/>
          <w:szCs w:val="22"/>
        </w:rPr>
        <w:t xml:space="preserve">The importance of obtaining this skill of resilience is highlighted by </w:t>
      </w:r>
      <w:r w:rsidRPr="00435D56">
        <w:rPr>
          <w:rFonts w:ascii="Arial" w:hAnsi="Arial" w:cs="Arial"/>
          <w:sz w:val="22"/>
          <w:szCs w:val="22"/>
        </w:rPr>
        <w:t xml:space="preserve">Bernard (2004) cited in Cahill et al. (no date) </w:t>
      </w:r>
      <w:r w:rsidR="00547286" w:rsidRPr="00435D56">
        <w:rPr>
          <w:rFonts w:ascii="Arial" w:hAnsi="Arial" w:cs="Arial"/>
          <w:sz w:val="22"/>
          <w:szCs w:val="22"/>
        </w:rPr>
        <w:t xml:space="preserve">who </w:t>
      </w:r>
      <w:r w:rsidRPr="00435D56">
        <w:rPr>
          <w:rFonts w:ascii="Arial" w:hAnsi="Arial" w:cs="Arial"/>
          <w:sz w:val="22"/>
          <w:szCs w:val="22"/>
        </w:rPr>
        <w:t xml:space="preserve">believe that the more resilient a person is, the more they will excel in their learning environment as they are able to deal with challenges and work under pressure (Goldstein and Brooks, 2005). This is supported by Johnson’s (2008) cited in Cahill et al. (no date) study of resilience in primary and secondary </w:t>
      </w:r>
      <w:r w:rsidR="00547286" w:rsidRPr="00435D56">
        <w:rPr>
          <w:rFonts w:ascii="Arial" w:hAnsi="Arial" w:cs="Arial"/>
          <w:sz w:val="22"/>
          <w:szCs w:val="22"/>
        </w:rPr>
        <w:t xml:space="preserve">students which </w:t>
      </w:r>
      <w:r w:rsidRPr="00435D56">
        <w:rPr>
          <w:rFonts w:ascii="Arial" w:hAnsi="Arial" w:cs="Arial"/>
          <w:sz w:val="22"/>
          <w:szCs w:val="22"/>
        </w:rPr>
        <w:t xml:space="preserve">found that the use of encouragement motivated children to persist in overcoming challenges. </w:t>
      </w:r>
    </w:p>
    <w:p w14:paraId="1FFA10C6" w14:textId="77777777" w:rsidR="00072E69" w:rsidRPr="00435D56" w:rsidRDefault="00072E69" w:rsidP="00A75317">
      <w:pPr>
        <w:spacing w:line="360" w:lineRule="auto"/>
        <w:jc w:val="both"/>
        <w:rPr>
          <w:rFonts w:ascii="Arial" w:hAnsi="Arial" w:cs="Arial"/>
          <w:sz w:val="22"/>
          <w:szCs w:val="22"/>
        </w:rPr>
      </w:pPr>
    </w:p>
    <w:p w14:paraId="57624E20" w14:textId="4D4B915E" w:rsidR="00072E69" w:rsidRPr="00435D56" w:rsidRDefault="00547286" w:rsidP="00A75317">
      <w:pPr>
        <w:spacing w:line="360" w:lineRule="auto"/>
        <w:jc w:val="both"/>
        <w:rPr>
          <w:rFonts w:ascii="Arial" w:hAnsi="Arial" w:cs="Arial"/>
          <w:sz w:val="22"/>
          <w:szCs w:val="22"/>
        </w:rPr>
      </w:pPr>
      <w:r w:rsidRPr="00435D56">
        <w:rPr>
          <w:rFonts w:ascii="Arial" w:hAnsi="Arial" w:cs="Arial"/>
          <w:sz w:val="22"/>
          <w:szCs w:val="22"/>
        </w:rPr>
        <w:t xml:space="preserve">As previously mentioned, </w:t>
      </w:r>
      <w:r w:rsidR="00072E69" w:rsidRPr="00435D56">
        <w:rPr>
          <w:rFonts w:ascii="Arial" w:hAnsi="Arial" w:cs="Arial"/>
          <w:sz w:val="22"/>
          <w:szCs w:val="22"/>
        </w:rPr>
        <w:t xml:space="preserve">Child X </w:t>
      </w:r>
      <w:r w:rsidRPr="00435D56">
        <w:rPr>
          <w:rFonts w:ascii="Arial" w:hAnsi="Arial" w:cs="Arial"/>
          <w:sz w:val="22"/>
          <w:szCs w:val="22"/>
        </w:rPr>
        <w:t>became</w:t>
      </w:r>
      <w:r w:rsidR="00072E69" w:rsidRPr="00435D56">
        <w:rPr>
          <w:rFonts w:ascii="Arial" w:hAnsi="Arial" w:cs="Arial"/>
          <w:sz w:val="22"/>
          <w:szCs w:val="22"/>
        </w:rPr>
        <w:t xml:space="preserve"> more motivated to complete </w:t>
      </w:r>
      <w:r w:rsidRPr="00435D56">
        <w:rPr>
          <w:rFonts w:ascii="Arial" w:hAnsi="Arial" w:cs="Arial"/>
          <w:sz w:val="22"/>
          <w:szCs w:val="22"/>
        </w:rPr>
        <w:t>the task</w:t>
      </w:r>
      <w:r w:rsidR="00072E69" w:rsidRPr="00435D56">
        <w:rPr>
          <w:rFonts w:ascii="Arial" w:hAnsi="Arial" w:cs="Arial"/>
          <w:sz w:val="22"/>
          <w:szCs w:val="22"/>
        </w:rPr>
        <w:t xml:space="preserve"> after observing a classmate receive praise. Research from O’Leary and O’Leary (1977) support this outcome as they believe that praise can be useful to encourage positive behaviour and motivate children to succeed in tasks. Likewise, more recent research by Henderlong and Lepper (2002) and Burnett and Mandel (2010) support this and believe </w:t>
      </w:r>
      <w:r w:rsidRPr="00435D56">
        <w:rPr>
          <w:rFonts w:ascii="Arial" w:hAnsi="Arial" w:cs="Arial"/>
          <w:sz w:val="22"/>
          <w:szCs w:val="22"/>
        </w:rPr>
        <w:t>that it is the</w:t>
      </w:r>
      <w:r w:rsidR="00072E69" w:rsidRPr="00435D56">
        <w:rPr>
          <w:rFonts w:ascii="Arial" w:hAnsi="Arial" w:cs="Arial"/>
          <w:sz w:val="22"/>
          <w:szCs w:val="22"/>
        </w:rPr>
        <w:t xml:space="preserve"> feel-good effect of receiving praise which leads to children displaying more positive behaviours in order to receive the praise again. However, it is important to mention the views of Ginott (1965) who stated that overreliance of praise can cause children to depend on it too much, and Kohn (1996) cited in Hodgman (2014) adds that praise may not sound sincere if it is frequently used. There are two types of praise that will be focused on, person praise and process praise</w:t>
      </w:r>
      <w:r w:rsidR="00677719" w:rsidRPr="00435D56">
        <w:rPr>
          <w:rFonts w:ascii="Arial" w:hAnsi="Arial" w:cs="Arial"/>
          <w:sz w:val="22"/>
          <w:szCs w:val="22"/>
        </w:rPr>
        <w:t>. The impact these praises have on children’s behaviour and mindset will be looked at into detail.</w:t>
      </w:r>
      <w:r w:rsidR="00072E69" w:rsidRPr="00435D56">
        <w:rPr>
          <w:rFonts w:ascii="Arial" w:hAnsi="Arial" w:cs="Arial"/>
          <w:sz w:val="22"/>
          <w:szCs w:val="22"/>
        </w:rPr>
        <w:t xml:space="preserve"> According to Dweck et al. (2007) cited in Zentall and Morris (2010) these two types of praise can have different impacts towards children’s achievement and motivation. Within this discussion, Henderlong and Lepper (2002) definition of motivation will be used to outline children’s engagement with praise. They define motivation as engaging to succeed towards a goal, and it is the use of different praise that display how these goals can be met.</w:t>
      </w:r>
    </w:p>
    <w:p w14:paraId="715C056D" w14:textId="77777777" w:rsidR="00072E69" w:rsidRPr="00435D56" w:rsidRDefault="00072E69" w:rsidP="00A75317">
      <w:pPr>
        <w:spacing w:line="360" w:lineRule="auto"/>
        <w:jc w:val="both"/>
        <w:rPr>
          <w:rFonts w:ascii="Arial" w:hAnsi="Arial" w:cs="Arial"/>
          <w:sz w:val="22"/>
          <w:szCs w:val="22"/>
        </w:rPr>
      </w:pPr>
    </w:p>
    <w:p w14:paraId="724924B3" w14:textId="689AC6E3" w:rsidR="00072E69" w:rsidRPr="00435D56" w:rsidRDefault="00072E69" w:rsidP="00A75317">
      <w:pPr>
        <w:spacing w:line="360" w:lineRule="auto"/>
        <w:jc w:val="both"/>
        <w:rPr>
          <w:rFonts w:ascii="Arial" w:hAnsi="Arial" w:cs="Arial"/>
          <w:sz w:val="22"/>
          <w:szCs w:val="22"/>
        </w:rPr>
      </w:pPr>
      <w:r w:rsidRPr="00435D56">
        <w:rPr>
          <w:rFonts w:ascii="Arial" w:hAnsi="Arial" w:cs="Arial"/>
          <w:sz w:val="22"/>
          <w:szCs w:val="22"/>
        </w:rPr>
        <w:t>The Dreikursian approach links with the use of praise as it helps children meet these needs and goals through encouraging them to complete tasks and this can create a warm environment in which children are satisfied in. Lew and Bettner (1996) cited in Soheli (2015) believe that It is this type of satisfaction and belonging in which children need in order to want to learn. This links to the view of Furrer and Skinner (2003) cited in Boylan et al. (2018) who believe that children are more likely to engage in lessons when they have positive relation</w:t>
      </w:r>
      <w:r w:rsidR="00677719" w:rsidRPr="00435D56">
        <w:rPr>
          <w:rFonts w:ascii="Arial" w:hAnsi="Arial" w:cs="Arial"/>
          <w:sz w:val="22"/>
          <w:szCs w:val="22"/>
        </w:rPr>
        <w:t>ships with teachers and peers since</w:t>
      </w:r>
      <w:r w:rsidRPr="00435D56">
        <w:rPr>
          <w:rFonts w:ascii="Arial" w:hAnsi="Arial" w:cs="Arial"/>
          <w:sz w:val="22"/>
          <w:szCs w:val="22"/>
        </w:rPr>
        <w:t xml:space="preserve"> it gives them a sense of belonging in the classroom. The findings of Partin et al. (2009) cited in Gunderson and Mckay (2019) and Grinstein and Kronrod (2016) acknowledge this as they reveal that this feel good response causes the child to become motivated in the task they have been praised in, and leads to the child displaying more positive behaviours. The positive behaviour shown by one child in the incident impacted the motivation of child X to receive the same praise</w:t>
      </w:r>
      <w:r w:rsidR="00677719" w:rsidRPr="00435D56">
        <w:rPr>
          <w:rFonts w:ascii="Arial" w:hAnsi="Arial" w:cs="Arial"/>
          <w:sz w:val="22"/>
          <w:szCs w:val="22"/>
        </w:rPr>
        <w:t>,</w:t>
      </w:r>
      <w:r w:rsidRPr="00435D56">
        <w:rPr>
          <w:rFonts w:ascii="Arial" w:hAnsi="Arial" w:cs="Arial"/>
          <w:sz w:val="22"/>
          <w:szCs w:val="22"/>
        </w:rPr>
        <w:t xml:space="preserve"> and this relates to the ripple effect </w:t>
      </w:r>
      <w:r w:rsidR="00677719" w:rsidRPr="00435D56">
        <w:rPr>
          <w:rFonts w:ascii="Arial" w:hAnsi="Arial" w:cs="Arial"/>
          <w:sz w:val="22"/>
          <w:szCs w:val="22"/>
        </w:rPr>
        <w:t>highlighted in</w:t>
      </w:r>
      <w:r w:rsidRPr="00435D56">
        <w:rPr>
          <w:rFonts w:ascii="Arial" w:hAnsi="Arial" w:cs="Arial"/>
          <w:sz w:val="22"/>
          <w:szCs w:val="22"/>
        </w:rPr>
        <w:t xml:space="preserve"> Wuest (1999). She conveys that the ripple effect is when the consequence of a behaviour displayed by an individual has an influence on the rest of the classroom. Therefore, Busby (2018) who shares advice from teacher Sam Scudder, recommends applauding and recognising children who display positive behaviour due to the positive ripple effect it can cause in the classroom. Recognising positive behaviour and avoiding punishment is recognised and appreciated by the study of Madsen et al. (1968) who found that a strict approach to classroom behaviour had no impact on children displaying positive behaviour. Whereas, when negative behaviour was shown and ignored, and praise was used for those displaying positive behaviour, the class displayed more appropriate behaviours. In addition, it underlines Bandura’s social learning theory (1977) cited in Luff et al. (2011) which believes that children learn through observing and imitating the behaviours presented around them. It also links very closely to Skinner’s operant conditioning theory as he believed children’s behaviour is influenced from the consequence, and in this case the consequence is the reward of praise (Amutan, 2014). Dinkmeyer (1961) and Morgan (2011) support this use of positive reinforcement as the they believe that the use of punishment can demotivate children as it will negatively affect their confidence as oppose</w:t>
      </w:r>
      <w:r w:rsidR="00677719" w:rsidRPr="00435D56">
        <w:rPr>
          <w:rFonts w:ascii="Arial" w:hAnsi="Arial" w:cs="Arial"/>
          <w:sz w:val="22"/>
          <w:szCs w:val="22"/>
        </w:rPr>
        <w:t>d</w:t>
      </w:r>
      <w:r w:rsidRPr="00435D56">
        <w:rPr>
          <w:rFonts w:ascii="Arial" w:hAnsi="Arial" w:cs="Arial"/>
          <w:sz w:val="22"/>
          <w:szCs w:val="22"/>
        </w:rPr>
        <w:t xml:space="preserve"> to building their confidence from the use of praise. Haydon and Musti-Rao (2011) research supports this as they found </w:t>
      </w:r>
      <w:r w:rsidR="00677719" w:rsidRPr="00435D56">
        <w:rPr>
          <w:rFonts w:ascii="Arial" w:hAnsi="Arial" w:cs="Arial"/>
          <w:sz w:val="22"/>
          <w:szCs w:val="22"/>
        </w:rPr>
        <w:t xml:space="preserve">that </w:t>
      </w:r>
      <w:r w:rsidRPr="00435D56">
        <w:rPr>
          <w:rFonts w:ascii="Arial" w:hAnsi="Arial" w:cs="Arial"/>
          <w:sz w:val="22"/>
          <w:szCs w:val="22"/>
        </w:rPr>
        <w:t>praise created a positive classroom environment</w:t>
      </w:r>
      <w:r w:rsidR="00677719" w:rsidRPr="00435D56">
        <w:rPr>
          <w:rFonts w:ascii="Arial" w:hAnsi="Arial" w:cs="Arial"/>
          <w:sz w:val="22"/>
          <w:szCs w:val="22"/>
        </w:rPr>
        <w:t xml:space="preserve"> with positive behaviours shown</w:t>
      </w:r>
      <w:r w:rsidRPr="00435D56">
        <w:rPr>
          <w:rFonts w:ascii="Arial" w:hAnsi="Arial" w:cs="Arial"/>
          <w:sz w:val="22"/>
          <w:szCs w:val="22"/>
        </w:rPr>
        <w:t xml:space="preserve">. </w:t>
      </w:r>
    </w:p>
    <w:p w14:paraId="14CCD3BA" w14:textId="77777777" w:rsidR="00677719" w:rsidRPr="00435D56" w:rsidRDefault="00677719" w:rsidP="00A75317">
      <w:pPr>
        <w:spacing w:line="360" w:lineRule="auto"/>
        <w:jc w:val="both"/>
        <w:rPr>
          <w:rFonts w:ascii="Arial" w:hAnsi="Arial" w:cs="Arial"/>
          <w:sz w:val="22"/>
          <w:szCs w:val="22"/>
        </w:rPr>
      </w:pPr>
    </w:p>
    <w:p w14:paraId="772BA7D6" w14:textId="1D84A20A" w:rsidR="00072E69" w:rsidRPr="00435D56" w:rsidRDefault="00072E69" w:rsidP="00A75317">
      <w:pPr>
        <w:spacing w:line="360" w:lineRule="auto"/>
        <w:jc w:val="both"/>
        <w:rPr>
          <w:rFonts w:ascii="Arial" w:hAnsi="Arial" w:cs="Arial"/>
          <w:sz w:val="22"/>
          <w:szCs w:val="22"/>
        </w:rPr>
      </w:pPr>
      <w:r w:rsidRPr="00435D56">
        <w:rPr>
          <w:rFonts w:ascii="Arial" w:hAnsi="Arial" w:cs="Arial"/>
          <w:sz w:val="22"/>
          <w:szCs w:val="22"/>
        </w:rPr>
        <w:t>Hodgman (2014) reveals</w:t>
      </w:r>
      <w:r w:rsidR="00677719" w:rsidRPr="00435D56">
        <w:rPr>
          <w:rFonts w:ascii="Arial" w:hAnsi="Arial" w:cs="Arial"/>
          <w:sz w:val="22"/>
          <w:szCs w:val="22"/>
        </w:rPr>
        <w:t xml:space="preserve"> the two types of praise that can be shown, </w:t>
      </w:r>
      <w:r w:rsidRPr="00435D56">
        <w:rPr>
          <w:rFonts w:ascii="Arial" w:hAnsi="Arial" w:cs="Arial"/>
          <w:sz w:val="22"/>
          <w:szCs w:val="22"/>
        </w:rPr>
        <w:t xml:space="preserve">person praise </w:t>
      </w:r>
      <w:r w:rsidR="00677719" w:rsidRPr="00435D56">
        <w:rPr>
          <w:rFonts w:ascii="Arial" w:hAnsi="Arial" w:cs="Arial"/>
          <w:sz w:val="22"/>
          <w:szCs w:val="22"/>
        </w:rPr>
        <w:t xml:space="preserve">which targets the children’s ability, and </w:t>
      </w:r>
      <w:r w:rsidRPr="00435D56">
        <w:rPr>
          <w:rFonts w:ascii="Arial" w:hAnsi="Arial" w:cs="Arial"/>
          <w:sz w:val="22"/>
          <w:szCs w:val="22"/>
        </w:rPr>
        <w:t xml:space="preserve">process praise </w:t>
      </w:r>
      <w:r w:rsidR="00677719" w:rsidRPr="00435D56">
        <w:rPr>
          <w:rFonts w:ascii="Arial" w:hAnsi="Arial" w:cs="Arial"/>
          <w:sz w:val="22"/>
          <w:szCs w:val="22"/>
        </w:rPr>
        <w:t xml:space="preserve">which </w:t>
      </w:r>
      <w:r w:rsidRPr="00435D56">
        <w:rPr>
          <w:rFonts w:ascii="Arial" w:hAnsi="Arial" w:cs="Arial"/>
          <w:sz w:val="22"/>
          <w:szCs w:val="22"/>
        </w:rPr>
        <w:t>looks closely at the children’s effort towards the activity. The observation showed that the teacher demonstrates process prai</w:t>
      </w:r>
      <w:r w:rsidR="00677719" w:rsidRPr="00435D56">
        <w:rPr>
          <w:rFonts w:ascii="Arial" w:hAnsi="Arial" w:cs="Arial"/>
          <w:sz w:val="22"/>
          <w:szCs w:val="22"/>
        </w:rPr>
        <w:t xml:space="preserve">se in the classroom and avoids </w:t>
      </w:r>
      <w:r w:rsidRPr="00435D56">
        <w:rPr>
          <w:rFonts w:ascii="Arial" w:hAnsi="Arial" w:cs="Arial"/>
          <w:sz w:val="22"/>
          <w:szCs w:val="22"/>
        </w:rPr>
        <w:t>the use of person praise, and the outcome of this was clearly shown from the child’s engagement. Hodgman (2014) adds that teachers must use praise effectively as ineffective use can have negative effects to children’s motivation. For example, Brummelman et al. (2014) reveals that praising intelligence may cause pressure on the child as they will feel that they have to continuously meet the high standards they have been praised for and therefore, might demotivate them to tackle obstacles. Similarly, Holt (1982) cited in Henderlong and Lepper (2002) hold the same view as the pressure to perform well causes children to take less risks with their learning. Dweck (1999) cited in Hodgman (2014) add that this pressure to perform at high standards can be detrimental to their development as when they face obstacles or failures, they will feel that they are not so intelligent and therefore, the praise becomes ineffective. The study conducted by Mueller and Dweck (1998) cited in Busch (2018) highlighted the impact of praise by comparing the affec</w:t>
      </w:r>
      <w:r w:rsidR="00677719" w:rsidRPr="00435D56">
        <w:rPr>
          <w:rFonts w:ascii="Arial" w:hAnsi="Arial" w:cs="Arial"/>
          <w:sz w:val="22"/>
          <w:szCs w:val="22"/>
        </w:rPr>
        <w:t xml:space="preserve">ts person praise and process praise has </w:t>
      </w:r>
      <w:r w:rsidRPr="00435D56">
        <w:rPr>
          <w:rFonts w:ascii="Arial" w:hAnsi="Arial" w:cs="Arial"/>
          <w:sz w:val="22"/>
          <w:szCs w:val="22"/>
        </w:rPr>
        <w:t>on children’s learning.</w:t>
      </w:r>
      <w:r w:rsidRPr="00435D56">
        <w:rPr>
          <w:rFonts w:ascii="Arial" w:hAnsi="Arial" w:cs="Arial"/>
          <w:b/>
          <w:sz w:val="22"/>
          <w:szCs w:val="22"/>
        </w:rPr>
        <w:t xml:space="preserve"> </w:t>
      </w:r>
      <w:r w:rsidRPr="00435D56">
        <w:rPr>
          <w:rFonts w:ascii="Arial" w:hAnsi="Arial" w:cs="Arial"/>
          <w:sz w:val="22"/>
          <w:szCs w:val="22"/>
        </w:rPr>
        <w:t>The results showed that children praised for their attributes were more inclined to choose activities that would bring out this praise. On the other hand, students praised for their efforts were most likely to choose tasks that develop their learning.</w:t>
      </w:r>
      <w:r w:rsidRPr="00435D56">
        <w:rPr>
          <w:rFonts w:ascii="Arial" w:hAnsi="Arial" w:cs="Arial"/>
          <w:b/>
          <w:sz w:val="22"/>
          <w:szCs w:val="22"/>
        </w:rPr>
        <w:t xml:space="preserve"> </w:t>
      </w:r>
      <w:r w:rsidRPr="00435D56">
        <w:rPr>
          <w:rFonts w:ascii="Arial" w:hAnsi="Arial" w:cs="Arial"/>
          <w:sz w:val="22"/>
          <w:szCs w:val="22"/>
        </w:rPr>
        <w:t>Therefore, it can be argued that process praise is more effective since Kohn (1996) cited in Hodgman (2014) and Busch (2018) reveal that it allows children to improve their intelligence through challenges, whereas person praise gives the child the impression that there is nothing more that they can do to improve their work. However, research by Skipper and Douglas (2012) found that the impacts of process praise compared with no praise was relatively close and concludes that it may not be a</w:t>
      </w:r>
      <w:r w:rsidR="00677719" w:rsidRPr="00435D56">
        <w:rPr>
          <w:rFonts w:ascii="Arial" w:hAnsi="Arial" w:cs="Arial"/>
          <w:sz w:val="22"/>
          <w:szCs w:val="22"/>
        </w:rPr>
        <w:t>s effective as researchers believe</w:t>
      </w:r>
      <w:r w:rsidRPr="00435D56">
        <w:rPr>
          <w:rFonts w:ascii="Arial" w:hAnsi="Arial" w:cs="Arial"/>
          <w:sz w:val="22"/>
          <w:szCs w:val="22"/>
        </w:rPr>
        <w:t xml:space="preserve">. However, the use of person praise was proven to be detrimental towards children’s motivation which links with the views of Gundersen and Mckay (2019) who </w:t>
      </w:r>
      <w:r w:rsidR="00677719" w:rsidRPr="00435D56">
        <w:rPr>
          <w:rFonts w:ascii="Arial" w:hAnsi="Arial" w:cs="Arial"/>
          <w:sz w:val="22"/>
          <w:szCs w:val="22"/>
        </w:rPr>
        <w:t xml:space="preserve">also </w:t>
      </w:r>
      <w:r w:rsidRPr="00435D56">
        <w:rPr>
          <w:rFonts w:ascii="Arial" w:hAnsi="Arial" w:cs="Arial"/>
          <w:sz w:val="22"/>
          <w:szCs w:val="22"/>
        </w:rPr>
        <w:t xml:space="preserve">argue that the pressure to perform can demotivate children. On the other hand, Burnett and Mandel (2010) believe that students want to be praised on their ability in order to feel good about themselves and to feel that they are knowledgeable. The incident that was observed showed that the teacher did not use person praise, so it is difficult to compare the impact of this would have towards the child’s engagement. However, </w:t>
      </w:r>
      <w:r w:rsidR="00677719" w:rsidRPr="00435D56">
        <w:rPr>
          <w:rFonts w:ascii="Arial" w:hAnsi="Arial" w:cs="Arial"/>
          <w:sz w:val="22"/>
          <w:szCs w:val="22"/>
        </w:rPr>
        <w:t>the use of praising</w:t>
      </w:r>
      <w:r w:rsidRPr="00435D56">
        <w:rPr>
          <w:rFonts w:ascii="Arial" w:hAnsi="Arial" w:cs="Arial"/>
          <w:sz w:val="22"/>
          <w:szCs w:val="22"/>
        </w:rPr>
        <w:t xml:space="preserve"> the child’s effort and using challen</w:t>
      </w:r>
      <w:r w:rsidR="00677719" w:rsidRPr="00435D56">
        <w:rPr>
          <w:rFonts w:ascii="Arial" w:hAnsi="Arial" w:cs="Arial"/>
          <w:sz w:val="22"/>
          <w:szCs w:val="22"/>
        </w:rPr>
        <w:t>ge within the praise can lead</w:t>
      </w:r>
      <w:r w:rsidRPr="00435D56">
        <w:rPr>
          <w:rFonts w:ascii="Arial" w:hAnsi="Arial" w:cs="Arial"/>
          <w:sz w:val="22"/>
          <w:szCs w:val="22"/>
        </w:rPr>
        <w:t xml:space="preserve"> the child</w:t>
      </w:r>
      <w:r w:rsidR="00677719" w:rsidRPr="00435D56">
        <w:rPr>
          <w:rFonts w:ascii="Arial" w:hAnsi="Arial" w:cs="Arial"/>
          <w:sz w:val="22"/>
          <w:szCs w:val="22"/>
        </w:rPr>
        <w:t xml:space="preserve"> to develop </w:t>
      </w:r>
      <w:r w:rsidRPr="00435D56">
        <w:rPr>
          <w:rFonts w:ascii="Arial" w:hAnsi="Arial" w:cs="Arial"/>
          <w:sz w:val="22"/>
          <w:szCs w:val="22"/>
        </w:rPr>
        <w:t xml:space="preserve">a growth mindset according to Murphy Jr (2017) and </w:t>
      </w:r>
      <w:r w:rsidR="00744881" w:rsidRPr="00435D56">
        <w:rPr>
          <w:rFonts w:ascii="Arial" w:hAnsi="Arial" w:cs="Arial"/>
          <w:sz w:val="22"/>
          <w:szCs w:val="22"/>
        </w:rPr>
        <w:t>this mindset was shown when the</w:t>
      </w:r>
      <w:r w:rsidRPr="00435D56">
        <w:rPr>
          <w:rFonts w:ascii="Arial" w:hAnsi="Arial" w:cs="Arial"/>
          <w:sz w:val="22"/>
          <w:szCs w:val="22"/>
        </w:rPr>
        <w:t xml:space="preserve"> </w:t>
      </w:r>
      <w:r w:rsidR="00744881" w:rsidRPr="00435D56">
        <w:rPr>
          <w:rFonts w:ascii="Arial" w:hAnsi="Arial" w:cs="Arial"/>
          <w:sz w:val="22"/>
          <w:szCs w:val="22"/>
        </w:rPr>
        <w:t>child aimed to improve the work.</w:t>
      </w:r>
    </w:p>
    <w:p w14:paraId="60D2A9C3" w14:textId="77777777" w:rsidR="00072E69" w:rsidRPr="00435D56" w:rsidRDefault="00072E69" w:rsidP="00A75317">
      <w:pPr>
        <w:spacing w:line="360" w:lineRule="auto"/>
        <w:jc w:val="both"/>
        <w:rPr>
          <w:rFonts w:ascii="Arial" w:hAnsi="Arial" w:cs="Arial"/>
          <w:b/>
          <w:sz w:val="22"/>
          <w:szCs w:val="22"/>
        </w:rPr>
      </w:pPr>
    </w:p>
    <w:p w14:paraId="0CC782C6" w14:textId="3CBB5300" w:rsidR="00072E69" w:rsidRPr="00435D56" w:rsidRDefault="00072E69" w:rsidP="00A75317">
      <w:pPr>
        <w:spacing w:line="360" w:lineRule="auto"/>
        <w:jc w:val="both"/>
        <w:rPr>
          <w:rFonts w:ascii="Arial" w:hAnsi="Arial" w:cs="Arial"/>
          <w:sz w:val="22"/>
          <w:szCs w:val="22"/>
        </w:rPr>
      </w:pPr>
      <w:r w:rsidRPr="00435D56">
        <w:rPr>
          <w:rFonts w:ascii="Arial" w:hAnsi="Arial" w:cs="Arial"/>
          <w:sz w:val="22"/>
          <w:szCs w:val="22"/>
        </w:rPr>
        <w:t>Muller and Dweck (1998) cited in Droe (2013) share that children can obtain two mindsets. A fixed mindset</w:t>
      </w:r>
      <w:r w:rsidR="00744881" w:rsidRPr="00435D56">
        <w:rPr>
          <w:rFonts w:ascii="Arial" w:hAnsi="Arial" w:cs="Arial"/>
          <w:sz w:val="22"/>
          <w:szCs w:val="22"/>
        </w:rPr>
        <w:t>,</w:t>
      </w:r>
      <w:r w:rsidRPr="00435D56">
        <w:rPr>
          <w:rFonts w:ascii="Arial" w:hAnsi="Arial" w:cs="Arial"/>
          <w:sz w:val="22"/>
          <w:szCs w:val="22"/>
        </w:rPr>
        <w:t xml:space="preserve"> the belief that their talents are inherited, and a growth mindset, the belief that particular talents can be created from effort and can be improved. Similarly, Murphy Jr (2017) shares that a growth mindset is the mindset of improving intelligence through effort and this can lead a child to reach their potential (Garcia, 2014 cited in Boylan et al. 2018</w:t>
      </w:r>
      <w:r w:rsidR="00744881" w:rsidRPr="00435D56">
        <w:rPr>
          <w:rFonts w:ascii="Arial" w:hAnsi="Arial" w:cs="Arial"/>
          <w:sz w:val="22"/>
          <w:szCs w:val="22"/>
        </w:rPr>
        <w:t>)</w:t>
      </w:r>
      <w:r w:rsidRPr="00435D56">
        <w:rPr>
          <w:rFonts w:ascii="Arial" w:hAnsi="Arial" w:cs="Arial"/>
          <w:sz w:val="22"/>
          <w:szCs w:val="22"/>
        </w:rPr>
        <w:t>. According to Dweck (1999) cited in Boylan et al. (2018) pupil achievement comes from more than their intelligence. He believed that it comes from a growth mindset where the learner is committed to a desire to achieve. This desire to achieve was displayed in the child’s eagerness to improve their work and supports the views of Droe (2013) and Schroder et al. (2017) who believe that the use of feedback and challenge in praise can motivate children to overcome obstacles and persist to achieve. Therefore, Dweck et al. (</w:t>
      </w:r>
      <w:r w:rsidR="00744881" w:rsidRPr="00435D56">
        <w:rPr>
          <w:rFonts w:ascii="Arial" w:hAnsi="Arial" w:cs="Arial"/>
          <w:sz w:val="22"/>
          <w:szCs w:val="22"/>
        </w:rPr>
        <w:t>2014) and Boylan et al. (2018) believe</w:t>
      </w:r>
      <w:r w:rsidRPr="00435D56">
        <w:rPr>
          <w:rFonts w:ascii="Arial" w:hAnsi="Arial" w:cs="Arial"/>
          <w:sz w:val="22"/>
          <w:szCs w:val="22"/>
        </w:rPr>
        <w:t xml:space="preserve"> that encouraging this growth mindset gives children ownership of their learning as they are able to become creative problem solvers to overcome challenges.</w:t>
      </w:r>
    </w:p>
    <w:p w14:paraId="5CF08CBE" w14:textId="77777777" w:rsidR="00072E69" w:rsidRPr="00435D56" w:rsidRDefault="00072E69" w:rsidP="00A75317">
      <w:pPr>
        <w:spacing w:line="360" w:lineRule="auto"/>
        <w:jc w:val="both"/>
        <w:rPr>
          <w:rFonts w:ascii="Arial" w:hAnsi="Arial" w:cs="Arial"/>
          <w:b/>
          <w:sz w:val="22"/>
          <w:szCs w:val="22"/>
        </w:rPr>
      </w:pPr>
    </w:p>
    <w:p w14:paraId="13543250" w14:textId="2A1DC3B7" w:rsidR="00072E69" w:rsidRPr="00435D56" w:rsidRDefault="00072E69" w:rsidP="00A75317">
      <w:pPr>
        <w:spacing w:line="360" w:lineRule="auto"/>
        <w:jc w:val="both"/>
        <w:rPr>
          <w:rFonts w:ascii="Arial" w:hAnsi="Arial" w:cs="Arial"/>
          <w:sz w:val="22"/>
          <w:szCs w:val="22"/>
        </w:rPr>
      </w:pPr>
      <w:r w:rsidRPr="00435D56">
        <w:rPr>
          <w:rFonts w:ascii="Arial" w:hAnsi="Arial" w:cs="Arial"/>
          <w:sz w:val="22"/>
          <w:szCs w:val="22"/>
        </w:rPr>
        <w:t>These findings suggest that the use of process praise can have many positive impacts on children’s development and learning, and Bialik and Fadel (2015) cited in Boylan et al. (2018) conclude that it should be every teacher’s duty to encourage children to develop a mindset that seeks challenge and resilience to improve their learning. This critical incident has opened the oppor</w:t>
      </w:r>
      <w:r w:rsidR="00744881" w:rsidRPr="00435D56">
        <w:rPr>
          <w:rFonts w:ascii="Arial" w:hAnsi="Arial" w:cs="Arial"/>
          <w:sz w:val="22"/>
          <w:szCs w:val="22"/>
        </w:rPr>
        <w:t xml:space="preserve">tunity to explore the areas of </w:t>
      </w:r>
      <w:r w:rsidRPr="00435D56">
        <w:rPr>
          <w:rFonts w:ascii="Arial" w:hAnsi="Arial" w:cs="Arial"/>
          <w:sz w:val="22"/>
          <w:szCs w:val="22"/>
        </w:rPr>
        <w:t xml:space="preserve">behaviour and </w:t>
      </w:r>
      <w:r w:rsidR="00744881" w:rsidRPr="00435D56">
        <w:rPr>
          <w:rFonts w:ascii="Arial" w:hAnsi="Arial" w:cs="Arial"/>
          <w:sz w:val="22"/>
          <w:szCs w:val="22"/>
        </w:rPr>
        <w:t xml:space="preserve">mindset </w:t>
      </w:r>
      <w:r w:rsidRPr="00435D56">
        <w:rPr>
          <w:rFonts w:ascii="Arial" w:hAnsi="Arial" w:cs="Arial"/>
          <w:sz w:val="22"/>
          <w:szCs w:val="22"/>
        </w:rPr>
        <w:t>in greater detail in order to support my positive view of the use process praise.</w:t>
      </w:r>
      <w:r w:rsidR="00744881" w:rsidRPr="00435D56">
        <w:rPr>
          <w:rFonts w:ascii="Arial" w:hAnsi="Arial" w:cs="Arial"/>
          <w:sz w:val="22"/>
          <w:szCs w:val="22"/>
        </w:rPr>
        <w:t xml:space="preserve"> However,</w:t>
      </w:r>
      <w:r w:rsidRPr="00435D56">
        <w:rPr>
          <w:rFonts w:ascii="Arial" w:hAnsi="Arial" w:cs="Arial"/>
          <w:sz w:val="22"/>
          <w:szCs w:val="22"/>
        </w:rPr>
        <w:t xml:space="preserve"> Henderlong and Lepper (2002) conclude that the use of praise in general can bring a positive impact to children’s feelings but argue that it needs to be used effectively. For example, if a child has been praised for their outstanding behaviour, but remembers that they did something unkind earlier in the day, then the praise will be ineffective.</w:t>
      </w:r>
    </w:p>
    <w:p w14:paraId="4210885D" w14:textId="77777777" w:rsidR="00072E69" w:rsidRPr="00435D56" w:rsidRDefault="00072E69" w:rsidP="00A75317">
      <w:pPr>
        <w:spacing w:line="360" w:lineRule="auto"/>
        <w:jc w:val="both"/>
        <w:rPr>
          <w:rFonts w:ascii="Arial" w:hAnsi="Arial" w:cs="Arial"/>
          <w:b/>
          <w:sz w:val="22"/>
          <w:szCs w:val="22"/>
        </w:rPr>
      </w:pPr>
    </w:p>
    <w:p w14:paraId="0F4C373F" w14:textId="753540DA" w:rsidR="00072E69" w:rsidRPr="00435D56" w:rsidRDefault="00072E69" w:rsidP="00A75317">
      <w:pPr>
        <w:spacing w:line="360" w:lineRule="auto"/>
        <w:jc w:val="both"/>
        <w:rPr>
          <w:rFonts w:ascii="Arial" w:hAnsi="Arial" w:cs="Arial"/>
          <w:sz w:val="22"/>
          <w:szCs w:val="22"/>
        </w:rPr>
      </w:pPr>
      <w:r w:rsidRPr="00435D56">
        <w:rPr>
          <w:rFonts w:ascii="Arial" w:hAnsi="Arial" w:cs="Arial"/>
          <w:sz w:val="22"/>
          <w:szCs w:val="22"/>
        </w:rPr>
        <w:t>In order to reflect on the critical incident, the ARC model was used which has allowed me to identify the next steps that would be taken to improve the incident. Johns (1995) cited in Clouder (2000) reveal that reflective practice is the process of using experience to shape knowledge by looking at the wider factors to why an event occurred and how it lead to the specific outcome. Paterson and Chapman (2013) and Newman (1999) believe that reflection can be effective as it</w:t>
      </w:r>
      <w:r w:rsidR="00744881" w:rsidRPr="00435D56">
        <w:rPr>
          <w:rFonts w:ascii="Arial" w:hAnsi="Arial" w:cs="Arial"/>
          <w:sz w:val="22"/>
          <w:szCs w:val="22"/>
        </w:rPr>
        <w:t xml:space="preserve"> can reduce any bias assumption</w:t>
      </w:r>
      <w:r w:rsidRPr="00435D56">
        <w:rPr>
          <w:rFonts w:ascii="Arial" w:hAnsi="Arial" w:cs="Arial"/>
          <w:sz w:val="22"/>
          <w:szCs w:val="22"/>
        </w:rPr>
        <w:t xml:space="preserve"> an individual has on their own practice. Therefore, it can be argued that reflective practice is the process of minimising the gap of what is said and what is actually done, in order to improve practice (Lishman, 2015). </w:t>
      </w:r>
    </w:p>
    <w:p w14:paraId="79F02F18" w14:textId="77777777" w:rsidR="00072E69" w:rsidRPr="00435D56" w:rsidRDefault="00072E69" w:rsidP="00A75317">
      <w:pPr>
        <w:spacing w:line="360" w:lineRule="auto"/>
        <w:jc w:val="both"/>
        <w:rPr>
          <w:rFonts w:ascii="Arial" w:hAnsi="Arial" w:cs="Arial"/>
          <w:sz w:val="22"/>
          <w:szCs w:val="22"/>
        </w:rPr>
      </w:pPr>
    </w:p>
    <w:p w14:paraId="0E4BA94D" w14:textId="0FDA9D9B" w:rsidR="00072E69" w:rsidRPr="00435D56" w:rsidRDefault="00072E69" w:rsidP="00A75317">
      <w:pPr>
        <w:spacing w:line="360" w:lineRule="auto"/>
        <w:jc w:val="both"/>
        <w:rPr>
          <w:rFonts w:ascii="Arial" w:hAnsi="Arial" w:cs="Arial"/>
          <w:sz w:val="22"/>
          <w:szCs w:val="22"/>
        </w:rPr>
      </w:pPr>
      <w:r w:rsidRPr="00435D56">
        <w:rPr>
          <w:rFonts w:ascii="Arial" w:hAnsi="Arial" w:cs="Arial"/>
          <w:sz w:val="22"/>
          <w:szCs w:val="22"/>
        </w:rPr>
        <w:t>The ARC model that was used to support this reflective process consists of four stages</w:t>
      </w:r>
      <w:r w:rsidR="00744881" w:rsidRPr="00435D56">
        <w:rPr>
          <w:rFonts w:ascii="Arial" w:hAnsi="Arial" w:cs="Arial"/>
          <w:sz w:val="22"/>
          <w:szCs w:val="22"/>
        </w:rPr>
        <w:t>,</w:t>
      </w:r>
      <w:r w:rsidRPr="00435D56">
        <w:rPr>
          <w:rFonts w:ascii="Arial" w:hAnsi="Arial" w:cs="Arial"/>
          <w:sz w:val="22"/>
          <w:szCs w:val="22"/>
        </w:rPr>
        <w:t xml:space="preserve"> which are feelings, remember and u</w:t>
      </w:r>
      <w:r w:rsidR="00744881" w:rsidRPr="00435D56">
        <w:rPr>
          <w:rFonts w:ascii="Arial" w:hAnsi="Arial" w:cs="Arial"/>
          <w:sz w:val="22"/>
          <w:szCs w:val="22"/>
        </w:rPr>
        <w:t xml:space="preserve">nderstand, evaluate and analyse, </w:t>
      </w:r>
      <w:r w:rsidRPr="00435D56">
        <w:rPr>
          <w:rFonts w:ascii="Arial" w:hAnsi="Arial" w:cs="Arial"/>
          <w:sz w:val="22"/>
          <w:szCs w:val="22"/>
        </w:rPr>
        <w:t xml:space="preserve">and actions. This model is similar to Gibbs’ (1988) cycle of reflection where experience, feelings and action all </w:t>
      </w:r>
      <w:r w:rsidR="00744881" w:rsidRPr="00435D56">
        <w:rPr>
          <w:rFonts w:ascii="Arial" w:hAnsi="Arial" w:cs="Arial"/>
          <w:sz w:val="22"/>
          <w:szCs w:val="22"/>
        </w:rPr>
        <w:t>play a role</w:t>
      </w:r>
      <w:r w:rsidRPr="00435D56">
        <w:rPr>
          <w:rFonts w:ascii="Arial" w:hAnsi="Arial" w:cs="Arial"/>
          <w:sz w:val="22"/>
          <w:szCs w:val="22"/>
        </w:rPr>
        <w:t xml:space="preserve"> in the reflective process (The University of Edinburgh, 2019).</w:t>
      </w:r>
      <w:r w:rsidRPr="00435D56">
        <w:rPr>
          <w:rFonts w:ascii="Arial" w:hAnsi="Arial" w:cs="Arial"/>
          <w:b/>
          <w:sz w:val="22"/>
          <w:szCs w:val="22"/>
        </w:rPr>
        <w:t xml:space="preserve"> </w:t>
      </w:r>
      <w:r w:rsidRPr="00435D56">
        <w:rPr>
          <w:rFonts w:ascii="Arial" w:hAnsi="Arial" w:cs="Arial"/>
          <w:sz w:val="22"/>
          <w:szCs w:val="22"/>
        </w:rPr>
        <w:t xml:space="preserve">Similarly, this is also used in Kolb’s (1984) cycle of experiential learning cited in Stella (2012) and Dallos and Stedmon (2009) where experience also plays an important role in shaping knowledge. The important use of experience is highlighted by Dewey (1910) cited in Stella (2012) as he argued that when an individual is faced with a challenge, the person will reflect on past experience and knowledge to help overcome this. This past experience and knowledge has come from the experience of another individual which emphasises the argument that reflecting on experience helps build knowledge. Similarly, Akella (2010) agrees and claims that without experiencing and reflecting on an event, the individual may be prone to making similar mistakes. This is supported with one of the next steps that will be taken in my practice. The next step that will be taken is to identify at an earlier stage why the child is being disruptive. Rappaport and Minahan (no date) believe that disruptive behaviour may be caused from the work being too challenging and the behaviour communicates that they are not comfortable with the situation. Buck (1992) also believes that the work being too challenging can cause the child to become bored, and therefore, I will take the advice of Rappaport and Minahan (no date) and Buck (1992) to observe the child to confirm the reasons why the child is acting out. </w:t>
      </w:r>
    </w:p>
    <w:p w14:paraId="70D6D37E" w14:textId="77777777" w:rsidR="00435D56" w:rsidRDefault="00435D56" w:rsidP="00A75317">
      <w:pPr>
        <w:spacing w:line="360" w:lineRule="auto"/>
        <w:jc w:val="both"/>
        <w:rPr>
          <w:rFonts w:ascii="Arial" w:hAnsi="Arial" w:cs="Arial"/>
          <w:sz w:val="22"/>
          <w:szCs w:val="22"/>
        </w:rPr>
      </w:pPr>
    </w:p>
    <w:p w14:paraId="3A9F4B00" w14:textId="60A3BE64" w:rsidR="00072E69" w:rsidRPr="00435D56" w:rsidRDefault="00072E69" w:rsidP="00A75317">
      <w:pPr>
        <w:spacing w:line="360" w:lineRule="auto"/>
        <w:jc w:val="both"/>
        <w:rPr>
          <w:rFonts w:ascii="Arial" w:hAnsi="Arial" w:cs="Arial"/>
          <w:sz w:val="22"/>
          <w:szCs w:val="22"/>
        </w:rPr>
      </w:pPr>
      <w:r w:rsidRPr="00435D56">
        <w:rPr>
          <w:rFonts w:ascii="Arial" w:hAnsi="Arial" w:cs="Arial"/>
          <w:sz w:val="22"/>
          <w:szCs w:val="22"/>
        </w:rPr>
        <w:t>Focusing on the feelings aspect of the ARC model, I noted the feeling of discomfort when the teacher was ignoring the child’s behaviour. At the time, I believed that the child was disruptive due to the need for attention. Although this is a common behaviour shown when wanting attention as revealed by Buck (1992), through research I found that ignoring disruptive behaviour can be a useful tactic as Buck (1992) found that ignoring this type of behaviour was more effective than addressing the misbehaviour. Therefore, this links with Brookfield’s (1998) example of why reflection is effective. She shares that certain actions may not seem significant at the time, however, through reflection the individual may realise why the action occurred and this develops the user’s knowledge. This can also aid teacher’s own reflection of their practice as Britzman (no date) cited in Brookfield (1998) because refle</w:t>
      </w:r>
      <w:r w:rsidR="00744881" w:rsidRPr="00435D56">
        <w:rPr>
          <w:rFonts w:ascii="Arial" w:hAnsi="Arial" w:cs="Arial"/>
          <w:sz w:val="22"/>
          <w:szCs w:val="22"/>
        </w:rPr>
        <w:t xml:space="preserve">cting on the child’s behaviour can allow them to </w:t>
      </w:r>
      <w:r w:rsidRPr="00435D56">
        <w:rPr>
          <w:rFonts w:ascii="Arial" w:hAnsi="Arial" w:cs="Arial"/>
          <w:sz w:val="22"/>
          <w:szCs w:val="22"/>
        </w:rPr>
        <w:t>come to the conclusion that the misbehaviour may be caused by too much work load put onto the child due to the pace the curriculum requires children to learn at</w:t>
      </w:r>
      <w:r w:rsidR="00744881" w:rsidRPr="00435D56">
        <w:rPr>
          <w:rFonts w:ascii="Arial" w:hAnsi="Arial" w:cs="Arial"/>
          <w:sz w:val="22"/>
          <w:szCs w:val="22"/>
        </w:rPr>
        <w:t>,</w:t>
      </w:r>
      <w:r w:rsidRPr="00435D56">
        <w:rPr>
          <w:rFonts w:ascii="Arial" w:hAnsi="Arial" w:cs="Arial"/>
          <w:sz w:val="22"/>
          <w:szCs w:val="22"/>
        </w:rPr>
        <w:t xml:space="preserve"> and nothing to do with their own teaching. Therefore, reflection in this sense takes pressure off the teachers own self-criticism. Reflective practice would prove to be useful for the teacher in my observation as the teacher may have thought that ignoring the behaviour will be scrutinised, but in fact, it can improve the behaviour as findings from Madsen et al (1968) as discussed previously, showed that ignoring misbehaviour and praising positive behaviour increases engagement. However, it must be noted that Rogers (2017) reveals that teachers are often faced with situation of whether to intervene or ignore behaviour. He claims that teachers should not enter a power battle with the student as that will only make the situation worse and also claims that teachers should not ignore </w:t>
      </w:r>
      <w:r w:rsidR="00744881" w:rsidRPr="00435D56">
        <w:rPr>
          <w:rFonts w:ascii="Arial" w:hAnsi="Arial" w:cs="Arial"/>
          <w:sz w:val="22"/>
          <w:szCs w:val="22"/>
        </w:rPr>
        <w:t xml:space="preserve">such disruptive behaviours. Therefore, reflecting on the </w:t>
      </w:r>
      <w:r w:rsidRPr="00435D56">
        <w:rPr>
          <w:rFonts w:ascii="Arial" w:hAnsi="Arial" w:cs="Arial"/>
          <w:sz w:val="22"/>
          <w:szCs w:val="22"/>
        </w:rPr>
        <w:t xml:space="preserve">event has allowed to me to understand the effectiveness of ignoring inappropriate behaviour, but </w:t>
      </w:r>
      <w:r w:rsidR="00744881" w:rsidRPr="00435D56">
        <w:rPr>
          <w:rFonts w:ascii="Arial" w:hAnsi="Arial" w:cs="Arial"/>
          <w:sz w:val="22"/>
          <w:szCs w:val="22"/>
        </w:rPr>
        <w:t xml:space="preserve">it </w:t>
      </w:r>
      <w:r w:rsidRPr="00435D56">
        <w:rPr>
          <w:rFonts w:ascii="Arial" w:hAnsi="Arial" w:cs="Arial"/>
          <w:sz w:val="22"/>
          <w:szCs w:val="22"/>
        </w:rPr>
        <w:t>will be used accordingly to how extreme the behaviour reaches and the type of environment it is at.</w:t>
      </w:r>
    </w:p>
    <w:p w14:paraId="0C0D001E" w14:textId="77777777" w:rsidR="00072E69" w:rsidRPr="00435D56" w:rsidRDefault="00072E69" w:rsidP="00A75317">
      <w:pPr>
        <w:spacing w:line="360" w:lineRule="auto"/>
        <w:jc w:val="both"/>
        <w:rPr>
          <w:rFonts w:ascii="Arial" w:hAnsi="Arial" w:cs="Arial"/>
          <w:sz w:val="22"/>
          <w:szCs w:val="22"/>
        </w:rPr>
      </w:pPr>
    </w:p>
    <w:p w14:paraId="69CA2C74" w14:textId="0B9F4B0B" w:rsidR="00072E69" w:rsidRPr="00435D56" w:rsidRDefault="00072E69" w:rsidP="00A75317">
      <w:pPr>
        <w:spacing w:line="360" w:lineRule="auto"/>
        <w:jc w:val="both"/>
        <w:rPr>
          <w:rFonts w:ascii="Arial" w:hAnsi="Arial" w:cs="Arial"/>
          <w:sz w:val="22"/>
          <w:szCs w:val="22"/>
        </w:rPr>
      </w:pPr>
      <w:r w:rsidRPr="00435D56">
        <w:rPr>
          <w:rFonts w:ascii="Arial" w:hAnsi="Arial" w:cs="Arial"/>
          <w:sz w:val="22"/>
          <w:szCs w:val="22"/>
        </w:rPr>
        <w:t>Using the feelings, remember and understand sections of the ARC model, I was able to identify what the last next step would be to improve the outcome of the incident. The teacher did not reveal to the child why their behaviour was inappropriate and this caused some discomfort as the child may not know why their behaviour is wrong. Following the advice by The Welsh Government (2012) and Donaldson (2015) I will model what good behaviour looks like so that children are aware of the importance of respecting others. Rogers (2017) believe that this is a useful</w:t>
      </w:r>
      <w:r w:rsidR="00744881" w:rsidRPr="00435D56">
        <w:rPr>
          <w:rFonts w:ascii="Arial" w:hAnsi="Arial" w:cs="Arial"/>
          <w:sz w:val="22"/>
          <w:szCs w:val="22"/>
        </w:rPr>
        <w:t xml:space="preserve"> action since children can </w:t>
      </w:r>
      <w:r w:rsidRPr="00435D56">
        <w:rPr>
          <w:rFonts w:ascii="Arial" w:hAnsi="Arial" w:cs="Arial"/>
          <w:sz w:val="22"/>
          <w:szCs w:val="22"/>
        </w:rPr>
        <w:t>visualise what the desired behaviour looks like</w:t>
      </w:r>
      <w:r w:rsidR="00744881" w:rsidRPr="00435D56">
        <w:rPr>
          <w:rFonts w:ascii="Arial" w:hAnsi="Arial" w:cs="Arial"/>
          <w:sz w:val="22"/>
          <w:szCs w:val="22"/>
        </w:rPr>
        <w:t>,</w:t>
      </w:r>
      <w:r w:rsidRPr="00435D56">
        <w:rPr>
          <w:rFonts w:ascii="Arial" w:hAnsi="Arial" w:cs="Arial"/>
          <w:sz w:val="22"/>
          <w:szCs w:val="22"/>
        </w:rPr>
        <w:t xml:space="preserve"> and the impact it has on the environment as according to Education Support Partnership (2010), disruptive behaviour can impact children’s </w:t>
      </w:r>
      <w:r w:rsidR="00744881" w:rsidRPr="00435D56">
        <w:rPr>
          <w:rFonts w:ascii="Arial" w:hAnsi="Arial" w:cs="Arial"/>
          <w:sz w:val="22"/>
          <w:szCs w:val="22"/>
        </w:rPr>
        <w:t xml:space="preserve">learning. </w:t>
      </w:r>
      <w:r w:rsidR="00EC6981" w:rsidRPr="00435D56">
        <w:rPr>
          <w:rFonts w:ascii="Arial" w:hAnsi="Arial" w:cs="Arial"/>
          <w:sz w:val="22"/>
          <w:szCs w:val="22"/>
        </w:rPr>
        <w:t xml:space="preserve">It can also lead to children becoming an Ethical informed citizen as they will be learning about how their actions can affect others (Donaldson, 2015). </w:t>
      </w:r>
      <w:r w:rsidR="00744881" w:rsidRPr="00435D56">
        <w:rPr>
          <w:rFonts w:ascii="Arial" w:hAnsi="Arial" w:cs="Arial"/>
          <w:sz w:val="22"/>
          <w:szCs w:val="22"/>
        </w:rPr>
        <w:t xml:space="preserve">Therefore, reflecting </w:t>
      </w:r>
      <w:r w:rsidRPr="00435D56">
        <w:rPr>
          <w:rFonts w:ascii="Arial" w:hAnsi="Arial" w:cs="Arial"/>
          <w:sz w:val="22"/>
          <w:szCs w:val="22"/>
        </w:rPr>
        <w:t>on action using the ARC model has proven to be a useful tool that has developed my knowledge throug</w:t>
      </w:r>
      <w:r w:rsidR="00744881" w:rsidRPr="00435D56">
        <w:rPr>
          <w:rFonts w:ascii="Arial" w:hAnsi="Arial" w:cs="Arial"/>
          <w:sz w:val="22"/>
          <w:szCs w:val="22"/>
        </w:rPr>
        <w:t>h analysing events, supporting</w:t>
      </w:r>
      <w:r w:rsidRPr="00435D56">
        <w:rPr>
          <w:rFonts w:ascii="Arial" w:hAnsi="Arial" w:cs="Arial"/>
          <w:sz w:val="22"/>
          <w:szCs w:val="22"/>
        </w:rPr>
        <w:t xml:space="preserve"> the belief of Dewey (no date) that experience leads to new knowledge gained (Paterson and Chapman, 2013). </w:t>
      </w:r>
    </w:p>
    <w:p w14:paraId="0C1848C4" w14:textId="77777777" w:rsidR="00072E69" w:rsidRPr="00435D56" w:rsidRDefault="00072E69" w:rsidP="00A75317">
      <w:pPr>
        <w:spacing w:line="360" w:lineRule="auto"/>
        <w:jc w:val="both"/>
        <w:rPr>
          <w:rFonts w:ascii="Arial" w:hAnsi="Arial" w:cs="Arial"/>
          <w:sz w:val="22"/>
          <w:szCs w:val="22"/>
        </w:rPr>
      </w:pPr>
    </w:p>
    <w:p w14:paraId="1AAC4CE4" w14:textId="142E16FD" w:rsidR="001F3CC0" w:rsidRPr="00435D56" w:rsidRDefault="001F3CC0" w:rsidP="00A75317">
      <w:pPr>
        <w:spacing w:line="360" w:lineRule="auto"/>
        <w:jc w:val="both"/>
        <w:rPr>
          <w:rFonts w:ascii="Arial" w:hAnsi="Arial" w:cs="Arial"/>
          <w:sz w:val="22"/>
          <w:szCs w:val="22"/>
        </w:rPr>
      </w:pPr>
      <w:r w:rsidRPr="00435D56">
        <w:rPr>
          <w:rFonts w:ascii="Arial" w:hAnsi="Arial" w:cs="Arial"/>
          <w:sz w:val="22"/>
          <w:szCs w:val="22"/>
        </w:rPr>
        <w:t xml:space="preserve">Reflecting on the assignment, it is satisfying to reach the conclusion that reflection has provided myself with new knowledge that will prove to be useful in my future teaching. By using the critical incident method and using the ARC model to </w:t>
      </w:r>
      <w:r w:rsidR="00744881" w:rsidRPr="00435D56">
        <w:rPr>
          <w:rFonts w:ascii="Arial" w:hAnsi="Arial" w:cs="Arial"/>
          <w:sz w:val="22"/>
          <w:szCs w:val="22"/>
        </w:rPr>
        <w:t xml:space="preserve">structure reflection, </w:t>
      </w:r>
      <w:r w:rsidRPr="00435D56">
        <w:rPr>
          <w:rFonts w:ascii="Arial" w:hAnsi="Arial" w:cs="Arial"/>
          <w:sz w:val="22"/>
          <w:szCs w:val="22"/>
        </w:rPr>
        <w:t>questions were asked, and have been answered in the process of research. For example, at the time of the incident, I questioned why the teacher did not praise the child’s ability since this is what I was used to doing. However, research as previously discussed by Brummelman et al. (2014), informed me that praising ability causes pressure on the child that can lead to demotivation, whereas, praising effort as seen by the teacher</w:t>
      </w:r>
      <w:r w:rsidR="00744881" w:rsidRPr="00435D56">
        <w:rPr>
          <w:rFonts w:ascii="Arial" w:hAnsi="Arial" w:cs="Arial"/>
          <w:sz w:val="22"/>
          <w:szCs w:val="22"/>
        </w:rPr>
        <w:t>,</w:t>
      </w:r>
      <w:r w:rsidRPr="00435D56">
        <w:rPr>
          <w:rFonts w:ascii="Arial" w:hAnsi="Arial" w:cs="Arial"/>
          <w:sz w:val="22"/>
          <w:szCs w:val="22"/>
        </w:rPr>
        <w:t xml:space="preserve"> can motivate and challenge pupils, </w:t>
      </w:r>
      <w:r w:rsidR="00744881" w:rsidRPr="00435D56">
        <w:rPr>
          <w:rFonts w:ascii="Arial" w:hAnsi="Arial" w:cs="Arial"/>
          <w:sz w:val="22"/>
          <w:szCs w:val="22"/>
        </w:rPr>
        <w:t>and this can be useful since</w:t>
      </w:r>
      <w:r w:rsidRPr="00435D56">
        <w:rPr>
          <w:rFonts w:ascii="Arial" w:hAnsi="Arial" w:cs="Arial"/>
          <w:sz w:val="22"/>
          <w:szCs w:val="22"/>
        </w:rPr>
        <w:t xml:space="preserve"> Wales’ new curriculum seeks to challenge children (Hodgman, 2014 and Donaldson, 2015). Therefore, this emphasises the importance The Welsh Government (2011) and The Welsh Government (2015)</w:t>
      </w:r>
      <w:r w:rsidR="00744881" w:rsidRPr="00435D56">
        <w:rPr>
          <w:rFonts w:ascii="Arial" w:hAnsi="Arial" w:cs="Arial"/>
          <w:sz w:val="22"/>
          <w:szCs w:val="22"/>
        </w:rPr>
        <w:t xml:space="preserve"> place on the use of reflection, </w:t>
      </w:r>
      <w:r w:rsidRPr="00435D56">
        <w:rPr>
          <w:rFonts w:ascii="Arial" w:hAnsi="Arial" w:cs="Arial"/>
          <w:sz w:val="22"/>
          <w:szCs w:val="22"/>
        </w:rPr>
        <w:t>as it can improve the teaching in Wales</w:t>
      </w:r>
      <w:r w:rsidR="00744881" w:rsidRPr="00435D56">
        <w:rPr>
          <w:rFonts w:ascii="Arial" w:hAnsi="Arial" w:cs="Arial"/>
          <w:sz w:val="22"/>
          <w:szCs w:val="22"/>
        </w:rPr>
        <w:t>,</w:t>
      </w:r>
      <w:r w:rsidRPr="00435D56">
        <w:rPr>
          <w:rFonts w:ascii="Arial" w:hAnsi="Arial" w:cs="Arial"/>
          <w:sz w:val="22"/>
          <w:szCs w:val="22"/>
        </w:rPr>
        <w:t xml:space="preserve"> which can lead to better results and will meet the professional standard seen in in Welsh Government (2019), which states that teachers should teachers should continuously reflect on their teaching in order to improve practice and keep up to date with changing beliefs (General Teaching Council for Wales, 2002). However, Fook (no date) cited in Lishman (2015) reveals that criticising another colleagues practice may have more of a negative impact rather than a positive one as the focus of a person’s weaknesses might cause tension. To combat this, Fook (no date) cited in Lishman (2015) claims that schools should build a culture where reflecting on experiences should be valued and respected in order</w:t>
      </w:r>
      <w:r w:rsidR="00F70C7E" w:rsidRPr="00435D56">
        <w:rPr>
          <w:rFonts w:ascii="Arial" w:hAnsi="Arial" w:cs="Arial"/>
          <w:sz w:val="22"/>
          <w:szCs w:val="22"/>
        </w:rPr>
        <w:t xml:space="preserve"> to learn from each other.</w:t>
      </w:r>
      <w:r w:rsidRPr="00435D56">
        <w:rPr>
          <w:rFonts w:ascii="Arial" w:hAnsi="Arial" w:cs="Arial"/>
          <w:sz w:val="22"/>
          <w:szCs w:val="22"/>
        </w:rPr>
        <w:t xml:space="preserve"> Cross (1997) cited in Clouder (2000) adds that the skill of reflection should also be the transferring of knowledge to one another from reflecting on events and is made easier in a culture where reflection is promoted. This will </w:t>
      </w:r>
      <w:r w:rsidR="00F70C7E" w:rsidRPr="00435D56">
        <w:rPr>
          <w:rFonts w:ascii="Arial" w:hAnsi="Arial" w:cs="Arial"/>
          <w:sz w:val="22"/>
          <w:szCs w:val="22"/>
        </w:rPr>
        <w:t>allow professionals to meet another professional standard which</w:t>
      </w:r>
      <w:r w:rsidRPr="00435D56">
        <w:rPr>
          <w:rFonts w:ascii="Arial" w:hAnsi="Arial" w:cs="Arial"/>
          <w:sz w:val="22"/>
          <w:szCs w:val="22"/>
        </w:rPr>
        <w:t xml:space="preserve"> require teachers to work in collaboration with others to develop practice (The Welsh Government, 2011). This can allow teachers to improve their teaching as experiences of best practice will be shared from their use of reflection and will </w:t>
      </w:r>
      <w:r w:rsidR="00F70C7E" w:rsidRPr="00435D56">
        <w:rPr>
          <w:rFonts w:ascii="Arial" w:hAnsi="Arial" w:cs="Arial"/>
          <w:sz w:val="22"/>
          <w:szCs w:val="22"/>
        </w:rPr>
        <w:t xml:space="preserve">also </w:t>
      </w:r>
      <w:r w:rsidRPr="00435D56">
        <w:rPr>
          <w:rFonts w:ascii="Arial" w:hAnsi="Arial" w:cs="Arial"/>
          <w:sz w:val="22"/>
          <w:szCs w:val="22"/>
        </w:rPr>
        <w:t xml:space="preserve">meet the standard of improving their learning from feedback if action is taken (General Teaching Council for Wales, 2002 and Welsh Government, 2011). Overall, the use of reflection </w:t>
      </w:r>
      <w:r w:rsidR="00F70C7E" w:rsidRPr="00435D56">
        <w:rPr>
          <w:rFonts w:ascii="Arial" w:hAnsi="Arial" w:cs="Arial"/>
          <w:sz w:val="22"/>
          <w:szCs w:val="22"/>
        </w:rPr>
        <w:t>has developed my knowledge and has lead me to the desire of wanting to conduct r</w:t>
      </w:r>
      <w:r w:rsidRPr="00435D56">
        <w:rPr>
          <w:rFonts w:ascii="Arial" w:hAnsi="Arial" w:cs="Arial"/>
          <w:sz w:val="22"/>
          <w:szCs w:val="22"/>
        </w:rPr>
        <w:t xml:space="preserve">esearch into the impact </w:t>
      </w:r>
      <w:r w:rsidR="00F70C7E" w:rsidRPr="00435D56">
        <w:rPr>
          <w:rFonts w:ascii="Arial" w:hAnsi="Arial" w:cs="Arial"/>
          <w:sz w:val="22"/>
          <w:szCs w:val="22"/>
        </w:rPr>
        <w:t xml:space="preserve">punishments have </w:t>
      </w:r>
      <w:r w:rsidRPr="00435D56">
        <w:rPr>
          <w:rFonts w:ascii="Arial" w:hAnsi="Arial" w:cs="Arial"/>
          <w:sz w:val="22"/>
          <w:szCs w:val="22"/>
        </w:rPr>
        <w:t xml:space="preserve">in order to gain further knowledge </w:t>
      </w:r>
      <w:r w:rsidR="00F70C7E" w:rsidRPr="00435D56">
        <w:rPr>
          <w:rFonts w:ascii="Arial" w:hAnsi="Arial" w:cs="Arial"/>
          <w:sz w:val="22"/>
          <w:szCs w:val="22"/>
        </w:rPr>
        <w:t>by comparing which method is more useful.</w:t>
      </w:r>
    </w:p>
    <w:p w14:paraId="5F0E7774" w14:textId="77777777" w:rsidR="00072E69" w:rsidRPr="00072E69" w:rsidRDefault="00072E69" w:rsidP="00A75317">
      <w:pPr>
        <w:spacing w:line="360" w:lineRule="auto"/>
        <w:jc w:val="both"/>
      </w:pPr>
    </w:p>
    <w:p w14:paraId="490998EC" w14:textId="77777777" w:rsidR="00072E69" w:rsidRPr="00072E69" w:rsidRDefault="00072E69" w:rsidP="00072E69"/>
    <w:p w14:paraId="2413ACB6" w14:textId="77777777" w:rsidR="00435D56" w:rsidRPr="00435D56" w:rsidRDefault="00435D56" w:rsidP="00435D56">
      <w:pPr>
        <w:spacing w:line="360" w:lineRule="auto"/>
        <w:jc w:val="both"/>
        <w:rPr>
          <w:rFonts w:ascii="Arial" w:hAnsi="Arial" w:cs="Arial"/>
          <w:sz w:val="22"/>
          <w:szCs w:val="22"/>
        </w:rPr>
      </w:pPr>
    </w:p>
    <w:p w14:paraId="0D544D1D" w14:textId="77777777" w:rsidR="00435D56" w:rsidRPr="00435D56" w:rsidRDefault="00435D56" w:rsidP="00435D56">
      <w:pPr>
        <w:spacing w:line="360" w:lineRule="auto"/>
        <w:jc w:val="both"/>
        <w:rPr>
          <w:rFonts w:ascii="Arial" w:hAnsi="Arial" w:cs="Arial"/>
          <w:sz w:val="22"/>
          <w:szCs w:val="22"/>
        </w:rPr>
      </w:pPr>
    </w:p>
    <w:p w14:paraId="761EF6C6" w14:textId="77777777" w:rsidR="00435D56" w:rsidRPr="00435D56" w:rsidRDefault="00435D56" w:rsidP="00435D56">
      <w:pPr>
        <w:spacing w:line="360" w:lineRule="auto"/>
        <w:jc w:val="both"/>
        <w:rPr>
          <w:rFonts w:ascii="Arial" w:hAnsi="Arial" w:cs="Arial"/>
          <w:sz w:val="22"/>
          <w:szCs w:val="22"/>
        </w:rPr>
      </w:pPr>
      <w:bookmarkStart w:id="0" w:name="_GoBack"/>
      <w:bookmarkEnd w:id="0"/>
    </w:p>
    <w:p w14:paraId="1CEDEE56" w14:textId="77777777" w:rsidR="00435D56" w:rsidRPr="00435D56" w:rsidRDefault="00435D56" w:rsidP="00435D56">
      <w:pPr>
        <w:spacing w:line="360" w:lineRule="auto"/>
        <w:jc w:val="both"/>
        <w:rPr>
          <w:rFonts w:ascii="Arial" w:hAnsi="Arial" w:cs="Arial"/>
          <w:sz w:val="22"/>
          <w:szCs w:val="22"/>
        </w:rPr>
      </w:pPr>
    </w:p>
    <w:p w14:paraId="6EDD1C00" w14:textId="77777777" w:rsidR="00435D56" w:rsidRPr="001F43E0" w:rsidRDefault="00435D56" w:rsidP="001F43E0">
      <w:pPr>
        <w:spacing w:line="360" w:lineRule="auto"/>
        <w:jc w:val="both"/>
        <w:rPr>
          <w:rFonts w:ascii="Arial" w:hAnsi="Arial" w:cs="Arial"/>
          <w:sz w:val="22"/>
          <w:szCs w:val="22"/>
        </w:rPr>
      </w:pPr>
    </w:p>
    <w:p w14:paraId="212C46CD" w14:textId="77777777" w:rsidR="001F43E0" w:rsidRDefault="001F43E0" w:rsidP="001F43E0">
      <w:pPr>
        <w:spacing w:line="360" w:lineRule="auto"/>
        <w:jc w:val="both"/>
        <w:rPr>
          <w:rFonts w:ascii="Arial" w:hAnsi="Arial" w:cs="Arial"/>
          <w:sz w:val="22"/>
          <w:szCs w:val="22"/>
        </w:rPr>
      </w:pPr>
      <w:r w:rsidRPr="00435D56">
        <w:rPr>
          <w:rFonts w:ascii="Arial" w:hAnsi="Arial" w:cs="Arial"/>
          <w:sz w:val="22"/>
          <w:szCs w:val="22"/>
        </w:rPr>
        <w:t>References</w:t>
      </w:r>
    </w:p>
    <w:p w14:paraId="33882622" w14:textId="77777777" w:rsidR="00435D56" w:rsidRPr="001F43E0" w:rsidRDefault="00435D56" w:rsidP="001F43E0">
      <w:pPr>
        <w:spacing w:line="360" w:lineRule="auto"/>
        <w:jc w:val="both"/>
        <w:rPr>
          <w:rFonts w:ascii="Arial" w:hAnsi="Arial" w:cs="Arial"/>
          <w:sz w:val="22"/>
          <w:szCs w:val="22"/>
        </w:rPr>
      </w:pPr>
    </w:p>
    <w:p w14:paraId="092BC331" w14:textId="77777777" w:rsidR="00435D56" w:rsidRPr="001F43E0" w:rsidRDefault="00435D56" w:rsidP="001F43E0">
      <w:pPr>
        <w:spacing w:line="360" w:lineRule="auto"/>
        <w:jc w:val="both"/>
        <w:rPr>
          <w:rFonts w:ascii="Arial" w:hAnsi="Arial" w:cs="Arial"/>
          <w:sz w:val="22"/>
          <w:szCs w:val="22"/>
        </w:rPr>
      </w:pPr>
      <w:r w:rsidRPr="001F43E0">
        <w:rPr>
          <w:rFonts w:ascii="Arial" w:hAnsi="Arial" w:cs="Arial"/>
          <w:sz w:val="22"/>
          <w:szCs w:val="22"/>
        </w:rPr>
        <w:t>Akella, D. (2010). Learning together: Kolb's experiential theory and its application. </w:t>
      </w:r>
      <w:r w:rsidRPr="001F43E0">
        <w:rPr>
          <w:rFonts w:ascii="Arial" w:hAnsi="Arial" w:cs="Arial"/>
          <w:i/>
          <w:iCs/>
          <w:sz w:val="22"/>
          <w:szCs w:val="22"/>
        </w:rPr>
        <w:t>Journal of Management &amp; Organization</w:t>
      </w:r>
      <w:r w:rsidRPr="001F43E0">
        <w:rPr>
          <w:rFonts w:ascii="Arial" w:hAnsi="Arial" w:cs="Arial"/>
          <w:sz w:val="22"/>
          <w:szCs w:val="22"/>
        </w:rPr>
        <w:t>, [online] 16(1), pp.100-112. Available at: https://www.researchgate.net/publication/247920250_Learning_together_Kolb%27s_experiential_theory_and_its_application [Accessed 20 Oct. 2019].</w:t>
      </w:r>
    </w:p>
    <w:p w14:paraId="54F840DC" w14:textId="77777777" w:rsidR="00435D56" w:rsidRPr="001F43E0" w:rsidRDefault="00435D56" w:rsidP="001F43E0">
      <w:pPr>
        <w:shd w:val="clear" w:color="auto" w:fill="FFFFFF"/>
        <w:spacing w:after="180" w:line="360" w:lineRule="auto"/>
        <w:ind w:left="450" w:hanging="450"/>
        <w:jc w:val="both"/>
        <w:rPr>
          <w:rFonts w:ascii="Arial" w:hAnsi="Arial" w:cs="Arial"/>
          <w:color w:val="000000"/>
          <w:sz w:val="22"/>
          <w:szCs w:val="22"/>
          <w:lang w:eastAsia="en-GB"/>
        </w:rPr>
      </w:pPr>
    </w:p>
    <w:p w14:paraId="52DD1475" w14:textId="0666B2DC" w:rsidR="00435D56" w:rsidRPr="001F43E0" w:rsidRDefault="00435D56" w:rsidP="001F43E0">
      <w:pPr>
        <w:shd w:val="clear" w:color="auto" w:fill="FFFFFF"/>
        <w:spacing w:after="180" w:line="360" w:lineRule="auto"/>
        <w:ind w:left="450" w:hanging="450"/>
        <w:jc w:val="both"/>
        <w:rPr>
          <w:rFonts w:ascii="Arial" w:hAnsi="Arial" w:cs="Arial"/>
          <w:color w:val="000000"/>
          <w:sz w:val="22"/>
          <w:szCs w:val="22"/>
          <w:lang w:eastAsia="en-GB"/>
        </w:rPr>
      </w:pPr>
      <w:r w:rsidRPr="001F43E0">
        <w:rPr>
          <w:rFonts w:ascii="Arial" w:hAnsi="Arial" w:cs="Arial"/>
          <w:color w:val="000000"/>
          <w:sz w:val="22"/>
          <w:szCs w:val="22"/>
          <w:lang w:eastAsia="en-GB"/>
        </w:rPr>
        <w:t>Amutan, K. (2014). A Review of B. F. Skinner’s ‘Reinforcement Theory of Motivation. </w:t>
      </w:r>
      <w:r w:rsidRPr="001F43E0">
        <w:rPr>
          <w:rFonts w:ascii="Arial" w:hAnsi="Arial" w:cs="Arial"/>
          <w:i/>
          <w:iCs/>
          <w:color w:val="000000"/>
          <w:sz w:val="22"/>
          <w:szCs w:val="22"/>
          <w:lang w:eastAsia="en-GB"/>
        </w:rPr>
        <w:t>International journal of research in education methodology</w:t>
      </w:r>
      <w:r w:rsidRPr="001F43E0">
        <w:rPr>
          <w:rFonts w:ascii="Arial" w:hAnsi="Arial" w:cs="Arial"/>
          <w:color w:val="000000"/>
          <w:sz w:val="22"/>
          <w:szCs w:val="22"/>
          <w:lang w:eastAsia="en-GB"/>
        </w:rPr>
        <w:t>, [online] 5(3). Available at: https://www.researchgate.net/publication/306091479_A_Review_of_B_F_Skinner%27s_%27Reinforcement_Theory_of_Motivation [Accessed 11 Oct. 2019].</w:t>
      </w:r>
    </w:p>
    <w:p w14:paraId="7F9DD6CD" w14:textId="77777777" w:rsidR="00435D56" w:rsidRPr="001F43E0" w:rsidRDefault="00435D56" w:rsidP="001F43E0">
      <w:pPr>
        <w:pStyle w:val="NormalWeb"/>
        <w:shd w:val="clear" w:color="auto" w:fill="FFFFFF"/>
        <w:spacing w:before="0" w:beforeAutospacing="0" w:after="180" w:afterAutospacing="0" w:line="360" w:lineRule="auto"/>
        <w:ind w:left="450" w:hanging="450"/>
        <w:jc w:val="both"/>
        <w:rPr>
          <w:rFonts w:ascii="Arial" w:hAnsi="Arial" w:cs="Arial"/>
          <w:color w:val="000000"/>
          <w:sz w:val="22"/>
          <w:szCs w:val="22"/>
        </w:rPr>
      </w:pPr>
      <w:r w:rsidRPr="001F43E0">
        <w:rPr>
          <w:rFonts w:ascii="Arial" w:hAnsi="Arial" w:cs="Arial"/>
          <w:color w:val="000000"/>
          <w:sz w:val="22"/>
          <w:szCs w:val="22"/>
        </w:rPr>
        <w:t>Banerjee, R., McLaughlin, C., Cotney, J., Roberts, L. and Peereboom, C. (2016).</w:t>
      </w:r>
      <w:r w:rsidRPr="001F43E0">
        <w:rPr>
          <w:rStyle w:val="apple-converted-space"/>
          <w:rFonts w:ascii="Arial" w:hAnsi="Arial" w:cs="Arial"/>
          <w:color w:val="000000"/>
          <w:sz w:val="22"/>
          <w:szCs w:val="22"/>
        </w:rPr>
        <w:t> </w:t>
      </w:r>
      <w:r w:rsidRPr="001F43E0">
        <w:rPr>
          <w:rFonts w:ascii="Arial" w:hAnsi="Arial" w:cs="Arial"/>
          <w:i/>
          <w:iCs/>
          <w:color w:val="000000"/>
          <w:sz w:val="22"/>
          <w:szCs w:val="22"/>
        </w:rPr>
        <w:t>Promoting Emotional Health, Well-being and Resilience in Primary Schools</w:t>
      </w:r>
      <w:r w:rsidRPr="001F43E0">
        <w:rPr>
          <w:rFonts w:ascii="Arial" w:hAnsi="Arial" w:cs="Arial"/>
          <w:color w:val="000000"/>
          <w:sz w:val="22"/>
          <w:szCs w:val="22"/>
        </w:rPr>
        <w:t>. [online] Ppiw.org.uk. Available at: http://ppiw.org.uk/files/2016/02/PPIW-Report-Promoting-Emotional-Health-Well-being-and-Resilience-in-Primary-Schools-Final.pdf [Accessed 19 Oct. 2019].</w:t>
      </w:r>
    </w:p>
    <w:p w14:paraId="72258A01" w14:textId="65466763" w:rsidR="00435D56" w:rsidRPr="001F43E0" w:rsidRDefault="00435D56" w:rsidP="001F43E0">
      <w:pPr>
        <w:pStyle w:val="NormalWeb"/>
        <w:shd w:val="clear" w:color="auto" w:fill="FFFFFF"/>
        <w:spacing w:before="0" w:beforeAutospacing="0" w:after="180" w:afterAutospacing="0" w:line="360" w:lineRule="auto"/>
        <w:jc w:val="both"/>
        <w:rPr>
          <w:rFonts w:ascii="Arial" w:hAnsi="Arial" w:cs="Arial"/>
          <w:color w:val="000000"/>
          <w:sz w:val="22"/>
          <w:szCs w:val="22"/>
        </w:rPr>
      </w:pPr>
      <w:r w:rsidRPr="001F43E0">
        <w:rPr>
          <w:rFonts w:ascii="Arial" w:hAnsi="Arial" w:cs="Arial"/>
          <w:sz w:val="22"/>
          <w:szCs w:val="22"/>
        </w:rPr>
        <w:t>Bernier, S., Simpson, C. and Rose, C. (2012). Positive and Negative Reinforcement in Increasing Compliance and Decreasing Problematic Behavior. </w:t>
      </w:r>
      <w:r w:rsidRPr="001F43E0">
        <w:rPr>
          <w:rFonts w:ascii="Arial" w:hAnsi="Arial" w:cs="Arial"/>
          <w:i/>
          <w:iCs/>
          <w:sz w:val="22"/>
          <w:szCs w:val="22"/>
        </w:rPr>
        <w:t>National Teacher Education Journal</w:t>
      </w:r>
      <w:r w:rsidRPr="001F43E0">
        <w:rPr>
          <w:rFonts w:ascii="Arial" w:hAnsi="Arial" w:cs="Arial"/>
          <w:sz w:val="22"/>
          <w:szCs w:val="22"/>
        </w:rPr>
        <w:t>, [online] 5(1). Available at: https://web-a-ebscohost-com.ezproxy.uwtsd.ac.uk/ehost/detail/detail?vid=0&amp;sid=d545e6be-9408-4b14-8890-cb411ab985bd%40sdc-v-sessmgr03&amp;bdata=JnNpdGU9ZWhvc3QtbGl2ZQ%3d%3d#AN=85343800&amp;db=eue [Accessed 22 Oct. 2019].</w:t>
      </w:r>
    </w:p>
    <w:p w14:paraId="26EAF8A8" w14:textId="77777777" w:rsidR="00435D56" w:rsidRPr="001F43E0" w:rsidRDefault="00435D56" w:rsidP="001F43E0">
      <w:pPr>
        <w:spacing w:line="360" w:lineRule="auto"/>
        <w:jc w:val="both"/>
        <w:rPr>
          <w:rFonts w:ascii="Arial" w:hAnsi="Arial" w:cs="Arial"/>
          <w:sz w:val="22"/>
          <w:szCs w:val="22"/>
        </w:rPr>
      </w:pPr>
      <w:r w:rsidRPr="001F43E0">
        <w:rPr>
          <w:rFonts w:ascii="Arial" w:hAnsi="Arial" w:cs="Arial"/>
          <w:color w:val="000000"/>
          <w:sz w:val="22"/>
          <w:szCs w:val="22"/>
          <w:lang w:eastAsia="en-GB"/>
        </w:rPr>
        <w:t>Boylan, F., Barblett, L. and Knaus, M. (2018). Early Childhood Teachers’ Perspectives of Growth Mindset: Developing Agency in Children. </w:t>
      </w:r>
      <w:r w:rsidRPr="001F43E0">
        <w:rPr>
          <w:rFonts w:ascii="Arial" w:hAnsi="Arial" w:cs="Arial"/>
          <w:i/>
          <w:iCs/>
          <w:color w:val="000000"/>
          <w:sz w:val="22"/>
          <w:szCs w:val="22"/>
          <w:lang w:eastAsia="en-GB"/>
        </w:rPr>
        <w:t>Australasian Journal of Early Childhood</w:t>
      </w:r>
      <w:r w:rsidRPr="001F43E0">
        <w:rPr>
          <w:rFonts w:ascii="Arial" w:hAnsi="Arial" w:cs="Arial"/>
          <w:color w:val="000000"/>
          <w:sz w:val="22"/>
          <w:szCs w:val="22"/>
          <w:lang w:eastAsia="en-GB"/>
        </w:rPr>
        <w:t>, [online] 43(3). Available at: https://web-b-ebscohost-com.ezproxy.uwtsd.ac.uk/ehost/detail/detail?vid=0&amp;sid=49d0e712-c23a-4f5e-a6e5-87f18e2a1c0d%40pdc-v-sessmgr04&amp;bdata=JnNpdGU9ZWhvc3QtbGl2ZQ%3d%3d#AN=132843811&amp;db=eue [Accessed 12 Oct. 2019].</w:t>
      </w:r>
    </w:p>
    <w:p w14:paraId="17523582" w14:textId="77777777" w:rsidR="00435D56" w:rsidRPr="001F43E0" w:rsidRDefault="00435D56" w:rsidP="001F43E0">
      <w:pPr>
        <w:spacing w:line="360" w:lineRule="auto"/>
        <w:jc w:val="both"/>
        <w:rPr>
          <w:rFonts w:ascii="Arial" w:hAnsi="Arial" w:cs="Arial"/>
          <w:sz w:val="22"/>
          <w:szCs w:val="22"/>
        </w:rPr>
      </w:pPr>
    </w:p>
    <w:p w14:paraId="4C8FBC84" w14:textId="1F520A7E" w:rsidR="00435D56" w:rsidRPr="001F43E0" w:rsidRDefault="00435D56" w:rsidP="001F43E0">
      <w:pPr>
        <w:spacing w:line="360" w:lineRule="auto"/>
        <w:jc w:val="both"/>
        <w:rPr>
          <w:rFonts w:ascii="Arial" w:hAnsi="Arial" w:cs="Arial"/>
          <w:sz w:val="22"/>
          <w:szCs w:val="22"/>
        </w:rPr>
      </w:pPr>
      <w:r w:rsidRPr="001F43E0">
        <w:rPr>
          <w:rFonts w:ascii="Arial" w:hAnsi="Arial" w:cs="Arial"/>
          <w:sz w:val="22"/>
          <w:szCs w:val="22"/>
        </w:rPr>
        <w:t>Brookfield, S. (1998). Critically Reflective Practice. </w:t>
      </w:r>
      <w:r w:rsidRPr="001F43E0">
        <w:rPr>
          <w:rFonts w:ascii="Arial" w:hAnsi="Arial" w:cs="Arial"/>
          <w:i/>
          <w:iCs/>
          <w:sz w:val="22"/>
          <w:szCs w:val="22"/>
        </w:rPr>
        <w:t>Journal of Continuing Education in the Health Profession</w:t>
      </w:r>
      <w:r w:rsidRPr="001F43E0">
        <w:rPr>
          <w:rFonts w:ascii="Arial" w:hAnsi="Arial" w:cs="Arial"/>
          <w:sz w:val="22"/>
          <w:szCs w:val="22"/>
        </w:rPr>
        <w:t>, [online] 18. Available at: https://moodle.uwtsd.ac.uk/mod/folder/view.php?id=196151 [Accessed 23 Oct. 2019].</w:t>
      </w:r>
    </w:p>
    <w:p w14:paraId="413FF37D" w14:textId="77777777" w:rsidR="00435D56" w:rsidRPr="001F43E0" w:rsidRDefault="00435D56" w:rsidP="001F43E0">
      <w:pPr>
        <w:shd w:val="clear" w:color="auto" w:fill="FFFFFF"/>
        <w:spacing w:after="180" w:line="360" w:lineRule="auto"/>
        <w:ind w:left="450" w:hanging="450"/>
        <w:jc w:val="both"/>
        <w:rPr>
          <w:rFonts w:ascii="Arial" w:hAnsi="Arial" w:cs="Arial"/>
          <w:color w:val="000000"/>
          <w:sz w:val="22"/>
          <w:szCs w:val="22"/>
          <w:lang w:eastAsia="en-GB"/>
        </w:rPr>
      </w:pPr>
      <w:r w:rsidRPr="001F43E0">
        <w:rPr>
          <w:rFonts w:ascii="Arial" w:hAnsi="Arial" w:cs="Arial"/>
          <w:color w:val="000000"/>
          <w:sz w:val="22"/>
          <w:szCs w:val="22"/>
          <w:lang w:eastAsia="en-GB"/>
        </w:rPr>
        <w:t>Brummelman, E., Thomaes, S., Orobio de Castro, B., Overbeek, G. and Bushman, B. (2014). “That’s Not Just Beautiful—That’s Incredibly Beautiful!”. </w:t>
      </w:r>
      <w:r w:rsidRPr="001F43E0">
        <w:rPr>
          <w:rFonts w:ascii="Arial" w:hAnsi="Arial" w:cs="Arial"/>
          <w:i/>
          <w:iCs/>
          <w:color w:val="000000"/>
          <w:sz w:val="22"/>
          <w:szCs w:val="22"/>
          <w:lang w:eastAsia="en-GB"/>
        </w:rPr>
        <w:t>Psychological Science</w:t>
      </w:r>
      <w:r w:rsidRPr="001F43E0">
        <w:rPr>
          <w:rFonts w:ascii="Arial" w:hAnsi="Arial" w:cs="Arial"/>
          <w:color w:val="000000"/>
          <w:sz w:val="22"/>
          <w:szCs w:val="22"/>
          <w:lang w:eastAsia="en-GB"/>
        </w:rPr>
        <w:t>, [online] 25(3), pp.728-735. Available at: https://journals-sagepub-com.ezproxy.uwtsd.ac.uk/doi/pdf/10.1177/0956797613514251 [Accessed 9 Oct. 2019].</w:t>
      </w:r>
    </w:p>
    <w:p w14:paraId="4D6CCC97" w14:textId="77777777" w:rsidR="00435D56" w:rsidRPr="001F43E0" w:rsidRDefault="00435D56" w:rsidP="001F43E0">
      <w:pPr>
        <w:spacing w:line="360" w:lineRule="auto"/>
        <w:jc w:val="both"/>
        <w:rPr>
          <w:rFonts w:ascii="Arial" w:hAnsi="Arial" w:cs="Arial"/>
          <w:sz w:val="22"/>
          <w:szCs w:val="22"/>
        </w:rPr>
      </w:pPr>
      <w:r w:rsidRPr="001F43E0">
        <w:rPr>
          <w:rFonts w:ascii="Arial" w:hAnsi="Arial" w:cs="Arial"/>
          <w:sz w:val="22"/>
          <w:szCs w:val="22"/>
        </w:rPr>
        <w:t>Buck, G. (1992). Classroom Management and the Disruptive Child. </w:t>
      </w:r>
      <w:r w:rsidRPr="001F43E0">
        <w:rPr>
          <w:rFonts w:ascii="Arial" w:hAnsi="Arial" w:cs="Arial"/>
          <w:i/>
          <w:iCs/>
          <w:sz w:val="22"/>
          <w:szCs w:val="22"/>
        </w:rPr>
        <w:t>Music Educators Journal</w:t>
      </w:r>
      <w:r w:rsidRPr="001F43E0">
        <w:rPr>
          <w:rFonts w:ascii="Arial" w:hAnsi="Arial" w:cs="Arial"/>
          <w:sz w:val="22"/>
          <w:szCs w:val="22"/>
        </w:rPr>
        <w:t>, [online] 79(3). Available at: https://www-jstor-org.ezproxy.uwtsd.ac.uk/stable/3398482?sid=primo&amp;origin=crossref&amp;seq=1#metadata_info_tab_contents [Accessed 21 Oct. 2019].</w:t>
      </w:r>
    </w:p>
    <w:p w14:paraId="61F18FF3" w14:textId="77777777" w:rsidR="00435D56" w:rsidRPr="001F43E0" w:rsidRDefault="00435D56" w:rsidP="001F43E0">
      <w:pPr>
        <w:pStyle w:val="NormalWeb"/>
        <w:shd w:val="clear" w:color="auto" w:fill="FFFFFF"/>
        <w:spacing w:before="0" w:beforeAutospacing="0" w:after="180" w:afterAutospacing="0" w:line="360" w:lineRule="auto"/>
        <w:ind w:left="450" w:hanging="450"/>
        <w:jc w:val="both"/>
        <w:rPr>
          <w:rFonts w:ascii="Arial" w:hAnsi="Arial" w:cs="Arial"/>
          <w:color w:val="000000"/>
          <w:sz w:val="22"/>
          <w:szCs w:val="22"/>
        </w:rPr>
      </w:pPr>
      <w:r w:rsidRPr="001F43E0">
        <w:rPr>
          <w:rFonts w:ascii="Arial" w:hAnsi="Arial" w:cs="Arial"/>
          <w:color w:val="000000"/>
          <w:sz w:val="22"/>
          <w:szCs w:val="22"/>
        </w:rPr>
        <w:t>Burnett, P. and Mandel, V. (2010). Praise and Feedback in the Primary Classroom: Teachers’ and Students’ Perspectives.</w:t>
      </w:r>
      <w:r w:rsidRPr="001F43E0">
        <w:rPr>
          <w:rStyle w:val="apple-converted-space"/>
          <w:rFonts w:ascii="Arial" w:hAnsi="Arial" w:cs="Arial"/>
          <w:color w:val="000000"/>
          <w:sz w:val="22"/>
          <w:szCs w:val="22"/>
        </w:rPr>
        <w:t> </w:t>
      </w:r>
      <w:r w:rsidRPr="001F43E0">
        <w:rPr>
          <w:rFonts w:ascii="Arial" w:hAnsi="Arial" w:cs="Arial"/>
          <w:i/>
          <w:iCs/>
          <w:color w:val="000000"/>
          <w:sz w:val="22"/>
          <w:szCs w:val="22"/>
        </w:rPr>
        <w:t>Australian Journal of Educational &amp; Developmental Psychology.</w:t>
      </w:r>
      <w:r w:rsidRPr="001F43E0">
        <w:rPr>
          <w:rFonts w:ascii="Arial" w:hAnsi="Arial" w:cs="Arial"/>
          <w:color w:val="000000"/>
          <w:sz w:val="22"/>
          <w:szCs w:val="22"/>
        </w:rPr>
        <w:t>, [online] 10. Available at: https://www.newcastle.edu.au/__data/assets/pdf_file/0013/100309/V10_burnett-_mandel.pdf [Accessed 9 Oct. 2019].</w:t>
      </w:r>
    </w:p>
    <w:p w14:paraId="0B2C47FB" w14:textId="77777777" w:rsidR="00435D56" w:rsidRPr="001F43E0" w:rsidRDefault="00435D56" w:rsidP="001F43E0">
      <w:pPr>
        <w:pStyle w:val="NormalWeb"/>
        <w:shd w:val="clear" w:color="auto" w:fill="FFFFFF"/>
        <w:spacing w:before="0" w:beforeAutospacing="0" w:after="180" w:afterAutospacing="0" w:line="360" w:lineRule="auto"/>
        <w:ind w:left="450" w:hanging="450"/>
        <w:jc w:val="both"/>
        <w:rPr>
          <w:rFonts w:ascii="Arial" w:hAnsi="Arial" w:cs="Arial"/>
          <w:color w:val="000000"/>
          <w:sz w:val="22"/>
          <w:szCs w:val="22"/>
        </w:rPr>
      </w:pPr>
      <w:r w:rsidRPr="001F43E0">
        <w:rPr>
          <w:rFonts w:ascii="Arial" w:hAnsi="Arial" w:cs="Arial"/>
          <w:color w:val="000000"/>
          <w:sz w:val="22"/>
          <w:szCs w:val="22"/>
        </w:rPr>
        <w:t>Busby, E. (2018).</w:t>
      </w:r>
      <w:r w:rsidRPr="001F43E0">
        <w:rPr>
          <w:rStyle w:val="apple-converted-space"/>
          <w:rFonts w:ascii="Arial" w:hAnsi="Arial" w:cs="Arial"/>
          <w:color w:val="000000"/>
          <w:sz w:val="22"/>
          <w:szCs w:val="22"/>
        </w:rPr>
        <w:t> </w:t>
      </w:r>
      <w:r w:rsidRPr="001F43E0">
        <w:rPr>
          <w:rFonts w:ascii="Arial" w:hAnsi="Arial" w:cs="Arial"/>
          <w:i/>
          <w:iCs/>
          <w:color w:val="000000"/>
          <w:sz w:val="22"/>
          <w:szCs w:val="22"/>
        </w:rPr>
        <w:t>Teachers should ignore disruptive students to take control of class, study says</w:t>
      </w:r>
      <w:r w:rsidRPr="001F43E0">
        <w:rPr>
          <w:rFonts w:ascii="Arial" w:hAnsi="Arial" w:cs="Arial"/>
          <w:color w:val="000000"/>
          <w:sz w:val="22"/>
          <w:szCs w:val="22"/>
        </w:rPr>
        <w:t>. [online] The Independent. Available at: https://www.independent.co.uk/news/education/education-news/teachers-behaviour-classroom-students-mental-health-school-exeter-university-school-children-a8451656.html [Accessed 13 Oct. 2019].</w:t>
      </w:r>
    </w:p>
    <w:p w14:paraId="3CD20E79" w14:textId="77777777" w:rsidR="00435D56" w:rsidRPr="001F43E0" w:rsidRDefault="00435D56" w:rsidP="001F43E0">
      <w:pPr>
        <w:shd w:val="clear" w:color="auto" w:fill="FFFFFF"/>
        <w:spacing w:after="180" w:line="360" w:lineRule="auto"/>
        <w:ind w:left="450" w:hanging="450"/>
        <w:jc w:val="both"/>
        <w:rPr>
          <w:rFonts w:ascii="Arial" w:hAnsi="Arial" w:cs="Arial"/>
          <w:color w:val="000000"/>
          <w:sz w:val="22"/>
          <w:szCs w:val="22"/>
          <w:lang w:eastAsia="en-GB"/>
        </w:rPr>
      </w:pPr>
      <w:r w:rsidRPr="001F43E0">
        <w:rPr>
          <w:rFonts w:ascii="Arial" w:hAnsi="Arial" w:cs="Arial"/>
          <w:color w:val="000000"/>
          <w:sz w:val="22"/>
          <w:szCs w:val="22"/>
          <w:lang w:eastAsia="en-GB"/>
        </w:rPr>
        <w:t>Busch, B. (2018). </w:t>
      </w:r>
      <w:r w:rsidRPr="001F43E0">
        <w:rPr>
          <w:rFonts w:ascii="Arial" w:hAnsi="Arial" w:cs="Arial"/>
          <w:i/>
          <w:iCs/>
          <w:color w:val="000000"/>
          <w:sz w:val="22"/>
          <w:szCs w:val="22"/>
          <w:lang w:eastAsia="en-GB"/>
        </w:rPr>
        <w:t>Research every teacher should know: growth mindset</w:t>
      </w:r>
      <w:r w:rsidRPr="001F43E0">
        <w:rPr>
          <w:rFonts w:ascii="Arial" w:hAnsi="Arial" w:cs="Arial"/>
          <w:color w:val="000000"/>
          <w:sz w:val="22"/>
          <w:szCs w:val="22"/>
          <w:lang w:eastAsia="en-GB"/>
        </w:rPr>
        <w:t>. [online] The Guardian. Available at: https://www.theguardian.com/teacher-network/2018/jan/04/research-every-teacher-should-know-growth-mindset [Accessed 10 Oct. 2019].</w:t>
      </w:r>
    </w:p>
    <w:p w14:paraId="61820AD3" w14:textId="77777777" w:rsidR="00435D56" w:rsidRPr="001F43E0" w:rsidRDefault="00435D56" w:rsidP="001F43E0">
      <w:pPr>
        <w:pStyle w:val="NormalWeb"/>
        <w:shd w:val="clear" w:color="auto" w:fill="FFFFFF"/>
        <w:spacing w:before="0" w:beforeAutospacing="0" w:after="180" w:afterAutospacing="0" w:line="360" w:lineRule="auto"/>
        <w:ind w:left="450" w:hanging="450"/>
        <w:jc w:val="both"/>
        <w:rPr>
          <w:rFonts w:ascii="Arial" w:hAnsi="Arial" w:cs="Arial"/>
          <w:color w:val="000000"/>
          <w:sz w:val="22"/>
          <w:szCs w:val="22"/>
        </w:rPr>
      </w:pPr>
      <w:r w:rsidRPr="001F43E0">
        <w:rPr>
          <w:rFonts w:ascii="Arial" w:hAnsi="Arial" w:cs="Arial"/>
          <w:color w:val="000000"/>
          <w:sz w:val="22"/>
          <w:szCs w:val="22"/>
        </w:rPr>
        <w:t>Cahill, H., Beadle, S., Farrelly, A., Forster, R. and Smith, K. (n.d.).</w:t>
      </w:r>
      <w:r w:rsidRPr="001F43E0">
        <w:rPr>
          <w:rStyle w:val="apple-converted-space"/>
          <w:rFonts w:ascii="Arial" w:hAnsi="Arial" w:cs="Arial"/>
          <w:color w:val="000000"/>
          <w:sz w:val="22"/>
          <w:szCs w:val="22"/>
        </w:rPr>
        <w:t> </w:t>
      </w:r>
      <w:r w:rsidRPr="001F43E0">
        <w:rPr>
          <w:rFonts w:ascii="Arial" w:hAnsi="Arial" w:cs="Arial"/>
          <w:i/>
          <w:iCs/>
          <w:color w:val="000000"/>
          <w:sz w:val="22"/>
          <w:szCs w:val="22"/>
        </w:rPr>
        <w:t>Building resilience in children and young people</w:t>
      </w:r>
      <w:r w:rsidRPr="001F43E0">
        <w:rPr>
          <w:rFonts w:ascii="Arial" w:hAnsi="Arial" w:cs="Arial"/>
          <w:color w:val="000000"/>
          <w:sz w:val="22"/>
          <w:szCs w:val="22"/>
        </w:rPr>
        <w:t>. [online] Education.vic.gov.au. Available at: https://www.education.vic.gov.au/Documents/about/department/resiliencelitreview.pdf [Accessed 16 Oct. 2019].</w:t>
      </w:r>
    </w:p>
    <w:p w14:paraId="54E63CCF" w14:textId="77777777" w:rsidR="00435D56" w:rsidRPr="001F43E0" w:rsidRDefault="00435D56" w:rsidP="001F43E0">
      <w:pPr>
        <w:pStyle w:val="NormalWeb"/>
        <w:shd w:val="clear" w:color="auto" w:fill="FFFFFF"/>
        <w:spacing w:before="0" w:beforeAutospacing="0" w:after="180" w:afterAutospacing="0" w:line="360" w:lineRule="auto"/>
        <w:ind w:left="450" w:hanging="450"/>
        <w:jc w:val="both"/>
        <w:rPr>
          <w:rFonts w:ascii="Arial" w:hAnsi="Arial" w:cs="Arial"/>
          <w:color w:val="000000"/>
          <w:sz w:val="22"/>
          <w:szCs w:val="22"/>
        </w:rPr>
      </w:pPr>
      <w:r w:rsidRPr="001F43E0">
        <w:rPr>
          <w:rFonts w:ascii="Arial" w:hAnsi="Arial" w:cs="Arial"/>
          <w:color w:val="000000"/>
          <w:sz w:val="22"/>
          <w:szCs w:val="22"/>
        </w:rPr>
        <w:t>Clifford, M. (n.d.).</w:t>
      </w:r>
      <w:r w:rsidRPr="001F43E0">
        <w:rPr>
          <w:rStyle w:val="apple-converted-space"/>
          <w:rFonts w:ascii="Arial" w:hAnsi="Arial" w:cs="Arial"/>
          <w:color w:val="000000"/>
          <w:sz w:val="22"/>
          <w:szCs w:val="22"/>
        </w:rPr>
        <w:t> </w:t>
      </w:r>
      <w:r w:rsidRPr="001F43E0">
        <w:rPr>
          <w:rFonts w:ascii="Arial" w:hAnsi="Arial" w:cs="Arial"/>
          <w:i/>
          <w:iCs/>
          <w:color w:val="000000"/>
          <w:sz w:val="22"/>
          <w:szCs w:val="22"/>
        </w:rPr>
        <w:t>Students need challenge, not easy success</w:t>
      </w:r>
      <w:r w:rsidRPr="001F43E0">
        <w:rPr>
          <w:rFonts w:ascii="Arial" w:hAnsi="Arial" w:cs="Arial"/>
          <w:color w:val="000000"/>
          <w:sz w:val="22"/>
          <w:szCs w:val="22"/>
        </w:rPr>
        <w:t>. [online] Ascd.org. Available at: http://www.ascd.org/ASCD/pdf/journals/ed_lead/el_199009_clifford.pdf [Accessed 19 Oct. 2019].</w:t>
      </w:r>
    </w:p>
    <w:p w14:paraId="1FB7AA37" w14:textId="77777777" w:rsidR="00435D56" w:rsidRPr="001F43E0" w:rsidRDefault="00435D56" w:rsidP="001F43E0">
      <w:pPr>
        <w:spacing w:line="360" w:lineRule="auto"/>
        <w:jc w:val="both"/>
        <w:rPr>
          <w:rFonts w:ascii="Arial" w:hAnsi="Arial" w:cs="Arial"/>
          <w:sz w:val="22"/>
          <w:szCs w:val="22"/>
        </w:rPr>
      </w:pPr>
      <w:r w:rsidRPr="001F43E0">
        <w:rPr>
          <w:rFonts w:ascii="Arial" w:hAnsi="Arial" w:cs="Arial"/>
          <w:sz w:val="22"/>
          <w:szCs w:val="22"/>
        </w:rPr>
        <w:t>Clouder, L. (2000). Reflective Practice: Realising its potential. </w:t>
      </w:r>
      <w:r w:rsidRPr="001F43E0">
        <w:rPr>
          <w:rFonts w:ascii="Arial" w:hAnsi="Arial" w:cs="Arial"/>
          <w:i/>
          <w:iCs/>
          <w:sz w:val="22"/>
          <w:szCs w:val="22"/>
        </w:rPr>
        <w:t>Physiotherapy</w:t>
      </w:r>
      <w:r w:rsidRPr="001F43E0">
        <w:rPr>
          <w:rFonts w:ascii="Arial" w:hAnsi="Arial" w:cs="Arial"/>
          <w:sz w:val="22"/>
          <w:szCs w:val="22"/>
        </w:rPr>
        <w:t>, [online] 86(10), pp.517-522. Available at: https://www.sciencedirect.com/science/article/abs/pii/S0031940605609856 [Accessed 12 Oct. 2019].</w:t>
      </w:r>
    </w:p>
    <w:p w14:paraId="6409D1BA" w14:textId="77777777" w:rsidR="00435D56" w:rsidRPr="001F43E0" w:rsidRDefault="00435D56" w:rsidP="001F43E0">
      <w:pPr>
        <w:spacing w:line="360" w:lineRule="auto"/>
        <w:jc w:val="both"/>
        <w:rPr>
          <w:rFonts w:ascii="Arial" w:hAnsi="Arial" w:cs="Arial"/>
          <w:sz w:val="22"/>
          <w:szCs w:val="22"/>
        </w:rPr>
      </w:pPr>
      <w:r w:rsidRPr="001F43E0">
        <w:rPr>
          <w:rFonts w:ascii="Arial" w:hAnsi="Arial" w:cs="Arial"/>
          <w:sz w:val="22"/>
          <w:szCs w:val="22"/>
        </w:rPr>
        <w:t>Cohen, L., Manion, L. and Morrison, K. (2011). </w:t>
      </w:r>
      <w:r w:rsidRPr="001F43E0">
        <w:rPr>
          <w:rFonts w:ascii="Arial" w:hAnsi="Arial" w:cs="Arial"/>
          <w:i/>
          <w:iCs/>
          <w:sz w:val="22"/>
          <w:szCs w:val="22"/>
        </w:rPr>
        <w:t>Research Methods in Education</w:t>
      </w:r>
      <w:r w:rsidRPr="001F43E0">
        <w:rPr>
          <w:rFonts w:ascii="Arial" w:hAnsi="Arial" w:cs="Arial"/>
          <w:sz w:val="22"/>
          <w:szCs w:val="22"/>
        </w:rPr>
        <w:t>. 7th ed. [ebook] London: Routledge. Available at: https://www-dawsonera-com.ezproxy.uwtsd.ac.uk/abstract/9780203720967 [Accessed 23 Oct. 2019].</w:t>
      </w:r>
    </w:p>
    <w:p w14:paraId="67BFACED" w14:textId="77777777" w:rsidR="00435D56" w:rsidRPr="001F43E0" w:rsidRDefault="00435D56" w:rsidP="001F43E0">
      <w:pPr>
        <w:spacing w:line="360" w:lineRule="auto"/>
        <w:jc w:val="both"/>
        <w:rPr>
          <w:rFonts w:ascii="Arial" w:hAnsi="Arial" w:cs="Arial"/>
          <w:sz w:val="22"/>
          <w:szCs w:val="22"/>
        </w:rPr>
      </w:pPr>
      <w:r w:rsidRPr="001F43E0">
        <w:rPr>
          <w:rFonts w:ascii="Arial" w:hAnsi="Arial" w:cs="Arial"/>
          <w:sz w:val="22"/>
          <w:szCs w:val="22"/>
        </w:rPr>
        <w:t>Crowe, S., Cresswell, K., Robertson, A., Huby, G., Avery, A. and Sheikh, A. (2011). The case study approach. </w:t>
      </w:r>
      <w:r w:rsidRPr="001F43E0">
        <w:rPr>
          <w:rFonts w:ascii="Arial" w:hAnsi="Arial" w:cs="Arial"/>
          <w:i/>
          <w:iCs/>
          <w:sz w:val="22"/>
          <w:szCs w:val="22"/>
        </w:rPr>
        <w:t>BMC Med Res Methodol</w:t>
      </w:r>
      <w:r w:rsidRPr="001F43E0">
        <w:rPr>
          <w:rFonts w:ascii="Arial" w:hAnsi="Arial" w:cs="Arial"/>
          <w:sz w:val="22"/>
          <w:szCs w:val="22"/>
        </w:rPr>
        <w:t>, [online] 11. Available at: https://www.ncbi.nlm.nih.gov/pmc/articles/PMC3141799/ [Accessed 23 Oct. 2019].</w:t>
      </w:r>
    </w:p>
    <w:p w14:paraId="47DB7DF0" w14:textId="77777777" w:rsidR="00435D56" w:rsidRPr="001F43E0" w:rsidRDefault="00435D56" w:rsidP="001F43E0">
      <w:pPr>
        <w:spacing w:line="360" w:lineRule="auto"/>
        <w:jc w:val="both"/>
        <w:rPr>
          <w:rFonts w:ascii="Arial" w:hAnsi="Arial" w:cs="Arial"/>
          <w:sz w:val="22"/>
          <w:szCs w:val="22"/>
        </w:rPr>
      </w:pPr>
    </w:p>
    <w:p w14:paraId="3F59F091" w14:textId="77777777" w:rsidR="00435D56" w:rsidRPr="001F43E0" w:rsidRDefault="00435D56" w:rsidP="001F43E0">
      <w:pPr>
        <w:spacing w:line="360" w:lineRule="auto"/>
        <w:jc w:val="both"/>
        <w:rPr>
          <w:rFonts w:ascii="Arial" w:hAnsi="Arial" w:cs="Arial"/>
          <w:sz w:val="22"/>
          <w:szCs w:val="22"/>
        </w:rPr>
      </w:pPr>
      <w:r w:rsidRPr="001F43E0">
        <w:rPr>
          <w:rFonts w:ascii="Arial" w:hAnsi="Arial" w:cs="Arial"/>
          <w:sz w:val="22"/>
          <w:szCs w:val="22"/>
        </w:rPr>
        <w:t>Dallos, R. and Stedmon, J. (2009). </w:t>
      </w:r>
      <w:r w:rsidRPr="001F43E0">
        <w:rPr>
          <w:rFonts w:ascii="Arial" w:hAnsi="Arial" w:cs="Arial"/>
          <w:i/>
          <w:iCs/>
          <w:sz w:val="22"/>
          <w:szCs w:val="22"/>
        </w:rPr>
        <w:t>Reflective Practice in Psychotherapy and Counselling</w:t>
      </w:r>
      <w:r w:rsidRPr="001F43E0">
        <w:rPr>
          <w:rFonts w:ascii="Arial" w:hAnsi="Arial" w:cs="Arial"/>
          <w:sz w:val="22"/>
          <w:szCs w:val="22"/>
        </w:rPr>
        <w:t>. 1st ed. [ebook] Maidenhead: McGraw-Hill Education. Available at: https://qut.rl.talis.com/items/5EE6064E-B858-94AA-B6B2-4437C774990F.html [Accessed 20 Oct. 2019].</w:t>
      </w:r>
    </w:p>
    <w:p w14:paraId="4A7B457E" w14:textId="77777777" w:rsidR="00435D56" w:rsidRPr="001F43E0" w:rsidRDefault="00435D56" w:rsidP="001F43E0">
      <w:pPr>
        <w:shd w:val="clear" w:color="auto" w:fill="FFFFFF"/>
        <w:spacing w:after="180" w:line="360" w:lineRule="auto"/>
        <w:ind w:left="450" w:hanging="450"/>
        <w:jc w:val="both"/>
        <w:rPr>
          <w:rFonts w:ascii="Arial" w:hAnsi="Arial" w:cs="Arial"/>
          <w:color w:val="000000"/>
          <w:sz w:val="22"/>
          <w:szCs w:val="22"/>
          <w:lang w:eastAsia="en-GB"/>
        </w:rPr>
      </w:pPr>
    </w:p>
    <w:p w14:paraId="786EB6CD" w14:textId="77777777" w:rsidR="00435D56" w:rsidRPr="001F43E0" w:rsidRDefault="00435D56" w:rsidP="001F43E0">
      <w:pPr>
        <w:shd w:val="clear" w:color="auto" w:fill="FFFFFF"/>
        <w:spacing w:after="180" w:line="360" w:lineRule="auto"/>
        <w:ind w:left="450" w:hanging="450"/>
        <w:jc w:val="both"/>
        <w:rPr>
          <w:rFonts w:ascii="Arial" w:hAnsi="Arial" w:cs="Arial"/>
          <w:color w:val="000000"/>
          <w:sz w:val="22"/>
          <w:szCs w:val="22"/>
          <w:lang w:eastAsia="en-GB"/>
        </w:rPr>
      </w:pPr>
      <w:r w:rsidRPr="001F43E0">
        <w:rPr>
          <w:rFonts w:ascii="Arial" w:hAnsi="Arial" w:cs="Arial"/>
          <w:color w:val="000000"/>
          <w:sz w:val="22"/>
          <w:szCs w:val="22"/>
          <w:lang w:eastAsia="en-GB"/>
        </w:rPr>
        <w:t>Dinkmeyer, D. (1961). Understanding children's behavior. </w:t>
      </w:r>
      <w:r w:rsidRPr="001F43E0">
        <w:rPr>
          <w:rFonts w:ascii="Arial" w:hAnsi="Arial" w:cs="Arial"/>
          <w:i/>
          <w:iCs/>
          <w:color w:val="000000"/>
          <w:sz w:val="22"/>
          <w:szCs w:val="22"/>
          <w:lang w:eastAsia="en-GB"/>
        </w:rPr>
        <w:t>The Elementary School Journal</w:t>
      </w:r>
      <w:r w:rsidRPr="001F43E0">
        <w:rPr>
          <w:rFonts w:ascii="Arial" w:hAnsi="Arial" w:cs="Arial"/>
          <w:color w:val="000000"/>
          <w:sz w:val="22"/>
          <w:szCs w:val="22"/>
          <w:lang w:eastAsia="en-GB"/>
        </w:rPr>
        <w:t>, [online] 61(6). Available at: https://www-jstor-org.ezproxy.uwtsd.ac.uk/stable/999885?seq=1#metadata_info_tab_contents [Accessed 13 Oct. 2019].</w:t>
      </w:r>
    </w:p>
    <w:p w14:paraId="4A67C54B" w14:textId="77777777" w:rsidR="00435D56" w:rsidRPr="001F43E0" w:rsidRDefault="00435D56" w:rsidP="001F43E0">
      <w:pPr>
        <w:pStyle w:val="NormalWeb"/>
        <w:shd w:val="clear" w:color="auto" w:fill="FFFFFF"/>
        <w:spacing w:before="0" w:beforeAutospacing="0" w:after="180" w:afterAutospacing="0" w:line="360" w:lineRule="auto"/>
        <w:ind w:left="450" w:hanging="450"/>
        <w:jc w:val="both"/>
        <w:rPr>
          <w:rFonts w:ascii="Arial" w:hAnsi="Arial" w:cs="Arial"/>
          <w:color w:val="000000"/>
          <w:sz w:val="22"/>
          <w:szCs w:val="22"/>
        </w:rPr>
      </w:pPr>
      <w:r w:rsidRPr="001F43E0">
        <w:rPr>
          <w:rFonts w:ascii="Arial" w:hAnsi="Arial" w:cs="Arial"/>
          <w:color w:val="000000"/>
          <w:sz w:val="22"/>
          <w:szCs w:val="22"/>
        </w:rPr>
        <w:t>Donaldson, G. (2015).</w:t>
      </w:r>
      <w:r w:rsidRPr="001F43E0">
        <w:rPr>
          <w:rStyle w:val="apple-converted-space"/>
          <w:rFonts w:ascii="Arial" w:hAnsi="Arial" w:cs="Arial"/>
          <w:color w:val="000000"/>
          <w:sz w:val="22"/>
          <w:szCs w:val="22"/>
        </w:rPr>
        <w:t> </w:t>
      </w:r>
      <w:r w:rsidRPr="001F43E0">
        <w:rPr>
          <w:rFonts w:ascii="Arial" w:hAnsi="Arial" w:cs="Arial"/>
          <w:i/>
          <w:iCs/>
          <w:color w:val="000000"/>
          <w:sz w:val="22"/>
          <w:szCs w:val="22"/>
        </w:rPr>
        <w:t>Successful Futures</w:t>
      </w:r>
      <w:r w:rsidRPr="001F43E0">
        <w:rPr>
          <w:rFonts w:ascii="Arial" w:hAnsi="Arial" w:cs="Arial"/>
          <w:color w:val="000000"/>
          <w:sz w:val="22"/>
          <w:szCs w:val="22"/>
        </w:rPr>
        <w:t>. [online] Gov.wales. Available at: https://gov.wales/sites/default/files/publications/2018-03/successful-futures.pdf [Accessed 18 Oct. 2019].</w:t>
      </w:r>
    </w:p>
    <w:p w14:paraId="0A089A9A" w14:textId="77777777" w:rsidR="00435D56" w:rsidRPr="001F43E0" w:rsidRDefault="00435D56" w:rsidP="001F43E0">
      <w:pPr>
        <w:shd w:val="clear" w:color="auto" w:fill="FFFFFF"/>
        <w:spacing w:after="180" w:line="360" w:lineRule="auto"/>
        <w:ind w:left="450" w:hanging="450"/>
        <w:jc w:val="both"/>
        <w:rPr>
          <w:rFonts w:ascii="Arial" w:hAnsi="Arial" w:cs="Arial"/>
          <w:color w:val="000000"/>
          <w:sz w:val="22"/>
          <w:szCs w:val="22"/>
          <w:lang w:eastAsia="en-GB"/>
        </w:rPr>
      </w:pPr>
      <w:r w:rsidRPr="001F43E0">
        <w:rPr>
          <w:rFonts w:ascii="Arial" w:hAnsi="Arial" w:cs="Arial"/>
          <w:color w:val="000000"/>
          <w:sz w:val="22"/>
          <w:szCs w:val="22"/>
          <w:lang w:eastAsia="en-GB"/>
        </w:rPr>
        <w:t>Droe, K. (2013). Effect of Verbal Praise on Achievement Goal Orientation, Motivation, and Performance Attribution. </w:t>
      </w:r>
      <w:r w:rsidRPr="001F43E0">
        <w:rPr>
          <w:rFonts w:ascii="Arial" w:hAnsi="Arial" w:cs="Arial"/>
          <w:i/>
          <w:iCs/>
          <w:color w:val="000000"/>
          <w:sz w:val="22"/>
          <w:szCs w:val="22"/>
          <w:lang w:eastAsia="en-GB"/>
        </w:rPr>
        <w:t>Journal of Music Teacher Education</w:t>
      </w:r>
      <w:r w:rsidRPr="001F43E0">
        <w:rPr>
          <w:rFonts w:ascii="Arial" w:hAnsi="Arial" w:cs="Arial"/>
          <w:color w:val="000000"/>
          <w:sz w:val="22"/>
          <w:szCs w:val="22"/>
          <w:lang w:eastAsia="en-GB"/>
        </w:rPr>
        <w:t>, [online] 23(1), pp.63-78. Available at: https://journals-sagepub-com.ezproxy.uwtsd.ac.uk/doi/pdf/10.1177/1057083712458592 [Accessed 7 Oct. 2019].</w:t>
      </w:r>
    </w:p>
    <w:p w14:paraId="071FBCF2" w14:textId="77777777" w:rsidR="00435D56" w:rsidRPr="001F43E0" w:rsidRDefault="00435D56" w:rsidP="001F43E0">
      <w:pPr>
        <w:spacing w:line="360" w:lineRule="auto"/>
        <w:jc w:val="both"/>
        <w:rPr>
          <w:rFonts w:ascii="Arial" w:hAnsi="Arial" w:cs="Arial"/>
          <w:sz w:val="22"/>
          <w:szCs w:val="22"/>
        </w:rPr>
      </w:pPr>
      <w:r w:rsidRPr="001F43E0">
        <w:rPr>
          <w:rFonts w:ascii="Arial" w:hAnsi="Arial" w:cs="Arial"/>
          <w:sz w:val="22"/>
          <w:szCs w:val="22"/>
        </w:rPr>
        <w:t>Education Support Partnership (2010). </w:t>
      </w:r>
      <w:r w:rsidRPr="001F43E0">
        <w:rPr>
          <w:rFonts w:ascii="Arial" w:hAnsi="Arial" w:cs="Arial"/>
          <w:i/>
          <w:iCs/>
          <w:sz w:val="22"/>
          <w:szCs w:val="22"/>
        </w:rPr>
        <w:t>Managing pupil behaviour</w:t>
      </w:r>
      <w:r w:rsidRPr="001F43E0">
        <w:rPr>
          <w:rFonts w:ascii="Arial" w:hAnsi="Arial" w:cs="Arial"/>
          <w:sz w:val="22"/>
          <w:szCs w:val="22"/>
        </w:rPr>
        <w:t>. [online] Educationsupportpartnership.org.uk. Available at: https://www.educationsupportpartnership.org.uk/sites/default/files/resources/ed_support_managing_pupil_behaviour_0.pdf [Accessed 23 Oct. 2019].</w:t>
      </w:r>
    </w:p>
    <w:p w14:paraId="7625BC6D" w14:textId="77777777" w:rsidR="00435D56" w:rsidRPr="001F43E0" w:rsidRDefault="00435D56" w:rsidP="001F43E0">
      <w:pPr>
        <w:shd w:val="clear" w:color="auto" w:fill="FFFFFF"/>
        <w:spacing w:after="180" w:line="360" w:lineRule="auto"/>
        <w:ind w:left="450" w:hanging="450"/>
        <w:jc w:val="both"/>
        <w:rPr>
          <w:rFonts w:ascii="Arial" w:hAnsi="Arial" w:cs="Arial"/>
          <w:color w:val="000000"/>
          <w:sz w:val="22"/>
          <w:szCs w:val="22"/>
          <w:lang w:eastAsia="en-GB"/>
        </w:rPr>
      </w:pPr>
    </w:p>
    <w:p w14:paraId="67A04FD3" w14:textId="77777777" w:rsidR="00435D56" w:rsidRPr="001F43E0" w:rsidRDefault="00435D56" w:rsidP="001F43E0">
      <w:pPr>
        <w:shd w:val="clear" w:color="auto" w:fill="FFFFFF"/>
        <w:spacing w:after="180" w:line="360" w:lineRule="auto"/>
        <w:ind w:left="450" w:hanging="450"/>
        <w:jc w:val="both"/>
        <w:rPr>
          <w:rFonts w:ascii="Arial" w:hAnsi="Arial" w:cs="Arial"/>
          <w:color w:val="000000"/>
          <w:sz w:val="22"/>
          <w:szCs w:val="22"/>
          <w:lang w:eastAsia="en-GB"/>
        </w:rPr>
      </w:pPr>
      <w:r w:rsidRPr="001F43E0">
        <w:rPr>
          <w:rFonts w:ascii="Arial" w:hAnsi="Arial" w:cs="Arial"/>
          <w:noProof/>
          <w:color w:val="000000"/>
          <w:sz w:val="22"/>
          <w:szCs w:val="22"/>
          <w:lang w:eastAsia="en-GB"/>
        </w:rPr>
        <mc:AlternateContent>
          <mc:Choice Requires="wps">
            <w:drawing>
              <wp:anchor distT="0" distB="0" distL="114300" distR="114300" simplePos="0" relativeHeight="251664384" behindDoc="0" locked="0" layoutInCell="1" allowOverlap="1" wp14:anchorId="1D6B4165" wp14:editId="36B883F4">
                <wp:simplePos x="0" y="0"/>
                <wp:positionH relativeFrom="column">
                  <wp:posOffset>394335</wp:posOffset>
                </wp:positionH>
                <wp:positionV relativeFrom="paragraph">
                  <wp:posOffset>531495</wp:posOffset>
                </wp:positionV>
                <wp:extent cx="800100" cy="45085"/>
                <wp:effectExtent l="0" t="0" r="12700" b="5715"/>
                <wp:wrapNone/>
                <wp:docPr id="3" name="Text Box 3"/>
                <wp:cNvGraphicFramePr/>
                <a:graphic xmlns:a="http://schemas.openxmlformats.org/drawingml/2006/main">
                  <a:graphicData uri="http://schemas.microsoft.com/office/word/2010/wordprocessingShape">
                    <wps:wsp>
                      <wps:cNvSpPr txBox="1"/>
                      <wps:spPr>
                        <a:xfrm>
                          <a:off x="0" y="0"/>
                          <a:ext cx="800100" cy="45085"/>
                        </a:xfrm>
                        <a:prstGeom prst="rect">
                          <a:avLst/>
                        </a:prstGeom>
                        <a:solidFill>
                          <a:schemeClr val="tx1"/>
                        </a:solidFill>
                        <a:ln>
                          <a:noFill/>
                        </a:ln>
                        <a:effectLst/>
                      </wps:spPr>
                      <wps:style>
                        <a:lnRef idx="0">
                          <a:schemeClr val="accent1"/>
                        </a:lnRef>
                        <a:fillRef idx="0">
                          <a:schemeClr val="accent1"/>
                        </a:fillRef>
                        <a:effectRef idx="0">
                          <a:schemeClr val="accent1"/>
                        </a:effectRef>
                        <a:fontRef idx="minor">
                          <a:schemeClr val="dk1"/>
                        </a:fontRef>
                      </wps:style>
                      <wps:txbx>
                        <w:txbxContent>
                          <w:p w14:paraId="5514D531" w14:textId="77777777" w:rsidR="00435D56" w:rsidRDefault="00435D56" w:rsidP="00435D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D6B4165" id="_x0000_t202" coordsize="21600,21600" o:spt="202" path="m0,0l0,21600,21600,21600,21600,0xe">
                <v:stroke joinstyle="miter"/>
                <v:path gradientshapeok="t" o:connecttype="rect"/>
              </v:shapetype>
              <v:shape id="Text Box 3" o:spid="_x0000_s1026" type="#_x0000_t202" style="position:absolute;left:0;text-align:left;margin-left:31.05pt;margin-top:41.85pt;width:63pt;height:3.5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" fillcolor="black [3213]" stroked="f">
                <v:textbox>
                  <w:txbxContent>
                    <w:p w14:paraId="5514D531" w14:textId="77777777" w:rsidR="00435D56" w:rsidRDefault="00435D56" w:rsidP="00435D56"/>
                  </w:txbxContent>
                </v:textbox>
              </v:shape>
            </w:pict>
          </mc:Fallback>
        </mc:AlternateContent>
      </w:r>
      <w:r w:rsidRPr="001F43E0">
        <w:rPr>
          <w:rFonts w:ascii="Arial" w:hAnsi="Arial" w:cs="Arial"/>
          <w:noProof/>
          <w:color w:val="000000"/>
          <w:sz w:val="22"/>
          <w:szCs w:val="22"/>
          <w:lang w:eastAsia="en-GB"/>
        </w:rPr>
        <mc:AlternateContent>
          <mc:Choice Requires="wps">
            <w:drawing>
              <wp:anchor distT="0" distB="0" distL="114300" distR="114300" simplePos="0" relativeHeight="251663360" behindDoc="0" locked="0" layoutInCell="1" allowOverlap="1" wp14:anchorId="5FAAED53" wp14:editId="3B5F6025">
                <wp:simplePos x="0" y="0"/>
                <wp:positionH relativeFrom="column">
                  <wp:posOffset>4852035</wp:posOffset>
                </wp:positionH>
                <wp:positionV relativeFrom="paragraph">
                  <wp:posOffset>304165</wp:posOffset>
                </wp:positionV>
                <wp:extent cx="800100" cy="45085"/>
                <wp:effectExtent l="0" t="0" r="12700" b="5715"/>
                <wp:wrapNone/>
                <wp:docPr id="4" name="Text Box 4"/>
                <wp:cNvGraphicFramePr/>
                <a:graphic xmlns:a="http://schemas.openxmlformats.org/drawingml/2006/main">
                  <a:graphicData uri="http://schemas.microsoft.com/office/word/2010/wordprocessingShape">
                    <wps:wsp>
                      <wps:cNvSpPr txBox="1"/>
                      <wps:spPr>
                        <a:xfrm>
                          <a:off x="0" y="0"/>
                          <a:ext cx="800100" cy="45085"/>
                        </a:xfrm>
                        <a:prstGeom prst="rect">
                          <a:avLst/>
                        </a:prstGeom>
                        <a:solidFill>
                          <a:schemeClr val="tx1"/>
                        </a:solidFill>
                        <a:ln>
                          <a:noFill/>
                        </a:ln>
                        <a:effectLst/>
                      </wps:spPr>
                      <wps:style>
                        <a:lnRef idx="0">
                          <a:schemeClr val="accent1"/>
                        </a:lnRef>
                        <a:fillRef idx="0">
                          <a:schemeClr val="accent1"/>
                        </a:fillRef>
                        <a:effectRef idx="0">
                          <a:schemeClr val="accent1"/>
                        </a:effectRef>
                        <a:fontRef idx="minor">
                          <a:schemeClr val="dk1"/>
                        </a:fontRef>
                      </wps:style>
                      <wps:txbx>
                        <w:txbxContent>
                          <w:p w14:paraId="1B43A66C" w14:textId="77777777" w:rsidR="00435D56" w:rsidRDefault="00435D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AAED53" id="Text Box 4" o:spid="_x0000_s1027" type="#_x0000_t202" style="position:absolute;left:0;text-align:left;margin-left:382.05pt;margin-top:23.95pt;width:63pt;height:3.5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" fillcolor="black [3213]" stroked="f">
                <v:textbox>
                  <w:txbxContent>
                    <w:p w14:paraId="1B43A66C" w14:textId="77777777" w:rsidR="00435D56" w:rsidRDefault="00435D56"/>
                  </w:txbxContent>
                </v:textbox>
              </v:shape>
            </w:pict>
          </mc:Fallback>
        </mc:AlternateContent>
      </w:r>
      <w:r w:rsidRPr="001F43E0">
        <w:rPr>
          <w:rFonts w:ascii="Arial" w:hAnsi="Arial" w:cs="Arial"/>
          <w:color w:val="000000"/>
          <w:sz w:val="22"/>
          <w:szCs w:val="22"/>
          <w:lang w:eastAsia="en-GB"/>
        </w:rPr>
        <w:t>Estyn (2017). </w:t>
      </w:r>
      <w:r w:rsidRPr="001F43E0">
        <w:rPr>
          <w:rFonts w:ascii="Arial" w:hAnsi="Arial" w:cs="Arial"/>
          <w:i/>
          <w:iCs/>
          <w:color w:val="000000"/>
          <w:sz w:val="22"/>
          <w:szCs w:val="22"/>
          <w:lang w:eastAsia="en-GB"/>
        </w:rPr>
        <w:t>A report</w:t>
      </w:r>
      <w:r w:rsidRPr="001F43E0">
        <w:rPr>
          <w:rFonts w:ascii="Arial" w:hAnsi="Arial" w:cs="Arial"/>
          <w:color w:val="000000"/>
          <w:sz w:val="22"/>
          <w:szCs w:val="22"/>
          <w:lang w:eastAsia="en-GB"/>
        </w:rPr>
        <w:t>. [online] Estyn.gov.wales. Available at: https://www.estyn.gov.wales/sites/www.estyn.gov.wales/files/documents/Mount%20Stuart%20Primary.pdf [Accessed 18 Oct. 2019].</w:t>
      </w:r>
      <w:r w:rsidRPr="001F43E0">
        <w:rPr>
          <w:rFonts w:ascii="Arial" w:hAnsi="Arial" w:cs="Arial"/>
          <w:noProof/>
          <w:color w:val="000000"/>
          <w:sz w:val="22"/>
          <w:szCs w:val="22"/>
          <w:lang w:eastAsia="en-GB"/>
        </w:rPr>
        <w:t xml:space="preserve"> </w:t>
      </w:r>
    </w:p>
    <w:p w14:paraId="0C234F89" w14:textId="77777777" w:rsidR="00435D56" w:rsidRPr="001F43E0" w:rsidRDefault="00435D56" w:rsidP="001F43E0">
      <w:pPr>
        <w:spacing w:line="360" w:lineRule="auto"/>
        <w:jc w:val="both"/>
        <w:rPr>
          <w:rFonts w:ascii="Arial" w:hAnsi="Arial" w:cs="Arial"/>
          <w:sz w:val="22"/>
          <w:szCs w:val="22"/>
        </w:rPr>
      </w:pPr>
      <w:r w:rsidRPr="001F43E0">
        <w:rPr>
          <w:rFonts w:ascii="Arial" w:hAnsi="Arial" w:cs="Arial"/>
          <w:sz w:val="22"/>
          <w:szCs w:val="22"/>
        </w:rPr>
        <w:t>Farrell, T. (2013). Critical incident analysis through narrative reflective practice: A case study. </w:t>
      </w:r>
      <w:r w:rsidRPr="001F43E0">
        <w:rPr>
          <w:rFonts w:ascii="Arial" w:hAnsi="Arial" w:cs="Arial"/>
          <w:i/>
          <w:iCs/>
          <w:sz w:val="22"/>
          <w:szCs w:val="22"/>
        </w:rPr>
        <w:t>Iranian Journal of Language Teaching Research</w:t>
      </w:r>
      <w:r w:rsidRPr="001F43E0">
        <w:rPr>
          <w:rFonts w:ascii="Arial" w:hAnsi="Arial" w:cs="Arial"/>
          <w:sz w:val="22"/>
          <w:szCs w:val="22"/>
        </w:rPr>
        <w:t>, [online] 1(1). Available at: https://files.eric.ed.gov/fulltext/EJ1127432.pdf [Accessed 24 Oct. 2019].</w:t>
      </w:r>
    </w:p>
    <w:p w14:paraId="41AEF43D" w14:textId="77777777" w:rsidR="00435D56" w:rsidRPr="001F43E0" w:rsidRDefault="00435D56" w:rsidP="001F43E0">
      <w:pPr>
        <w:spacing w:line="360" w:lineRule="auto"/>
        <w:jc w:val="both"/>
        <w:rPr>
          <w:rFonts w:ascii="Arial" w:hAnsi="Arial" w:cs="Arial"/>
          <w:sz w:val="22"/>
          <w:szCs w:val="22"/>
        </w:rPr>
      </w:pPr>
      <w:r w:rsidRPr="001F43E0">
        <w:rPr>
          <w:rFonts w:ascii="Arial" w:hAnsi="Arial" w:cs="Arial"/>
          <w:sz w:val="22"/>
          <w:szCs w:val="22"/>
        </w:rPr>
        <w:t>Flyvbjerg, B. (2006). Five Misunderstandings About Case-Study Research. </w:t>
      </w:r>
      <w:r w:rsidRPr="001F43E0">
        <w:rPr>
          <w:rFonts w:ascii="Arial" w:hAnsi="Arial" w:cs="Arial"/>
          <w:i/>
          <w:iCs/>
          <w:sz w:val="22"/>
          <w:szCs w:val="22"/>
        </w:rPr>
        <w:t>Qualitative Inquiry</w:t>
      </w:r>
      <w:r w:rsidRPr="001F43E0">
        <w:rPr>
          <w:rFonts w:ascii="Arial" w:hAnsi="Arial" w:cs="Arial"/>
          <w:sz w:val="22"/>
          <w:szCs w:val="22"/>
        </w:rPr>
        <w:t>, [online] 12(2), pp.219-245. Available at: https://arxiv.org/pdf/1304.1186.pdf [Accessed 12 Oct. 2019].</w:t>
      </w:r>
    </w:p>
    <w:p w14:paraId="6FDCAE36" w14:textId="77777777" w:rsidR="00435D56" w:rsidRPr="001F43E0" w:rsidRDefault="00435D56" w:rsidP="001F43E0">
      <w:pPr>
        <w:spacing w:line="360" w:lineRule="auto"/>
        <w:jc w:val="both"/>
        <w:rPr>
          <w:rFonts w:ascii="Arial" w:hAnsi="Arial" w:cs="Arial"/>
          <w:sz w:val="22"/>
          <w:szCs w:val="22"/>
        </w:rPr>
      </w:pPr>
      <w:r w:rsidRPr="001F43E0">
        <w:rPr>
          <w:rFonts w:ascii="Arial" w:hAnsi="Arial" w:cs="Arial"/>
          <w:sz w:val="22"/>
          <w:szCs w:val="22"/>
        </w:rPr>
        <w:t>General Teaching Council for Wales (2002). </w:t>
      </w:r>
      <w:r w:rsidRPr="001F43E0">
        <w:rPr>
          <w:rFonts w:ascii="Arial" w:hAnsi="Arial" w:cs="Arial"/>
          <w:i/>
          <w:iCs/>
          <w:sz w:val="22"/>
          <w:szCs w:val="22"/>
        </w:rPr>
        <w:t>Continuing Professional Development An entitlement for all</w:t>
      </w:r>
      <w:r w:rsidRPr="001F43E0">
        <w:rPr>
          <w:rFonts w:ascii="Arial" w:hAnsi="Arial" w:cs="Arial"/>
          <w:sz w:val="22"/>
          <w:szCs w:val="22"/>
        </w:rPr>
        <w:t>. [online] General Teaching Council for Wales. Available at: https://www.google.com/url?sa=t&amp;rct=j&amp;q=&amp;esrc=s&amp;source=web&amp;cd=2&amp;ved=2ahUKEwiA-eOqxLzlAhVlSxUIHVkGBJEQFjABegQIARAC&amp;url=https%3A%2F%2Fwww.ewc.wales%2Fsite%2Findex.php%2Fen%2Fdocuments%2Fgtcw-archive%2F414-continuing-professional-development-an-entitlement-for-all-april-2002-e.html&amp;usg=AOvVaw2EEz-jbaIY7GZTYTvLLVVr [Accessed 21 Oct. 2019].</w:t>
      </w:r>
    </w:p>
    <w:p w14:paraId="2225E4F4" w14:textId="77777777" w:rsidR="001F43E0" w:rsidRPr="001F43E0" w:rsidRDefault="001F43E0" w:rsidP="001F43E0">
      <w:pPr>
        <w:pStyle w:val="NormalWeb"/>
        <w:shd w:val="clear" w:color="auto" w:fill="FFFFFF"/>
        <w:spacing w:before="0" w:beforeAutospacing="0" w:after="180" w:afterAutospacing="0" w:line="360" w:lineRule="auto"/>
        <w:ind w:left="450" w:hanging="450"/>
        <w:jc w:val="both"/>
        <w:rPr>
          <w:rFonts w:ascii="Arial" w:hAnsi="Arial" w:cs="Arial"/>
          <w:color w:val="000000"/>
          <w:sz w:val="22"/>
          <w:szCs w:val="22"/>
        </w:rPr>
      </w:pPr>
    </w:p>
    <w:p w14:paraId="00143699" w14:textId="77777777" w:rsidR="00435D56" w:rsidRPr="001F43E0" w:rsidRDefault="00435D56" w:rsidP="001F43E0">
      <w:pPr>
        <w:pStyle w:val="NormalWeb"/>
        <w:shd w:val="clear" w:color="auto" w:fill="FFFFFF"/>
        <w:spacing w:before="0" w:beforeAutospacing="0" w:after="180" w:afterAutospacing="0" w:line="360" w:lineRule="auto"/>
        <w:ind w:left="450" w:hanging="450"/>
        <w:jc w:val="both"/>
        <w:rPr>
          <w:rFonts w:ascii="Arial" w:hAnsi="Arial" w:cs="Arial"/>
          <w:color w:val="000000"/>
          <w:sz w:val="22"/>
          <w:szCs w:val="22"/>
        </w:rPr>
      </w:pPr>
      <w:r w:rsidRPr="001F43E0">
        <w:rPr>
          <w:rFonts w:ascii="Arial" w:hAnsi="Arial" w:cs="Arial"/>
          <w:color w:val="000000"/>
          <w:sz w:val="22"/>
          <w:szCs w:val="22"/>
        </w:rPr>
        <w:t>Goldstein, S. and Brooks, R. (2005).</w:t>
      </w:r>
      <w:r w:rsidRPr="001F43E0">
        <w:rPr>
          <w:rStyle w:val="apple-converted-space"/>
          <w:rFonts w:ascii="Arial" w:hAnsi="Arial" w:cs="Arial"/>
          <w:color w:val="000000"/>
          <w:sz w:val="22"/>
          <w:szCs w:val="22"/>
        </w:rPr>
        <w:t> </w:t>
      </w:r>
      <w:r w:rsidRPr="001F43E0">
        <w:rPr>
          <w:rFonts w:ascii="Arial" w:hAnsi="Arial" w:cs="Arial"/>
          <w:i/>
          <w:iCs/>
          <w:color w:val="000000"/>
          <w:sz w:val="22"/>
          <w:szCs w:val="22"/>
        </w:rPr>
        <w:t>Resilience in children</w:t>
      </w:r>
      <w:r w:rsidRPr="001F43E0">
        <w:rPr>
          <w:rFonts w:ascii="Arial" w:hAnsi="Arial" w:cs="Arial"/>
          <w:color w:val="000000"/>
          <w:sz w:val="22"/>
          <w:szCs w:val="22"/>
        </w:rPr>
        <w:t>. [online] Dvfs.org. Available at: http://www.dvfs.org/uploaded/library/LDIQ_Resources/LDIQ_Photos/Chapter_1_Handbook_of_Resilience.pdf [Accessed 27 Oct. 2019].</w:t>
      </w:r>
    </w:p>
    <w:p w14:paraId="227F2B21" w14:textId="77777777" w:rsidR="00435D56" w:rsidRPr="001F43E0" w:rsidRDefault="00435D56" w:rsidP="001F43E0">
      <w:pPr>
        <w:shd w:val="clear" w:color="auto" w:fill="FFFFFF"/>
        <w:spacing w:after="180" w:line="360" w:lineRule="auto"/>
        <w:ind w:left="450" w:hanging="450"/>
        <w:jc w:val="both"/>
        <w:rPr>
          <w:rFonts w:ascii="Arial" w:hAnsi="Arial" w:cs="Arial"/>
          <w:color w:val="000000"/>
          <w:sz w:val="22"/>
          <w:szCs w:val="22"/>
          <w:lang w:eastAsia="en-GB"/>
        </w:rPr>
      </w:pPr>
      <w:r w:rsidRPr="001F43E0">
        <w:rPr>
          <w:rFonts w:ascii="Arial" w:hAnsi="Arial" w:cs="Arial"/>
          <w:color w:val="000000"/>
          <w:sz w:val="22"/>
          <w:szCs w:val="22"/>
          <w:lang w:eastAsia="en-GB"/>
        </w:rPr>
        <w:t>Grinstein, A. and Kronrod, A. (2016). Does Sparing the Rod Spoil the Child? How Praising, Scolding, and an Assertive Tone Can Encourage Desired Behaviors. </w:t>
      </w:r>
      <w:r w:rsidRPr="001F43E0">
        <w:rPr>
          <w:rFonts w:ascii="Arial" w:hAnsi="Arial" w:cs="Arial"/>
          <w:i/>
          <w:iCs/>
          <w:color w:val="000000"/>
          <w:sz w:val="22"/>
          <w:szCs w:val="22"/>
          <w:lang w:eastAsia="en-GB"/>
        </w:rPr>
        <w:t>Journal of Marketing Research</w:t>
      </w:r>
      <w:r w:rsidRPr="001F43E0">
        <w:rPr>
          <w:rFonts w:ascii="Arial" w:hAnsi="Arial" w:cs="Arial"/>
          <w:color w:val="000000"/>
          <w:sz w:val="22"/>
          <w:szCs w:val="22"/>
          <w:lang w:eastAsia="en-GB"/>
        </w:rPr>
        <w:t>, [online] 53(3), pp.433-441. Available at: https://journals-sagepub-com.ezproxy.uwtsd.ac.uk/doi/pdf/10.1509/jmr.14.0224 [Accessed 12 Oct. 2019].</w:t>
      </w:r>
    </w:p>
    <w:p w14:paraId="03A65687" w14:textId="77777777" w:rsidR="00435D56" w:rsidRPr="001F43E0" w:rsidRDefault="00435D56" w:rsidP="001F43E0">
      <w:pPr>
        <w:pStyle w:val="NormalWeb"/>
        <w:shd w:val="clear" w:color="auto" w:fill="FFFFFF"/>
        <w:spacing w:before="0" w:beforeAutospacing="0" w:after="180" w:afterAutospacing="0" w:line="360" w:lineRule="auto"/>
        <w:ind w:left="450" w:hanging="450"/>
        <w:jc w:val="both"/>
        <w:rPr>
          <w:rFonts w:ascii="Arial" w:hAnsi="Arial" w:cs="Arial"/>
          <w:color w:val="000000"/>
          <w:sz w:val="22"/>
          <w:szCs w:val="22"/>
        </w:rPr>
      </w:pPr>
      <w:r w:rsidRPr="001F43E0">
        <w:rPr>
          <w:rFonts w:ascii="Arial" w:hAnsi="Arial" w:cs="Arial"/>
          <w:color w:val="000000"/>
          <w:sz w:val="22"/>
          <w:szCs w:val="22"/>
        </w:rPr>
        <w:t>Gundersen, S. and McKay, M. (2019). Reward or punishment? An examination of the relationship between teacher and parent behavior and test scores in the Gambia.</w:t>
      </w:r>
      <w:r w:rsidRPr="001F43E0">
        <w:rPr>
          <w:rStyle w:val="apple-converted-space"/>
          <w:rFonts w:ascii="Arial" w:hAnsi="Arial" w:cs="Arial"/>
          <w:color w:val="000000"/>
          <w:sz w:val="22"/>
          <w:szCs w:val="22"/>
        </w:rPr>
        <w:t> </w:t>
      </w:r>
      <w:r w:rsidRPr="001F43E0">
        <w:rPr>
          <w:rFonts w:ascii="Arial" w:hAnsi="Arial" w:cs="Arial"/>
          <w:i/>
          <w:iCs/>
          <w:color w:val="000000"/>
          <w:sz w:val="22"/>
          <w:szCs w:val="22"/>
        </w:rPr>
        <w:t>International Journal of Educational Development</w:t>
      </w:r>
      <w:r w:rsidRPr="001F43E0">
        <w:rPr>
          <w:rFonts w:ascii="Arial" w:hAnsi="Arial" w:cs="Arial"/>
          <w:color w:val="000000"/>
          <w:sz w:val="22"/>
          <w:szCs w:val="22"/>
        </w:rPr>
        <w:t>, [online] 68, pp.20-34. Available at: https://pdf.sciencedirectassets.com/271756/1-s2.0-S0738059319X00048/1-s2.0-S0738059318302049/main.pdf?X-Amz-Security-Token=AgoJb3JpZ2luX2VjECMaCXVzLWVhc3QtMSJHMEUCIQCo4scHzY5aWMUY3itQfL%2F2UMi8XUDJlhNcRAfWGwYhKgIgUkMxSrGezmEgEI9c42AFlop8XVBShTbm6oNEJrydsnwq2gMIHBACGgwwNTkwMDM1NDY4NjUiDOJNBWILbLXIZJ4jgiq3A%2F%2B66Ui849akqEZybxt3BPzEbocPQo610jTUgD6q5aL09ue%2BqeJBr41qnkLF5BKEnOMlbgdycFiFca1K6qflLrbV0h4IS2Lw3Ix2xAPBzuK0RIueCLmvmj%2F4KjRfuaOWwD6NGpdA8jCB4bHXNqsy7UtRUS6w%2B6PY444xrXTDsTvhBY62lBEX%2F4fli8QUYEaTbRm763qIH8WCzaFVTIoQ4AdjxVNw4wxNZdhc%2BO9pSFbsokZcWombr%2FAQRU9OUpjJz90EnbmtX44%2BYfElz2FRZacrAPJ89yvTbOhibOwWVQ5LipwUcsBJdkHX25CytZ%2BGK6TqHl6IaqnrmRBNDyiQMfffLhXrSta3iqM1e8FFeP%2FA2HbONBBBTkso7nf0dkGBICCTE7D1m43BaszCFvfu7%2FJUEgCVzDvqNs5EWoT5%2Fgs3Ss9KBrIsG5K62Ggk8n9xCM8%2BXd4YQbnU7AFPFuCSExjfieC5TBZkQRIpp7yz1cTk%2FpjKVG%2BNGA11FX5BBIBRIwj7dBR3qdHU%2FMBxMkhV4yXpcUJM5Kl%2BPSQeWEV8nejH9YGAzfi96ntrJsO47dGtlapw0Pksz4Mw%2FNuN7QU6tAGcNvb%2B411kbId4ZXiqPcvc%2B8%2FHiu5N%2Frj%2FgMQjjJjxU9Gj4w7nY7VEqqDhzR56KEELpc4TNnnyPQkZXYHRGtO23fUtL2Wi5UpkJ9Y96DGOtCAtVMqYQv0%2B7%2B%2Bb5H8e2KeOEjPqzr8YLQXwzEBQX9u9DR%2FlQThbKAZxoJwaHaUZ4r1fhgXgAXK7vBFfav2%2FR2hMkrQdhCHLoLlysWxb8I1eZ7Qr%2F0PVWQmusOhp3eOXDksehqM%3D&amp;X-Amz-Algorithm=AWS4-HMAC-SHA256&amp;X-Amz-Date=20191013T195540Z&amp;X-Amz-SignedHeaders=host&amp;X-Amz-Expires=300&amp;X-Amz-Credential=ASIAQ3PHCVTYUHYXXRIV%2F20191013%2Fus-east-1%2Fs3%2Faws4_request&amp;X-Amz-Signature=50ce5d33da8d6ad69e4401b4f4d5ec4a1d6d819b410b7f7e5b33f3be311736cd&amp;hash=795ab84884d69b54707c0bd10868a93ee13a545eb0ca05bea837dd9ae72a1887&amp;host=68042c943591013ac2b2430a89b270f6af2c76d8dfd086a07176afe7c76c2c61&amp;pii=S0738059318302049&amp;tid=spdf-769f7d50-5efd-409e-ae48-b94f07745533&amp;sid=dc033cc73f82d0486a98eb05ba81afeaccc8gxrqb&amp;type=client [Accessed 15 Oct. 2019].</w:t>
      </w:r>
    </w:p>
    <w:p w14:paraId="1F522960" w14:textId="77777777" w:rsidR="00435D56" w:rsidRPr="001F43E0" w:rsidRDefault="00435D56" w:rsidP="001F43E0">
      <w:pPr>
        <w:pStyle w:val="NormalWeb"/>
        <w:shd w:val="clear" w:color="auto" w:fill="FFFFFF"/>
        <w:spacing w:before="0" w:beforeAutospacing="0" w:after="180" w:afterAutospacing="0" w:line="360" w:lineRule="auto"/>
        <w:ind w:left="450" w:hanging="450"/>
        <w:jc w:val="both"/>
        <w:rPr>
          <w:rFonts w:ascii="Arial" w:hAnsi="Arial" w:cs="Arial"/>
          <w:color w:val="000000"/>
          <w:sz w:val="22"/>
          <w:szCs w:val="22"/>
        </w:rPr>
      </w:pPr>
      <w:r w:rsidRPr="001F43E0">
        <w:rPr>
          <w:rFonts w:ascii="Arial" w:hAnsi="Arial" w:cs="Arial"/>
          <w:color w:val="000000"/>
          <w:sz w:val="22"/>
          <w:szCs w:val="22"/>
        </w:rPr>
        <w:t>Gunderson, E., Sorhagen, N., Gripshover, S., Dweck, C., Goldin-Meadow, S. and Levine, S. (2018). Parent praise to toddlers predicts fourth grade academic achievement via children’s incremental mindsets.</w:t>
      </w:r>
      <w:r w:rsidRPr="001F43E0">
        <w:rPr>
          <w:rStyle w:val="apple-converted-space"/>
          <w:rFonts w:ascii="Arial" w:hAnsi="Arial" w:cs="Arial"/>
          <w:color w:val="000000"/>
          <w:sz w:val="22"/>
          <w:szCs w:val="22"/>
        </w:rPr>
        <w:t> </w:t>
      </w:r>
      <w:r w:rsidRPr="001F43E0">
        <w:rPr>
          <w:rFonts w:ascii="Arial" w:hAnsi="Arial" w:cs="Arial"/>
          <w:i/>
          <w:iCs/>
          <w:color w:val="000000"/>
          <w:sz w:val="22"/>
          <w:szCs w:val="22"/>
        </w:rPr>
        <w:t>Developmental Psychology</w:t>
      </w:r>
      <w:r w:rsidRPr="001F43E0">
        <w:rPr>
          <w:rFonts w:ascii="Arial" w:hAnsi="Arial" w:cs="Arial"/>
          <w:color w:val="000000"/>
          <w:sz w:val="22"/>
          <w:szCs w:val="22"/>
        </w:rPr>
        <w:t>, [online] 54(3), pp.397-409. Available at: https://web-a-ebscohost-com.ezproxy.uwtsd.ac.uk/ehost/results?vid=0&amp;sid=c66ef068-d92c-4587-9f4a-fa98fdb5e96b%40sessionmgr4006&amp;bquery=%28SO%2B%28Developmental%2BPsychology%29%29AND%28DT%2B2018%29AND%28TI%2Bparent%2Bpraise%2Bto%2Btoddlers%2Bpredicts%2Bfourth%2Bgrade%2Bacademic%2Bachievement%2Bvia%2Bchildren%25e2%2580%2599s%2Bincremental%2Bmindsets%29&amp;bdata=JmRiPXBkaCZ0eXBlPTEmc2VhcmNoTW9kZT1TdGFuZGFyZCZzaXRlPWVob3N0LWxpdmU%3d [Accessed 7 Oct. 2019].</w:t>
      </w:r>
    </w:p>
    <w:p w14:paraId="2E0A016C" w14:textId="77777777" w:rsidR="00435D56" w:rsidRPr="001F43E0" w:rsidRDefault="00435D56" w:rsidP="001F43E0">
      <w:pPr>
        <w:shd w:val="clear" w:color="auto" w:fill="FFFFFF"/>
        <w:spacing w:after="180" w:line="360" w:lineRule="auto"/>
        <w:ind w:left="450" w:hanging="450"/>
        <w:jc w:val="both"/>
        <w:rPr>
          <w:rFonts w:ascii="Arial" w:hAnsi="Arial" w:cs="Arial"/>
          <w:color w:val="000000"/>
          <w:sz w:val="22"/>
          <w:szCs w:val="22"/>
          <w:lang w:eastAsia="en-GB"/>
        </w:rPr>
      </w:pPr>
      <w:r w:rsidRPr="001F43E0">
        <w:rPr>
          <w:rFonts w:ascii="Arial" w:hAnsi="Arial" w:cs="Arial"/>
          <w:color w:val="000000"/>
          <w:sz w:val="22"/>
          <w:szCs w:val="22"/>
          <w:lang w:eastAsia="en-GB"/>
        </w:rPr>
        <w:t>Henderlong, J. and Lepper, M. (2002). The effects of praise on children's intrinsic motivation: A review and synthesis. </w:t>
      </w:r>
      <w:r w:rsidRPr="001F43E0">
        <w:rPr>
          <w:rFonts w:ascii="Arial" w:hAnsi="Arial" w:cs="Arial"/>
          <w:i/>
          <w:iCs/>
          <w:color w:val="000000"/>
          <w:sz w:val="22"/>
          <w:szCs w:val="22"/>
          <w:lang w:eastAsia="en-GB"/>
        </w:rPr>
        <w:t>Psychological Bulletin</w:t>
      </w:r>
      <w:r w:rsidRPr="001F43E0">
        <w:rPr>
          <w:rFonts w:ascii="Arial" w:hAnsi="Arial" w:cs="Arial"/>
          <w:color w:val="000000"/>
          <w:sz w:val="22"/>
          <w:szCs w:val="22"/>
          <w:lang w:eastAsia="en-GB"/>
        </w:rPr>
        <w:t>, [online] 128(5). Available at: https://web-b-ebscohost-com.ezproxy.uwtsd.ac.uk/ehost/detail/detail?vid=0&amp;sid=7be8056e-3d8a-473e-a06d-675cc20acabb%40sessionmgr101&amp;bdata=JnNpdGU9ZWhvc3QtbGl2ZQ%3d%3d#AN=2002-15487-005&amp;db=pdh [Accessed 9 Oct. 2019].</w:t>
      </w:r>
    </w:p>
    <w:p w14:paraId="50E552E4" w14:textId="77777777" w:rsidR="00435D56" w:rsidRPr="001F43E0" w:rsidRDefault="00435D56" w:rsidP="001F43E0">
      <w:pPr>
        <w:shd w:val="clear" w:color="auto" w:fill="FFFFFF"/>
        <w:spacing w:after="180" w:line="360" w:lineRule="auto"/>
        <w:ind w:left="450" w:hanging="450"/>
        <w:jc w:val="both"/>
        <w:rPr>
          <w:rFonts w:ascii="Arial" w:hAnsi="Arial" w:cs="Arial"/>
          <w:color w:val="000000"/>
          <w:sz w:val="22"/>
          <w:szCs w:val="22"/>
          <w:lang w:eastAsia="en-GB"/>
        </w:rPr>
      </w:pPr>
      <w:r w:rsidRPr="001F43E0">
        <w:rPr>
          <w:rFonts w:ascii="Arial" w:hAnsi="Arial" w:cs="Arial"/>
          <w:color w:val="000000"/>
          <w:sz w:val="22"/>
          <w:szCs w:val="22"/>
          <w:lang w:eastAsia="en-GB"/>
        </w:rPr>
        <w:t>Hodgman, M. (2014). Student Praise in the Modern Classroom: The Use of Praise Notes as a Productive Motivational Tool. </w:t>
      </w:r>
      <w:r w:rsidRPr="001F43E0">
        <w:rPr>
          <w:rFonts w:ascii="Arial" w:hAnsi="Arial" w:cs="Arial"/>
          <w:i/>
          <w:iCs/>
          <w:color w:val="000000"/>
          <w:sz w:val="22"/>
          <w:szCs w:val="22"/>
          <w:lang w:eastAsia="en-GB"/>
        </w:rPr>
        <w:t>Journal of Education and Training</w:t>
      </w:r>
      <w:r w:rsidRPr="001F43E0">
        <w:rPr>
          <w:rFonts w:ascii="Arial" w:hAnsi="Arial" w:cs="Arial"/>
          <w:color w:val="000000"/>
          <w:sz w:val="22"/>
          <w:szCs w:val="22"/>
          <w:lang w:eastAsia="en-GB"/>
        </w:rPr>
        <w:t>, [online] 2(1). Available at: http://Macrothink Institute [Accessed 11 Oct. 2019].</w:t>
      </w:r>
    </w:p>
    <w:p w14:paraId="08A9D9AF" w14:textId="77777777" w:rsidR="00435D56" w:rsidRPr="001F43E0" w:rsidRDefault="00435D56" w:rsidP="001F43E0">
      <w:pPr>
        <w:pStyle w:val="NormalWeb"/>
        <w:shd w:val="clear" w:color="auto" w:fill="FFFFFF"/>
        <w:spacing w:before="0" w:beforeAutospacing="0" w:after="180" w:afterAutospacing="0" w:line="360" w:lineRule="auto"/>
        <w:ind w:left="450" w:hanging="450"/>
        <w:jc w:val="both"/>
        <w:rPr>
          <w:rFonts w:ascii="Arial" w:hAnsi="Arial" w:cs="Arial"/>
          <w:color w:val="000000"/>
          <w:sz w:val="22"/>
          <w:szCs w:val="22"/>
        </w:rPr>
      </w:pPr>
      <w:r w:rsidRPr="001F43E0">
        <w:rPr>
          <w:rFonts w:ascii="Arial" w:hAnsi="Arial" w:cs="Arial"/>
          <w:color w:val="000000"/>
          <w:sz w:val="22"/>
          <w:szCs w:val="22"/>
        </w:rPr>
        <w:t>Jamsek, M. (2017). Growth Mindset in Preschool.</w:t>
      </w:r>
      <w:r w:rsidRPr="001F43E0">
        <w:rPr>
          <w:rStyle w:val="apple-converted-space"/>
          <w:rFonts w:ascii="Arial" w:hAnsi="Arial" w:cs="Arial"/>
          <w:color w:val="000000"/>
          <w:sz w:val="22"/>
          <w:szCs w:val="22"/>
        </w:rPr>
        <w:t> </w:t>
      </w:r>
      <w:r w:rsidRPr="001F43E0">
        <w:rPr>
          <w:rFonts w:ascii="Arial" w:hAnsi="Arial" w:cs="Arial"/>
          <w:i/>
          <w:iCs/>
          <w:color w:val="000000"/>
          <w:sz w:val="22"/>
          <w:szCs w:val="22"/>
        </w:rPr>
        <w:t>Teaching Young Children</w:t>
      </w:r>
      <w:r w:rsidRPr="001F43E0">
        <w:rPr>
          <w:rFonts w:ascii="Arial" w:hAnsi="Arial" w:cs="Arial"/>
          <w:color w:val="000000"/>
          <w:sz w:val="22"/>
          <w:szCs w:val="22"/>
        </w:rPr>
        <w:t>. [online] Available at: https://web-a-ebscohost-com.ezproxy.uwtsd.ac.uk/ehost/pdfviewer/pdfviewer?vid=1&amp;sid=de5c055c-5abd-43c3-b565-630598db2b91%40sessionmgr4008 [Accessed 21 Oct. 2019].</w:t>
      </w:r>
    </w:p>
    <w:p w14:paraId="7710D4C7" w14:textId="77777777" w:rsidR="00435D56" w:rsidRPr="001F43E0" w:rsidRDefault="00435D56" w:rsidP="001F43E0">
      <w:pPr>
        <w:spacing w:line="360" w:lineRule="auto"/>
        <w:jc w:val="both"/>
        <w:rPr>
          <w:rFonts w:ascii="Arial" w:hAnsi="Arial" w:cs="Arial"/>
          <w:sz w:val="22"/>
          <w:szCs w:val="22"/>
        </w:rPr>
      </w:pPr>
      <w:r w:rsidRPr="001F43E0">
        <w:rPr>
          <w:rFonts w:ascii="Arial" w:hAnsi="Arial" w:cs="Arial"/>
          <w:sz w:val="22"/>
          <w:szCs w:val="22"/>
        </w:rPr>
        <w:t>Kemp, J. (2008). </w:t>
      </w:r>
      <w:r w:rsidRPr="001F43E0">
        <w:rPr>
          <w:rFonts w:ascii="Arial" w:hAnsi="Arial" w:cs="Arial"/>
          <w:i/>
          <w:iCs/>
          <w:sz w:val="22"/>
          <w:szCs w:val="22"/>
        </w:rPr>
        <w:t>Driving children from distraction</w:t>
      </w:r>
      <w:r w:rsidRPr="001F43E0">
        <w:rPr>
          <w:rFonts w:ascii="Arial" w:hAnsi="Arial" w:cs="Arial"/>
          <w:sz w:val="22"/>
          <w:szCs w:val="22"/>
        </w:rPr>
        <w:t>. [online] The Guardian. Available at: https://www.theguardian.com/education/2008/feb/26/teaching.schools1 [Accessed 19 Oct. 2019].</w:t>
      </w:r>
    </w:p>
    <w:p w14:paraId="22CD1798" w14:textId="77777777" w:rsidR="001F43E0" w:rsidRPr="001F43E0" w:rsidRDefault="001F43E0" w:rsidP="001F43E0">
      <w:pPr>
        <w:spacing w:line="360" w:lineRule="auto"/>
        <w:jc w:val="both"/>
        <w:rPr>
          <w:rFonts w:ascii="Arial" w:hAnsi="Arial" w:cs="Arial"/>
          <w:sz w:val="22"/>
          <w:szCs w:val="22"/>
        </w:rPr>
      </w:pPr>
    </w:p>
    <w:p w14:paraId="5BBFDE10" w14:textId="77777777" w:rsidR="00435D56" w:rsidRPr="001F43E0" w:rsidRDefault="00435D56" w:rsidP="001F43E0">
      <w:pPr>
        <w:spacing w:line="360" w:lineRule="auto"/>
        <w:jc w:val="both"/>
        <w:rPr>
          <w:rFonts w:ascii="Arial" w:hAnsi="Arial" w:cs="Arial"/>
          <w:sz w:val="22"/>
          <w:szCs w:val="22"/>
        </w:rPr>
      </w:pPr>
      <w:r w:rsidRPr="001F43E0">
        <w:rPr>
          <w:rFonts w:ascii="Arial" w:hAnsi="Arial" w:cs="Arial"/>
          <w:sz w:val="22"/>
          <w:szCs w:val="22"/>
        </w:rPr>
        <w:t>Lin, K., Chen, N. and Fang, K. (2011). Understanding e-learning continuance intention: a negative critical incidents perspective. </w:t>
      </w:r>
      <w:r w:rsidRPr="001F43E0">
        <w:rPr>
          <w:rFonts w:ascii="Arial" w:hAnsi="Arial" w:cs="Arial"/>
          <w:i/>
          <w:iCs/>
          <w:sz w:val="22"/>
          <w:szCs w:val="22"/>
        </w:rPr>
        <w:t>Behaviour &amp; Information Technology</w:t>
      </w:r>
      <w:r w:rsidRPr="001F43E0">
        <w:rPr>
          <w:rFonts w:ascii="Arial" w:hAnsi="Arial" w:cs="Arial"/>
          <w:sz w:val="22"/>
          <w:szCs w:val="22"/>
        </w:rPr>
        <w:t>, [online] 30(1), pp.77-89. Available at: https://web-a-ebscohost-com.ezproxy.uwtsd.ac.uk/ehost/detail/detail?vid=0&amp;sid=926e7302-88e4-4fb1-974a-e5a622d4c1b2%40sdc-v-sessmgr03&amp;bdata=JnNpdGU9ZWhvc3QtbGl2ZQ%3d%3d#AN=57774264&amp;db=bth [Accessed 17 Oct. 2019].</w:t>
      </w:r>
    </w:p>
    <w:p w14:paraId="310EE97A" w14:textId="77777777" w:rsidR="001F43E0" w:rsidRPr="001F43E0" w:rsidRDefault="001F43E0" w:rsidP="001F43E0">
      <w:pPr>
        <w:spacing w:line="360" w:lineRule="auto"/>
        <w:jc w:val="both"/>
        <w:rPr>
          <w:rFonts w:ascii="Arial" w:hAnsi="Arial" w:cs="Arial"/>
          <w:sz w:val="22"/>
          <w:szCs w:val="22"/>
        </w:rPr>
      </w:pPr>
    </w:p>
    <w:p w14:paraId="6AB6EABF" w14:textId="77777777" w:rsidR="00435D56" w:rsidRPr="001F43E0" w:rsidRDefault="00435D56" w:rsidP="001F43E0">
      <w:pPr>
        <w:spacing w:line="360" w:lineRule="auto"/>
        <w:jc w:val="both"/>
        <w:rPr>
          <w:rFonts w:ascii="Arial" w:hAnsi="Arial" w:cs="Arial"/>
          <w:sz w:val="22"/>
          <w:szCs w:val="22"/>
        </w:rPr>
      </w:pPr>
      <w:r w:rsidRPr="001F43E0">
        <w:rPr>
          <w:rFonts w:ascii="Arial" w:hAnsi="Arial" w:cs="Arial"/>
          <w:sz w:val="22"/>
          <w:szCs w:val="22"/>
        </w:rPr>
        <w:t>Lishman, J. (2015). </w:t>
      </w:r>
      <w:r w:rsidRPr="001F43E0">
        <w:rPr>
          <w:rFonts w:ascii="Arial" w:hAnsi="Arial" w:cs="Arial"/>
          <w:i/>
          <w:iCs/>
          <w:sz w:val="22"/>
          <w:szCs w:val="22"/>
        </w:rPr>
        <w:t>Handbook for Practice Learning in Social Work and Social Care</w:t>
      </w:r>
      <w:r w:rsidRPr="001F43E0">
        <w:rPr>
          <w:rFonts w:ascii="Arial" w:hAnsi="Arial" w:cs="Arial"/>
          <w:sz w:val="22"/>
          <w:szCs w:val="22"/>
        </w:rPr>
        <w:t>. [online] Journals.rgu.ac.uk. Available at: https://journals.rgu.ac.uk/communicare/article/view/107 [Accessed 21 Oct. 2019].</w:t>
      </w:r>
    </w:p>
    <w:p w14:paraId="241FBD32" w14:textId="77777777" w:rsidR="001F43E0" w:rsidRPr="001F43E0" w:rsidRDefault="001F43E0" w:rsidP="001F43E0">
      <w:pPr>
        <w:shd w:val="clear" w:color="auto" w:fill="FFFFFF"/>
        <w:spacing w:after="180" w:line="360" w:lineRule="auto"/>
        <w:ind w:left="450" w:hanging="450"/>
        <w:jc w:val="both"/>
        <w:rPr>
          <w:rFonts w:ascii="Arial" w:hAnsi="Arial" w:cs="Arial"/>
          <w:color w:val="000000"/>
          <w:sz w:val="22"/>
          <w:szCs w:val="22"/>
          <w:lang w:eastAsia="en-GB"/>
        </w:rPr>
      </w:pPr>
    </w:p>
    <w:p w14:paraId="0658808D" w14:textId="77777777" w:rsidR="00435D56" w:rsidRPr="001F43E0" w:rsidRDefault="00435D56" w:rsidP="001F43E0">
      <w:pPr>
        <w:shd w:val="clear" w:color="auto" w:fill="FFFFFF"/>
        <w:spacing w:after="180" w:line="360" w:lineRule="auto"/>
        <w:ind w:left="450" w:hanging="450"/>
        <w:jc w:val="both"/>
        <w:rPr>
          <w:rFonts w:ascii="Arial" w:hAnsi="Arial" w:cs="Arial"/>
          <w:color w:val="000000"/>
          <w:sz w:val="22"/>
          <w:szCs w:val="22"/>
          <w:lang w:eastAsia="en-GB"/>
        </w:rPr>
      </w:pPr>
      <w:r w:rsidRPr="001F43E0">
        <w:rPr>
          <w:rFonts w:ascii="Arial" w:hAnsi="Arial" w:cs="Arial"/>
          <w:color w:val="000000"/>
          <w:sz w:val="22"/>
          <w:szCs w:val="22"/>
          <w:lang w:eastAsia="en-GB"/>
        </w:rPr>
        <w:t>Luff, P., Gill, J. and Papatheodorou, T. (2011). </w:t>
      </w:r>
      <w:r w:rsidRPr="001F43E0">
        <w:rPr>
          <w:rFonts w:ascii="Arial" w:hAnsi="Arial" w:cs="Arial"/>
          <w:i/>
          <w:iCs/>
          <w:color w:val="000000"/>
          <w:sz w:val="22"/>
          <w:szCs w:val="22"/>
          <w:lang w:eastAsia="en-GB"/>
        </w:rPr>
        <w:t>Child Observation for Learning and Research</w:t>
      </w:r>
      <w:r w:rsidRPr="001F43E0">
        <w:rPr>
          <w:rFonts w:ascii="Arial" w:hAnsi="Arial" w:cs="Arial"/>
          <w:color w:val="000000"/>
          <w:sz w:val="22"/>
          <w:szCs w:val="22"/>
          <w:lang w:eastAsia="en-GB"/>
        </w:rPr>
        <w:t>. 1st ed. [ebook] Oxford: Routledge. Available at: https://www-dawsonera-com.ezproxy.uwtsd.ac.uk/abstract/9781408262368 [Accessed 13 Oct. 2019].</w:t>
      </w:r>
    </w:p>
    <w:p w14:paraId="70A9F2C4" w14:textId="77777777" w:rsidR="001F43E0" w:rsidRPr="001F43E0" w:rsidRDefault="001F43E0" w:rsidP="001F43E0">
      <w:pPr>
        <w:spacing w:line="360" w:lineRule="auto"/>
        <w:jc w:val="both"/>
        <w:rPr>
          <w:rFonts w:ascii="Arial" w:hAnsi="Arial" w:cs="Arial"/>
          <w:sz w:val="22"/>
          <w:szCs w:val="22"/>
        </w:rPr>
      </w:pPr>
    </w:p>
    <w:p w14:paraId="0C484890" w14:textId="77777777" w:rsidR="00435D56" w:rsidRPr="001F43E0" w:rsidRDefault="00435D56" w:rsidP="001F43E0">
      <w:pPr>
        <w:spacing w:line="360" w:lineRule="auto"/>
        <w:jc w:val="both"/>
        <w:rPr>
          <w:rFonts w:ascii="Arial" w:hAnsi="Arial" w:cs="Arial"/>
          <w:sz w:val="22"/>
          <w:szCs w:val="22"/>
        </w:rPr>
      </w:pPr>
      <w:r w:rsidRPr="001F43E0">
        <w:rPr>
          <w:rFonts w:ascii="Arial" w:hAnsi="Arial" w:cs="Arial"/>
          <w:sz w:val="22"/>
          <w:szCs w:val="22"/>
        </w:rPr>
        <w:t>Madsen, C., Becker, W. and Thomas, D. (1968). Rules, praise, and ignoring: elements of elementary classroom control1. </w:t>
      </w:r>
      <w:r w:rsidRPr="001F43E0">
        <w:rPr>
          <w:rFonts w:ascii="Arial" w:hAnsi="Arial" w:cs="Arial"/>
          <w:i/>
          <w:iCs/>
          <w:sz w:val="22"/>
          <w:szCs w:val="22"/>
        </w:rPr>
        <w:t>Journal of Applied Behavior Analysis</w:t>
      </w:r>
      <w:r w:rsidRPr="001F43E0">
        <w:rPr>
          <w:rFonts w:ascii="Arial" w:hAnsi="Arial" w:cs="Arial"/>
          <w:sz w:val="22"/>
          <w:szCs w:val="22"/>
        </w:rPr>
        <w:t>, [online] 1(2). Available at: https://www.ncbi.nlm.nih.gov/pmc/articles/PMC1310990/pdf/jaba00084-0043.pdf [Accessed 10 Oct. 2019].</w:t>
      </w:r>
    </w:p>
    <w:p w14:paraId="42D32D9B" w14:textId="77777777" w:rsidR="001F43E0" w:rsidRPr="001F43E0" w:rsidRDefault="001F43E0" w:rsidP="001F43E0">
      <w:pPr>
        <w:shd w:val="clear" w:color="auto" w:fill="FFFFFF"/>
        <w:spacing w:after="180" w:line="360" w:lineRule="auto"/>
        <w:ind w:left="450" w:hanging="450"/>
        <w:jc w:val="both"/>
        <w:rPr>
          <w:rFonts w:ascii="Arial" w:hAnsi="Arial" w:cs="Arial"/>
          <w:color w:val="000000"/>
          <w:sz w:val="22"/>
          <w:szCs w:val="22"/>
          <w:lang w:eastAsia="en-GB"/>
        </w:rPr>
      </w:pPr>
    </w:p>
    <w:p w14:paraId="4C147DA6" w14:textId="77777777" w:rsidR="00435D56" w:rsidRPr="001F43E0" w:rsidRDefault="00435D56" w:rsidP="001F43E0">
      <w:pPr>
        <w:shd w:val="clear" w:color="auto" w:fill="FFFFFF"/>
        <w:spacing w:after="180" w:line="360" w:lineRule="auto"/>
        <w:ind w:left="450" w:hanging="450"/>
        <w:jc w:val="both"/>
        <w:rPr>
          <w:rFonts w:ascii="Arial" w:hAnsi="Arial" w:cs="Arial"/>
          <w:color w:val="000000"/>
          <w:sz w:val="22"/>
          <w:szCs w:val="22"/>
          <w:lang w:eastAsia="en-GB"/>
        </w:rPr>
      </w:pPr>
      <w:r w:rsidRPr="001F43E0">
        <w:rPr>
          <w:rFonts w:ascii="Arial" w:hAnsi="Arial" w:cs="Arial"/>
          <w:color w:val="000000"/>
          <w:sz w:val="22"/>
          <w:szCs w:val="22"/>
          <w:lang w:eastAsia="en-GB"/>
        </w:rPr>
        <w:t>Morgan, N. (2011). </w:t>
      </w:r>
      <w:r w:rsidRPr="001F43E0">
        <w:rPr>
          <w:rFonts w:ascii="Arial" w:hAnsi="Arial" w:cs="Arial"/>
          <w:i/>
          <w:iCs/>
          <w:color w:val="000000"/>
          <w:sz w:val="22"/>
          <w:szCs w:val="22"/>
          <w:lang w:eastAsia="en-GB"/>
        </w:rPr>
        <w:t>A kit bag for promoting positive behaviour in the classroom</w:t>
      </w:r>
      <w:r w:rsidRPr="001F43E0">
        <w:rPr>
          <w:rFonts w:ascii="Arial" w:hAnsi="Arial" w:cs="Arial"/>
          <w:color w:val="000000"/>
          <w:sz w:val="22"/>
          <w:szCs w:val="22"/>
          <w:lang w:eastAsia="en-GB"/>
        </w:rPr>
        <w:t>. 1st ed. [ebook] London: Jessica Kingsley Publishers. Available at: https://www-dawsonera-com.ezproxy.uwtsd.ac.uk/abstract/9780857004666 [Accessed 14 Oct. 2019].</w:t>
      </w:r>
    </w:p>
    <w:p w14:paraId="3A897C6F" w14:textId="77777777" w:rsidR="001F43E0" w:rsidRPr="001F43E0" w:rsidRDefault="001F43E0" w:rsidP="001F43E0">
      <w:pPr>
        <w:shd w:val="clear" w:color="auto" w:fill="FFFFFF"/>
        <w:spacing w:after="180" w:line="360" w:lineRule="auto"/>
        <w:ind w:left="450" w:hanging="450"/>
        <w:jc w:val="both"/>
        <w:rPr>
          <w:rFonts w:ascii="Arial" w:hAnsi="Arial" w:cs="Arial"/>
          <w:color w:val="000000"/>
          <w:sz w:val="22"/>
          <w:szCs w:val="22"/>
          <w:lang w:eastAsia="en-GB"/>
        </w:rPr>
      </w:pPr>
    </w:p>
    <w:p w14:paraId="49253221" w14:textId="77777777" w:rsidR="00435D56" w:rsidRPr="001F43E0" w:rsidRDefault="00435D56" w:rsidP="001F43E0">
      <w:pPr>
        <w:shd w:val="clear" w:color="auto" w:fill="FFFFFF"/>
        <w:spacing w:after="180" w:line="360" w:lineRule="auto"/>
        <w:ind w:left="450" w:hanging="450"/>
        <w:jc w:val="both"/>
        <w:rPr>
          <w:rFonts w:ascii="Arial" w:hAnsi="Arial" w:cs="Arial"/>
          <w:color w:val="000000"/>
          <w:sz w:val="22"/>
          <w:szCs w:val="22"/>
          <w:lang w:eastAsia="en-GB"/>
        </w:rPr>
      </w:pPr>
      <w:r w:rsidRPr="001F43E0">
        <w:rPr>
          <w:rFonts w:ascii="Arial" w:hAnsi="Arial" w:cs="Arial"/>
          <w:color w:val="000000"/>
          <w:sz w:val="22"/>
          <w:szCs w:val="22"/>
          <w:lang w:eastAsia="en-GB"/>
        </w:rPr>
        <w:t>Murphy Jr, B. (2017). Science Says Praise Them Like This. (Most Parents Do the Opposite) Stop praising them for their innate or Godgiven abilities, and instead focus on their effort. </w:t>
      </w:r>
      <w:r w:rsidRPr="001F43E0">
        <w:rPr>
          <w:rFonts w:ascii="Arial" w:hAnsi="Arial" w:cs="Arial"/>
          <w:i/>
          <w:iCs/>
          <w:color w:val="000000"/>
          <w:sz w:val="22"/>
          <w:szCs w:val="22"/>
          <w:lang w:eastAsia="en-GB"/>
        </w:rPr>
        <w:t>ASCA Newsletter,</w:t>
      </w:r>
      <w:r w:rsidRPr="001F43E0">
        <w:rPr>
          <w:rFonts w:ascii="Arial" w:hAnsi="Arial" w:cs="Arial"/>
          <w:color w:val="000000"/>
          <w:sz w:val="22"/>
          <w:szCs w:val="22"/>
          <w:lang w:eastAsia="en-GB"/>
        </w:rPr>
        <w:t>, [online] (1). Available at: https://web-b-ebscohost-com.ezproxy.uwtsd.ac.uk/ehost/pdfviewer/pdfviewer?vid=1&amp;sid=3bb77cd1-fdd3-4191-be7a-f484491d96b1%40pdc-v-sessmgr03 [Accessed 11 Oct. 2019].</w:t>
      </w:r>
    </w:p>
    <w:p w14:paraId="3300FA40" w14:textId="77777777" w:rsidR="00435D56" w:rsidRPr="001F43E0" w:rsidRDefault="00435D56" w:rsidP="001F43E0">
      <w:pPr>
        <w:pStyle w:val="NormalWeb"/>
        <w:shd w:val="clear" w:color="auto" w:fill="FFFFFF"/>
        <w:spacing w:before="0" w:beforeAutospacing="0" w:after="180" w:afterAutospacing="0" w:line="360" w:lineRule="auto"/>
        <w:ind w:left="450" w:hanging="450"/>
        <w:jc w:val="both"/>
        <w:rPr>
          <w:rFonts w:ascii="Arial" w:hAnsi="Arial" w:cs="Arial"/>
          <w:color w:val="000000"/>
          <w:sz w:val="22"/>
          <w:szCs w:val="22"/>
        </w:rPr>
      </w:pPr>
      <w:r w:rsidRPr="001F43E0">
        <w:rPr>
          <w:rFonts w:ascii="Arial" w:hAnsi="Arial" w:cs="Arial"/>
          <w:color w:val="000000"/>
          <w:sz w:val="22"/>
          <w:szCs w:val="22"/>
        </w:rPr>
        <w:t>Musti-Rao, S. and Haydon, T. (2011). Strategies to Increase Behavior-Specific Teacher Praise in an Inclusive Environment.</w:t>
      </w:r>
      <w:r w:rsidRPr="001F43E0">
        <w:rPr>
          <w:rStyle w:val="apple-converted-space"/>
          <w:rFonts w:ascii="Arial" w:hAnsi="Arial" w:cs="Arial"/>
          <w:color w:val="000000"/>
          <w:sz w:val="22"/>
          <w:szCs w:val="22"/>
        </w:rPr>
        <w:t> </w:t>
      </w:r>
      <w:r w:rsidRPr="001F43E0">
        <w:rPr>
          <w:rFonts w:ascii="Arial" w:hAnsi="Arial" w:cs="Arial"/>
          <w:i/>
          <w:iCs/>
          <w:color w:val="000000"/>
          <w:sz w:val="22"/>
          <w:szCs w:val="22"/>
        </w:rPr>
        <w:t>Intervention in School and Clinic</w:t>
      </w:r>
      <w:r w:rsidRPr="001F43E0">
        <w:rPr>
          <w:rFonts w:ascii="Arial" w:hAnsi="Arial" w:cs="Arial"/>
          <w:color w:val="000000"/>
          <w:sz w:val="22"/>
          <w:szCs w:val="22"/>
        </w:rPr>
        <w:t>, [online] 47(2), pp.91-97. Available at: https://www.researchgate.net/publication/254108078_Strategies_to_Increase_Behavior-Specific_Teacher_Praise_in_an_Inclusive_Environment [Accessed 7 Oct. 2019].</w:t>
      </w:r>
    </w:p>
    <w:p w14:paraId="478D300F" w14:textId="77777777" w:rsidR="00435D56" w:rsidRPr="001F43E0" w:rsidRDefault="00435D56" w:rsidP="001F43E0">
      <w:pPr>
        <w:spacing w:line="360" w:lineRule="auto"/>
        <w:jc w:val="both"/>
        <w:rPr>
          <w:rFonts w:ascii="Arial" w:hAnsi="Arial" w:cs="Arial"/>
          <w:sz w:val="22"/>
          <w:szCs w:val="22"/>
        </w:rPr>
      </w:pPr>
      <w:r w:rsidRPr="001F43E0">
        <w:rPr>
          <w:rFonts w:ascii="Arial" w:hAnsi="Arial" w:cs="Arial"/>
          <w:sz w:val="22"/>
          <w:szCs w:val="22"/>
        </w:rPr>
        <w:t>Newman, S. (1999). Constructing and critiquing reflective practice. </w:t>
      </w:r>
      <w:r w:rsidRPr="001F43E0">
        <w:rPr>
          <w:rFonts w:ascii="Arial" w:hAnsi="Arial" w:cs="Arial"/>
          <w:i/>
          <w:iCs/>
          <w:sz w:val="22"/>
          <w:szCs w:val="22"/>
        </w:rPr>
        <w:t>Educational Action Research</w:t>
      </w:r>
      <w:r w:rsidRPr="001F43E0">
        <w:rPr>
          <w:rFonts w:ascii="Arial" w:hAnsi="Arial" w:cs="Arial"/>
          <w:sz w:val="22"/>
          <w:szCs w:val="22"/>
        </w:rPr>
        <w:t>, [online] 7(1). Available at: https://www.tandfonline.com/doi/pdf/10.1080/09650799900200081 [Accessed 9 Oct. 2019].</w:t>
      </w:r>
    </w:p>
    <w:p w14:paraId="47778218" w14:textId="77777777" w:rsidR="001F43E0" w:rsidRPr="001F43E0" w:rsidRDefault="001F43E0" w:rsidP="001F43E0">
      <w:pPr>
        <w:spacing w:line="360" w:lineRule="auto"/>
        <w:jc w:val="both"/>
        <w:rPr>
          <w:rFonts w:ascii="Arial" w:hAnsi="Arial" w:cs="Arial"/>
          <w:sz w:val="22"/>
          <w:szCs w:val="22"/>
        </w:rPr>
      </w:pPr>
    </w:p>
    <w:p w14:paraId="0E797BE1" w14:textId="77777777" w:rsidR="00435D56" w:rsidRPr="001F43E0" w:rsidRDefault="00435D56" w:rsidP="001F43E0">
      <w:pPr>
        <w:spacing w:line="360" w:lineRule="auto"/>
        <w:jc w:val="both"/>
        <w:rPr>
          <w:rFonts w:ascii="Arial" w:hAnsi="Arial" w:cs="Arial"/>
          <w:sz w:val="22"/>
          <w:szCs w:val="22"/>
        </w:rPr>
      </w:pPr>
      <w:r w:rsidRPr="001F43E0">
        <w:rPr>
          <w:rFonts w:ascii="Arial" w:hAnsi="Arial" w:cs="Arial"/>
          <w:sz w:val="22"/>
          <w:szCs w:val="22"/>
        </w:rPr>
        <w:t>Ostrower, F. (1998). Nonparticipant Observation as an Introduction to Qualitative Research. </w:t>
      </w:r>
      <w:r w:rsidRPr="001F43E0">
        <w:rPr>
          <w:rFonts w:ascii="Arial" w:hAnsi="Arial" w:cs="Arial"/>
          <w:i/>
          <w:iCs/>
          <w:sz w:val="22"/>
          <w:szCs w:val="22"/>
        </w:rPr>
        <w:t>Teaching Sociology</w:t>
      </w:r>
      <w:r w:rsidRPr="001F43E0">
        <w:rPr>
          <w:rFonts w:ascii="Arial" w:hAnsi="Arial" w:cs="Arial"/>
          <w:sz w:val="22"/>
          <w:szCs w:val="22"/>
        </w:rPr>
        <w:t>, [online] 26(1). Available at: https://www-jstor-org.ezproxy.uwtsd.ac.uk/stable/1318680?sid=primo&amp;origin=crossref&amp;seq=1#metadata_info_tab_contents [Accessed 13 Oct. 2019].</w:t>
      </w:r>
    </w:p>
    <w:p w14:paraId="4EC6AF68" w14:textId="77777777" w:rsidR="001F43E0" w:rsidRPr="001F43E0" w:rsidRDefault="001F43E0" w:rsidP="001F43E0">
      <w:pPr>
        <w:spacing w:line="360" w:lineRule="auto"/>
        <w:jc w:val="both"/>
        <w:rPr>
          <w:rFonts w:ascii="Arial" w:hAnsi="Arial" w:cs="Arial"/>
          <w:sz w:val="22"/>
          <w:szCs w:val="22"/>
        </w:rPr>
      </w:pPr>
    </w:p>
    <w:p w14:paraId="659224B4" w14:textId="77777777" w:rsidR="00435D56" w:rsidRPr="001F43E0" w:rsidRDefault="00435D56" w:rsidP="001F43E0">
      <w:pPr>
        <w:spacing w:line="360" w:lineRule="auto"/>
        <w:jc w:val="both"/>
        <w:rPr>
          <w:rFonts w:ascii="Arial" w:hAnsi="Arial" w:cs="Arial"/>
          <w:sz w:val="22"/>
          <w:szCs w:val="22"/>
        </w:rPr>
      </w:pPr>
      <w:r w:rsidRPr="001F43E0">
        <w:rPr>
          <w:rFonts w:ascii="Arial" w:hAnsi="Arial" w:cs="Arial"/>
          <w:sz w:val="22"/>
          <w:szCs w:val="22"/>
        </w:rPr>
        <w:t>Papatheodorou, T., Luff, P. and Gill, J. (2011). </w:t>
      </w:r>
      <w:r w:rsidRPr="001F43E0">
        <w:rPr>
          <w:rFonts w:ascii="Arial" w:hAnsi="Arial" w:cs="Arial"/>
          <w:i/>
          <w:iCs/>
          <w:sz w:val="22"/>
          <w:szCs w:val="22"/>
        </w:rPr>
        <w:t>Child Observation for Learning and Research</w:t>
      </w:r>
      <w:r w:rsidRPr="001F43E0">
        <w:rPr>
          <w:rFonts w:ascii="Arial" w:hAnsi="Arial" w:cs="Arial"/>
          <w:sz w:val="22"/>
          <w:szCs w:val="22"/>
        </w:rPr>
        <w:t>. [ebook] New York: Routledge. Available at: https://www-dawsonera-com.ezproxy.uwtsd.ac.uk/abstract/9781408262368 [Accessed 21 Oct. 2019].</w:t>
      </w:r>
    </w:p>
    <w:p w14:paraId="3743F6B5" w14:textId="77777777" w:rsidR="001F43E0" w:rsidRPr="001F43E0" w:rsidRDefault="001F43E0" w:rsidP="001F43E0">
      <w:pPr>
        <w:spacing w:line="360" w:lineRule="auto"/>
        <w:jc w:val="both"/>
        <w:rPr>
          <w:rFonts w:ascii="Arial" w:hAnsi="Arial" w:cs="Arial"/>
          <w:sz w:val="22"/>
          <w:szCs w:val="22"/>
        </w:rPr>
      </w:pPr>
    </w:p>
    <w:p w14:paraId="3296EF8C" w14:textId="77777777" w:rsidR="00435D56" w:rsidRPr="001F43E0" w:rsidRDefault="00435D56" w:rsidP="001F43E0">
      <w:pPr>
        <w:spacing w:line="360" w:lineRule="auto"/>
        <w:jc w:val="both"/>
        <w:rPr>
          <w:rFonts w:ascii="Arial" w:hAnsi="Arial" w:cs="Arial"/>
          <w:sz w:val="22"/>
          <w:szCs w:val="22"/>
        </w:rPr>
      </w:pPr>
      <w:r w:rsidRPr="001F43E0">
        <w:rPr>
          <w:rFonts w:ascii="Arial" w:hAnsi="Arial" w:cs="Arial"/>
          <w:sz w:val="22"/>
          <w:szCs w:val="22"/>
        </w:rPr>
        <w:t>Paterson, C. and Chapman, J. (2013). Enhancing skills of critical reflection to evidence learning in professional practice. </w:t>
      </w:r>
      <w:r w:rsidRPr="001F43E0">
        <w:rPr>
          <w:rFonts w:ascii="Arial" w:hAnsi="Arial" w:cs="Arial"/>
          <w:i/>
          <w:iCs/>
          <w:sz w:val="22"/>
          <w:szCs w:val="22"/>
        </w:rPr>
        <w:t>Physical Therapy in Sport</w:t>
      </w:r>
      <w:r w:rsidRPr="001F43E0">
        <w:rPr>
          <w:rFonts w:ascii="Arial" w:hAnsi="Arial" w:cs="Arial"/>
          <w:sz w:val="22"/>
          <w:szCs w:val="22"/>
        </w:rPr>
        <w:t>, [online] 14(3). Available at: https://www-sciencedirect-com.ezproxy.uwtsd.ac.uk/science/article/pii/S1466853X13000163 [Accessed 17 Oct. 2019].</w:t>
      </w:r>
    </w:p>
    <w:p w14:paraId="455C53FF" w14:textId="77777777" w:rsidR="001F43E0" w:rsidRPr="001F43E0" w:rsidRDefault="001F43E0" w:rsidP="001F43E0">
      <w:pPr>
        <w:pStyle w:val="NormalWeb"/>
        <w:shd w:val="clear" w:color="auto" w:fill="FFFFFF"/>
        <w:spacing w:before="0" w:beforeAutospacing="0" w:after="180" w:afterAutospacing="0" w:line="360" w:lineRule="auto"/>
        <w:ind w:left="450" w:hanging="450"/>
        <w:jc w:val="both"/>
        <w:rPr>
          <w:rFonts w:ascii="Arial" w:hAnsi="Arial" w:cs="Arial"/>
          <w:color w:val="000000"/>
          <w:sz w:val="22"/>
          <w:szCs w:val="22"/>
        </w:rPr>
      </w:pPr>
    </w:p>
    <w:p w14:paraId="6370A5C0" w14:textId="77777777" w:rsidR="00435D56" w:rsidRPr="001F43E0" w:rsidRDefault="00435D56" w:rsidP="001F43E0">
      <w:pPr>
        <w:pStyle w:val="NormalWeb"/>
        <w:shd w:val="clear" w:color="auto" w:fill="FFFFFF"/>
        <w:spacing w:before="0" w:beforeAutospacing="0" w:after="180" w:afterAutospacing="0" w:line="360" w:lineRule="auto"/>
        <w:ind w:left="450" w:hanging="450"/>
        <w:jc w:val="both"/>
        <w:rPr>
          <w:rFonts w:ascii="Arial" w:hAnsi="Arial" w:cs="Arial"/>
          <w:color w:val="000000"/>
          <w:sz w:val="22"/>
          <w:szCs w:val="22"/>
        </w:rPr>
      </w:pPr>
      <w:r w:rsidRPr="001F43E0">
        <w:rPr>
          <w:rFonts w:ascii="Arial" w:hAnsi="Arial" w:cs="Arial"/>
          <w:color w:val="000000"/>
          <w:sz w:val="22"/>
          <w:szCs w:val="22"/>
        </w:rPr>
        <w:t>Public Health England (2014).</w:t>
      </w:r>
      <w:r w:rsidRPr="001F43E0">
        <w:rPr>
          <w:rStyle w:val="apple-converted-space"/>
          <w:rFonts w:ascii="Arial" w:hAnsi="Arial" w:cs="Arial"/>
          <w:color w:val="000000"/>
          <w:sz w:val="22"/>
          <w:szCs w:val="22"/>
        </w:rPr>
        <w:t> </w:t>
      </w:r>
      <w:r w:rsidRPr="001F43E0">
        <w:rPr>
          <w:rFonts w:ascii="Arial" w:hAnsi="Arial" w:cs="Arial"/>
          <w:i/>
          <w:iCs/>
          <w:color w:val="000000"/>
          <w:sz w:val="22"/>
          <w:szCs w:val="22"/>
        </w:rPr>
        <w:t>Building children and young people’s resilience in schools</w:t>
      </w:r>
      <w:r w:rsidRPr="001F43E0">
        <w:rPr>
          <w:rFonts w:ascii="Arial" w:hAnsi="Arial" w:cs="Arial"/>
          <w:color w:val="000000"/>
          <w:sz w:val="22"/>
          <w:szCs w:val="22"/>
        </w:rPr>
        <w:t>. [online] Assets.publishing.service.gov.uk. Available at: https://assets.publishing.service.gov.uk/government/uploads/system/uploads/attachment_data/file/355766/Review2_Resilience_in_schools_health_inequalities.pdf [Accessed 14 Oct. 2019].</w:t>
      </w:r>
    </w:p>
    <w:p w14:paraId="7393930F" w14:textId="77777777" w:rsidR="00435D56" w:rsidRPr="001F43E0" w:rsidRDefault="00435D56" w:rsidP="001F43E0">
      <w:pPr>
        <w:pStyle w:val="NormalWeb"/>
        <w:spacing w:line="360" w:lineRule="auto"/>
        <w:jc w:val="both"/>
        <w:rPr>
          <w:rFonts w:ascii="Arial" w:hAnsi="Arial" w:cs="Arial"/>
          <w:sz w:val="22"/>
          <w:szCs w:val="22"/>
        </w:rPr>
      </w:pPr>
      <w:r w:rsidRPr="001F43E0">
        <w:rPr>
          <w:rFonts w:ascii="Arial" w:hAnsi="Arial" w:cs="Arial"/>
          <w:sz w:val="22"/>
          <w:szCs w:val="22"/>
        </w:rPr>
        <w:t>Raj Joshi, K. (2018). Critical Incidents for Teachers’ Professional Development. </w:t>
      </w:r>
      <w:r w:rsidRPr="001F43E0">
        <w:rPr>
          <w:rFonts w:ascii="Arial" w:hAnsi="Arial" w:cs="Arial"/>
          <w:i/>
          <w:iCs/>
          <w:sz w:val="22"/>
          <w:szCs w:val="22"/>
        </w:rPr>
        <w:t>Journal of NELTA Surkhet</w:t>
      </w:r>
      <w:r w:rsidRPr="001F43E0">
        <w:rPr>
          <w:rFonts w:ascii="Arial" w:hAnsi="Arial" w:cs="Arial"/>
          <w:sz w:val="22"/>
          <w:szCs w:val="22"/>
        </w:rPr>
        <w:t>, [online] 5, pp.82-88. Available at: https://www.google.com/url?sa=t&amp;rct=j&amp;q=&amp;esrc=s&amp;source=web&amp;cd=2&amp;ved=2ahUKEwjMr9SnqrzlAhVWhlwKHUinD0IQFjABegQIARAC&amp;url=https%3A%2F%2Fwww.nepjol.info%2Findex.php%2FJNS%2Farticle%2Fview%2F19493%2F15936&amp;usg=AOvVaw3Fwi35QWZ1P-aoNoyoRdaw [Accessed 23 Oct. 2019].</w:t>
      </w:r>
    </w:p>
    <w:p w14:paraId="7F7D9E42" w14:textId="77777777" w:rsidR="00435D56" w:rsidRPr="001F43E0" w:rsidRDefault="00435D56" w:rsidP="001F43E0">
      <w:pPr>
        <w:spacing w:line="360" w:lineRule="auto"/>
        <w:jc w:val="both"/>
        <w:rPr>
          <w:rFonts w:ascii="Arial" w:hAnsi="Arial" w:cs="Arial"/>
          <w:sz w:val="22"/>
          <w:szCs w:val="22"/>
        </w:rPr>
      </w:pPr>
      <w:r w:rsidRPr="001F43E0">
        <w:rPr>
          <w:rFonts w:ascii="Arial" w:hAnsi="Arial" w:cs="Arial"/>
          <w:sz w:val="22"/>
          <w:szCs w:val="22"/>
        </w:rPr>
        <w:t>Rappaport, N. and Minahan, J. (n.d.). </w:t>
      </w:r>
      <w:r w:rsidRPr="001F43E0">
        <w:rPr>
          <w:rFonts w:ascii="Arial" w:hAnsi="Arial" w:cs="Arial"/>
          <w:i/>
          <w:iCs/>
          <w:sz w:val="22"/>
          <w:szCs w:val="22"/>
        </w:rPr>
        <w:t>Breaking the Behavior Code</w:t>
      </w:r>
      <w:r w:rsidRPr="001F43E0">
        <w:rPr>
          <w:rFonts w:ascii="Arial" w:hAnsi="Arial" w:cs="Arial"/>
          <w:sz w:val="22"/>
          <w:szCs w:val="22"/>
        </w:rPr>
        <w:t>. [online] Child Mind Institute. Available at: https://childmind.org/article/breaking-behavior-code/ [Accessed 23 Oct. 2019].</w:t>
      </w:r>
    </w:p>
    <w:p w14:paraId="34554B01" w14:textId="77777777" w:rsidR="001F43E0" w:rsidRPr="001F43E0" w:rsidRDefault="001F43E0" w:rsidP="001F43E0">
      <w:pPr>
        <w:shd w:val="clear" w:color="auto" w:fill="FFFFFF"/>
        <w:spacing w:after="180" w:line="360" w:lineRule="auto"/>
        <w:ind w:left="450" w:hanging="450"/>
        <w:jc w:val="both"/>
        <w:rPr>
          <w:rFonts w:ascii="Arial" w:hAnsi="Arial" w:cs="Arial"/>
          <w:color w:val="000000"/>
          <w:sz w:val="22"/>
          <w:szCs w:val="22"/>
          <w:lang w:eastAsia="en-GB"/>
        </w:rPr>
      </w:pPr>
    </w:p>
    <w:p w14:paraId="0E533D31" w14:textId="77777777" w:rsidR="00435D56" w:rsidRPr="001F43E0" w:rsidRDefault="00435D56" w:rsidP="001F43E0">
      <w:pPr>
        <w:shd w:val="clear" w:color="auto" w:fill="FFFFFF"/>
        <w:spacing w:after="180" w:line="360" w:lineRule="auto"/>
        <w:ind w:left="450" w:hanging="450"/>
        <w:jc w:val="both"/>
        <w:rPr>
          <w:rFonts w:ascii="Arial" w:hAnsi="Arial" w:cs="Arial"/>
          <w:color w:val="000000"/>
          <w:sz w:val="22"/>
          <w:szCs w:val="22"/>
          <w:lang w:eastAsia="en-GB"/>
        </w:rPr>
      </w:pPr>
      <w:r w:rsidRPr="001F43E0">
        <w:rPr>
          <w:rFonts w:ascii="Arial" w:hAnsi="Arial" w:cs="Arial"/>
          <w:color w:val="000000"/>
          <w:sz w:val="22"/>
          <w:szCs w:val="22"/>
          <w:lang w:eastAsia="en-GB"/>
        </w:rPr>
        <w:t>Rogers, B. (2017). [online] Gloucestershire.gov.uk. Available at: https://www.gloucestershire.gov.uk/media/18290/29-adler-and-dreikurs-2017.pdf [Accessed 13 Oct. 2019].</w:t>
      </w:r>
    </w:p>
    <w:p w14:paraId="2A5F27EA" w14:textId="77777777" w:rsidR="00435D56" w:rsidRPr="001F43E0" w:rsidRDefault="00435D56" w:rsidP="001F43E0">
      <w:pPr>
        <w:spacing w:line="360" w:lineRule="auto"/>
        <w:jc w:val="both"/>
        <w:rPr>
          <w:rFonts w:ascii="Arial" w:hAnsi="Arial" w:cs="Arial"/>
          <w:sz w:val="22"/>
          <w:szCs w:val="22"/>
        </w:rPr>
      </w:pPr>
      <w:r w:rsidRPr="001F43E0">
        <w:rPr>
          <w:rFonts w:ascii="Arial" w:hAnsi="Arial" w:cs="Arial"/>
          <w:sz w:val="22"/>
          <w:szCs w:val="22"/>
        </w:rPr>
        <w:t>Rogers, B. (2017). </w:t>
      </w:r>
      <w:r w:rsidRPr="001F43E0">
        <w:rPr>
          <w:rFonts w:ascii="Arial" w:hAnsi="Arial" w:cs="Arial"/>
          <w:i/>
          <w:iCs/>
          <w:sz w:val="22"/>
          <w:szCs w:val="22"/>
        </w:rPr>
        <w:t>A short introduction</w:t>
      </w:r>
      <w:r w:rsidRPr="001F43E0">
        <w:rPr>
          <w:rFonts w:ascii="Arial" w:hAnsi="Arial" w:cs="Arial"/>
          <w:sz w:val="22"/>
          <w:szCs w:val="22"/>
        </w:rPr>
        <w:t>. [online] Gloucestershire.gov.uk. Available at: https://www.gloucestershire.gov.uk/media/18290/29-adler-and-dreikurs-2017.pdf [Accessed 18 Oct. 2019].</w:t>
      </w:r>
    </w:p>
    <w:p w14:paraId="1F8B0ECE" w14:textId="77777777" w:rsidR="00435D56" w:rsidRPr="001F43E0" w:rsidRDefault="00435D56" w:rsidP="001F43E0">
      <w:pPr>
        <w:spacing w:line="360" w:lineRule="auto"/>
        <w:jc w:val="both"/>
        <w:rPr>
          <w:rFonts w:ascii="Arial" w:hAnsi="Arial" w:cs="Arial"/>
          <w:sz w:val="22"/>
          <w:szCs w:val="22"/>
        </w:rPr>
      </w:pPr>
      <w:r w:rsidRPr="001F43E0">
        <w:rPr>
          <w:rFonts w:ascii="Arial" w:hAnsi="Arial" w:cs="Arial"/>
          <w:sz w:val="22"/>
          <w:szCs w:val="22"/>
        </w:rPr>
        <w:t>Rowley, J. (2002). </w:t>
      </w:r>
      <w:r w:rsidRPr="001F43E0">
        <w:rPr>
          <w:rFonts w:ascii="Arial" w:hAnsi="Arial" w:cs="Arial"/>
          <w:i/>
          <w:iCs/>
          <w:sz w:val="22"/>
          <w:szCs w:val="22"/>
        </w:rPr>
        <w:t>Using Case Studies in Research</w:t>
      </w:r>
      <w:r w:rsidRPr="001F43E0">
        <w:rPr>
          <w:rFonts w:ascii="Arial" w:hAnsi="Arial" w:cs="Arial"/>
          <w:sz w:val="22"/>
          <w:szCs w:val="22"/>
        </w:rPr>
        <w:t>. [online] Pdfs.semanticscholar.org. Available at: https://pdfs.semanticscholar.org/4e18/426cc8767b4141c924236612aafaef75fa75.pdf [Accessed 21 Oct. 2019].</w:t>
      </w:r>
    </w:p>
    <w:p w14:paraId="020F3A1A" w14:textId="77777777" w:rsidR="001F43E0" w:rsidRPr="001F43E0" w:rsidRDefault="001F43E0" w:rsidP="001F43E0">
      <w:pPr>
        <w:pStyle w:val="NormalWeb"/>
        <w:shd w:val="clear" w:color="auto" w:fill="FFFFFF"/>
        <w:spacing w:before="0" w:beforeAutospacing="0" w:after="180" w:afterAutospacing="0" w:line="360" w:lineRule="auto"/>
        <w:ind w:left="450" w:hanging="450"/>
        <w:jc w:val="both"/>
        <w:rPr>
          <w:rFonts w:ascii="Arial" w:hAnsi="Arial" w:cs="Arial"/>
          <w:color w:val="000000"/>
          <w:sz w:val="22"/>
          <w:szCs w:val="22"/>
        </w:rPr>
      </w:pPr>
    </w:p>
    <w:p w14:paraId="34C3C3A9" w14:textId="77777777" w:rsidR="00435D56" w:rsidRPr="001F43E0" w:rsidRDefault="00435D56" w:rsidP="001F43E0">
      <w:pPr>
        <w:pStyle w:val="NormalWeb"/>
        <w:shd w:val="clear" w:color="auto" w:fill="FFFFFF"/>
        <w:spacing w:before="0" w:beforeAutospacing="0" w:after="180" w:afterAutospacing="0" w:line="360" w:lineRule="auto"/>
        <w:ind w:left="450" w:hanging="450"/>
        <w:jc w:val="both"/>
        <w:rPr>
          <w:rFonts w:ascii="Arial" w:hAnsi="Arial" w:cs="Arial"/>
          <w:color w:val="000000"/>
          <w:sz w:val="22"/>
          <w:szCs w:val="22"/>
        </w:rPr>
      </w:pPr>
      <w:r w:rsidRPr="001F43E0">
        <w:rPr>
          <w:rFonts w:ascii="Arial" w:hAnsi="Arial" w:cs="Arial"/>
          <w:color w:val="000000"/>
          <w:sz w:val="22"/>
          <w:szCs w:val="22"/>
        </w:rPr>
        <w:t>Schroder, H., Fisher, M., Lin, Y., Lo, S., Danovitch, J. and Moser, J. (2017). Neural evidence for enhanced attention to mistakes among school-aged children with a growth mindset.</w:t>
      </w:r>
      <w:r w:rsidRPr="001F43E0">
        <w:rPr>
          <w:rStyle w:val="apple-converted-space"/>
          <w:rFonts w:ascii="Arial" w:hAnsi="Arial" w:cs="Arial"/>
          <w:color w:val="000000"/>
          <w:sz w:val="22"/>
          <w:szCs w:val="22"/>
        </w:rPr>
        <w:t> </w:t>
      </w:r>
      <w:r w:rsidRPr="001F43E0">
        <w:rPr>
          <w:rFonts w:ascii="Arial" w:hAnsi="Arial" w:cs="Arial"/>
          <w:i/>
          <w:iCs/>
          <w:color w:val="000000"/>
          <w:sz w:val="22"/>
          <w:szCs w:val="22"/>
        </w:rPr>
        <w:t>Developmental Cognitive Neuroscience</w:t>
      </w:r>
      <w:r w:rsidRPr="001F43E0">
        <w:rPr>
          <w:rFonts w:ascii="Arial" w:hAnsi="Arial" w:cs="Arial"/>
          <w:color w:val="000000"/>
          <w:sz w:val="22"/>
          <w:szCs w:val="22"/>
        </w:rPr>
        <w:t>, [online] pp.42-50. Available at: https://doaj.org/article/717c283558d44292b8ded05330499652 [Accessed 10 Oct. 2019].</w:t>
      </w:r>
    </w:p>
    <w:p w14:paraId="55360788" w14:textId="77777777" w:rsidR="00435D56" w:rsidRPr="001F43E0" w:rsidRDefault="00435D56" w:rsidP="001F43E0">
      <w:pPr>
        <w:pStyle w:val="NormalWeb"/>
        <w:spacing w:line="360" w:lineRule="auto"/>
        <w:jc w:val="both"/>
        <w:rPr>
          <w:rFonts w:ascii="Arial" w:hAnsi="Arial" w:cs="Arial"/>
          <w:sz w:val="22"/>
          <w:szCs w:val="22"/>
        </w:rPr>
      </w:pPr>
      <w:r w:rsidRPr="001F43E0">
        <w:rPr>
          <w:rFonts w:ascii="Arial" w:hAnsi="Arial" w:cs="Arial"/>
          <w:sz w:val="22"/>
          <w:szCs w:val="22"/>
        </w:rPr>
        <w:t>Shapira-Lishchinsky, O. (2011). Teachers’ critical incidents: Ethical dilemmas in teaching practice. </w:t>
      </w:r>
      <w:r w:rsidRPr="001F43E0">
        <w:rPr>
          <w:rFonts w:ascii="Arial" w:hAnsi="Arial" w:cs="Arial"/>
          <w:i/>
          <w:iCs/>
          <w:sz w:val="22"/>
          <w:szCs w:val="22"/>
        </w:rPr>
        <w:t>Teaching and Teacher Education</w:t>
      </w:r>
      <w:r w:rsidRPr="001F43E0">
        <w:rPr>
          <w:rFonts w:ascii="Arial" w:hAnsi="Arial" w:cs="Arial"/>
          <w:sz w:val="22"/>
          <w:szCs w:val="22"/>
        </w:rPr>
        <w:t>, [online] 27(3), pp.648-656. Available at: https://www.researchgate.net/publication/251596301_Teachers%27_critical_incidents_Ethical_dilemmas_in_teaching_practice [Accessed 15 Oct. 2019].</w:t>
      </w:r>
    </w:p>
    <w:p w14:paraId="14CBBDC8" w14:textId="77777777" w:rsidR="00435D56" w:rsidRPr="001F43E0" w:rsidRDefault="00435D56" w:rsidP="001F43E0">
      <w:pPr>
        <w:spacing w:line="360" w:lineRule="auto"/>
        <w:jc w:val="both"/>
        <w:rPr>
          <w:rFonts w:ascii="Arial" w:hAnsi="Arial" w:cs="Arial"/>
          <w:sz w:val="22"/>
          <w:szCs w:val="22"/>
        </w:rPr>
      </w:pPr>
      <w:r w:rsidRPr="001F43E0">
        <w:rPr>
          <w:rFonts w:ascii="Arial" w:hAnsi="Arial" w:cs="Arial"/>
          <w:sz w:val="22"/>
          <w:szCs w:val="22"/>
        </w:rPr>
        <w:t>Shapira-Lishchinsky, O. (2011). Teachers’ critical incidents: Ethical dilemmas in teaching practice. </w:t>
      </w:r>
      <w:r w:rsidRPr="001F43E0">
        <w:rPr>
          <w:rFonts w:ascii="Arial" w:hAnsi="Arial" w:cs="Arial"/>
          <w:i/>
          <w:iCs/>
          <w:sz w:val="22"/>
          <w:szCs w:val="22"/>
        </w:rPr>
        <w:t>Teaching and Teacher Education</w:t>
      </w:r>
      <w:r w:rsidRPr="001F43E0">
        <w:rPr>
          <w:rFonts w:ascii="Arial" w:hAnsi="Arial" w:cs="Arial"/>
          <w:sz w:val="22"/>
          <w:szCs w:val="22"/>
        </w:rPr>
        <w:t>, [online] 27(3). Available at: https://pdf.sciencedirectassets.com/271838/1-s2.0-S0742051X11X00021/1-s2.0-S0742051X10001952/main.pdf?X-Amz-Security-Token=AgoJb3JpZ2luX2VjEGoaCXVzLWVhc3QtMSJHMEUCIAkaG6HnfZAFb3VnorLCtqUj0FVcxXi7aJCAcCCYDssxAiEAg0%2BLu%2FEDQZtbNsFsDmZVbX2cE3JdvGIPw6%2BO2j30bv8q%2FAMIcxACGgwwNTkwMDM1NDY4NjUiDMj%2FofyN9hS8qcM2VSrZA8QxYNR%2B2nFsD7UxLwEny4JJRtthT04Yw%2BzK6mS%2BS1ICSDkQPvwU%2BzPYhVQNl5N1XUIIAu5UPQK3ZkOGVbDgYqJPyGX3mo9oZKfqqBrYR8QVqz1nX1%2BNofpM1QC7mEmx5TiObqCZ%2F8Gz8swp%2ByA0kS3kTpTz2dIzcTOB7RLJtnWRN3ia3k2fsO6esgjr7nbAvD89JSpD84s9HahD2y0IYVqK8uOFKPNgVj1cIJxhM0XdmPzSpmA9wAAmRltqkFstgTOG2W1fitKB%2FmRdr4f0mr9ubf1ATssXbrIx9TsCinPLgCoT2JQ8Xzs9synlQZr1TYQR1R1rPE%2B50%2BCQugk%2F0XKIOlD0N2UmatrnZIc8erYIsdQ7fbmhy0JSp9bqyoe%2Bq9Csl4w0If7xWGhRrN1T3slH5PK4%2Fgv3jj5Y4w8EhATgqsqckbxlWkzZpCsMDdxkcKFlKUnIafrqwdeKaNGUD8OAsT5NQvu5nQ5zzu%2BDvlI455XS%2BA%2BEDpDHA1Kd0wQGMY5uE6y7FBTTFrQ0pItVFZNOhOA97O4z8vcLc3ZK6vzZePYHl04EZJhrdiUY7dfK1cmY25EhYqWW7V%2BGBl4NpLSFG5g6O7ykwLj90%2BBkGE9XM5ZY5es%2Fuif4MJzG1e0FOrQBc7WaouhTPHhDeSVK5z8CNE2A%2FdWNzY7o9Kq9ZKPkGrKKnLCfJZ1z3DwbM4e%2Fq01%2FmD2EnqKOooMsIC%2FoefjyqcMUFyV7HrIIxyPHeRFo40cTjA7dht5h4HE%2Fo6o0M9RjaLU4BhgS4XIJNbj%2FoDAIZHDSYzZ2LWIvvm20GFZvisyQVVPHp1UYcPUCikwPW1oBUrwHvpNk5uYSpgKrJ6kktHRmQnCSYQUGX2ohJtFQqdcq%2FEi6&amp;X-Amz-Algorithm=AWS4-HMAC-SHA256&amp;X-Amz-Date=20191027T105239Z&amp;X-Amz-SignedHeaders=host&amp;X-Amz-Expires=300&amp;X-Amz-Credential=ASIAQ3PHCVTYXKM6GPY2%2F20191027%2Fus-east-1%2Fs3%2Faws4_request&amp;X-Amz-Signature=f094c83171221f444e272bfd07eb382b9a798d0a04d784b1ce37fdc5d85556da&amp;hash=631d54b68a8d31f7fd0415e7c39063c6bd096105de31f798002d6d5fc7abd218&amp;host=68042c943591013ac2b2430a89b270f6af2c76d8dfd086a07176afe7c76c2c61&amp;pii=S0742051X10001952&amp;tid=spdf-1c37b44a-ae25-4368-a388-4fa225631327&amp;sid=2994acca63721548ab4b9c73302d4b074ffegxrqb&amp;type=client [Accessed 17 Oct. 2019].</w:t>
      </w:r>
    </w:p>
    <w:p w14:paraId="673C5F2C" w14:textId="77777777" w:rsidR="00435D56" w:rsidRPr="001F43E0" w:rsidRDefault="00435D56" w:rsidP="001F43E0">
      <w:pPr>
        <w:pStyle w:val="NormalWeb"/>
        <w:spacing w:line="360" w:lineRule="auto"/>
        <w:jc w:val="both"/>
        <w:rPr>
          <w:rFonts w:ascii="Arial" w:hAnsi="Arial" w:cs="Arial"/>
          <w:sz w:val="22"/>
          <w:szCs w:val="22"/>
        </w:rPr>
      </w:pPr>
      <w:r w:rsidRPr="001F43E0">
        <w:rPr>
          <w:rFonts w:ascii="Arial" w:hAnsi="Arial" w:cs="Arial"/>
          <w:sz w:val="22"/>
          <w:szCs w:val="22"/>
        </w:rPr>
        <w:t>Spencer-Oatey, H. (2013). </w:t>
      </w:r>
      <w:r w:rsidRPr="001F43E0">
        <w:rPr>
          <w:rFonts w:ascii="Arial" w:hAnsi="Arial" w:cs="Arial"/>
          <w:i/>
          <w:iCs/>
          <w:sz w:val="22"/>
          <w:szCs w:val="22"/>
        </w:rPr>
        <w:t>Critical Incidents</w:t>
      </w:r>
      <w:r w:rsidRPr="001F43E0">
        <w:rPr>
          <w:rFonts w:ascii="Arial" w:hAnsi="Arial" w:cs="Arial"/>
          <w:sz w:val="22"/>
          <w:szCs w:val="22"/>
        </w:rPr>
        <w:t>. [online] Warwick.ac.uk. Available at: https://warwick.ac.uk/fac/soc/al/globalpad/openhouse/interculturalskills/cc_critical_incidents_131127.pdf [Accessed 9 Oct. 2019].</w:t>
      </w:r>
    </w:p>
    <w:p w14:paraId="121BF9B2" w14:textId="77777777" w:rsidR="00435D56" w:rsidRPr="001F43E0" w:rsidRDefault="00435D56" w:rsidP="001F43E0">
      <w:pPr>
        <w:spacing w:line="360" w:lineRule="auto"/>
        <w:jc w:val="both"/>
        <w:rPr>
          <w:rFonts w:ascii="Arial" w:hAnsi="Arial" w:cs="Arial"/>
          <w:sz w:val="22"/>
          <w:szCs w:val="22"/>
        </w:rPr>
      </w:pPr>
      <w:r w:rsidRPr="001F43E0">
        <w:rPr>
          <w:rFonts w:ascii="Arial" w:hAnsi="Arial" w:cs="Arial"/>
          <w:sz w:val="22"/>
          <w:szCs w:val="22"/>
        </w:rPr>
        <w:t>Stella, L. (2012). </w:t>
      </w:r>
      <w:r w:rsidRPr="001F43E0">
        <w:rPr>
          <w:rFonts w:ascii="Arial" w:hAnsi="Arial" w:cs="Arial"/>
          <w:i/>
          <w:iCs/>
          <w:sz w:val="22"/>
          <w:szCs w:val="22"/>
        </w:rPr>
        <w:t>Reflection and Reflective Practice: Creating Knowledge through Experience</w:t>
      </w:r>
      <w:r w:rsidRPr="001F43E0">
        <w:rPr>
          <w:rFonts w:ascii="Arial" w:hAnsi="Arial" w:cs="Arial"/>
          <w:sz w:val="22"/>
          <w:szCs w:val="22"/>
        </w:rPr>
        <w:t>. [online] Thime-connect.com. Available at: https://www.thieme-connect.com/products/ejournals/abstract/10.1055/s-0032-1311673 [Accessed 20 Oct. 2019].</w:t>
      </w:r>
    </w:p>
    <w:p w14:paraId="1D34B078" w14:textId="77777777" w:rsidR="001F43E0" w:rsidRPr="001F43E0" w:rsidRDefault="001F43E0" w:rsidP="001F43E0">
      <w:pPr>
        <w:spacing w:line="360" w:lineRule="auto"/>
        <w:jc w:val="both"/>
        <w:rPr>
          <w:rFonts w:ascii="Arial" w:hAnsi="Arial" w:cs="Arial"/>
          <w:sz w:val="22"/>
          <w:szCs w:val="22"/>
        </w:rPr>
      </w:pPr>
    </w:p>
    <w:p w14:paraId="5646EBEB" w14:textId="77777777" w:rsidR="00435D56" w:rsidRPr="001F43E0" w:rsidRDefault="00435D56" w:rsidP="001F43E0">
      <w:pPr>
        <w:spacing w:line="360" w:lineRule="auto"/>
        <w:jc w:val="both"/>
        <w:rPr>
          <w:rFonts w:ascii="Arial" w:hAnsi="Arial" w:cs="Arial"/>
          <w:sz w:val="22"/>
          <w:szCs w:val="22"/>
        </w:rPr>
      </w:pPr>
      <w:r w:rsidRPr="001F43E0">
        <w:rPr>
          <w:rFonts w:ascii="Arial" w:hAnsi="Arial" w:cs="Arial"/>
          <w:sz w:val="22"/>
          <w:szCs w:val="22"/>
        </w:rPr>
        <w:t>The University of Edinburgh (2019). </w:t>
      </w:r>
      <w:r w:rsidRPr="001F43E0">
        <w:rPr>
          <w:rFonts w:ascii="Arial" w:hAnsi="Arial" w:cs="Arial"/>
          <w:i/>
          <w:iCs/>
          <w:sz w:val="22"/>
          <w:szCs w:val="22"/>
        </w:rPr>
        <w:t>Gibbs' reflective cycle</w:t>
      </w:r>
      <w:r w:rsidRPr="001F43E0">
        <w:rPr>
          <w:rFonts w:ascii="Arial" w:hAnsi="Arial" w:cs="Arial"/>
          <w:sz w:val="22"/>
          <w:szCs w:val="22"/>
        </w:rPr>
        <w:t>. [online] The University of Edinburgh. Available at: https://www.ed.ac.uk/reflection/reflectors-toolkit/reflecting-on-experience/gibbs-reflective-cycle [Accessed 22 Oct. 2019].</w:t>
      </w:r>
    </w:p>
    <w:p w14:paraId="0962A7D8" w14:textId="77777777" w:rsidR="001F43E0" w:rsidRPr="001F43E0" w:rsidRDefault="001F43E0" w:rsidP="001F43E0">
      <w:pPr>
        <w:spacing w:line="360" w:lineRule="auto"/>
        <w:jc w:val="both"/>
        <w:rPr>
          <w:rFonts w:ascii="Arial" w:hAnsi="Arial" w:cs="Arial"/>
          <w:sz w:val="22"/>
          <w:szCs w:val="22"/>
        </w:rPr>
      </w:pPr>
    </w:p>
    <w:p w14:paraId="79D5706F" w14:textId="77777777" w:rsidR="00435D56" w:rsidRPr="001F43E0" w:rsidRDefault="00435D56" w:rsidP="001F43E0">
      <w:pPr>
        <w:spacing w:line="360" w:lineRule="auto"/>
        <w:jc w:val="both"/>
        <w:rPr>
          <w:rFonts w:ascii="Arial" w:hAnsi="Arial" w:cs="Arial"/>
          <w:sz w:val="22"/>
          <w:szCs w:val="22"/>
        </w:rPr>
      </w:pPr>
      <w:r w:rsidRPr="001F43E0">
        <w:rPr>
          <w:rFonts w:ascii="Arial" w:hAnsi="Arial" w:cs="Arial"/>
          <w:sz w:val="22"/>
          <w:szCs w:val="22"/>
        </w:rPr>
        <w:t>Welsh Assembly Government (2009). </w:t>
      </w:r>
      <w:r w:rsidRPr="001F43E0">
        <w:rPr>
          <w:rFonts w:ascii="Arial" w:hAnsi="Arial" w:cs="Arial"/>
          <w:i/>
          <w:iCs/>
          <w:sz w:val="22"/>
          <w:szCs w:val="22"/>
        </w:rPr>
        <w:t>Effective Practice in Learning and Teaching – A Focus on Pedagogy</w:t>
      </w:r>
      <w:r w:rsidRPr="001F43E0">
        <w:rPr>
          <w:rFonts w:ascii="Arial" w:hAnsi="Arial" w:cs="Arial"/>
          <w:sz w:val="22"/>
          <w:szCs w:val="22"/>
        </w:rPr>
        <w:t>. [online] Welsh Assembly Government. Available at: https://dera.ioe.ac.uk/9134/26/090428Pedagogyen_Redacted.pdf [Accessed 12 Oct. 2019].</w:t>
      </w:r>
    </w:p>
    <w:p w14:paraId="28CDAF16" w14:textId="77777777" w:rsidR="001F43E0" w:rsidRPr="001F43E0" w:rsidRDefault="001F43E0" w:rsidP="001F43E0">
      <w:pPr>
        <w:spacing w:line="360" w:lineRule="auto"/>
        <w:jc w:val="both"/>
        <w:rPr>
          <w:rFonts w:ascii="Arial" w:hAnsi="Arial" w:cs="Arial"/>
          <w:sz w:val="22"/>
          <w:szCs w:val="22"/>
        </w:rPr>
      </w:pPr>
    </w:p>
    <w:p w14:paraId="0C4738E8" w14:textId="77777777" w:rsidR="00435D56" w:rsidRPr="001F43E0" w:rsidRDefault="00435D56" w:rsidP="001F43E0">
      <w:pPr>
        <w:spacing w:line="360" w:lineRule="auto"/>
        <w:jc w:val="both"/>
        <w:rPr>
          <w:rFonts w:ascii="Arial" w:hAnsi="Arial" w:cs="Arial"/>
          <w:sz w:val="22"/>
          <w:szCs w:val="22"/>
        </w:rPr>
      </w:pPr>
      <w:r w:rsidRPr="001F43E0">
        <w:rPr>
          <w:rFonts w:ascii="Arial" w:hAnsi="Arial" w:cs="Arial"/>
          <w:sz w:val="22"/>
          <w:szCs w:val="22"/>
        </w:rPr>
        <w:t>Welsh Government (2011). </w:t>
      </w:r>
      <w:r w:rsidRPr="001F43E0">
        <w:rPr>
          <w:rFonts w:ascii="Arial" w:hAnsi="Arial" w:cs="Arial"/>
          <w:i/>
          <w:iCs/>
          <w:sz w:val="22"/>
          <w:szCs w:val="22"/>
        </w:rPr>
        <w:t>Revised professional standards for education practitioners in Wales</w:t>
      </w:r>
      <w:r w:rsidRPr="001F43E0">
        <w:rPr>
          <w:rFonts w:ascii="Arial" w:hAnsi="Arial" w:cs="Arial"/>
          <w:sz w:val="22"/>
          <w:szCs w:val="22"/>
        </w:rPr>
        <w:t>. [online] S3-eu-west-1.amazonaws.com. Available at: https://s3-eu-west-1.amazonaws.com/hwb-live-storage/29/2f/54/b1/f4a84a58a939ae2cb2d403e9/professional-standards-for-education-practitioners-in-wales.pdf [Accessed 19 Oct. 2019].</w:t>
      </w:r>
    </w:p>
    <w:p w14:paraId="75C29982" w14:textId="77777777" w:rsidR="001F43E0" w:rsidRPr="001F43E0" w:rsidRDefault="001F43E0" w:rsidP="001F43E0">
      <w:pPr>
        <w:pStyle w:val="NormalWeb"/>
        <w:shd w:val="clear" w:color="auto" w:fill="FFFFFF"/>
        <w:spacing w:before="0" w:beforeAutospacing="0" w:after="180" w:afterAutospacing="0" w:line="360" w:lineRule="auto"/>
        <w:ind w:left="450" w:hanging="450"/>
        <w:jc w:val="both"/>
        <w:rPr>
          <w:rFonts w:ascii="Arial" w:hAnsi="Arial" w:cs="Arial"/>
          <w:color w:val="000000"/>
          <w:sz w:val="22"/>
          <w:szCs w:val="22"/>
        </w:rPr>
      </w:pPr>
    </w:p>
    <w:p w14:paraId="235EC305" w14:textId="77777777" w:rsidR="00435D56" w:rsidRPr="001F43E0" w:rsidRDefault="00435D56" w:rsidP="001F43E0">
      <w:pPr>
        <w:pStyle w:val="NormalWeb"/>
        <w:shd w:val="clear" w:color="auto" w:fill="FFFFFF"/>
        <w:spacing w:before="0" w:beforeAutospacing="0" w:after="180" w:afterAutospacing="0" w:line="360" w:lineRule="auto"/>
        <w:ind w:left="450" w:hanging="450"/>
        <w:jc w:val="both"/>
        <w:rPr>
          <w:rFonts w:ascii="Arial" w:hAnsi="Arial" w:cs="Arial"/>
          <w:color w:val="000000"/>
          <w:sz w:val="22"/>
          <w:szCs w:val="22"/>
        </w:rPr>
      </w:pPr>
      <w:r w:rsidRPr="001F43E0">
        <w:rPr>
          <w:rFonts w:ascii="Arial" w:hAnsi="Arial" w:cs="Arial"/>
          <w:color w:val="000000"/>
          <w:sz w:val="22"/>
          <w:szCs w:val="22"/>
        </w:rPr>
        <w:t>Welsh Government (2012).</w:t>
      </w:r>
      <w:r w:rsidRPr="001F43E0">
        <w:rPr>
          <w:rStyle w:val="apple-converted-space"/>
          <w:rFonts w:ascii="Arial" w:hAnsi="Arial" w:cs="Arial"/>
          <w:color w:val="000000"/>
          <w:sz w:val="22"/>
          <w:szCs w:val="22"/>
        </w:rPr>
        <w:t> </w:t>
      </w:r>
      <w:r w:rsidRPr="001F43E0">
        <w:rPr>
          <w:rFonts w:ascii="Arial" w:hAnsi="Arial" w:cs="Arial"/>
          <w:i/>
          <w:iCs/>
          <w:color w:val="000000"/>
          <w:sz w:val="22"/>
          <w:szCs w:val="22"/>
        </w:rPr>
        <w:t>Practical approaches to behaviour management in the classroom</w:t>
      </w:r>
      <w:r w:rsidRPr="001F43E0">
        <w:rPr>
          <w:rFonts w:ascii="Arial" w:hAnsi="Arial" w:cs="Arial"/>
          <w:color w:val="000000"/>
          <w:sz w:val="22"/>
          <w:szCs w:val="22"/>
        </w:rPr>
        <w:t>. [online] Dera.ioe.ac.uk. Available at: https://dera.ioe.ac.uk/15811/7/120713primaryen_Redacted.pdf [Accessed 18 Oct. 2019].</w:t>
      </w:r>
    </w:p>
    <w:p w14:paraId="056C6D23" w14:textId="77777777" w:rsidR="00435D56" w:rsidRPr="001F43E0" w:rsidRDefault="00435D56" w:rsidP="001F43E0">
      <w:pPr>
        <w:spacing w:line="360" w:lineRule="auto"/>
        <w:jc w:val="both"/>
        <w:rPr>
          <w:rFonts w:ascii="Arial" w:hAnsi="Arial" w:cs="Arial"/>
          <w:sz w:val="22"/>
          <w:szCs w:val="22"/>
        </w:rPr>
      </w:pPr>
      <w:r w:rsidRPr="001F43E0">
        <w:rPr>
          <w:rFonts w:ascii="Arial" w:hAnsi="Arial" w:cs="Arial"/>
          <w:sz w:val="22"/>
          <w:szCs w:val="22"/>
        </w:rPr>
        <w:t>Welsh Government (2015). </w:t>
      </w:r>
      <w:r w:rsidRPr="001F43E0">
        <w:rPr>
          <w:rFonts w:ascii="Arial" w:hAnsi="Arial" w:cs="Arial"/>
          <w:i/>
          <w:iCs/>
          <w:sz w:val="22"/>
          <w:szCs w:val="22"/>
        </w:rPr>
        <w:t>Reflective practice</w:t>
      </w:r>
      <w:r w:rsidRPr="001F43E0">
        <w:rPr>
          <w:rFonts w:ascii="Arial" w:hAnsi="Arial" w:cs="Arial"/>
          <w:sz w:val="22"/>
          <w:szCs w:val="22"/>
        </w:rPr>
        <w:t>. [online] Welsh Government. Available at: https://dera.ioe.ac.uk/23376/2/150611-reflective-practice-booklet-en_Redacted.pdf [Accessed 23 Oct. 2019].</w:t>
      </w:r>
    </w:p>
    <w:p w14:paraId="2BA394C8" w14:textId="77777777" w:rsidR="00435D56" w:rsidRPr="001F43E0" w:rsidRDefault="00435D56" w:rsidP="001F43E0">
      <w:pPr>
        <w:pStyle w:val="NormalWeb"/>
        <w:shd w:val="clear" w:color="auto" w:fill="FFFFFF"/>
        <w:spacing w:before="0" w:beforeAutospacing="0" w:after="180" w:afterAutospacing="0" w:line="360" w:lineRule="auto"/>
        <w:ind w:left="450" w:hanging="450"/>
        <w:jc w:val="both"/>
        <w:rPr>
          <w:rFonts w:ascii="Arial" w:hAnsi="Arial" w:cs="Arial"/>
          <w:color w:val="000000"/>
          <w:sz w:val="22"/>
          <w:szCs w:val="22"/>
        </w:rPr>
      </w:pPr>
      <w:r w:rsidRPr="001F43E0">
        <w:rPr>
          <w:rFonts w:ascii="Arial" w:hAnsi="Arial" w:cs="Arial"/>
          <w:color w:val="000000"/>
          <w:sz w:val="22"/>
          <w:szCs w:val="22"/>
        </w:rPr>
        <w:t>Welsh Government (2019).</w:t>
      </w:r>
      <w:r w:rsidRPr="001F43E0">
        <w:rPr>
          <w:rStyle w:val="apple-converted-space"/>
          <w:rFonts w:ascii="Arial" w:hAnsi="Arial" w:cs="Arial"/>
          <w:color w:val="000000"/>
          <w:sz w:val="22"/>
          <w:szCs w:val="22"/>
        </w:rPr>
        <w:t> </w:t>
      </w:r>
      <w:r w:rsidRPr="001F43E0">
        <w:rPr>
          <w:rFonts w:ascii="Arial" w:hAnsi="Arial" w:cs="Arial"/>
          <w:i/>
          <w:iCs/>
          <w:color w:val="000000"/>
          <w:sz w:val="22"/>
          <w:szCs w:val="22"/>
        </w:rPr>
        <w:t>Assessment proposals - Hwb</w:t>
      </w:r>
      <w:r w:rsidRPr="001F43E0">
        <w:rPr>
          <w:rFonts w:ascii="Arial" w:hAnsi="Arial" w:cs="Arial"/>
          <w:color w:val="000000"/>
          <w:sz w:val="22"/>
          <w:szCs w:val="22"/>
        </w:rPr>
        <w:t>. [online] Hwb.gov.wales. Available at: https://hwb.gov.wales/draft-curriculum-for-wales-2022/assessment-and-evaluation-framework/assessment-proposals/ [Accessed 21 Oct. 2019].</w:t>
      </w:r>
    </w:p>
    <w:p w14:paraId="3D8F97EB" w14:textId="77777777" w:rsidR="00435D56" w:rsidRPr="001F43E0" w:rsidRDefault="00435D56" w:rsidP="001F43E0">
      <w:pPr>
        <w:spacing w:line="360" w:lineRule="auto"/>
        <w:jc w:val="both"/>
        <w:rPr>
          <w:rFonts w:ascii="Arial" w:hAnsi="Arial" w:cs="Arial"/>
          <w:sz w:val="22"/>
          <w:szCs w:val="22"/>
        </w:rPr>
      </w:pPr>
      <w:r w:rsidRPr="001F43E0">
        <w:rPr>
          <w:rFonts w:ascii="Arial" w:hAnsi="Arial" w:cs="Arial"/>
          <w:sz w:val="22"/>
          <w:szCs w:val="22"/>
        </w:rPr>
        <w:t>Welsh Government (2019). </w:t>
      </w:r>
      <w:r w:rsidRPr="001F43E0">
        <w:rPr>
          <w:rFonts w:ascii="Arial" w:hAnsi="Arial" w:cs="Arial"/>
          <w:i/>
          <w:iCs/>
          <w:sz w:val="22"/>
          <w:szCs w:val="22"/>
        </w:rPr>
        <w:t>Professional standards - Hwb</w:t>
      </w:r>
      <w:r w:rsidRPr="001F43E0">
        <w:rPr>
          <w:rFonts w:ascii="Arial" w:hAnsi="Arial" w:cs="Arial"/>
          <w:sz w:val="22"/>
          <w:szCs w:val="22"/>
        </w:rPr>
        <w:t>. [online] Hwb.gov.wales. Available at: https://hwb.gov.wales/professional-development/professional-standards/ [Accessed 21 Oct. 2019].</w:t>
      </w:r>
    </w:p>
    <w:p w14:paraId="45880B1C" w14:textId="77777777" w:rsidR="001F43E0" w:rsidRPr="001F43E0" w:rsidRDefault="001F43E0" w:rsidP="001F43E0">
      <w:pPr>
        <w:spacing w:line="360" w:lineRule="auto"/>
        <w:jc w:val="both"/>
        <w:rPr>
          <w:rFonts w:ascii="Arial" w:hAnsi="Arial" w:cs="Arial"/>
          <w:sz w:val="22"/>
          <w:szCs w:val="22"/>
        </w:rPr>
      </w:pPr>
    </w:p>
    <w:p w14:paraId="48C3F55A" w14:textId="77777777" w:rsidR="00435D56" w:rsidRPr="001F43E0" w:rsidRDefault="00435D56" w:rsidP="001F43E0">
      <w:pPr>
        <w:spacing w:line="360" w:lineRule="auto"/>
        <w:jc w:val="both"/>
        <w:rPr>
          <w:rFonts w:ascii="Arial" w:hAnsi="Arial" w:cs="Arial"/>
          <w:sz w:val="22"/>
          <w:szCs w:val="22"/>
        </w:rPr>
      </w:pPr>
      <w:r w:rsidRPr="001F43E0">
        <w:rPr>
          <w:rFonts w:ascii="Arial" w:hAnsi="Arial" w:cs="Arial"/>
          <w:sz w:val="22"/>
          <w:szCs w:val="22"/>
        </w:rPr>
        <w:t>Williams, P. (2008). Nonparticipant observation. </w:t>
      </w:r>
      <w:r w:rsidRPr="001F43E0">
        <w:rPr>
          <w:rFonts w:ascii="Arial" w:hAnsi="Arial" w:cs="Arial"/>
          <w:i/>
          <w:iCs/>
          <w:sz w:val="22"/>
          <w:szCs w:val="22"/>
        </w:rPr>
        <w:t>Qualitative Research Methods</w:t>
      </w:r>
      <w:r w:rsidRPr="001F43E0">
        <w:rPr>
          <w:rFonts w:ascii="Arial" w:hAnsi="Arial" w:cs="Arial"/>
          <w:sz w:val="22"/>
          <w:szCs w:val="22"/>
        </w:rPr>
        <w:t>. [online] Available at: https://www.researchgate.net/publication/265280500_Nonparticipant_observation [Accessed 20 Oct. 2019].</w:t>
      </w:r>
    </w:p>
    <w:p w14:paraId="0F1F06D1" w14:textId="77777777" w:rsidR="001F43E0" w:rsidRPr="001F43E0" w:rsidRDefault="001F43E0" w:rsidP="001F43E0">
      <w:pPr>
        <w:pStyle w:val="NormalWeb"/>
        <w:shd w:val="clear" w:color="auto" w:fill="FFFFFF"/>
        <w:spacing w:before="0" w:beforeAutospacing="0" w:after="180" w:afterAutospacing="0" w:line="360" w:lineRule="auto"/>
        <w:ind w:left="450" w:hanging="450"/>
        <w:jc w:val="both"/>
        <w:rPr>
          <w:rFonts w:ascii="Arial" w:hAnsi="Arial" w:cs="Arial"/>
          <w:color w:val="000000"/>
          <w:sz w:val="22"/>
          <w:szCs w:val="22"/>
        </w:rPr>
      </w:pPr>
    </w:p>
    <w:p w14:paraId="20A85583" w14:textId="77777777" w:rsidR="00435D56" w:rsidRPr="001F43E0" w:rsidRDefault="00435D56" w:rsidP="001F43E0">
      <w:pPr>
        <w:pStyle w:val="NormalWeb"/>
        <w:shd w:val="clear" w:color="auto" w:fill="FFFFFF"/>
        <w:spacing w:before="0" w:beforeAutospacing="0" w:after="180" w:afterAutospacing="0" w:line="360" w:lineRule="auto"/>
        <w:ind w:left="450" w:hanging="450"/>
        <w:jc w:val="both"/>
        <w:rPr>
          <w:rFonts w:ascii="Arial" w:hAnsi="Arial" w:cs="Arial"/>
          <w:color w:val="000000"/>
          <w:sz w:val="22"/>
          <w:szCs w:val="22"/>
        </w:rPr>
      </w:pPr>
      <w:r w:rsidRPr="001F43E0">
        <w:rPr>
          <w:rFonts w:ascii="Arial" w:hAnsi="Arial" w:cs="Arial"/>
          <w:color w:val="000000"/>
          <w:sz w:val="22"/>
          <w:szCs w:val="22"/>
        </w:rPr>
        <w:t>Wuest, D. (1999).</w:t>
      </w:r>
      <w:r w:rsidRPr="001F43E0">
        <w:rPr>
          <w:rStyle w:val="apple-converted-space"/>
          <w:rFonts w:ascii="Arial" w:hAnsi="Arial" w:cs="Arial"/>
          <w:color w:val="000000"/>
          <w:sz w:val="22"/>
          <w:szCs w:val="22"/>
        </w:rPr>
        <w:t> </w:t>
      </w:r>
      <w:r w:rsidRPr="001F43E0">
        <w:rPr>
          <w:rFonts w:ascii="Arial" w:hAnsi="Arial" w:cs="Arial"/>
          <w:i/>
          <w:iCs/>
          <w:color w:val="000000"/>
          <w:sz w:val="22"/>
          <w:szCs w:val="22"/>
        </w:rPr>
        <w:t>PEC: Classroom Behavior/Learning Environment Article</w:t>
      </w:r>
      <w:r w:rsidRPr="001F43E0">
        <w:rPr>
          <w:rFonts w:ascii="Arial" w:hAnsi="Arial" w:cs="Arial"/>
          <w:color w:val="000000"/>
          <w:sz w:val="22"/>
          <w:szCs w:val="22"/>
        </w:rPr>
        <w:t>. [online] Pecentral.org. Available at: https://www.pecentral.org/climate/april99article.html [Accessed 11 Oct. 2019].</w:t>
      </w:r>
    </w:p>
    <w:p w14:paraId="74E557EE" w14:textId="77777777" w:rsidR="00435D56" w:rsidRPr="001F43E0" w:rsidRDefault="00435D56" w:rsidP="001F43E0">
      <w:pPr>
        <w:shd w:val="clear" w:color="auto" w:fill="FFFFFF"/>
        <w:spacing w:after="180" w:line="360" w:lineRule="auto"/>
        <w:ind w:left="450" w:hanging="450"/>
        <w:jc w:val="both"/>
        <w:rPr>
          <w:rFonts w:ascii="Arial" w:hAnsi="Arial" w:cs="Arial"/>
          <w:color w:val="000000"/>
          <w:sz w:val="22"/>
          <w:szCs w:val="22"/>
          <w:lang w:eastAsia="en-GB"/>
        </w:rPr>
      </w:pPr>
      <w:r w:rsidRPr="001F43E0">
        <w:rPr>
          <w:rFonts w:ascii="Arial" w:hAnsi="Arial" w:cs="Arial"/>
          <w:color w:val="000000"/>
          <w:sz w:val="22"/>
          <w:szCs w:val="22"/>
          <w:lang w:eastAsia="en-GB"/>
        </w:rPr>
        <w:t>Zentall, S. and Morris, B. (2010). “Good job, you’re so smart”: The effects of inconsistency of praise type on young children’s motivation. </w:t>
      </w:r>
      <w:r w:rsidRPr="001F43E0">
        <w:rPr>
          <w:rFonts w:ascii="Arial" w:hAnsi="Arial" w:cs="Arial"/>
          <w:i/>
          <w:iCs/>
          <w:color w:val="000000"/>
          <w:sz w:val="22"/>
          <w:szCs w:val="22"/>
          <w:lang w:eastAsia="en-GB"/>
        </w:rPr>
        <w:t>Journal of Experimental Child Psychology</w:t>
      </w:r>
      <w:r w:rsidRPr="001F43E0">
        <w:rPr>
          <w:rFonts w:ascii="Arial" w:hAnsi="Arial" w:cs="Arial"/>
          <w:color w:val="000000"/>
          <w:sz w:val="22"/>
          <w:szCs w:val="22"/>
          <w:lang w:eastAsia="en-GB"/>
        </w:rPr>
        <w:t>, [online] 107(2), pp.155-163. Available at: https://www-sciencedirect-com.ezproxy.uwtsd.ac.uk/science/article/pii/S0022096510000755 [Accessed 11 Oct. 2019].</w:t>
      </w:r>
    </w:p>
    <w:p w14:paraId="046E1BFB" w14:textId="77777777" w:rsidR="003E110B" w:rsidRPr="00435D56" w:rsidRDefault="003E110B" w:rsidP="00435D56">
      <w:pPr>
        <w:spacing w:line="360" w:lineRule="auto"/>
        <w:jc w:val="both"/>
        <w:rPr>
          <w:rFonts w:ascii="Arial" w:hAnsi="Arial" w:cs="Arial"/>
          <w:sz w:val="22"/>
          <w:szCs w:val="22"/>
        </w:rPr>
      </w:pPr>
    </w:p>
    <w:p w14:paraId="0F3431CC" w14:textId="77777777" w:rsidR="003E110B" w:rsidRDefault="003E110B" w:rsidP="003E110B"/>
    <w:p w14:paraId="56255681" w14:textId="77777777" w:rsidR="00341E79" w:rsidRDefault="00341E79"/>
    <w:sectPr w:rsidR="00341E79" w:rsidSect="006D2828">
      <w:headerReference w:type="even" r:id="rId7"/>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563ACD8" w14:textId="77777777" w:rsidR="0020641A" w:rsidRDefault="0020641A" w:rsidP="00435D56">
      <w:r>
        <w:separator/>
      </w:r>
    </w:p>
  </w:endnote>
  <w:endnote w:type="continuationSeparator" w:id="0">
    <w:p w14:paraId="63F4C4D0" w14:textId="77777777" w:rsidR="0020641A" w:rsidRDefault="0020641A" w:rsidP="00435D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MS Mincho">
    <w:panose1 w:val="02020609040205080304"/>
    <w:charset w:val="80"/>
    <w:family w:val="roman"/>
    <w:pitch w:val="fixed"/>
    <w:sig w:usb0="E00002FF" w:usb1="6AC7FDFB" w:usb2="08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0C78FBB" w14:textId="77777777" w:rsidR="0020641A" w:rsidRDefault="0020641A" w:rsidP="00435D56">
      <w:r>
        <w:separator/>
      </w:r>
    </w:p>
  </w:footnote>
  <w:footnote w:type="continuationSeparator" w:id="0">
    <w:p w14:paraId="25301A60" w14:textId="77777777" w:rsidR="0020641A" w:rsidRDefault="0020641A" w:rsidP="00435D5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29E8D8" w14:textId="77777777" w:rsidR="00435D56" w:rsidRDefault="00435D56" w:rsidP="00036C07">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80A45F0" w14:textId="77777777" w:rsidR="00435D56" w:rsidRDefault="00435D56" w:rsidP="00435D56">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BD68C71" w14:textId="77777777" w:rsidR="00435D56" w:rsidRDefault="00435D56" w:rsidP="00036C07">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0641A">
      <w:rPr>
        <w:rStyle w:val="PageNumber"/>
        <w:noProof/>
      </w:rPr>
      <w:t>1</w:t>
    </w:r>
    <w:r>
      <w:rPr>
        <w:rStyle w:val="PageNumber"/>
      </w:rPr>
      <w:fldChar w:fldCharType="end"/>
    </w:r>
  </w:p>
  <w:p w14:paraId="36E81BF6" w14:textId="5D9CA6B3" w:rsidR="00435D56" w:rsidRDefault="00435D56" w:rsidP="00435D56">
    <w:pPr>
      <w:pStyle w:val="Header"/>
      <w:ind w:right="360"/>
    </w:pPr>
    <w:r>
      <w:t>1707818</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3"/>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2E69"/>
    <w:rsid w:val="00072E69"/>
    <w:rsid w:val="001F3CC0"/>
    <w:rsid w:val="001F43E0"/>
    <w:rsid w:val="0020641A"/>
    <w:rsid w:val="00270B4C"/>
    <w:rsid w:val="002F7555"/>
    <w:rsid w:val="00341E79"/>
    <w:rsid w:val="00364E5B"/>
    <w:rsid w:val="003C3669"/>
    <w:rsid w:val="003E110B"/>
    <w:rsid w:val="00435D56"/>
    <w:rsid w:val="00452A20"/>
    <w:rsid w:val="0047739E"/>
    <w:rsid w:val="00547286"/>
    <w:rsid w:val="00677719"/>
    <w:rsid w:val="006D2828"/>
    <w:rsid w:val="00744881"/>
    <w:rsid w:val="007E4E84"/>
    <w:rsid w:val="008E69F5"/>
    <w:rsid w:val="00A25891"/>
    <w:rsid w:val="00A75317"/>
    <w:rsid w:val="00A84BA7"/>
    <w:rsid w:val="00A92F6D"/>
    <w:rsid w:val="00BB0C86"/>
    <w:rsid w:val="00C36F77"/>
    <w:rsid w:val="00E54427"/>
    <w:rsid w:val="00EC6981"/>
    <w:rsid w:val="00F70C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50EB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72E69"/>
  </w:style>
  <w:style w:type="paragraph" w:styleId="Heading1">
    <w:name w:val="heading 1"/>
    <w:basedOn w:val="Normal"/>
    <w:next w:val="Normal"/>
    <w:link w:val="Heading1Char"/>
    <w:uiPriority w:val="9"/>
    <w:qFormat/>
    <w:rsid w:val="00435D5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41E79"/>
    <w:pPr>
      <w:spacing w:before="100" w:beforeAutospacing="1" w:after="100" w:afterAutospacing="1"/>
      <w:outlineLvl w:val="1"/>
    </w:pPr>
    <w:rPr>
      <w:rFonts w:ascii="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41E79"/>
    <w:pPr>
      <w:spacing w:before="100" w:beforeAutospacing="1" w:after="100" w:afterAutospacing="1"/>
    </w:pPr>
    <w:rPr>
      <w:rFonts w:ascii="Times New Roman" w:hAnsi="Times New Roman" w:cs="Times New Roman"/>
      <w:lang w:eastAsia="en-GB"/>
    </w:rPr>
  </w:style>
  <w:style w:type="character" w:customStyle="1" w:styleId="Heading2Char">
    <w:name w:val="Heading 2 Char"/>
    <w:basedOn w:val="DefaultParagraphFont"/>
    <w:link w:val="Heading2"/>
    <w:uiPriority w:val="9"/>
    <w:rsid w:val="00341E79"/>
    <w:rPr>
      <w:rFonts w:ascii="Times New Roman" w:hAnsi="Times New Roman" w:cs="Times New Roman"/>
      <w:b/>
      <w:bCs/>
      <w:sz w:val="36"/>
      <w:szCs w:val="36"/>
      <w:lang w:eastAsia="en-GB"/>
    </w:rPr>
  </w:style>
  <w:style w:type="character" w:customStyle="1" w:styleId="apple-converted-space">
    <w:name w:val="apple-converted-space"/>
    <w:basedOn w:val="DefaultParagraphFont"/>
    <w:rsid w:val="00341E79"/>
  </w:style>
  <w:style w:type="character" w:customStyle="1" w:styleId="Heading1Char">
    <w:name w:val="Heading 1 Char"/>
    <w:basedOn w:val="DefaultParagraphFont"/>
    <w:link w:val="Heading1"/>
    <w:uiPriority w:val="9"/>
    <w:rsid w:val="00435D56"/>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435D5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5D56"/>
    <w:rPr>
      <w:rFonts w:asciiTheme="majorHAnsi" w:eastAsiaTheme="majorEastAsia" w:hAnsiTheme="majorHAnsi" w:cstheme="majorBidi"/>
      <w:spacing w:val="-10"/>
      <w:kern w:val="28"/>
      <w:sz w:val="56"/>
      <w:szCs w:val="56"/>
    </w:rPr>
  </w:style>
  <w:style w:type="paragraph" w:styleId="Quote">
    <w:name w:val="Quote"/>
    <w:basedOn w:val="Normal"/>
    <w:next w:val="Normal"/>
    <w:link w:val="QuoteChar"/>
    <w:uiPriority w:val="29"/>
    <w:qFormat/>
    <w:rsid w:val="00435D56"/>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435D56"/>
    <w:rPr>
      <w:i/>
      <w:iCs/>
      <w:color w:val="404040" w:themeColor="text1" w:themeTint="BF"/>
    </w:rPr>
  </w:style>
  <w:style w:type="paragraph" w:styleId="Header">
    <w:name w:val="header"/>
    <w:basedOn w:val="Normal"/>
    <w:link w:val="HeaderChar"/>
    <w:uiPriority w:val="99"/>
    <w:unhideWhenUsed/>
    <w:rsid w:val="00435D56"/>
    <w:pPr>
      <w:tabs>
        <w:tab w:val="center" w:pos="4513"/>
        <w:tab w:val="right" w:pos="9026"/>
      </w:tabs>
    </w:pPr>
  </w:style>
  <w:style w:type="character" w:customStyle="1" w:styleId="HeaderChar">
    <w:name w:val="Header Char"/>
    <w:basedOn w:val="DefaultParagraphFont"/>
    <w:link w:val="Header"/>
    <w:uiPriority w:val="99"/>
    <w:rsid w:val="00435D56"/>
  </w:style>
  <w:style w:type="paragraph" w:styleId="Footer">
    <w:name w:val="footer"/>
    <w:basedOn w:val="Normal"/>
    <w:link w:val="FooterChar"/>
    <w:uiPriority w:val="99"/>
    <w:unhideWhenUsed/>
    <w:rsid w:val="00435D56"/>
    <w:pPr>
      <w:tabs>
        <w:tab w:val="center" w:pos="4513"/>
        <w:tab w:val="right" w:pos="9026"/>
      </w:tabs>
    </w:pPr>
  </w:style>
  <w:style w:type="character" w:customStyle="1" w:styleId="FooterChar">
    <w:name w:val="Footer Char"/>
    <w:basedOn w:val="DefaultParagraphFont"/>
    <w:link w:val="Footer"/>
    <w:uiPriority w:val="99"/>
    <w:rsid w:val="00435D56"/>
  </w:style>
  <w:style w:type="character" w:styleId="PageNumber">
    <w:name w:val="page number"/>
    <w:basedOn w:val="DefaultParagraphFont"/>
    <w:uiPriority w:val="99"/>
    <w:semiHidden/>
    <w:unhideWhenUsed/>
    <w:rsid w:val="00435D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86320099">
      <w:bodyDiv w:val="1"/>
      <w:marLeft w:val="0"/>
      <w:marRight w:val="0"/>
      <w:marTop w:val="0"/>
      <w:marBottom w:val="0"/>
      <w:divBdr>
        <w:top w:val="none" w:sz="0" w:space="0" w:color="auto"/>
        <w:left w:val="none" w:sz="0" w:space="0" w:color="auto"/>
        <w:bottom w:val="none" w:sz="0" w:space="0" w:color="auto"/>
        <w:right w:val="none" w:sz="0" w:space="0" w:color="auto"/>
      </w:divBdr>
    </w:div>
    <w:div w:id="1948464887">
      <w:bodyDiv w:val="1"/>
      <w:marLeft w:val="0"/>
      <w:marRight w:val="0"/>
      <w:marTop w:val="0"/>
      <w:marBottom w:val="0"/>
      <w:divBdr>
        <w:top w:val="none" w:sz="0" w:space="0" w:color="auto"/>
        <w:left w:val="none" w:sz="0" w:space="0" w:color="auto"/>
        <w:bottom w:val="none" w:sz="0" w:space="0" w:color="auto"/>
        <w:right w:val="none" w:sz="0" w:space="0" w:color="auto"/>
      </w:divBdr>
    </w:div>
    <w:div w:id="199402355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header" Target="head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20</Pages>
  <Words>7264</Words>
  <Characters>41408</Characters>
  <Application>Microsoft Macintosh Word</Application>
  <DocSecurity>0</DocSecurity>
  <Lines>345</Lines>
  <Paragraphs>97</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References</vt:lpstr>
    </vt:vector>
  </TitlesOfParts>
  <LinksUpToDate>false</LinksUpToDate>
  <CharactersWithSpaces>48575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O'leary (1707818)</dc:creator>
  <cp:keywords/>
  <dc:description/>
  <cp:lastModifiedBy>Luke O'leary (1707818)</cp:lastModifiedBy>
  <cp:revision>2</cp:revision>
  <dcterms:created xsi:type="dcterms:W3CDTF">2019-10-28T12:10:00Z</dcterms:created>
  <dcterms:modified xsi:type="dcterms:W3CDTF">2019-10-28T12:10:00Z</dcterms:modified>
</cp:coreProperties>
</file>