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A330B" w:rsidRPr="00E03AA6" w:rsidRDefault="00677857" w:rsidP="00E03AA6">
      <w:pPr>
        <w:jc w:val="center"/>
        <w:rPr>
          <w:b/>
          <w:bCs/>
          <w:sz w:val="36"/>
          <w:szCs w:val="36"/>
        </w:rPr>
      </w:pPr>
      <w:r w:rsidRPr="00E03AA6">
        <w:rPr>
          <w:b/>
          <w:bCs/>
          <w:sz w:val="36"/>
          <w:szCs w:val="36"/>
        </w:rPr>
        <w:t>Programme: CERT HE Social Enterprise Management</w:t>
      </w:r>
    </w:p>
    <w:p w14:paraId="00000002" w14:textId="77777777" w:rsidR="003A330B" w:rsidRPr="00E03AA6" w:rsidRDefault="00677857" w:rsidP="00E03AA6">
      <w:pPr>
        <w:jc w:val="center"/>
        <w:rPr>
          <w:b/>
          <w:bCs/>
          <w:sz w:val="36"/>
          <w:szCs w:val="36"/>
        </w:rPr>
      </w:pPr>
      <w:r w:rsidRPr="00E03AA6">
        <w:rPr>
          <w:b/>
          <w:bCs/>
          <w:sz w:val="36"/>
          <w:szCs w:val="36"/>
        </w:rPr>
        <w:t>Module: Social Enterprise: Theory and Practice</w:t>
      </w:r>
    </w:p>
    <w:p w14:paraId="00000003" w14:textId="77777777" w:rsidR="003A330B" w:rsidRPr="00E03AA6" w:rsidRDefault="00677857" w:rsidP="00E03AA6">
      <w:pPr>
        <w:jc w:val="center"/>
        <w:rPr>
          <w:b/>
          <w:bCs/>
          <w:sz w:val="36"/>
          <w:szCs w:val="36"/>
        </w:rPr>
      </w:pPr>
      <w:r w:rsidRPr="00E03AA6">
        <w:rPr>
          <w:b/>
          <w:bCs/>
          <w:sz w:val="36"/>
          <w:szCs w:val="36"/>
        </w:rPr>
        <w:t>Module code: BMSE4009D</w:t>
      </w:r>
    </w:p>
    <w:p w14:paraId="00000004" w14:textId="77777777" w:rsidR="003A330B" w:rsidRPr="00E03AA6" w:rsidRDefault="00677857" w:rsidP="00E03AA6">
      <w:pPr>
        <w:jc w:val="center"/>
        <w:rPr>
          <w:b/>
          <w:bCs/>
          <w:sz w:val="36"/>
          <w:szCs w:val="36"/>
        </w:rPr>
      </w:pPr>
      <w:r w:rsidRPr="00E03AA6">
        <w:rPr>
          <w:b/>
          <w:bCs/>
          <w:sz w:val="36"/>
          <w:szCs w:val="36"/>
        </w:rPr>
        <w:t>Assessment two: Report</w:t>
      </w:r>
    </w:p>
    <w:p w14:paraId="00000005" w14:textId="77777777" w:rsidR="003A330B" w:rsidRPr="00E03AA6" w:rsidRDefault="00677857" w:rsidP="00E03AA6">
      <w:pPr>
        <w:jc w:val="center"/>
        <w:rPr>
          <w:b/>
          <w:bCs/>
          <w:sz w:val="36"/>
          <w:szCs w:val="36"/>
        </w:rPr>
      </w:pPr>
      <w:r w:rsidRPr="00E03AA6">
        <w:rPr>
          <w:b/>
          <w:bCs/>
          <w:sz w:val="36"/>
          <w:szCs w:val="36"/>
        </w:rPr>
        <w:t>Assignment Title: Social Impact Measurement</w:t>
      </w:r>
    </w:p>
    <w:p w14:paraId="00000006" w14:textId="77777777" w:rsidR="003A330B" w:rsidRPr="00E03AA6" w:rsidRDefault="00677857" w:rsidP="00E03AA6">
      <w:pPr>
        <w:jc w:val="center"/>
        <w:rPr>
          <w:b/>
          <w:bCs/>
          <w:sz w:val="36"/>
          <w:szCs w:val="36"/>
        </w:rPr>
      </w:pPr>
      <w:r w:rsidRPr="00E03AA6">
        <w:rPr>
          <w:b/>
          <w:bCs/>
          <w:sz w:val="36"/>
          <w:szCs w:val="36"/>
        </w:rPr>
        <w:t>Divine Chocolate: Social Impact by being ethical and empowering farmers</w:t>
      </w:r>
    </w:p>
    <w:p w14:paraId="449E5506" w14:textId="77777777" w:rsidR="00E03AA6" w:rsidRDefault="00E03AA6" w:rsidP="00E03AA6">
      <w:r>
        <w:br w:type="page"/>
      </w:r>
    </w:p>
    <w:p w14:paraId="57149D81" w14:textId="77777777" w:rsidR="00E03AA6" w:rsidRPr="00E03AA6" w:rsidRDefault="00E03AA6" w:rsidP="00E03AA6">
      <w:pPr>
        <w:rPr>
          <w:b/>
          <w:bCs/>
          <w:sz w:val="28"/>
          <w:szCs w:val="28"/>
        </w:rPr>
      </w:pPr>
      <w:r w:rsidRPr="00E03AA6">
        <w:rPr>
          <w:b/>
          <w:bCs/>
          <w:sz w:val="28"/>
          <w:szCs w:val="28"/>
        </w:rPr>
        <w:lastRenderedPageBreak/>
        <w:t>Executive Summary</w:t>
      </w:r>
    </w:p>
    <w:p w14:paraId="00000007" w14:textId="5C2BF447" w:rsidR="003A330B" w:rsidRDefault="00E03AA6" w:rsidP="00E03AA6">
      <w:r w:rsidRPr="00E03AA6">
        <w:t xml:space="preserve">In this report, the social impact of Divine Chocolate, a leading Fairtrade confectionery company in the joint ownership of cocoa farmers via the </w:t>
      </w:r>
      <w:proofErr w:type="spellStart"/>
      <w:r w:rsidRPr="00E03AA6">
        <w:t>Kuapa</w:t>
      </w:r>
      <w:proofErr w:type="spellEnd"/>
      <w:r w:rsidRPr="00E03AA6">
        <w:t xml:space="preserve"> </w:t>
      </w:r>
      <w:proofErr w:type="spellStart"/>
      <w:r w:rsidRPr="00E03AA6">
        <w:t>Kokoo</w:t>
      </w:r>
      <w:proofErr w:type="spellEnd"/>
      <w:r w:rsidRPr="00E03AA6">
        <w:t xml:space="preserve"> cooperative in Ghana is discussed. Founded in 1998, Divine Chocolate is a revolutionary supply chain in which the farmers are also not merely suppliers but form part of the decision-making process and profit-sharing. The company ensures that farmers receive minimum Fairtrade price of cocoa which protects the farmers against market uncertainties in addition to giving them Fairtrade bonus on community investments. This model is innovative and promotes the sustainability in the long run because it leads to fair pay and co-ownership, which greatly enhances livelihoods of farming communities. The report also compares the impact of Divine with the quantifiable standards of social audit and evaluates the challenges and reflects on its contribution to social enterprise and fair trade discussion. Altogether, Divine Chocolate is an excellent example of how the ethical practises may be incorporated into the chocolate industry, as well as how the community development can be implemented.</w:t>
      </w:r>
      <w:r>
        <w:br w:type="page"/>
      </w:r>
    </w:p>
    <w:sdt>
      <w:sdtPr>
        <w:rPr>
          <w:rFonts w:ascii="Times New Roman" w:eastAsia="Times New Roman" w:hAnsi="Times New Roman" w:cs="Times New Roman"/>
          <w:color w:val="auto"/>
          <w:sz w:val="24"/>
          <w:szCs w:val="24"/>
          <w:lang w:val="en-GB" w:eastAsia="en-GB"/>
        </w:rPr>
        <w:id w:val="1104844460"/>
        <w:docPartObj>
          <w:docPartGallery w:val="Table of Contents"/>
          <w:docPartUnique/>
        </w:docPartObj>
      </w:sdtPr>
      <w:sdtEndPr>
        <w:rPr>
          <w:noProof/>
        </w:rPr>
      </w:sdtEndPr>
      <w:sdtContent>
        <w:p w14:paraId="0C187728" w14:textId="2E892BF7" w:rsidR="008445A1" w:rsidRPr="00E03AA6" w:rsidRDefault="008445A1" w:rsidP="00E03AA6">
          <w:pPr>
            <w:pStyle w:val="TOCHeading"/>
            <w:jc w:val="center"/>
            <w:rPr>
              <w:rFonts w:ascii="Times New Roman" w:hAnsi="Times New Roman" w:cs="Times New Roman"/>
              <w:b/>
              <w:bCs/>
              <w:color w:val="auto"/>
              <w:sz w:val="28"/>
              <w:szCs w:val="28"/>
            </w:rPr>
          </w:pPr>
          <w:r w:rsidRPr="00E03AA6">
            <w:rPr>
              <w:rFonts w:ascii="Times New Roman" w:hAnsi="Times New Roman" w:cs="Times New Roman"/>
              <w:b/>
              <w:bCs/>
              <w:color w:val="auto"/>
              <w:sz w:val="28"/>
              <w:szCs w:val="28"/>
            </w:rPr>
            <w:t>Table of Contents</w:t>
          </w:r>
        </w:p>
        <w:p w14:paraId="67CA5FA1" w14:textId="50A2D70A" w:rsidR="00E03AA6" w:rsidRDefault="008445A1">
          <w:pPr>
            <w:pStyle w:val="TOC1"/>
            <w:tabs>
              <w:tab w:val="right" w:leader="dot" w:pos="9019"/>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15670302" w:history="1">
            <w:r w:rsidR="00E03AA6" w:rsidRPr="00393A35">
              <w:rPr>
                <w:rStyle w:val="Hyperlink"/>
                <w:noProof/>
              </w:rPr>
              <w:t>Introduction</w:t>
            </w:r>
            <w:r w:rsidR="00E03AA6">
              <w:rPr>
                <w:noProof/>
                <w:webHidden/>
              </w:rPr>
              <w:tab/>
            </w:r>
            <w:r w:rsidR="00E03AA6">
              <w:rPr>
                <w:noProof/>
                <w:webHidden/>
              </w:rPr>
              <w:fldChar w:fldCharType="begin"/>
            </w:r>
            <w:r w:rsidR="00E03AA6">
              <w:rPr>
                <w:noProof/>
                <w:webHidden/>
              </w:rPr>
              <w:instrText xml:space="preserve"> PAGEREF _Toc215670302 \h </w:instrText>
            </w:r>
            <w:r w:rsidR="00E03AA6">
              <w:rPr>
                <w:noProof/>
                <w:webHidden/>
              </w:rPr>
            </w:r>
            <w:r w:rsidR="00E03AA6">
              <w:rPr>
                <w:noProof/>
                <w:webHidden/>
              </w:rPr>
              <w:fldChar w:fldCharType="separate"/>
            </w:r>
            <w:r w:rsidR="00E03AA6">
              <w:rPr>
                <w:noProof/>
                <w:webHidden/>
              </w:rPr>
              <w:t>4</w:t>
            </w:r>
            <w:r w:rsidR="00E03AA6">
              <w:rPr>
                <w:noProof/>
                <w:webHidden/>
              </w:rPr>
              <w:fldChar w:fldCharType="end"/>
            </w:r>
          </w:hyperlink>
        </w:p>
        <w:p w14:paraId="59C3A197" w14:textId="0166400A" w:rsidR="00E03AA6" w:rsidRDefault="00E03AA6">
          <w:pPr>
            <w:pStyle w:val="TOC1"/>
            <w:tabs>
              <w:tab w:val="right" w:leader="dot" w:pos="9019"/>
            </w:tabs>
            <w:rPr>
              <w:rFonts w:asciiTheme="minorHAnsi" w:eastAsiaTheme="minorEastAsia" w:hAnsiTheme="minorHAnsi" w:cstheme="minorBidi"/>
              <w:noProof/>
              <w:kern w:val="2"/>
              <w14:ligatures w14:val="standardContextual"/>
            </w:rPr>
          </w:pPr>
          <w:hyperlink w:anchor="_Toc215670303" w:history="1">
            <w:r w:rsidRPr="00393A35">
              <w:rPr>
                <w:rStyle w:val="Hyperlink"/>
                <w:noProof/>
              </w:rPr>
              <w:t>Background: Divine Chocolate and Social Enterprise Model.</w:t>
            </w:r>
            <w:r>
              <w:rPr>
                <w:noProof/>
                <w:webHidden/>
              </w:rPr>
              <w:tab/>
            </w:r>
            <w:r>
              <w:rPr>
                <w:noProof/>
                <w:webHidden/>
              </w:rPr>
              <w:fldChar w:fldCharType="begin"/>
            </w:r>
            <w:r>
              <w:rPr>
                <w:noProof/>
                <w:webHidden/>
              </w:rPr>
              <w:instrText xml:space="preserve"> PAGEREF _Toc215670303 \h </w:instrText>
            </w:r>
            <w:r>
              <w:rPr>
                <w:noProof/>
                <w:webHidden/>
              </w:rPr>
            </w:r>
            <w:r>
              <w:rPr>
                <w:noProof/>
                <w:webHidden/>
              </w:rPr>
              <w:fldChar w:fldCharType="separate"/>
            </w:r>
            <w:r>
              <w:rPr>
                <w:noProof/>
                <w:webHidden/>
              </w:rPr>
              <w:t>4</w:t>
            </w:r>
            <w:r>
              <w:rPr>
                <w:noProof/>
                <w:webHidden/>
              </w:rPr>
              <w:fldChar w:fldCharType="end"/>
            </w:r>
          </w:hyperlink>
        </w:p>
        <w:p w14:paraId="411B1298" w14:textId="6128ACC8" w:rsidR="00E03AA6" w:rsidRDefault="00E03AA6">
          <w:pPr>
            <w:pStyle w:val="TOC1"/>
            <w:tabs>
              <w:tab w:val="right" w:leader="dot" w:pos="9019"/>
            </w:tabs>
            <w:rPr>
              <w:rFonts w:asciiTheme="minorHAnsi" w:eastAsiaTheme="minorEastAsia" w:hAnsiTheme="minorHAnsi" w:cstheme="minorBidi"/>
              <w:noProof/>
              <w:kern w:val="2"/>
              <w14:ligatures w14:val="standardContextual"/>
            </w:rPr>
          </w:pPr>
          <w:hyperlink w:anchor="_Toc215670304" w:history="1">
            <w:r w:rsidRPr="00393A35">
              <w:rPr>
                <w:rStyle w:val="Hyperlink"/>
                <w:noProof/>
              </w:rPr>
              <w:t>The Social Impact Procedures- What Divine Does.</w:t>
            </w:r>
            <w:r>
              <w:rPr>
                <w:noProof/>
                <w:webHidden/>
              </w:rPr>
              <w:tab/>
            </w:r>
            <w:r>
              <w:rPr>
                <w:noProof/>
                <w:webHidden/>
              </w:rPr>
              <w:fldChar w:fldCharType="begin"/>
            </w:r>
            <w:r>
              <w:rPr>
                <w:noProof/>
                <w:webHidden/>
              </w:rPr>
              <w:instrText xml:space="preserve"> PAGEREF _Toc215670304 \h </w:instrText>
            </w:r>
            <w:r>
              <w:rPr>
                <w:noProof/>
                <w:webHidden/>
              </w:rPr>
            </w:r>
            <w:r>
              <w:rPr>
                <w:noProof/>
                <w:webHidden/>
              </w:rPr>
              <w:fldChar w:fldCharType="separate"/>
            </w:r>
            <w:r>
              <w:rPr>
                <w:noProof/>
                <w:webHidden/>
              </w:rPr>
              <w:t>5</w:t>
            </w:r>
            <w:r>
              <w:rPr>
                <w:noProof/>
                <w:webHidden/>
              </w:rPr>
              <w:fldChar w:fldCharType="end"/>
            </w:r>
          </w:hyperlink>
        </w:p>
        <w:p w14:paraId="46A52AE8" w14:textId="7DEF7451" w:rsidR="00E03AA6" w:rsidRDefault="00E03AA6">
          <w:pPr>
            <w:pStyle w:val="TOC2"/>
            <w:tabs>
              <w:tab w:val="right" w:leader="dot" w:pos="9019"/>
            </w:tabs>
            <w:rPr>
              <w:rFonts w:asciiTheme="minorHAnsi" w:eastAsiaTheme="minorEastAsia" w:hAnsiTheme="minorHAnsi" w:cstheme="minorBidi"/>
              <w:noProof/>
              <w:kern w:val="2"/>
              <w14:ligatures w14:val="standardContextual"/>
            </w:rPr>
          </w:pPr>
          <w:hyperlink w:anchor="_Toc215670305" w:history="1">
            <w:r w:rsidRPr="00393A35">
              <w:rPr>
                <w:rStyle w:val="Hyperlink"/>
                <w:noProof/>
              </w:rPr>
              <w:t>Guaranteed Minimum Price and Fair-trade Sourcing.</w:t>
            </w:r>
            <w:r>
              <w:rPr>
                <w:noProof/>
                <w:webHidden/>
              </w:rPr>
              <w:tab/>
            </w:r>
            <w:r>
              <w:rPr>
                <w:noProof/>
                <w:webHidden/>
              </w:rPr>
              <w:fldChar w:fldCharType="begin"/>
            </w:r>
            <w:r>
              <w:rPr>
                <w:noProof/>
                <w:webHidden/>
              </w:rPr>
              <w:instrText xml:space="preserve"> PAGEREF _Toc215670305 \h </w:instrText>
            </w:r>
            <w:r>
              <w:rPr>
                <w:noProof/>
                <w:webHidden/>
              </w:rPr>
            </w:r>
            <w:r>
              <w:rPr>
                <w:noProof/>
                <w:webHidden/>
              </w:rPr>
              <w:fldChar w:fldCharType="separate"/>
            </w:r>
            <w:r>
              <w:rPr>
                <w:noProof/>
                <w:webHidden/>
              </w:rPr>
              <w:t>5</w:t>
            </w:r>
            <w:r>
              <w:rPr>
                <w:noProof/>
                <w:webHidden/>
              </w:rPr>
              <w:fldChar w:fldCharType="end"/>
            </w:r>
          </w:hyperlink>
        </w:p>
        <w:p w14:paraId="496BF061" w14:textId="61B1D92B" w:rsidR="00E03AA6" w:rsidRDefault="00E03AA6">
          <w:pPr>
            <w:pStyle w:val="TOC2"/>
            <w:tabs>
              <w:tab w:val="right" w:leader="dot" w:pos="9019"/>
            </w:tabs>
            <w:rPr>
              <w:rFonts w:asciiTheme="minorHAnsi" w:eastAsiaTheme="minorEastAsia" w:hAnsiTheme="minorHAnsi" w:cstheme="minorBidi"/>
              <w:noProof/>
              <w:kern w:val="2"/>
              <w14:ligatures w14:val="standardContextual"/>
            </w:rPr>
          </w:pPr>
          <w:hyperlink w:anchor="_Toc215670306" w:history="1">
            <w:r w:rsidRPr="00393A35">
              <w:rPr>
                <w:rStyle w:val="Hyperlink"/>
                <w:noProof/>
              </w:rPr>
              <w:t>Profit-Sharing and Farmer Ownership.</w:t>
            </w:r>
            <w:r>
              <w:rPr>
                <w:noProof/>
                <w:webHidden/>
              </w:rPr>
              <w:tab/>
            </w:r>
            <w:r>
              <w:rPr>
                <w:noProof/>
                <w:webHidden/>
              </w:rPr>
              <w:fldChar w:fldCharType="begin"/>
            </w:r>
            <w:r>
              <w:rPr>
                <w:noProof/>
                <w:webHidden/>
              </w:rPr>
              <w:instrText xml:space="preserve"> PAGEREF _Toc215670306 \h </w:instrText>
            </w:r>
            <w:r>
              <w:rPr>
                <w:noProof/>
                <w:webHidden/>
              </w:rPr>
            </w:r>
            <w:r>
              <w:rPr>
                <w:noProof/>
                <w:webHidden/>
              </w:rPr>
              <w:fldChar w:fldCharType="separate"/>
            </w:r>
            <w:r>
              <w:rPr>
                <w:noProof/>
                <w:webHidden/>
              </w:rPr>
              <w:t>5</w:t>
            </w:r>
            <w:r>
              <w:rPr>
                <w:noProof/>
                <w:webHidden/>
              </w:rPr>
              <w:fldChar w:fldCharType="end"/>
            </w:r>
          </w:hyperlink>
        </w:p>
        <w:p w14:paraId="4CF19ADF" w14:textId="394027D7" w:rsidR="00E03AA6" w:rsidRDefault="00E03AA6">
          <w:pPr>
            <w:pStyle w:val="TOC2"/>
            <w:tabs>
              <w:tab w:val="right" w:leader="dot" w:pos="9019"/>
            </w:tabs>
            <w:rPr>
              <w:rFonts w:asciiTheme="minorHAnsi" w:eastAsiaTheme="minorEastAsia" w:hAnsiTheme="minorHAnsi" w:cstheme="minorBidi"/>
              <w:noProof/>
              <w:kern w:val="2"/>
              <w14:ligatures w14:val="standardContextual"/>
            </w:rPr>
          </w:pPr>
          <w:hyperlink w:anchor="_Toc215670307" w:history="1">
            <w:r w:rsidRPr="00393A35">
              <w:rPr>
                <w:rStyle w:val="Hyperlink"/>
                <w:noProof/>
              </w:rPr>
              <w:t>Social Impact: Evaluation and Results.</w:t>
            </w:r>
            <w:r>
              <w:rPr>
                <w:noProof/>
                <w:webHidden/>
              </w:rPr>
              <w:tab/>
            </w:r>
            <w:r>
              <w:rPr>
                <w:noProof/>
                <w:webHidden/>
              </w:rPr>
              <w:fldChar w:fldCharType="begin"/>
            </w:r>
            <w:r>
              <w:rPr>
                <w:noProof/>
                <w:webHidden/>
              </w:rPr>
              <w:instrText xml:space="preserve"> PAGEREF _Toc215670307 \h </w:instrText>
            </w:r>
            <w:r>
              <w:rPr>
                <w:noProof/>
                <w:webHidden/>
              </w:rPr>
            </w:r>
            <w:r>
              <w:rPr>
                <w:noProof/>
                <w:webHidden/>
              </w:rPr>
              <w:fldChar w:fldCharType="separate"/>
            </w:r>
            <w:r>
              <w:rPr>
                <w:noProof/>
                <w:webHidden/>
              </w:rPr>
              <w:t>6</w:t>
            </w:r>
            <w:r>
              <w:rPr>
                <w:noProof/>
                <w:webHidden/>
              </w:rPr>
              <w:fldChar w:fldCharType="end"/>
            </w:r>
          </w:hyperlink>
        </w:p>
        <w:p w14:paraId="6BCF2A7C" w14:textId="1137C482" w:rsidR="00E03AA6" w:rsidRDefault="00E03AA6">
          <w:pPr>
            <w:pStyle w:val="TOC3"/>
            <w:tabs>
              <w:tab w:val="right" w:leader="dot" w:pos="9019"/>
            </w:tabs>
            <w:rPr>
              <w:rFonts w:asciiTheme="minorHAnsi" w:eastAsiaTheme="minorEastAsia" w:hAnsiTheme="minorHAnsi" w:cstheme="minorBidi"/>
              <w:noProof/>
              <w:kern w:val="2"/>
              <w14:ligatures w14:val="standardContextual"/>
            </w:rPr>
          </w:pPr>
          <w:hyperlink w:anchor="_Toc215670308" w:history="1">
            <w:r w:rsidRPr="00393A35">
              <w:rPr>
                <w:rStyle w:val="Hyperlink"/>
                <w:noProof/>
              </w:rPr>
              <w:t>Better Lives and Income Security.</w:t>
            </w:r>
            <w:r>
              <w:rPr>
                <w:noProof/>
                <w:webHidden/>
              </w:rPr>
              <w:tab/>
            </w:r>
            <w:r>
              <w:rPr>
                <w:noProof/>
                <w:webHidden/>
              </w:rPr>
              <w:fldChar w:fldCharType="begin"/>
            </w:r>
            <w:r>
              <w:rPr>
                <w:noProof/>
                <w:webHidden/>
              </w:rPr>
              <w:instrText xml:space="preserve"> PAGEREF _Toc215670308 \h </w:instrText>
            </w:r>
            <w:r>
              <w:rPr>
                <w:noProof/>
                <w:webHidden/>
              </w:rPr>
            </w:r>
            <w:r>
              <w:rPr>
                <w:noProof/>
                <w:webHidden/>
              </w:rPr>
              <w:fldChar w:fldCharType="separate"/>
            </w:r>
            <w:r>
              <w:rPr>
                <w:noProof/>
                <w:webHidden/>
              </w:rPr>
              <w:t>6</w:t>
            </w:r>
            <w:r>
              <w:rPr>
                <w:noProof/>
                <w:webHidden/>
              </w:rPr>
              <w:fldChar w:fldCharType="end"/>
            </w:r>
          </w:hyperlink>
        </w:p>
        <w:p w14:paraId="059DD036" w14:textId="291DE595" w:rsidR="00E03AA6" w:rsidRDefault="00E03AA6">
          <w:pPr>
            <w:pStyle w:val="TOC3"/>
            <w:tabs>
              <w:tab w:val="right" w:leader="dot" w:pos="9019"/>
            </w:tabs>
            <w:rPr>
              <w:rFonts w:asciiTheme="minorHAnsi" w:eastAsiaTheme="minorEastAsia" w:hAnsiTheme="minorHAnsi" w:cstheme="minorBidi"/>
              <w:noProof/>
              <w:kern w:val="2"/>
              <w14:ligatures w14:val="standardContextual"/>
            </w:rPr>
          </w:pPr>
          <w:hyperlink w:anchor="_Toc215670309" w:history="1">
            <w:r w:rsidRPr="00393A35">
              <w:rPr>
                <w:rStyle w:val="Hyperlink"/>
                <w:noProof/>
              </w:rPr>
              <w:t>Social Infrastructure, Community Development and Human Capital.</w:t>
            </w:r>
            <w:r>
              <w:rPr>
                <w:noProof/>
                <w:webHidden/>
              </w:rPr>
              <w:tab/>
            </w:r>
            <w:r>
              <w:rPr>
                <w:noProof/>
                <w:webHidden/>
              </w:rPr>
              <w:fldChar w:fldCharType="begin"/>
            </w:r>
            <w:r>
              <w:rPr>
                <w:noProof/>
                <w:webHidden/>
              </w:rPr>
              <w:instrText xml:space="preserve"> PAGEREF _Toc215670309 \h </w:instrText>
            </w:r>
            <w:r>
              <w:rPr>
                <w:noProof/>
                <w:webHidden/>
              </w:rPr>
            </w:r>
            <w:r>
              <w:rPr>
                <w:noProof/>
                <w:webHidden/>
              </w:rPr>
              <w:fldChar w:fldCharType="separate"/>
            </w:r>
            <w:r>
              <w:rPr>
                <w:noProof/>
                <w:webHidden/>
              </w:rPr>
              <w:t>6</w:t>
            </w:r>
            <w:r>
              <w:rPr>
                <w:noProof/>
                <w:webHidden/>
              </w:rPr>
              <w:fldChar w:fldCharType="end"/>
            </w:r>
          </w:hyperlink>
        </w:p>
        <w:p w14:paraId="12495028" w14:textId="61D8884E" w:rsidR="00E03AA6" w:rsidRDefault="00E03AA6">
          <w:pPr>
            <w:pStyle w:val="TOC3"/>
            <w:tabs>
              <w:tab w:val="right" w:leader="dot" w:pos="9019"/>
            </w:tabs>
            <w:rPr>
              <w:rFonts w:asciiTheme="minorHAnsi" w:eastAsiaTheme="minorEastAsia" w:hAnsiTheme="minorHAnsi" w:cstheme="minorBidi"/>
              <w:noProof/>
              <w:kern w:val="2"/>
              <w14:ligatures w14:val="standardContextual"/>
            </w:rPr>
          </w:pPr>
          <w:hyperlink w:anchor="_Toc215670310" w:history="1">
            <w:r w:rsidRPr="00393A35">
              <w:rPr>
                <w:rStyle w:val="Hyperlink"/>
                <w:noProof/>
              </w:rPr>
              <w:t>Empowerment, Governance and Gender Equality.</w:t>
            </w:r>
            <w:r>
              <w:rPr>
                <w:noProof/>
                <w:webHidden/>
              </w:rPr>
              <w:tab/>
            </w:r>
            <w:r>
              <w:rPr>
                <w:noProof/>
                <w:webHidden/>
              </w:rPr>
              <w:fldChar w:fldCharType="begin"/>
            </w:r>
            <w:r>
              <w:rPr>
                <w:noProof/>
                <w:webHidden/>
              </w:rPr>
              <w:instrText xml:space="preserve"> PAGEREF _Toc215670310 \h </w:instrText>
            </w:r>
            <w:r>
              <w:rPr>
                <w:noProof/>
                <w:webHidden/>
              </w:rPr>
            </w:r>
            <w:r>
              <w:rPr>
                <w:noProof/>
                <w:webHidden/>
              </w:rPr>
              <w:fldChar w:fldCharType="separate"/>
            </w:r>
            <w:r>
              <w:rPr>
                <w:noProof/>
                <w:webHidden/>
              </w:rPr>
              <w:t>6</w:t>
            </w:r>
            <w:r>
              <w:rPr>
                <w:noProof/>
                <w:webHidden/>
              </w:rPr>
              <w:fldChar w:fldCharType="end"/>
            </w:r>
          </w:hyperlink>
        </w:p>
        <w:p w14:paraId="2194CC46" w14:textId="3EE47A05" w:rsidR="00E03AA6" w:rsidRDefault="00E03AA6">
          <w:pPr>
            <w:pStyle w:val="TOC2"/>
            <w:tabs>
              <w:tab w:val="right" w:leader="dot" w:pos="9019"/>
            </w:tabs>
            <w:rPr>
              <w:rFonts w:asciiTheme="minorHAnsi" w:eastAsiaTheme="minorEastAsia" w:hAnsiTheme="minorHAnsi" w:cstheme="minorBidi"/>
              <w:noProof/>
              <w:kern w:val="2"/>
              <w14:ligatures w14:val="standardContextual"/>
            </w:rPr>
          </w:pPr>
          <w:hyperlink w:anchor="_Toc215670311" w:history="1">
            <w:r w:rsidRPr="00393A35">
              <w:rPr>
                <w:rStyle w:val="Hyperlink"/>
                <w:noProof/>
              </w:rPr>
              <w:t>Important Reflections and Constraints</w:t>
            </w:r>
            <w:r>
              <w:rPr>
                <w:noProof/>
                <w:webHidden/>
              </w:rPr>
              <w:tab/>
            </w:r>
            <w:r>
              <w:rPr>
                <w:noProof/>
                <w:webHidden/>
              </w:rPr>
              <w:fldChar w:fldCharType="begin"/>
            </w:r>
            <w:r>
              <w:rPr>
                <w:noProof/>
                <w:webHidden/>
              </w:rPr>
              <w:instrText xml:space="preserve"> PAGEREF _Toc215670311 \h </w:instrText>
            </w:r>
            <w:r>
              <w:rPr>
                <w:noProof/>
                <w:webHidden/>
              </w:rPr>
            </w:r>
            <w:r>
              <w:rPr>
                <w:noProof/>
                <w:webHidden/>
              </w:rPr>
              <w:fldChar w:fldCharType="separate"/>
            </w:r>
            <w:r>
              <w:rPr>
                <w:noProof/>
                <w:webHidden/>
              </w:rPr>
              <w:t>7</w:t>
            </w:r>
            <w:r>
              <w:rPr>
                <w:noProof/>
                <w:webHidden/>
              </w:rPr>
              <w:fldChar w:fldCharType="end"/>
            </w:r>
          </w:hyperlink>
        </w:p>
        <w:p w14:paraId="646D66AE" w14:textId="09311E7C" w:rsidR="00E03AA6" w:rsidRDefault="00E03AA6">
          <w:pPr>
            <w:pStyle w:val="TOC1"/>
            <w:tabs>
              <w:tab w:val="right" w:leader="dot" w:pos="9019"/>
            </w:tabs>
            <w:rPr>
              <w:rFonts w:asciiTheme="minorHAnsi" w:eastAsiaTheme="minorEastAsia" w:hAnsiTheme="minorHAnsi" w:cstheme="minorBidi"/>
              <w:noProof/>
              <w:kern w:val="2"/>
              <w14:ligatures w14:val="standardContextual"/>
            </w:rPr>
          </w:pPr>
          <w:hyperlink w:anchor="_Toc215670312" w:history="1">
            <w:r w:rsidRPr="00393A35">
              <w:rPr>
                <w:rStyle w:val="Hyperlink"/>
                <w:noProof/>
              </w:rPr>
              <w:t>Conclusion</w:t>
            </w:r>
            <w:r>
              <w:rPr>
                <w:noProof/>
                <w:webHidden/>
              </w:rPr>
              <w:tab/>
            </w:r>
            <w:r>
              <w:rPr>
                <w:noProof/>
                <w:webHidden/>
              </w:rPr>
              <w:fldChar w:fldCharType="begin"/>
            </w:r>
            <w:r>
              <w:rPr>
                <w:noProof/>
                <w:webHidden/>
              </w:rPr>
              <w:instrText xml:space="preserve"> PAGEREF _Toc215670312 \h </w:instrText>
            </w:r>
            <w:r>
              <w:rPr>
                <w:noProof/>
                <w:webHidden/>
              </w:rPr>
            </w:r>
            <w:r>
              <w:rPr>
                <w:noProof/>
                <w:webHidden/>
              </w:rPr>
              <w:fldChar w:fldCharType="separate"/>
            </w:r>
            <w:r>
              <w:rPr>
                <w:noProof/>
                <w:webHidden/>
              </w:rPr>
              <w:t>7</w:t>
            </w:r>
            <w:r>
              <w:rPr>
                <w:noProof/>
                <w:webHidden/>
              </w:rPr>
              <w:fldChar w:fldCharType="end"/>
            </w:r>
          </w:hyperlink>
        </w:p>
        <w:p w14:paraId="54090577" w14:textId="74C834A9" w:rsidR="00E03AA6" w:rsidRDefault="00E03AA6">
          <w:pPr>
            <w:pStyle w:val="TOC1"/>
            <w:tabs>
              <w:tab w:val="right" w:leader="dot" w:pos="9019"/>
            </w:tabs>
            <w:rPr>
              <w:rFonts w:asciiTheme="minorHAnsi" w:eastAsiaTheme="minorEastAsia" w:hAnsiTheme="minorHAnsi" w:cstheme="minorBidi"/>
              <w:noProof/>
              <w:kern w:val="2"/>
              <w14:ligatures w14:val="standardContextual"/>
            </w:rPr>
          </w:pPr>
          <w:hyperlink w:anchor="_Toc215670313" w:history="1">
            <w:r w:rsidRPr="00393A35">
              <w:rPr>
                <w:rStyle w:val="Hyperlink"/>
                <w:noProof/>
              </w:rPr>
              <w:t>Reference</w:t>
            </w:r>
            <w:r>
              <w:rPr>
                <w:noProof/>
                <w:webHidden/>
              </w:rPr>
              <w:tab/>
            </w:r>
            <w:r>
              <w:rPr>
                <w:noProof/>
                <w:webHidden/>
              </w:rPr>
              <w:fldChar w:fldCharType="begin"/>
            </w:r>
            <w:r>
              <w:rPr>
                <w:noProof/>
                <w:webHidden/>
              </w:rPr>
              <w:instrText xml:space="preserve"> PAGEREF _Toc215670313 \h </w:instrText>
            </w:r>
            <w:r>
              <w:rPr>
                <w:noProof/>
                <w:webHidden/>
              </w:rPr>
            </w:r>
            <w:r>
              <w:rPr>
                <w:noProof/>
                <w:webHidden/>
              </w:rPr>
              <w:fldChar w:fldCharType="separate"/>
            </w:r>
            <w:r>
              <w:rPr>
                <w:noProof/>
                <w:webHidden/>
              </w:rPr>
              <w:t>9</w:t>
            </w:r>
            <w:r>
              <w:rPr>
                <w:noProof/>
                <w:webHidden/>
              </w:rPr>
              <w:fldChar w:fldCharType="end"/>
            </w:r>
          </w:hyperlink>
        </w:p>
        <w:p w14:paraId="21A00057" w14:textId="7923816A" w:rsidR="008445A1" w:rsidRDefault="008445A1" w:rsidP="00E03AA6">
          <w:r>
            <w:rPr>
              <w:noProof/>
            </w:rPr>
            <w:fldChar w:fldCharType="end"/>
          </w:r>
        </w:p>
      </w:sdtContent>
    </w:sdt>
    <w:p w14:paraId="00000008" w14:textId="77777777" w:rsidR="003A330B" w:rsidRDefault="00677857" w:rsidP="00E03AA6">
      <w:r>
        <w:br w:type="page"/>
      </w:r>
    </w:p>
    <w:p w14:paraId="00000009" w14:textId="77777777" w:rsidR="003A330B" w:rsidRPr="00E03AA6" w:rsidRDefault="00677857" w:rsidP="00E03AA6">
      <w:pPr>
        <w:pStyle w:val="Heading1"/>
      </w:pPr>
      <w:bookmarkStart w:id="0" w:name="_flfm38gfv93" w:colFirst="0" w:colLast="0"/>
      <w:bookmarkStart w:id="1" w:name="_Toc215670302"/>
      <w:bookmarkEnd w:id="0"/>
      <w:r w:rsidRPr="00E03AA6">
        <w:lastRenderedPageBreak/>
        <w:t>Introduction</w:t>
      </w:r>
      <w:bookmarkEnd w:id="1"/>
    </w:p>
    <w:p w14:paraId="0000000A" w14:textId="0FEB9B61" w:rsidR="003A330B" w:rsidRDefault="00677857" w:rsidP="00E03AA6">
      <w:r>
        <w:t xml:space="preserve">The chocolate industry has been continually criticised over unfair distribution of value, as cocoa farmers, who are usually small-scale farmers in less developed nations, only receive a small portion of the profits despite the fact that they are the direct source of the raw material. The result of this inequality has been manifested in poverty, volatile earnings, poor bargaining power, and social vulnerability of farming communities. The introduction of moral and fair-trade business models has attempted to </w:t>
      </w:r>
      <w:r>
        <w:t>solve these structural problems by considering the farmers as not just suppliers, but also legitimate stakeholders (Bennett</w:t>
      </w:r>
      <w:r w:rsidR="00E03AA6">
        <w:t xml:space="preserve"> and </w:t>
      </w:r>
      <w:r>
        <w:t>Grabs, 2024). Divine Chocolate, in this regard, can be seen as a paradigm shift in the concept of social enterprise: a cocoa-based confectionery business organisation that is one of the UK (and internationally), which is co-owned by the farmers themselves, focuses on providing fair compensation, investing in the community and development, and integrating socially responsible activities throughout its value chain. This report examines the social impact of Divine Chocolate, especially its governance model, fa</w:t>
      </w:r>
      <w:r>
        <w:t>ir-trade sourcing, profit-sharing and community development programs that help in improving the livelihoods, empowerment and structural change of cocoa producers, especially when it comes to its working relationship with the cocoa farmers' cooperation, the Kuapa Kokoo in Ghana. To the extent feasible, this report also benchmarks those impacts on quantifiable standards, which are based on frameworks like those employed in social audits. Lastly, the report presents a critical reflection of limitations and cha</w:t>
      </w:r>
      <w:r>
        <w:t>llenges, and proposes the contribution of the approach taken by Divine to the overall discussion of social enterprise and fair trade.</w:t>
      </w:r>
    </w:p>
    <w:p w14:paraId="0000000B" w14:textId="77777777" w:rsidR="003A330B" w:rsidRDefault="00677857" w:rsidP="00E03AA6">
      <w:pPr>
        <w:pStyle w:val="Heading1"/>
      </w:pPr>
      <w:bookmarkStart w:id="2" w:name="_5tlisrr9gs9c" w:colFirst="0" w:colLast="0"/>
      <w:bookmarkStart w:id="3" w:name="_Toc215670303"/>
      <w:bookmarkEnd w:id="2"/>
      <w:r>
        <w:t>Background: Divine Chocolate and Social Enterprise Model.</w:t>
      </w:r>
      <w:bookmarkEnd w:id="3"/>
    </w:p>
    <w:p w14:paraId="0000000C" w14:textId="3978E46B" w:rsidR="003A330B" w:rsidRDefault="00677857" w:rsidP="00E03AA6">
      <w:r>
        <w:t>Different was the case of Divine Chocolate, which was started in 1998 as a Fairtrade confectionery company based in the UK (Ellis, Colin-Jones,</w:t>
      </w:r>
      <w:r w:rsidR="00E03AA6">
        <w:t xml:space="preserve"> and </w:t>
      </w:r>
      <w:r>
        <w:t xml:space="preserve">Hartzell, 2021). It was a partnership between Twin Trading (an alternative trading organisation based in London), the cocoa farmers' cooperation, Kuapa Kokoo, and originally a retail partner (which subsequently sold shares), and development-oriented NGOs. The concept was to develop the first Fairtrade chocolate bar in the mass market, which would be farmer-owned. </w:t>
      </w:r>
    </w:p>
    <w:p w14:paraId="0000000D" w14:textId="77777777" w:rsidR="003A330B" w:rsidRDefault="00677857" w:rsidP="00E03AA6">
      <w:r>
        <w:t xml:space="preserve">Fundamentally, the unique attribute of Divine Chocolate is its ownership and governance structure. In a lot of supply chains that deal with commodities, farmers only provide raw materials and do not own a lot of control or share of the profits; Divine reverses it by providing </w:t>
      </w:r>
      <w:r>
        <w:lastRenderedPageBreak/>
        <w:t xml:space="preserve">farmers with a non-production but value chain. Traditionally, Kuapa Kokoo owned a large portion of the business, such that cocoa farmers not only become suppliers, but also have a co-ownership in the business, and are not only entitled to profits, but a voice in strategic planning and shared empowerment (B Corps, 2025). </w:t>
      </w:r>
    </w:p>
    <w:p w14:paraId="0000000E" w14:textId="77777777" w:rsidR="003A330B" w:rsidRDefault="00677857" w:rsidP="00E03AA6">
      <w:r>
        <w:t>This arrangement moves the value up the chain: rather than mediators taking the bulk of profits, farmers (and their communities) are fairly paid, have their share of profits, and receive other assistance (Anca Voinea, 2020). And when possible, divine sources cocoa, sugar, vanilla, among other ingredients, only (or as much as possible) from Fairtrade-certified producers.</w:t>
      </w:r>
    </w:p>
    <w:p w14:paraId="0000000F" w14:textId="77777777" w:rsidR="003A330B" w:rsidRDefault="00677857" w:rsidP="00E03AA6">
      <w:pPr>
        <w:pStyle w:val="Heading1"/>
      </w:pPr>
      <w:bookmarkStart w:id="4" w:name="_rg1bpaw1w7jm" w:colFirst="0" w:colLast="0"/>
      <w:bookmarkStart w:id="5" w:name="_Toc215670304"/>
      <w:bookmarkEnd w:id="4"/>
      <w:r>
        <w:t>The Social Impact Procedures- What Divine Does.</w:t>
      </w:r>
      <w:bookmarkEnd w:id="5"/>
    </w:p>
    <w:p w14:paraId="00000010" w14:textId="77777777" w:rsidR="003A330B" w:rsidRPr="00E03AA6" w:rsidRDefault="00677857" w:rsidP="00E03AA6">
      <w:pPr>
        <w:pStyle w:val="Heading2"/>
      </w:pPr>
      <w:bookmarkStart w:id="6" w:name="_8gn5ul9mzkgw" w:colFirst="0" w:colLast="0"/>
      <w:bookmarkStart w:id="7" w:name="_Toc215670305"/>
      <w:bookmarkEnd w:id="6"/>
      <w:r w:rsidRPr="00E03AA6">
        <w:t>Guaranteed Minimum Price and Fair-trade Sourcing.</w:t>
      </w:r>
      <w:bookmarkEnd w:id="7"/>
    </w:p>
    <w:p w14:paraId="00000011" w14:textId="77777777" w:rsidR="003A330B" w:rsidRDefault="00677857" w:rsidP="00E03AA6">
      <w:r>
        <w:t>Amongst the building blocks of impact is the fact that Divine buys cocoa at fair-trade prices: the farmers will earn at least the Fairtrade minimum price (or the world market price in case it is higher), which protects them against the fluctuations of international commodity prices (WIPO, 2024). Besides the base price, Divine (through the Fairtrade protocols) pays Fairtrade Premium per tonne of cocoa. This operating margin offers the cooperative and communities the opportunity to invest the money the way th</w:t>
      </w:r>
      <w:r>
        <w:t>ey see fit - usually in social or infrastructural development. Divine assists with predictable incomes of smallholder farmers by maintaining a stable and fair price of cocoa, which reduces their susceptibility to market fluctuations and allows them to plan over the long term.</w:t>
      </w:r>
    </w:p>
    <w:p w14:paraId="00000012" w14:textId="77777777" w:rsidR="003A330B" w:rsidRDefault="00677857" w:rsidP="00E03AA6">
      <w:pPr>
        <w:pStyle w:val="Heading2"/>
      </w:pPr>
      <w:bookmarkStart w:id="8" w:name="_j561or8k1xvz" w:colFirst="0" w:colLast="0"/>
      <w:bookmarkStart w:id="9" w:name="_Toc215670306"/>
      <w:bookmarkEnd w:id="8"/>
      <w:r>
        <w:t>Profit-Sharing and Farmer Ownership.</w:t>
      </w:r>
      <w:bookmarkEnd w:id="9"/>
    </w:p>
    <w:p w14:paraId="00000013" w14:textId="77777777" w:rsidR="003A330B" w:rsidRDefault="00677857" w:rsidP="00E03AA6">
      <w:r>
        <w:t xml:space="preserve">In addition to payment of fair-trade, Divine pays directly to the farmers in terms of shareholding and distribution of profit. The farmers are given a part of the profit distributed by the company through the co-ownership model. The model has traditionally provided several sources of income to producer members, such as fair-trade price, Fairtrade premium, a portion of profits, and investments through the producer support fund (Oberlack </w:t>
      </w:r>
      <w:r w:rsidRPr="00D25497">
        <w:rPr>
          <w:i/>
          <w:iCs/>
        </w:rPr>
        <w:t>et al</w:t>
      </w:r>
      <w:r>
        <w:t>., 2020).  By doing so, the farmers will become stakeholders but not only suppliers, but their well-being will be in line with the prosperity of the company. This economic transformation enables them to have a say in the business and is based on providing them an economic power that will right the imbalance in the global cocoa industry.</w:t>
      </w:r>
    </w:p>
    <w:p w14:paraId="00000014" w14:textId="77777777" w:rsidR="003A330B" w:rsidRDefault="003A330B" w:rsidP="00E03AA6"/>
    <w:p w14:paraId="00000015" w14:textId="77777777" w:rsidR="003A330B" w:rsidRDefault="00677857" w:rsidP="00E03AA6">
      <w:pPr>
        <w:pStyle w:val="Heading2"/>
      </w:pPr>
      <w:bookmarkStart w:id="10" w:name="_z112ep7wk6n4" w:colFirst="0" w:colLast="0"/>
      <w:bookmarkStart w:id="11" w:name="_Toc215670307"/>
      <w:bookmarkEnd w:id="10"/>
      <w:r>
        <w:lastRenderedPageBreak/>
        <w:t>Social Impact: Evaluation and Results.</w:t>
      </w:r>
      <w:bookmarkEnd w:id="11"/>
    </w:p>
    <w:p w14:paraId="00000016" w14:textId="77777777" w:rsidR="003A330B" w:rsidRDefault="00677857" w:rsidP="00E03AA6">
      <w:pPr>
        <w:pStyle w:val="Heading3"/>
      </w:pPr>
      <w:bookmarkStart w:id="12" w:name="_pycl59aryyc3" w:colFirst="0" w:colLast="0"/>
      <w:bookmarkStart w:id="13" w:name="_Toc215670308"/>
      <w:bookmarkEnd w:id="12"/>
      <w:r w:rsidRPr="00E03AA6">
        <w:t>Better Lives and Income Security</w:t>
      </w:r>
      <w:r>
        <w:t>.</w:t>
      </w:r>
      <w:bookmarkEnd w:id="13"/>
    </w:p>
    <w:p w14:paraId="00000017" w14:textId="77777777" w:rsidR="003A330B" w:rsidRDefault="00677857" w:rsidP="00E03AA6">
      <w:r>
        <w:t xml:space="preserve">Due to fair-trade price, premium, profit sharing and producer support finances, several cocoa farmers under Kuapa Kokoo have enjoyed more stable and better income streams as opposed to the traditional cocoa supply-chain structures. These mechanisms reduce fluctuations in prices and offer a source of income other than selling crops, and allow greater security of households, investment in education or health, and minimise exposure to vulnerability (Morrell, 2023). </w:t>
      </w:r>
    </w:p>
    <w:p w14:paraId="00000018" w14:textId="77777777" w:rsidR="003A330B" w:rsidRDefault="00677857" w:rsidP="00E03AA6">
      <w:pPr>
        <w:pStyle w:val="Heading3"/>
      </w:pPr>
      <w:bookmarkStart w:id="14" w:name="_hvyvqf52ub03" w:colFirst="0" w:colLast="0"/>
      <w:bookmarkStart w:id="15" w:name="_Toc215670309"/>
      <w:bookmarkEnd w:id="14"/>
      <w:r>
        <w:t>Social Infrastructure, Community Development and Human Capital.</w:t>
      </w:r>
      <w:bookmarkEnd w:id="15"/>
    </w:p>
    <w:p w14:paraId="00000019" w14:textId="370FFCB8" w:rsidR="003A330B" w:rsidRDefault="00677857" w:rsidP="00E03AA6">
      <w:r>
        <w:t>Investments by Divine using PS&amp;D funds have been converted into actual community goods: the construction of schools, wells, health clinics, and community infrastructure. This helps in enhancing living standards, accessibility to education, health and general well-being of the community. It is reported that Divine has continuously, over time, invested millions of pounds in such community projects. Besides, the emphasis on literacy and numeracy education has led to the formation of human capital (</w:t>
      </w:r>
      <w:proofErr w:type="spellStart"/>
      <w:r>
        <w:t>Grotlüschen</w:t>
      </w:r>
      <w:proofErr w:type="spellEnd"/>
      <w:r>
        <w:t>, Desjardins,</w:t>
      </w:r>
      <w:r w:rsidR="00E03AA6">
        <w:t xml:space="preserve"> and </w:t>
      </w:r>
      <w:r>
        <w:t>Liu, 2020). Through building the basic skills, Divine enables the farmers, especially women, to engage in cooperative governance better, negotiate contracts, make better decisions, and work towards the development of their community in the long run.</w:t>
      </w:r>
    </w:p>
    <w:p w14:paraId="0000001A" w14:textId="77777777" w:rsidR="003A330B" w:rsidRDefault="00677857" w:rsidP="00E03AA6">
      <w:pPr>
        <w:pStyle w:val="Heading3"/>
      </w:pPr>
      <w:bookmarkStart w:id="16" w:name="_zb09ep903xcf" w:colFirst="0" w:colLast="0"/>
      <w:bookmarkStart w:id="17" w:name="_Toc215670310"/>
      <w:bookmarkEnd w:id="16"/>
      <w:r>
        <w:t>Empowerment, Governance and Gender Equality.</w:t>
      </w:r>
      <w:bookmarkEnd w:id="17"/>
    </w:p>
    <w:p w14:paraId="0000001B" w14:textId="5BFD1881" w:rsidR="003A330B" w:rsidRDefault="00677857" w:rsidP="00E03AA6">
      <w:r>
        <w:t>Structural empowerment is an important social effect of the model of Divine model. Instead of being inactive suppliers, farmers are represented in the decision-making process, share profits and also have a vested interest in the future of the company. This changes power structures within the global cocoa trade, whereby smallholder farmers have increased control over their lives.  The focus on gender equality adds to the level of impact even more: aiding the participation of women, their leadership and devel</w:t>
      </w:r>
      <w:r>
        <w:t>opment of skills, Divine assists in disrupting the traditional inequalities, promoting social integration, and creating more equal societies. Women have been successfully elected in leadership positions in the cooperative, and this is documented to have been successful, meaning that structural change is taking place, not token efforts (Huot</w:t>
      </w:r>
      <w:r w:rsidR="00222797">
        <w:t xml:space="preserve"> </w:t>
      </w:r>
      <w:r w:rsidR="00222797">
        <w:rPr>
          <w:i/>
          <w:iCs/>
        </w:rPr>
        <w:t xml:space="preserve">et al. </w:t>
      </w:r>
      <w:r>
        <w:t>2023).</w:t>
      </w:r>
    </w:p>
    <w:p w14:paraId="0000001C" w14:textId="77777777" w:rsidR="003A330B" w:rsidRDefault="00677857" w:rsidP="00E03AA6">
      <w:pPr>
        <w:pStyle w:val="Heading2"/>
      </w:pPr>
      <w:bookmarkStart w:id="18" w:name="_rjwpl8gqj5r4" w:colFirst="0" w:colLast="0"/>
      <w:bookmarkStart w:id="19" w:name="_Toc215670311"/>
      <w:bookmarkEnd w:id="18"/>
      <w:r>
        <w:t>Important Reflections and Constraints</w:t>
      </w:r>
      <w:bookmarkEnd w:id="19"/>
    </w:p>
    <w:p w14:paraId="0000001D" w14:textId="286968DD" w:rsidR="003A330B" w:rsidRDefault="00677857" w:rsidP="00E03AA6">
      <w:r>
        <w:t>Even though the social impact of Divine Chocolate is considerable, it does not lack challenges and limitations. To begin with, the scale is small in comparison with the world cocoa market. Many multinational organisations still use traditional supply chains to produce the majority of the chocolate in the world (McLoughlin</w:t>
      </w:r>
      <w:r w:rsidR="00E03AA6">
        <w:t xml:space="preserve"> and </w:t>
      </w:r>
      <w:r>
        <w:t>Meehan, 2021). Therefore, the model presented by Divine, despite being exemplary, can only work with a small portion of cocoa farmers throughout the world, which restricts the number of beneficiaries directly.</w:t>
      </w:r>
    </w:p>
    <w:p w14:paraId="0000001E" w14:textId="77777777" w:rsidR="003A330B" w:rsidRDefault="00677857" w:rsidP="00E03AA6">
      <w:r>
        <w:t>Second, the model will only succeed with a steady demand for Fairtrade/ethical products by consumers. The premium, profit-sharing, and communal investments might be more difficult to maintain, in case demand declines or competition increases (Shi, 2025). This is a familiar dilemma of social enterprises of ethical mission and commercial viability.</w:t>
      </w:r>
    </w:p>
    <w:p w14:paraId="0000001F" w14:textId="77777777" w:rsidR="003A330B" w:rsidRDefault="00677857" w:rsidP="00E03AA6">
      <w:r>
        <w:t>Third, impact measurement is still complicated. Although there is qualitative data about the increased income, education, and empowerment, it is more difficult to quantify changes in the long term (reduction of poverty, intergenerational mobility, and environmental sustainability). Some of the assertions could be based on anecdotal or self-reports without any published, rigorous longitudinal social audits or impact assessments (TolaData, 2025).</w:t>
      </w:r>
    </w:p>
    <w:p w14:paraId="00000020" w14:textId="77777777" w:rsidR="003A330B" w:rsidRDefault="00677857" w:rsidP="00E03AA6">
      <w:r>
        <w:t>Lastly, systemic problems and structural inequalities (e.g. world demand, price fluctuations, climate change and cocoa production, socioeconomic realities in Ghana) might put a ceiling on the extent to which the model described by Divine can change the reality of all cocoa growers.</w:t>
      </w:r>
    </w:p>
    <w:p w14:paraId="00000021" w14:textId="77777777" w:rsidR="003A330B" w:rsidRDefault="00677857" w:rsidP="00E03AA6">
      <w:pPr>
        <w:pStyle w:val="Heading1"/>
      </w:pPr>
      <w:bookmarkStart w:id="20" w:name="_gufbjc6it446" w:colFirst="0" w:colLast="0"/>
      <w:bookmarkStart w:id="21" w:name="_Toc215670312"/>
      <w:bookmarkEnd w:id="20"/>
      <w:r>
        <w:t>Conclusion</w:t>
      </w:r>
      <w:bookmarkEnd w:id="21"/>
    </w:p>
    <w:p w14:paraId="00000022" w14:textId="77777777" w:rsidR="003A330B" w:rsidRDefault="00677857" w:rsidP="00E03AA6">
      <w:r>
        <w:t>Divine Chocolate is an illustration of how a social enterprise may use commercial activity, in this case, chocolate production and sales, to provide marginalised producers in global supply chains with a substantial social value. Through fair-trade sourcing, co-ownership with farmers, profit-sharing, and community investments, Divine has significantly changed the livelihoods of farmers, made communities self-reliant, empowered women, and questioned old injustices in the cocoa industry. Its paradigm indicates</w:t>
      </w:r>
      <w:r>
        <w:t xml:space="preserve"> that producers are able to be at the centre of the global value chains and not be perceived as suppliers.</w:t>
      </w:r>
    </w:p>
    <w:p w14:paraId="00000023" w14:textId="77777777" w:rsidR="003A330B" w:rsidRDefault="00677857" w:rsidP="00E03AA6">
      <w:r>
        <w:t>However, the extent of Divine is small compared to the worldwide scale of cocoa production. Its social impact in the long run is pegged on its ability to persist in terms of consumer demand, competitiveness in the market, and systemic changes within the global trade and agriculture. Future interventions - by Divine and others like them - would help to engage in systematic measurement of impact (preferably longitudinal), greater scale and a wider scope of collaboration to bring about structural change in the</w:t>
      </w:r>
      <w:r>
        <w:t xml:space="preserve"> cocoa industry.</w:t>
      </w:r>
    </w:p>
    <w:p w14:paraId="00000024" w14:textId="77777777" w:rsidR="003A330B" w:rsidRDefault="00677857" w:rsidP="00E03AA6">
      <w:r>
        <w:t>In general, the experiences of Divine Chocolate demonstrate the opportunities and difficulties of the social enterprise in combating inequality in the world and replacing supply-chain ethics. Its success highlights that when properly restructured in fairness and with intent, business can be a potent tool of social change.</w:t>
      </w:r>
      <w:r>
        <w:br w:type="page"/>
      </w:r>
    </w:p>
    <w:p w14:paraId="00000025" w14:textId="77777777" w:rsidR="003A330B" w:rsidRDefault="00677857" w:rsidP="00E03AA6">
      <w:pPr>
        <w:pStyle w:val="Heading1"/>
      </w:pPr>
      <w:bookmarkStart w:id="22" w:name="_g5lb3zpbsdds" w:colFirst="0" w:colLast="0"/>
      <w:bookmarkStart w:id="23" w:name="_Toc215670313"/>
      <w:bookmarkEnd w:id="22"/>
      <w:r>
        <w:t>Reference</w:t>
      </w:r>
      <w:bookmarkEnd w:id="23"/>
    </w:p>
    <w:p w14:paraId="00000026" w14:textId="48FF5C6F" w:rsidR="003A330B" w:rsidRDefault="00677857" w:rsidP="00E03AA6">
      <w:r>
        <w:t xml:space="preserve">Anca Voinea. (2020, June 12). New majority shareholder of Divine Chocolate. </w:t>
      </w:r>
      <w:r w:rsidR="00E03AA6">
        <w:t xml:space="preserve">Available at: </w:t>
      </w:r>
      <w:hyperlink r:id="rId7">
        <w:r w:rsidR="003A330B">
          <w:rPr>
            <w:color w:val="1155CC"/>
            <w:u w:val="single"/>
          </w:rPr>
          <w:t>https://www.thenews.coop/new-majority-shareholder-of-divine-chocolate/</w:t>
        </w:r>
      </w:hyperlink>
      <w:r>
        <w:t xml:space="preserve"> </w:t>
      </w:r>
      <w:r w:rsidR="00E03AA6">
        <w:t>(Accessed: 3 December 2025).</w:t>
      </w:r>
    </w:p>
    <w:p w14:paraId="00000027" w14:textId="304118FB" w:rsidR="003A330B" w:rsidRDefault="00677857" w:rsidP="00E03AA6">
      <w:r>
        <w:t xml:space="preserve">B Corps. (2025, March 19). Divine by name, divine by nature: how Divine Chocolate’s co-ownership model is transforming the cocoa industry. </w:t>
      </w:r>
      <w:r w:rsidR="00E03AA6">
        <w:t xml:space="preserve">Available at: </w:t>
      </w:r>
      <w:hyperlink r:id="rId8">
        <w:r w:rsidR="003A330B">
          <w:rPr>
            <w:color w:val="1155CC"/>
            <w:u w:val="single"/>
          </w:rPr>
          <w:t>https://bcorporation.uk/reinventing-business/by-b-corps/divine-by-name-divine-by-nature-how-divine-chocolate-s-co-ownership-model-is-transforming-the-cocoa-industry/</w:t>
        </w:r>
      </w:hyperlink>
      <w:r>
        <w:t xml:space="preserve"> </w:t>
      </w:r>
      <w:r w:rsidR="00E03AA6">
        <w:t>(Accessed: 3 December 2025).</w:t>
      </w:r>
    </w:p>
    <w:p w14:paraId="00000028" w14:textId="2B67AC57" w:rsidR="003A330B" w:rsidRDefault="00677857" w:rsidP="00E03AA6">
      <w:r>
        <w:t>Bennett, E. A.,</w:t>
      </w:r>
      <w:r w:rsidR="00E03AA6">
        <w:t xml:space="preserve"> and </w:t>
      </w:r>
      <w:r>
        <w:t xml:space="preserve">Grabs, J. (2024). How can sustainable business models distribute value more equitably in global value chains? Introducing “value chain profit sharing” as an emerging alternative to fair trade, direct trade, or solidarity trade. </w:t>
      </w:r>
      <w:r>
        <w:rPr>
          <w:i/>
          <w:iCs/>
        </w:rPr>
        <w:t>Business Ethics, the Environment</w:t>
      </w:r>
      <w:r w:rsidR="00E03AA6">
        <w:rPr>
          <w:i/>
          <w:iCs/>
        </w:rPr>
        <w:t xml:space="preserve"> and </w:t>
      </w:r>
      <w:r>
        <w:rPr>
          <w:i/>
          <w:iCs/>
        </w:rPr>
        <w:t>Responsibility</w:t>
      </w:r>
      <w:r>
        <w:t xml:space="preserve">, </w:t>
      </w:r>
      <w:r>
        <w:rPr>
          <w:i/>
          <w:iCs/>
        </w:rPr>
        <w:t>34</w:t>
      </w:r>
      <w:r>
        <w:t xml:space="preserve">(2). </w:t>
      </w:r>
      <w:r w:rsidR="00E03AA6">
        <w:t xml:space="preserve">Available at: </w:t>
      </w:r>
      <w:hyperlink r:id="rId9">
        <w:r w:rsidR="003A330B">
          <w:rPr>
            <w:color w:val="1155CC"/>
            <w:u w:val="single"/>
          </w:rPr>
          <w:t>https://doi.org/10.1111/beer.12666</w:t>
        </w:r>
      </w:hyperlink>
      <w:r>
        <w:t xml:space="preserve"> </w:t>
      </w:r>
      <w:r w:rsidR="00E03AA6">
        <w:t>(Accessed: 3 December 2025).</w:t>
      </w:r>
    </w:p>
    <w:p w14:paraId="00000029" w14:textId="3889046A" w:rsidR="003A330B" w:rsidRDefault="00677857" w:rsidP="00E03AA6">
      <w:r>
        <w:t>Ellis, J. E., Colin-Jones, A.,</w:t>
      </w:r>
      <w:r w:rsidR="00E03AA6">
        <w:t xml:space="preserve"> and </w:t>
      </w:r>
      <w:r>
        <w:t xml:space="preserve">Hartzell, J. (2021). Divine Chocolate. </w:t>
      </w:r>
      <w:r>
        <w:rPr>
          <w:i/>
          <w:iCs/>
        </w:rPr>
        <w:t>Putting Purpose into Practice</w:t>
      </w:r>
      <w:r>
        <w:t xml:space="preserve">, 325–331. </w:t>
      </w:r>
      <w:r w:rsidR="00E03AA6">
        <w:t xml:space="preserve">Available at: </w:t>
      </w:r>
      <w:hyperlink r:id="rId10">
        <w:r w:rsidR="003A330B">
          <w:rPr>
            <w:color w:val="1155CC"/>
            <w:u w:val="single"/>
          </w:rPr>
          <w:t>https://doi.org/10.1093/oso/9780198870708.003.0028</w:t>
        </w:r>
      </w:hyperlink>
      <w:r>
        <w:t xml:space="preserve"> </w:t>
      </w:r>
      <w:r w:rsidR="00E03AA6">
        <w:t>(Accessed: 3 December 2025).</w:t>
      </w:r>
    </w:p>
    <w:p w14:paraId="0000002A" w14:textId="3CBBDD61" w:rsidR="003A330B" w:rsidRDefault="00677857" w:rsidP="00E03AA6">
      <w:r>
        <w:t>Grotlüschen, A., Desjardins, R.,</w:t>
      </w:r>
      <w:r w:rsidR="00E03AA6">
        <w:t xml:space="preserve"> and </w:t>
      </w:r>
      <w:r>
        <w:t xml:space="preserve">Liu, H. (2020). Literacy and numeracy: Global and comparative perspectives. </w:t>
      </w:r>
      <w:r>
        <w:rPr>
          <w:i/>
          <w:iCs/>
        </w:rPr>
        <w:t>International Review of Education</w:t>
      </w:r>
      <w:r>
        <w:t xml:space="preserve">, </w:t>
      </w:r>
      <w:r>
        <w:rPr>
          <w:i/>
          <w:iCs/>
        </w:rPr>
        <w:t>66</w:t>
      </w:r>
      <w:r>
        <w:t xml:space="preserve">(2-3), 127–137. </w:t>
      </w:r>
      <w:r w:rsidR="00E03AA6">
        <w:t xml:space="preserve">Available at: </w:t>
      </w:r>
      <w:hyperlink r:id="rId11">
        <w:r w:rsidR="003A330B">
          <w:rPr>
            <w:color w:val="1155CC"/>
            <w:u w:val="single"/>
          </w:rPr>
          <w:t>https://doi.org/10.1007/s11159-020-09854-x</w:t>
        </w:r>
      </w:hyperlink>
      <w:r>
        <w:t xml:space="preserve">  </w:t>
      </w:r>
      <w:r w:rsidR="00E03AA6">
        <w:t>(Accessed: 3 December 2025).</w:t>
      </w:r>
    </w:p>
    <w:p w14:paraId="0000002B" w14:textId="49920A9C" w:rsidR="003A330B" w:rsidRDefault="00677857" w:rsidP="00E03AA6">
      <w:r>
        <w:t>Huot, S., Jensen, L., Bates, R. M.,</w:t>
      </w:r>
      <w:r w:rsidR="00E03AA6">
        <w:t xml:space="preserve"> and </w:t>
      </w:r>
      <w:r>
        <w:t xml:space="preserve">Ader, D. (2023). Barriers of Women in Acquiring Leadership Positions in Agricultural Cooperatives: The Case of Cambodia </w:t>
      </w:r>
      <w:r>
        <w:rPr>
          <w:rFonts w:ascii="Segoe UI Symbol" w:hAnsi="Segoe UI Symbol" w:cs="Segoe UI Symbol"/>
          <w:vertAlign w:val="superscript"/>
        </w:rPr>
        <w:t>☆</w:t>
      </w:r>
      <w:r>
        <w:t xml:space="preserve">. </w:t>
      </w:r>
      <w:r>
        <w:rPr>
          <w:i/>
          <w:iCs/>
        </w:rPr>
        <w:t>Rural Sociology</w:t>
      </w:r>
      <w:r>
        <w:t xml:space="preserve">. </w:t>
      </w:r>
      <w:r w:rsidR="00E03AA6">
        <w:t xml:space="preserve">Available at: </w:t>
      </w:r>
      <w:hyperlink r:id="rId12">
        <w:r w:rsidR="003A330B">
          <w:rPr>
            <w:color w:val="1155CC"/>
            <w:u w:val="single"/>
          </w:rPr>
          <w:t>https://doi.org/10.1111/ruso.12490</w:t>
        </w:r>
      </w:hyperlink>
      <w:r>
        <w:t xml:space="preserve"> </w:t>
      </w:r>
      <w:r w:rsidR="00E03AA6">
        <w:t>(Accessed: 3 December 2025).</w:t>
      </w:r>
    </w:p>
    <w:p w14:paraId="0000002C" w14:textId="782ABED6" w:rsidR="003A330B" w:rsidRDefault="00677857" w:rsidP="00E03AA6">
      <w:r>
        <w:t>McLoughlin, K.,</w:t>
      </w:r>
      <w:r w:rsidR="00E03AA6">
        <w:t xml:space="preserve"> and </w:t>
      </w:r>
      <w:r>
        <w:t xml:space="preserve">Meehan, J. (2021). The institutional logic of the sustainable organisation: the case of a chocolate supply network. </w:t>
      </w:r>
      <w:r>
        <w:rPr>
          <w:i/>
          <w:iCs/>
        </w:rPr>
        <w:t>International Journal of Operations</w:t>
      </w:r>
      <w:r w:rsidR="00E03AA6">
        <w:rPr>
          <w:i/>
          <w:iCs/>
        </w:rPr>
        <w:t xml:space="preserve"> and </w:t>
      </w:r>
      <w:r>
        <w:rPr>
          <w:i/>
          <w:iCs/>
        </w:rPr>
        <w:t>Production Management</w:t>
      </w:r>
      <w:r>
        <w:t xml:space="preserve">. </w:t>
      </w:r>
      <w:r w:rsidR="00E03AA6">
        <w:t xml:space="preserve">Available at: </w:t>
      </w:r>
      <w:hyperlink r:id="rId13">
        <w:r w:rsidR="003A330B">
          <w:rPr>
            <w:color w:val="1155CC"/>
            <w:u w:val="single"/>
          </w:rPr>
          <w:t>https://doi.org/10.1108/ijopm-11-2020-0773</w:t>
        </w:r>
      </w:hyperlink>
      <w:r>
        <w:t xml:space="preserve"> </w:t>
      </w:r>
      <w:r w:rsidR="00E03AA6">
        <w:t>(Accessed: 3 December 2025).</w:t>
      </w:r>
    </w:p>
    <w:p w14:paraId="0000002D" w14:textId="459D4B58" w:rsidR="003A330B" w:rsidRDefault="00677857" w:rsidP="00E03AA6">
      <w:r>
        <w:t xml:space="preserve">Morrell, D. (2023, August 23). Examining the impact of the Fairtrade Minimum Price. </w:t>
      </w:r>
      <w:r w:rsidR="00E03AA6">
        <w:t xml:space="preserve">Available at: </w:t>
      </w:r>
      <w:hyperlink r:id="rId14">
        <w:r w:rsidR="003A330B">
          <w:rPr>
            <w:color w:val="1155CC"/>
            <w:u w:val="single"/>
          </w:rPr>
          <w:t>https://www.gcrmag.com/examining-the-impact-of-the-fairtrade-minimum-price/</w:t>
        </w:r>
      </w:hyperlink>
      <w:r>
        <w:t xml:space="preserve"> </w:t>
      </w:r>
      <w:r w:rsidR="00E03AA6">
        <w:t>(Accessed: 3 December 2025).</w:t>
      </w:r>
    </w:p>
    <w:p w14:paraId="0000002E" w14:textId="3A1600F7" w:rsidR="003A330B" w:rsidRDefault="00677857" w:rsidP="00E03AA6">
      <w:r>
        <w:t xml:space="preserve">Oberlack, C., Dang, B., Thao, L., Zambrino, T., Blare, Truong, Q., … Viet. (2020). SOLUTION PAPER THE LAND INEQUALITY INITIATIVE B U I L D I N G I N C L U S I V E F O D C H A I N S PATHWAYS BEYOND LAND INEQUALITY THROUGH COLLECTIVE ACTION. </w:t>
      </w:r>
      <w:r w:rsidR="00E03AA6">
        <w:t xml:space="preserve">Available at: </w:t>
      </w:r>
      <w:hyperlink r:id="rId15">
        <w:r w:rsidR="003A330B">
          <w:rPr>
            <w:color w:val="1155CC"/>
            <w:u w:val="single"/>
          </w:rPr>
          <w:t>https://www.landcoalition.org/documents/859/2020_9_land_inequality_paper_food_chains_en_web_spread_Xpr7cyo.pdf</w:t>
        </w:r>
      </w:hyperlink>
      <w:r>
        <w:t xml:space="preserve"> </w:t>
      </w:r>
      <w:r w:rsidR="00E03AA6">
        <w:t>(Accessed: 3 December 2025).</w:t>
      </w:r>
    </w:p>
    <w:p w14:paraId="0000002F" w14:textId="792FE19D" w:rsidR="003A330B" w:rsidRDefault="00677857" w:rsidP="00E03AA6">
      <w:r>
        <w:t xml:space="preserve">Shi, C. (2025). Is a Self-Organized Structure Always the Best Choice for Collective Members? A Counterexample in China’s Urban–Rural Construction Land Linkage Policy. </w:t>
      </w:r>
      <w:r>
        <w:rPr>
          <w:i/>
          <w:iCs/>
        </w:rPr>
        <w:t>Land</w:t>
      </w:r>
      <w:r>
        <w:t xml:space="preserve">, </w:t>
      </w:r>
      <w:r>
        <w:rPr>
          <w:i/>
          <w:iCs/>
        </w:rPr>
        <w:t>14</w:t>
      </w:r>
      <w:r>
        <w:t xml:space="preserve">(9), 1807–1807. </w:t>
      </w:r>
      <w:r w:rsidR="00E03AA6">
        <w:t xml:space="preserve">Available at: </w:t>
      </w:r>
      <w:hyperlink r:id="rId16">
        <w:r w:rsidR="003A330B">
          <w:rPr>
            <w:color w:val="1155CC"/>
            <w:u w:val="single"/>
          </w:rPr>
          <w:t>https://doi.org/10.3390/land14091807</w:t>
        </w:r>
      </w:hyperlink>
      <w:r>
        <w:t xml:space="preserve"> </w:t>
      </w:r>
      <w:r w:rsidR="00E03AA6">
        <w:t>(Accessed: 3 December 2025).</w:t>
      </w:r>
    </w:p>
    <w:p w14:paraId="00000030" w14:textId="53EE7C0A" w:rsidR="003A330B" w:rsidRDefault="00677857" w:rsidP="00E03AA6">
      <w:r>
        <w:t>TolaData. (2025). Fairtrade International Streamlining Global Monitoring</w:t>
      </w:r>
      <w:r w:rsidR="00E03AA6">
        <w:t xml:space="preserve"> and </w:t>
      </w:r>
      <w:r>
        <w:t xml:space="preserve">Evaluation for Ethical Trade and Sustainable Development CASE STUDY TolaData. </w:t>
      </w:r>
      <w:r w:rsidR="00E03AA6">
        <w:t xml:space="preserve">Available at: </w:t>
      </w:r>
      <w:hyperlink r:id="rId17">
        <w:r w:rsidR="003A330B">
          <w:rPr>
            <w:color w:val="1155CC"/>
            <w:u w:val="single"/>
          </w:rPr>
          <w:t>https://www.toladata.com/wp-content/uploads/2025/06/TolaData-Fairtrade-Case-Study_16062025.pdf</w:t>
        </w:r>
      </w:hyperlink>
      <w:r>
        <w:t xml:space="preserve"> </w:t>
      </w:r>
      <w:r w:rsidR="00E03AA6">
        <w:t>(Accessed: 3 December 2025).</w:t>
      </w:r>
    </w:p>
    <w:p w14:paraId="00000031" w14:textId="3FC6A49A" w:rsidR="003A330B" w:rsidRDefault="00677857" w:rsidP="00E03AA6">
      <w:r>
        <w:t xml:space="preserve">WIPO. (2024). Divine Chocolate – An Ethical Brand and a Sustainable Business Model. </w:t>
      </w:r>
      <w:r w:rsidR="00E03AA6">
        <w:t xml:space="preserve">Available at: </w:t>
      </w:r>
      <w:hyperlink r:id="rId18">
        <w:r w:rsidR="003A330B">
          <w:rPr>
            <w:color w:val="1155CC"/>
            <w:u w:val="single"/>
          </w:rPr>
          <w:t>https://www.wipo.int/en/web/ip-advantage/w/stories/divine-chocolate-kuapa-kokoo</w:t>
        </w:r>
      </w:hyperlink>
      <w:r>
        <w:t xml:space="preserve"> </w:t>
      </w:r>
      <w:r w:rsidR="00E03AA6">
        <w:t>(Accessed: 3 December 2025).</w:t>
      </w:r>
    </w:p>
    <w:p w14:paraId="00000032" w14:textId="77777777" w:rsidR="003A330B" w:rsidRDefault="003A330B" w:rsidP="00E03AA6"/>
    <w:p w14:paraId="00000033" w14:textId="77777777" w:rsidR="003A330B" w:rsidRDefault="003A330B" w:rsidP="00E03AA6"/>
    <w:sectPr w:rsidR="003A330B">
      <w:footerReference w:type="default" r:id="rId1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9C0D2" w14:textId="77777777" w:rsidR="004C75D4" w:rsidRDefault="004C75D4" w:rsidP="00E03AA6">
      <w:r>
        <w:separator/>
      </w:r>
    </w:p>
  </w:endnote>
  <w:endnote w:type="continuationSeparator" w:id="0">
    <w:p w14:paraId="796F240C" w14:textId="77777777" w:rsidR="004C75D4" w:rsidRDefault="004C75D4" w:rsidP="00E03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49A5E12A-FF09-4CE6-B4A0-6AC02201CE16}"/>
  </w:font>
  <w:font w:name="Cambria">
    <w:panose1 w:val="02040503050406030204"/>
    <w:charset w:val="00"/>
    <w:family w:val="roman"/>
    <w:pitch w:val="variable"/>
    <w:sig w:usb0="E00006FF" w:usb1="420024FF" w:usb2="02000000" w:usb3="00000000" w:csb0="0000019F" w:csb1="00000000"/>
    <w:embedRegular r:id="rId2" w:fontKey="{A4BA01E4-51B8-EE46-94E5-DCAB280B8579}"/>
  </w:font>
  <w:font w:name="Segoe UI Symbol">
    <w:panose1 w:val="020B0502040204020203"/>
    <w:charset w:val="00"/>
    <w:family w:val="swiss"/>
    <w:pitch w:val="variable"/>
    <w:sig w:usb0="800001E3" w:usb1="1200FFEF" w:usb2="0064C000" w:usb3="00000000" w:csb0="00000001" w:csb1="00000000"/>
    <w:embedRegular r:id="rId3" w:fontKey="{00C3381D-3420-40AD-9CA3-1C5C8042EC8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910837"/>
      <w:docPartObj>
        <w:docPartGallery w:val="Page Numbers (Bottom of Page)"/>
        <w:docPartUnique/>
      </w:docPartObj>
    </w:sdtPr>
    <w:sdtEndPr>
      <w:rPr>
        <w:noProof/>
      </w:rPr>
    </w:sdtEndPr>
    <w:sdtContent>
      <w:p w14:paraId="4EACB40D" w14:textId="32FD44DC" w:rsidR="00E03AA6" w:rsidRDefault="00E03A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72C653" w14:textId="77777777" w:rsidR="00E03AA6" w:rsidRDefault="00E03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0634D" w14:textId="77777777" w:rsidR="004C75D4" w:rsidRDefault="004C75D4" w:rsidP="00E03AA6">
      <w:r>
        <w:separator/>
      </w:r>
    </w:p>
  </w:footnote>
  <w:footnote w:type="continuationSeparator" w:id="0">
    <w:p w14:paraId="79C0AD0D" w14:textId="77777777" w:rsidR="004C75D4" w:rsidRDefault="004C75D4" w:rsidP="00E03A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30B"/>
    <w:rsid w:val="00033E36"/>
    <w:rsid w:val="001D7805"/>
    <w:rsid w:val="001E3C83"/>
    <w:rsid w:val="001F3667"/>
    <w:rsid w:val="00222797"/>
    <w:rsid w:val="002932DD"/>
    <w:rsid w:val="003A330B"/>
    <w:rsid w:val="004C75D4"/>
    <w:rsid w:val="00677857"/>
    <w:rsid w:val="008445A1"/>
    <w:rsid w:val="00893FC2"/>
    <w:rsid w:val="00D25497"/>
    <w:rsid w:val="00DF7983"/>
    <w:rsid w:val="00E03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D49FD"/>
  <w15:docId w15:val="{F8DFD312-304C-498D-8419-2C184ADEC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after="20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AA6"/>
    <w:pPr>
      <w:ind w:firstLine="0"/>
      <w:jc w:val="both"/>
    </w:pPr>
  </w:style>
  <w:style w:type="paragraph" w:styleId="Heading1">
    <w:name w:val="heading 1"/>
    <w:basedOn w:val="Normal"/>
    <w:next w:val="Normal"/>
    <w:uiPriority w:val="9"/>
    <w:qFormat/>
    <w:rsid w:val="00E03AA6"/>
    <w:pPr>
      <w:keepNext/>
      <w:keepLines/>
      <w:jc w:val="left"/>
      <w:outlineLvl w:val="0"/>
    </w:pPr>
    <w:rPr>
      <w:b/>
      <w:bCs/>
      <w:sz w:val="28"/>
      <w:szCs w:val="28"/>
    </w:rPr>
  </w:style>
  <w:style w:type="paragraph" w:styleId="Heading2">
    <w:name w:val="heading 2"/>
    <w:basedOn w:val="Normal"/>
    <w:next w:val="Normal"/>
    <w:uiPriority w:val="9"/>
    <w:unhideWhenUsed/>
    <w:qFormat/>
    <w:rsid w:val="00E03AA6"/>
    <w:pPr>
      <w:keepNext/>
      <w:keepLines/>
      <w:jc w:val="left"/>
      <w:outlineLvl w:val="1"/>
    </w:pPr>
    <w:rPr>
      <w:b/>
      <w:bCs/>
      <w:sz w:val="26"/>
      <w:szCs w:val="26"/>
    </w:rPr>
  </w:style>
  <w:style w:type="paragraph" w:styleId="Heading3">
    <w:name w:val="heading 3"/>
    <w:basedOn w:val="Normal"/>
    <w:next w:val="Normal"/>
    <w:uiPriority w:val="9"/>
    <w:unhideWhenUsed/>
    <w:qFormat/>
    <w:rsid w:val="00E03AA6"/>
    <w:pPr>
      <w:keepNext/>
      <w:keepLines/>
      <w:jc w:val="left"/>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445A1"/>
    <w:pPr>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445A1"/>
    <w:pPr>
      <w:spacing w:after="100"/>
    </w:pPr>
  </w:style>
  <w:style w:type="paragraph" w:styleId="TOC2">
    <w:name w:val="toc 2"/>
    <w:basedOn w:val="Normal"/>
    <w:next w:val="Normal"/>
    <w:autoRedefine/>
    <w:uiPriority w:val="39"/>
    <w:unhideWhenUsed/>
    <w:rsid w:val="008445A1"/>
    <w:pPr>
      <w:spacing w:after="100"/>
      <w:ind w:left="240"/>
    </w:pPr>
  </w:style>
  <w:style w:type="paragraph" w:styleId="TOC3">
    <w:name w:val="toc 3"/>
    <w:basedOn w:val="Normal"/>
    <w:next w:val="Normal"/>
    <w:autoRedefine/>
    <w:uiPriority w:val="39"/>
    <w:unhideWhenUsed/>
    <w:rsid w:val="008445A1"/>
    <w:pPr>
      <w:spacing w:after="100"/>
      <w:ind w:left="480"/>
    </w:pPr>
  </w:style>
  <w:style w:type="character" w:styleId="Hyperlink">
    <w:name w:val="Hyperlink"/>
    <w:basedOn w:val="DefaultParagraphFont"/>
    <w:uiPriority w:val="99"/>
    <w:unhideWhenUsed/>
    <w:rsid w:val="008445A1"/>
    <w:rPr>
      <w:color w:val="0000FF" w:themeColor="hyperlink"/>
      <w:u w:val="single"/>
    </w:rPr>
  </w:style>
  <w:style w:type="paragraph" w:styleId="Header">
    <w:name w:val="header"/>
    <w:basedOn w:val="Normal"/>
    <w:link w:val="HeaderChar"/>
    <w:uiPriority w:val="99"/>
    <w:unhideWhenUsed/>
    <w:rsid w:val="00E03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AA6"/>
  </w:style>
  <w:style w:type="paragraph" w:styleId="Footer">
    <w:name w:val="footer"/>
    <w:basedOn w:val="Normal"/>
    <w:link w:val="FooterChar"/>
    <w:uiPriority w:val="99"/>
    <w:unhideWhenUsed/>
    <w:rsid w:val="00E03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corporation.uk/reinventing-business/by-b-corps/divine-by-name-divine-by-nature-how-divine-chocolate-s-co-ownership-model-is-transforming-the-cocoa-industry/" TargetMode="External" /><Relationship Id="rId13" Type="http://schemas.openxmlformats.org/officeDocument/2006/relationships/hyperlink" Target="https://doi.org/10.1108/ijopm-11-2020-0773" TargetMode="External" /><Relationship Id="rId18" Type="http://schemas.openxmlformats.org/officeDocument/2006/relationships/hyperlink" Target="https://www.wipo.int/en/web/ip-advantage/w/stories/divine-chocolate-kuapa-kokoo"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www.thenews.coop/new-majority-shareholder-of-divine-chocolate/" TargetMode="External" /><Relationship Id="rId12" Type="http://schemas.openxmlformats.org/officeDocument/2006/relationships/hyperlink" Target="https://doi.org/10.1111/ruso.12490" TargetMode="External" /><Relationship Id="rId17" Type="http://schemas.openxmlformats.org/officeDocument/2006/relationships/hyperlink" Target="https://www.toladata.com/wp-content/uploads/2025/06/TolaData-Fairtrade-Case-Study_16062025.pdf" TargetMode="External" /><Relationship Id="rId2" Type="http://schemas.openxmlformats.org/officeDocument/2006/relationships/styles" Target="styles.xml" /><Relationship Id="rId16" Type="http://schemas.openxmlformats.org/officeDocument/2006/relationships/hyperlink" Target="https://doi.org/10.3390/land14091807"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oi.org/10.1007/s11159-020-09854-x" TargetMode="External" /><Relationship Id="rId5" Type="http://schemas.openxmlformats.org/officeDocument/2006/relationships/footnotes" Target="footnotes.xml" /><Relationship Id="rId15" Type="http://schemas.openxmlformats.org/officeDocument/2006/relationships/hyperlink" Target="https://www.landcoalition.org/documents/859/2020_9_land_inequality_paper_food_chains_en_web_spread_Xpr7cyo.pdf" TargetMode="External" /><Relationship Id="rId10" Type="http://schemas.openxmlformats.org/officeDocument/2006/relationships/hyperlink" Target="https://doi.org/10.1093/oso/9780198870708.003.0028" TargetMode="Externa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doi.org/10.1111/beer.12666" TargetMode="External" /><Relationship Id="rId14" Type="http://schemas.openxmlformats.org/officeDocument/2006/relationships/hyperlink" Target="https://www.gcrmag.com/examining-the-impact-of-the-fairtrade-minimum-price/"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ECE45-A8AF-4D2B-9197-CD78F11640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2621</Words>
  <Characters>14941</Characters>
  <Application>Microsoft Office Word</Application>
  <DocSecurity>0</DocSecurity>
  <Lines>124</Lines>
  <Paragraphs>35</Paragraphs>
  <ScaleCrop>false</ScaleCrop>
  <Company/>
  <LinksUpToDate>false</LinksUpToDate>
  <CharactersWithSpaces>17527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Laris Ruset</cp:lastModifiedBy>
  <cp:revision>2</cp:revision>
  <dcterms:created xsi:type="dcterms:W3CDTF">2025-12-12T22:54:00Z</dcterms:created>
  <dcterms:modified xsi:type="dcterms:W3CDTF">2025-12-12T22:54:00Z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f7276fb0-daed-4ce9-8dc6-c8c2b4f4e201</vt:lpwstr>
  </property>
</Properties>
</file>