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69163B" w14:textId="77777777" w:rsidR="005540EF" w:rsidRPr="005540EF" w:rsidRDefault="005540EF" w:rsidP="005540EF">
      <w:pPr>
        <w:pStyle w:val="NoSpacing"/>
        <w:rPr>
          <w:sz w:val="24"/>
        </w:rPr>
      </w:pPr>
      <w:r>
        <w:rPr>
          <w:sz w:val="24"/>
        </w:rPr>
        <w:t>1804942</w:t>
      </w:r>
    </w:p>
    <w:p w14:paraId="5C86CCB8" w14:textId="77777777" w:rsidR="00BD1F11" w:rsidRPr="005540EF" w:rsidRDefault="005540EF" w:rsidP="005540EF">
      <w:pPr>
        <w:pStyle w:val="NoSpacing"/>
        <w:rPr>
          <w:sz w:val="24"/>
          <w:u w:val="single"/>
        </w:rPr>
      </w:pPr>
      <w:r w:rsidRPr="005540EF">
        <w:rPr>
          <w:sz w:val="24"/>
          <w:u w:val="single"/>
        </w:rPr>
        <w:t xml:space="preserve">Critical Review of… </w:t>
      </w:r>
    </w:p>
    <w:p w14:paraId="3A688F47" w14:textId="77777777" w:rsidR="005540EF" w:rsidRDefault="005540EF" w:rsidP="005540EF">
      <w:pPr>
        <w:pStyle w:val="NoSpacing"/>
        <w:rPr>
          <w:sz w:val="24"/>
          <w:u w:val="single"/>
        </w:rPr>
      </w:pPr>
      <w:r w:rsidRPr="005540EF">
        <w:rPr>
          <w:sz w:val="24"/>
          <w:u w:val="single"/>
        </w:rPr>
        <w:t>Early Civili</w:t>
      </w:r>
      <w:r w:rsidR="00BC2114">
        <w:rPr>
          <w:sz w:val="24"/>
          <w:u w:val="single"/>
        </w:rPr>
        <w:t>z</w:t>
      </w:r>
      <w:r w:rsidRPr="005540EF">
        <w:rPr>
          <w:sz w:val="24"/>
          <w:u w:val="single"/>
        </w:rPr>
        <w:t>ations Ancient Egypt in Context: Bruce G. Trigger (1995) Columbia University Press; New edition, edition. Chapter One; The Unique and the General. Page 1-26.</w:t>
      </w:r>
    </w:p>
    <w:p w14:paraId="2C9677A8" w14:textId="77777777" w:rsidR="005540EF" w:rsidRDefault="005540EF" w:rsidP="005540EF">
      <w:pPr>
        <w:pStyle w:val="NoSpacing"/>
        <w:rPr>
          <w:sz w:val="24"/>
        </w:rPr>
      </w:pPr>
    </w:p>
    <w:p w14:paraId="237930DD" w14:textId="13B622C2" w:rsidR="00580CFE" w:rsidRDefault="00580CFE" w:rsidP="00D833A2">
      <w:pPr>
        <w:pStyle w:val="NoSpacing"/>
        <w:spacing w:before="240"/>
        <w:rPr>
          <w:sz w:val="24"/>
        </w:rPr>
      </w:pPr>
      <w:r>
        <w:rPr>
          <w:sz w:val="24"/>
        </w:rPr>
        <w:t>Trigger</w:t>
      </w:r>
      <w:r w:rsidR="00D833A2">
        <w:rPr>
          <w:sz w:val="24"/>
        </w:rPr>
        <w:t xml:space="preserve"> </w:t>
      </w:r>
      <w:r>
        <w:rPr>
          <w:sz w:val="24"/>
        </w:rPr>
        <w:t>identifies</w:t>
      </w:r>
      <w:r w:rsidR="00D833A2">
        <w:rPr>
          <w:sz w:val="24"/>
        </w:rPr>
        <w:t xml:space="preserve"> in chapter one of his book ‘Early Civilizations Ancient Egypt in Context’ </w:t>
      </w:r>
      <w:r w:rsidR="00D833A2">
        <w:rPr>
          <w:sz w:val="24"/>
        </w:rPr>
        <w:t xml:space="preserve">(1995) </w:t>
      </w:r>
      <w:r w:rsidR="00D94E2A">
        <w:rPr>
          <w:sz w:val="24"/>
        </w:rPr>
        <w:t>the archaeological and anthropological evidence to create a definition of what civilisation is</w:t>
      </w:r>
      <w:r w:rsidR="00D833A2">
        <w:rPr>
          <w:sz w:val="24"/>
        </w:rPr>
        <w:t xml:space="preserve">. He also examines </w:t>
      </w:r>
      <w:r w:rsidR="00D94E2A">
        <w:rPr>
          <w:sz w:val="24"/>
        </w:rPr>
        <w:t>how early societies from across the globe share certain characteristic</w:t>
      </w:r>
      <w:r w:rsidR="00D833A2">
        <w:rPr>
          <w:sz w:val="24"/>
        </w:rPr>
        <w:t>s</w:t>
      </w:r>
      <w:r w:rsidR="00D94E2A">
        <w:rPr>
          <w:sz w:val="24"/>
        </w:rPr>
        <w:t xml:space="preserve"> we associate with civilisation and </w:t>
      </w:r>
      <w:r w:rsidR="00D833A2">
        <w:rPr>
          <w:sz w:val="24"/>
        </w:rPr>
        <w:t xml:space="preserve">the </w:t>
      </w:r>
      <w:r w:rsidR="00D94E2A">
        <w:rPr>
          <w:sz w:val="24"/>
        </w:rPr>
        <w:t>contrast</w:t>
      </w:r>
      <w:r w:rsidR="00D833A2">
        <w:rPr>
          <w:sz w:val="24"/>
        </w:rPr>
        <w:t xml:space="preserve">s which make them unique. </w:t>
      </w:r>
      <w:r w:rsidR="00D94E2A">
        <w:rPr>
          <w:sz w:val="24"/>
        </w:rPr>
        <w:t xml:space="preserve"> </w:t>
      </w:r>
    </w:p>
    <w:p w14:paraId="7B54570A" w14:textId="77777777" w:rsidR="009D2C46" w:rsidRDefault="009D2C46" w:rsidP="005540EF">
      <w:pPr>
        <w:pStyle w:val="NoSpacing"/>
        <w:rPr>
          <w:sz w:val="24"/>
        </w:rPr>
      </w:pPr>
    </w:p>
    <w:p w14:paraId="6D9C02C8" w14:textId="3B0E8A23" w:rsidR="009D2C46" w:rsidRDefault="009D2C46" w:rsidP="005540EF">
      <w:pPr>
        <w:pStyle w:val="NoSpacing"/>
        <w:rPr>
          <w:sz w:val="24"/>
        </w:rPr>
      </w:pPr>
      <w:r>
        <w:rPr>
          <w:sz w:val="24"/>
        </w:rPr>
        <w:t>From reading this text, it is clear to see Trigger</w:t>
      </w:r>
      <w:r w:rsidR="00427C21">
        <w:rPr>
          <w:sz w:val="24"/>
        </w:rPr>
        <w:t>’s</w:t>
      </w:r>
      <w:r>
        <w:rPr>
          <w:sz w:val="24"/>
        </w:rPr>
        <w:t xml:space="preserve"> views on the importance of understanding early civilisations: in order to understand </w:t>
      </w:r>
      <w:r w:rsidR="00E90A87">
        <w:rPr>
          <w:sz w:val="24"/>
        </w:rPr>
        <w:t>modern</w:t>
      </w:r>
      <w:r>
        <w:rPr>
          <w:sz w:val="24"/>
        </w:rPr>
        <w:t xml:space="preserve"> culture and</w:t>
      </w:r>
      <w:r w:rsidR="00E90A87">
        <w:rPr>
          <w:sz w:val="24"/>
        </w:rPr>
        <w:t xml:space="preserve"> </w:t>
      </w:r>
      <w:r>
        <w:rPr>
          <w:sz w:val="24"/>
        </w:rPr>
        <w:t>way of life,</w:t>
      </w:r>
      <w:r w:rsidR="00E90A87">
        <w:rPr>
          <w:sz w:val="24"/>
        </w:rPr>
        <w:t xml:space="preserve"> one</w:t>
      </w:r>
      <w:r>
        <w:rPr>
          <w:sz w:val="24"/>
        </w:rPr>
        <w:t xml:space="preserve"> need</w:t>
      </w:r>
      <w:r w:rsidR="00E90A87">
        <w:rPr>
          <w:sz w:val="24"/>
        </w:rPr>
        <w:t>s</w:t>
      </w:r>
      <w:r>
        <w:rPr>
          <w:sz w:val="24"/>
        </w:rPr>
        <w:t xml:space="preserve"> to look </w:t>
      </w:r>
      <w:r w:rsidR="00E90A87">
        <w:rPr>
          <w:sz w:val="24"/>
        </w:rPr>
        <w:t>at</w:t>
      </w:r>
      <w:r>
        <w:rPr>
          <w:sz w:val="24"/>
        </w:rPr>
        <w:t xml:space="preserve"> past societies. </w:t>
      </w:r>
      <w:r w:rsidR="00DF353E">
        <w:rPr>
          <w:sz w:val="24"/>
        </w:rPr>
        <w:t xml:space="preserve">By doing this </w:t>
      </w:r>
      <w:r w:rsidR="00E90A87">
        <w:rPr>
          <w:sz w:val="24"/>
        </w:rPr>
        <w:t>it</w:t>
      </w:r>
      <w:r w:rsidR="00DF353E">
        <w:rPr>
          <w:sz w:val="24"/>
        </w:rPr>
        <w:t xml:space="preserve"> can </w:t>
      </w:r>
      <w:r w:rsidR="00E90A87">
        <w:rPr>
          <w:sz w:val="24"/>
        </w:rPr>
        <w:t xml:space="preserve">be </w:t>
      </w:r>
      <w:r w:rsidR="00DF353E">
        <w:rPr>
          <w:sz w:val="24"/>
        </w:rPr>
        <w:t>see</w:t>
      </w:r>
      <w:r w:rsidR="00E90A87">
        <w:rPr>
          <w:sz w:val="24"/>
        </w:rPr>
        <w:t>n</w:t>
      </w:r>
      <w:r w:rsidR="00DF353E">
        <w:rPr>
          <w:sz w:val="24"/>
        </w:rPr>
        <w:t xml:space="preserve"> how new theories and ideas have been introduced and how </w:t>
      </w:r>
      <w:r w:rsidR="00E90A87">
        <w:rPr>
          <w:sz w:val="24"/>
        </w:rPr>
        <w:t>they</w:t>
      </w:r>
      <w:r w:rsidR="00DF353E">
        <w:rPr>
          <w:sz w:val="24"/>
        </w:rPr>
        <w:t xml:space="preserve"> ha</w:t>
      </w:r>
      <w:r w:rsidR="00E90A87">
        <w:rPr>
          <w:sz w:val="24"/>
        </w:rPr>
        <w:t>ve</w:t>
      </w:r>
      <w:r w:rsidR="00DF353E">
        <w:rPr>
          <w:sz w:val="24"/>
        </w:rPr>
        <w:t xml:space="preserve"> affected </w:t>
      </w:r>
      <w:r w:rsidR="00E90A87">
        <w:rPr>
          <w:sz w:val="24"/>
        </w:rPr>
        <w:t xml:space="preserve">the </w:t>
      </w:r>
      <w:r w:rsidR="00DF353E">
        <w:rPr>
          <w:sz w:val="24"/>
        </w:rPr>
        <w:t>culture</w:t>
      </w:r>
      <w:r w:rsidR="00E90A87">
        <w:rPr>
          <w:sz w:val="24"/>
        </w:rPr>
        <w:t xml:space="preserve"> of various civilisations.</w:t>
      </w:r>
    </w:p>
    <w:p w14:paraId="15239F15" w14:textId="77777777" w:rsidR="00DF353E" w:rsidRDefault="00DF353E" w:rsidP="005540EF">
      <w:pPr>
        <w:pStyle w:val="NoSpacing"/>
        <w:rPr>
          <w:sz w:val="24"/>
        </w:rPr>
      </w:pPr>
    </w:p>
    <w:p w14:paraId="129A95D0" w14:textId="1BF44A79" w:rsidR="00DF353E" w:rsidRDefault="00BC2114" w:rsidP="005540EF">
      <w:pPr>
        <w:pStyle w:val="NoSpacing"/>
        <w:rPr>
          <w:sz w:val="24"/>
        </w:rPr>
      </w:pPr>
      <w:r>
        <w:rPr>
          <w:sz w:val="24"/>
        </w:rPr>
        <w:t xml:space="preserve">The text being looked at is a ‘theoretical and methodological introduction’ </w:t>
      </w:r>
      <w:sdt>
        <w:sdtPr>
          <w:rPr>
            <w:sz w:val="24"/>
          </w:rPr>
          <w:id w:val="-359582113"/>
          <w:citation/>
        </w:sdtPr>
        <w:sdtEndPr/>
        <w:sdtContent>
          <w:r>
            <w:rPr>
              <w:sz w:val="24"/>
            </w:rPr>
            <w:fldChar w:fldCharType="begin"/>
          </w:r>
          <w:r w:rsidR="00C038D3">
            <w:rPr>
              <w:sz w:val="24"/>
            </w:rPr>
            <w:instrText xml:space="preserve">CITATION Bru95 \p 1 \l 2057 </w:instrText>
          </w:r>
          <w:r>
            <w:rPr>
              <w:sz w:val="24"/>
            </w:rPr>
            <w:fldChar w:fldCharType="separate"/>
          </w:r>
          <w:r w:rsidR="00C038D3" w:rsidRPr="00C038D3">
            <w:rPr>
              <w:noProof/>
              <w:sz w:val="24"/>
            </w:rPr>
            <w:t>(Trigger, 1995, p. 1)</w:t>
          </w:r>
          <w:r>
            <w:rPr>
              <w:sz w:val="24"/>
            </w:rPr>
            <w:fldChar w:fldCharType="end"/>
          </w:r>
        </w:sdtContent>
      </w:sdt>
      <w:r>
        <w:rPr>
          <w:sz w:val="24"/>
        </w:rPr>
        <w:t xml:space="preserve">. The main </w:t>
      </w:r>
      <w:r w:rsidR="00C038D3">
        <w:rPr>
          <w:sz w:val="24"/>
        </w:rPr>
        <w:t>sections</w:t>
      </w:r>
      <w:r>
        <w:rPr>
          <w:sz w:val="24"/>
        </w:rPr>
        <w:t xml:space="preserve"> which I found interesting are as follows</w:t>
      </w:r>
      <w:r w:rsidR="00C038D3">
        <w:rPr>
          <w:sz w:val="24"/>
        </w:rPr>
        <w:t>:</w:t>
      </w:r>
      <w:r>
        <w:rPr>
          <w:sz w:val="24"/>
        </w:rPr>
        <w:t xml:space="preserve"> City and Territorial States</w:t>
      </w:r>
      <w:r w:rsidR="00C038D3">
        <w:rPr>
          <w:sz w:val="24"/>
        </w:rPr>
        <w:t>,</w:t>
      </w:r>
      <w:r>
        <w:rPr>
          <w:sz w:val="24"/>
        </w:rPr>
        <w:t xml:space="preserve"> Supernatural </w:t>
      </w:r>
      <w:r w:rsidR="00C038D3">
        <w:rPr>
          <w:sz w:val="24"/>
        </w:rPr>
        <w:t>B</w:t>
      </w:r>
      <w:r>
        <w:rPr>
          <w:sz w:val="24"/>
        </w:rPr>
        <w:t xml:space="preserve">eliefs within </w:t>
      </w:r>
      <w:r w:rsidR="00C038D3">
        <w:rPr>
          <w:sz w:val="24"/>
        </w:rPr>
        <w:t>C</w:t>
      </w:r>
      <w:r>
        <w:rPr>
          <w:sz w:val="24"/>
        </w:rPr>
        <w:t>onstruction</w:t>
      </w:r>
      <w:r w:rsidR="00C038D3" w:rsidRPr="00C038D3">
        <w:rPr>
          <w:sz w:val="24"/>
        </w:rPr>
        <w:t xml:space="preserve"> </w:t>
      </w:r>
      <w:r w:rsidR="00C038D3">
        <w:rPr>
          <w:sz w:val="24"/>
        </w:rPr>
        <w:t xml:space="preserve">and </w:t>
      </w:r>
      <w:r w:rsidR="00C038D3">
        <w:rPr>
          <w:sz w:val="24"/>
        </w:rPr>
        <w:t xml:space="preserve">Literature and </w:t>
      </w:r>
      <w:r w:rsidR="00C038D3">
        <w:rPr>
          <w:sz w:val="24"/>
        </w:rPr>
        <w:t>L</w:t>
      </w:r>
      <w:r w:rsidR="00C038D3">
        <w:rPr>
          <w:sz w:val="24"/>
        </w:rPr>
        <w:t>anguage</w:t>
      </w:r>
      <w:r w:rsidR="00B95031">
        <w:rPr>
          <w:sz w:val="24"/>
        </w:rPr>
        <w:t xml:space="preserve">. </w:t>
      </w:r>
      <w:r>
        <w:rPr>
          <w:sz w:val="24"/>
        </w:rPr>
        <w:t xml:space="preserve"> </w:t>
      </w:r>
      <w:r w:rsidR="00B95031">
        <w:rPr>
          <w:sz w:val="24"/>
        </w:rPr>
        <w:t>I</w:t>
      </w:r>
      <w:r w:rsidR="00C038D3">
        <w:rPr>
          <w:sz w:val="24"/>
        </w:rPr>
        <w:t xml:space="preserve">n this assignment </w:t>
      </w:r>
      <w:r w:rsidR="00B95031">
        <w:rPr>
          <w:sz w:val="24"/>
        </w:rPr>
        <w:t xml:space="preserve">these </w:t>
      </w:r>
      <w:r w:rsidR="00C038D3">
        <w:rPr>
          <w:sz w:val="24"/>
        </w:rPr>
        <w:t>three sections will be examined and evaluated relating to</w:t>
      </w:r>
      <w:r w:rsidR="00B95031">
        <w:rPr>
          <w:sz w:val="24"/>
        </w:rPr>
        <w:t xml:space="preserve"> Egyptian Civilisation. </w:t>
      </w:r>
    </w:p>
    <w:p w14:paraId="4F721458" w14:textId="77777777" w:rsidR="00B95031" w:rsidRDefault="00B95031" w:rsidP="005540EF">
      <w:pPr>
        <w:pStyle w:val="NoSpacing"/>
        <w:rPr>
          <w:sz w:val="24"/>
        </w:rPr>
      </w:pPr>
    </w:p>
    <w:p w14:paraId="66834E41" w14:textId="133996F5" w:rsidR="00130809" w:rsidRDefault="00B95031" w:rsidP="005540EF">
      <w:pPr>
        <w:pStyle w:val="NoSpacing"/>
        <w:rPr>
          <w:sz w:val="24"/>
        </w:rPr>
      </w:pPr>
      <w:r>
        <w:rPr>
          <w:sz w:val="24"/>
        </w:rPr>
        <w:t>Trigger</w:t>
      </w:r>
      <w:r w:rsidR="00C038D3">
        <w:rPr>
          <w:sz w:val="24"/>
        </w:rPr>
        <w:t xml:space="preserve"> (1995)</w:t>
      </w:r>
      <w:r>
        <w:rPr>
          <w:sz w:val="24"/>
        </w:rPr>
        <w:t xml:space="preserve"> uses ancient texts from Egypt, writings from modern scholarships as well as the </w:t>
      </w:r>
      <w:r w:rsidR="00D54D2E">
        <w:rPr>
          <w:sz w:val="24"/>
        </w:rPr>
        <w:t>physical evidence from</w:t>
      </w:r>
      <w:r>
        <w:rPr>
          <w:sz w:val="24"/>
        </w:rPr>
        <w:t xml:space="preserve"> archaeological digs and anthropological discoveries. </w:t>
      </w:r>
      <w:r w:rsidR="00D54D2E">
        <w:rPr>
          <w:sz w:val="24"/>
        </w:rPr>
        <w:t xml:space="preserve">His methodology includes a wide range of </w:t>
      </w:r>
      <w:r w:rsidR="00930275">
        <w:rPr>
          <w:sz w:val="24"/>
        </w:rPr>
        <w:t xml:space="preserve">evidence from different experts in </w:t>
      </w:r>
      <w:r w:rsidR="00C038D3">
        <w:rPr>
          <w:sz w:val="24"/>
        </w:rPr>
        <w:t xml:space="preserve">a variety of </w:t>
      </w:r>
      <w:r w:rsidR="00930275">
        <w:rPr>
          <w:sz w:val="24"/>
        </w:rPr>
        <w:t>fields</w:t>
      </w:r>
      <w:r w:rsidR="00C038D3">
        <w:rPr>
          <w:sz w:val="24"/>
        </w:rPr>
        <w:t>,</w:t>
      </w:r>
      <w:r w:rsidR="00930275">
        <w:rPr>
          <w:sz w:val="24"/>
        </w:rPr>
        <w:t xml:space="preserve"> however, </w:t>
      </w:r>
      <w:r w:rsidR="00C107D4">
        <w:rPr>
          <w:sz w:val="24"/>
        </w:rPr>
        <w:t>Trigger</w:t>
      </w:r>
      <w:r w:rsidR="00930275">
        <w:rPr>
          <w:sz w:val="24"/>
        </w:rPr>
        <w:t xml:space="preserve"> also recognises his own limitation within the Egyptian language</w:t>
      </w:r>
      <w:r w:rsidR="00C038D3">
        <w:rPr>
          <w:sz w:val="24"/>
        </w:rPr>
        <w:t>. He</w:t>
      </w:r>
      <w:r w:rsidR="00930275">
        <w:rPr>
          <w:sz w:val="24"/>
        </w:rPr>
        <w:t xml:space="preserve"> explain</w:t>
      </w:r>
      <w:r w:rsidR="00C038D3">
        <w:rPr>
          <w:sz w:val="24"/>
        </w:rPr>
        <w:t>s</w:t>
      </w:r>
      <w:r w:rsidR="00930275">
        <w:rPr>
          <w:sz w:val="24"/>
        </w:rPr>
        <w:t xml:space="preserve"> he </w:t>
      </w:r>
      <w:r w:rsidR="00C038D3">
        <w:rPr>
          <w:sz w:val="24"/>
        </w:rPr>
        <w:t xml:space="preserve">only </w:t>
      </w:r>
      <w:r w:rsidR="00930275">
        <w:rPr>
          <w:sz w:val="24"/>
        </w:rPr>
        <w:t xml:space="preserve">has ‘rudimentary language skills’ </w:t>
      </w:r>
      <w:sdt>
        <w:sdtPr>
          <w:rPr>
            <w:sz w:val="24"/>
          </w:rPr>
          <w:id w:val="-1120297426"/>
          <w:citation/>
        </w:sdtPr>
        <w:sdtEndPr/>
        <w:sdtContent>
          <w:r w:rsidR="00930275">
            <w:rPr>
              <w:sz w:val="24"/>
            </w:rPr>
            <w:fldChar w:fldCharType="begin"/>
          </w:r>
          <w:r w:rsidR="00C038D3">
            <w:rPr>
              <w:sz w:val="24"/>
            </w:rPr>
            <w:instrText xml:space="preserve">CITATION Bru95 \p 18 \l 2057 </w:instrText>
          </w:r>
          <w:r w:rsidR="00930275">
            <w:rPr>
              <w:sz w:val="24"/>
            </w:rPr>
            <w:fldChar w:fldCharType="separate"/>
          </w:r>
          <w:r w:rsidR="00C038D3" w:rsidRPr="00C038D3">
            <w:rPr>
              <w:noProof/>
              <w:sz w:val="24"/>
            </w:rPr>
            <w:t>(Trigger, 1995, p. 18)</w:t>
          </w:r>
          <w:r w:rsidR="00930275">
            <w:rPr>
              <w:sz w:val="24"/>
            </w:rPr>
            <w:fldChar w:fldCharType="end"/>
          </w:r>
        </w:sdtContent>
      </w:sdt>
      <w:r w:rsidR="00930275">
        <w:rPr>
          <w:sz w:val="24"/>
        </w:rPr>
        <w:t>. He go</w:t>
      </w:r>
      <w:r w:rsidR="00B7553D">
        <w:rPr>
          <w:sz w:val="24"/>
        </w:rPr>
        <w:t>es</w:t>
      </w:r>
      <w:r w:rsidR="00930275">
        <w:rPr>
          <w:sz w:val="24"/>
        </w:rPr>
        <w:t xml:space="preserve"> on to explain </w:t>
      </w:r>
      <w:r w:rsidR="00130809">
        <w:rPr>
          <w:sz w:val="24"/>
        </w:rPr>
        <w:t xml:space="preserve">the value of secondary sources </w:t>
      </w:r>
      <w:r w:rsidR="00B7553D">
        <w:rPr>
          <w:sz w:val="24"/>
        </w:rPr>
        <w:t>to</w:t>
      </w:r>
      <w:r w:rsidR="00130809">
        <w:rPr>
          <w:sz w:val="24"/>
        </w:rPr>
        <w:t xml:space="preserve"> </w:t>
      </w:r>
      <w:r w:rsidR="00B7553D">
        <w:rPr>
          <w:sz w:val="24"/>
        </w:rPr>
        <w:t xml:space="preserve">help understand </w:t>
      </w:r>
      <w:r w:rsidR="00130809">
        <w:rPr>
          <w:sz w:val="24"/>
        </w:rPr>
        <w:t xml:space="preserve">the translations. </w:t>
      </w:r>
    </w:p>
    <w:p w14:paraId="565E0F18" w14:textId="2AF7D2B3" w:rsidR="00B95031" w:rsidRDefault="00130809" w:rsidP="005540EF">
      <w:pPr>
        <w:pStyle w:val="NoSpacing"/>
        <w:rPr>
          <w:sz w:val="24"/>
        </w:rPr>
      </w:pPr>
      <w:r>
        <w:rPr>
          <w:sz w:val="24"/>
        </w:rPr>
        <w:t xml:space="preserve">He writes how he has noticed how the words do not always mean what the English translation is </w:t>
      </w:r>
      <w:r w:rsidR="00B7553D">
        <w:rPr>
          <w:sz w:val="24"/>
        </w:rPr>
        <w:t>im</w:t>
      </w:r>
      <w:r>
        <w:rPr>
          <w:sz w:val="24"/>
        </w:rPr>
        <w:t xml:space="preserve">plying </w:t>
      </w:r>
      <w:sdt>
        <w:sdtPr>
          <w:rPr>
            <w:sz w:val="24"/>
          </w:rPr>
          <w:id w:val="-478921587"/>
          <w:citation/>
        </w:sdtPr>
        <w:sdtEndPr/>
        <w:sdtContent>
          <w:r>
            <w:rPr>
              <w:sz w:val="24"/>
            </w:rPr>
            <w:fldChar w:fldCharType="begin"/>
          </w:r>
          <w:r>
            <w:rPr>
              <w:sz w:val="24"/>
            </w:rPr>
            <w:instrText xml:space="preserve"> CITATION Bru95 \l 2057 </w:instrText>
          </w:r>
          <w:r>
            <w:rPr>
              <w:sz w:val="24"/>
            </w:rPr>
            <w:fldChar w:fldCharType="separate"/>
          </w:r>
          <w:r w:rsidRPr="00130809">
            <w:rPr>
              <w:noProof/>
              <w:sz w:val="24"/>
            </w:rPr>
            <w:t>(Trigger, 1995)</w:t>
          </w:r>
          <w:r>
            <w:rPr>
              <w:sz w:val="24"/>
            </w:rPr>
            <w:fldChar w:fldCharType="end"/>
          </w:r>
        </w:sdtContent>
      </w:sdt>
      <w:r>
        <w:rPr>
          <w:sz w:val="24"/>
        </w:rPr>
        <w:t>. In reference to Egypt, he refers to</w:t>
      </w:r>
      <w:r w:rsidR="00B7553D">
        <w:rPr>
          <w:sz w:val="24"/>
        </w:rPr>
        <w:t xml:space="preserve"> the Ancient Egyptian </w:t>
      </w:r>
      <w:r>
        <w:rPr>
          <w:sz w:val="24"/>
        </w:rPr>
        <w:t>concepts of</w:t>
      </w:r>
      <w:r w:rsidR="00B7553D">
        <w:rPr>
          <w:sz w:val="24"/>
        </w:rPr>
        <w:t xml:space="preserve"> </w:t>
      </w:r>
      <w:r>
        <w:rPr>
          <w:sz w:val="24"/>
        </w:rPr>
        <w:t>time</w:t>
      </w:r>
      <w:r w:rsidR="00B7553D">
        <w:rPr>
          <w:sz w:val="24"/>
        </w:rPr>
        <w:t xml:space="preserve"> which according to </w:t>
      </w:r>
      <w:proofErr w:type="spellStart"/>
      <w:r w:rsidR="001C1CD2">
        <w:rPr>
          <w:sz w:val="24"/>
        </w:rPr>
        <w:t>Assmann</w:t>
      </w:r>
      <w:proofErr w:type="spellEnd"/>
      <w:r w:rsidR="000447AD">
        <w:rPr>
          <w:sz w:val="24"/>
        </w:rPr>
        <w:t xml:space="preserve"> (n.d., cited in Trigger, 1995)</w:t>
      </w:r>
      <w:r w:rsidR="001C1CD2">
        <w:rPr>
          <w:sz w:val="24"/>
        </w:rPr>
        <w:t xml:space="preserve"> cannot be understood without the understanding of the two words ‘</w:t>
      </w:r>
      <w:proofErr w:type="spellStart"/>
      <w:r w:rsidR="001C1CD2">
        <w:rPr>
          <w:i/>
          <w:sz w:val="24"/>
        </w:rPr>
        <w:t>nhh</w:t>
      </w:r>
      <w:proofErr w:type="spellEnd"/>
      <w:r w:rsidR="001C1CD2">
        <w:rPr>
          <w:i/>
          <w:sz w:val="24"/>
        </w:rPr>
        <w:t xml:space="preserve">’ </w:t>
      </w:r>
      <w:r w:rsidR="001C1CD2">
        <w:rPr>
          <w:sz w:val="24"/>
        </w:rPr>
        <w:t>and ‘</w:t>
      </w:r>
      <w:r w:rsidR="001C1CD2">
        <w:rPr>
          <w:i/>
          <w:sz w:val="24"/>
          <w:u w:val="single"/>
        </w:rPr>
        <w:t>d</w:t>
      </w:r>
      <w:r w:rsidR="001C1CD2">
        <w:rPr>
          <w:i/>
          <w:sz w:val="24"/>
        </w:rPr>
        <w:t>t’</w:t>
      </w:r>
      <w:r w:rsidR="00B7553D">
        <w:rPr>
          <w:i/>
          <w:sz w:val="24"/>
        </w:rPr>
        <w:t xml:space="preserve">, </w:t>
      </w:r>
      <w:r w:rsidR="00B7553D">
        <w:rPr>
          <w:sz w:val="24"/>
        </w:rPr>
        <w:t xml:space="preserve">both </w:t>
      </w:r>
      <w:r w:rsidR="001C1CD2">
        <w:rPr>
          <w:sz w:val="24"/>
        </w:rPr>
        <w:t xml:space="preserve">meaning ‘eternity’ but not </w:t>
      </w:r>
      <w:r w:rsidR="00B7553D">
        <w:rPr>
          <w:sz w:val="24"/>
        </w:rPr>
        <w:t>being identical</w:t>
      </w:r>
      <w:r w:rsidR="001C1CD2">
        <w:rPr>
          <w:sz w:val="24"/>
        </w:rPr>
        <w:t>.</w:t>
      </w:r>
      <w:r w:rsidR="00B7553D">
        <w:rPr>
          <w:sz w:val="24"/>
        </w:rPr>
        <w:t xml:space="preserve"> </w:t>
      </w:r>
      <w:r w:rsidR="00C107D4">
        <w:rPr>
          <w:sz w:val="24"/>
        </w:rPr>
        <w:t>’</w:t>
      </w:r>
      <w:proofErr w:type="spellStart"/>
      <w:r w:rsidR="00B7553D">
        <w:rPr>
          <w:i/>
          <w:sz w:val="24"/>
        </w:rPr>
        <w:t>N</w:t>
      </w:r>
      <w:r w:rsidR="00C107D4">
        <w:rPr>
          <w:i/>
          <w:sz w:val="24"/>
        </w:rPr>
        <w:t>hh</w:t>
      </w:r>
      <w:proofErr w:type="spellEnd"/>
      <w:r w:rsidR="00C107D4">
        <w:rPr>
          <w:sz w:val="24"/>
        </w:rPr>
        <w:t xml:space="preserve">’ refers to the ‘eternal cycles of recurrence and </w:t>
      </w:r>
      <w:r w:rsidR="00C107D4">
        <w:rPr>
          <w:i/>
          <w:sz w:val="24"/>
        </w:rPr>
        <w:t>‘</w:t>
      </w:r>
      <w:r w:rsidR="00C107D4">
        <w:rPr>
          <w:i/>
          <w:sz w:val="24"/>
          <w:u w:val="single"/>
        </w:rPr>
        <w:t>d</w:t>
      </w:r>
      <w:r w:rsidR="00C107D4">
        <w:rPr>
          <w:i/>
          <w:sz w:val="24"/>
        </w:rPr>
        <w:t xml:space="preserve">t’ </w:t>
      </w:r>
      <w:r w:rsidR="00C107D4">
        <w:rPr>
          <w:sz w:val="24"/>
        </w:rPr>
        <w:t xml:space="preserve">to eternal changelessness’ </w:t>
      </w:r>
      <w:sdt>
        <w:sdtPr>
          <w:rPr>
            <w:sz w:val="24"/>
          </w:rPr>
          <w:id w:val="-320434443"/>
          <w:citation/>
        </w:sdtPr>
        <w:sdtEndPr/>
        <w:sdtContent>
          <w:r w:rsidR="00C107D4">
            <w:rPr>
              <w:sz w:val="24"/>
            </w:rPr>
            <w:fldChar w:fldCharType="begin"/>
          </w:r>
          <w:r w:rsidR="00B7553D">
            <w:rPr>
              <w:sz w:val="24"/>
            </w:rPr>
            <w:instrText xml:space="preserve">CITATION Bru95 \p 18 \l 2057 </w:instrText>
          </w:r>
          <w:r w:rsidR="00C107D4">
            <w:rPr>
              <w:sz w:val="24"/>
            </w:rPr>
            <w:fldChar w:fldCharType="separate"/>
          </w:r>
          <w:r w:rsidR="00B7553D" w:rsidRPr="00B7553D">
            <w:rPr>
              <w:noProof/>
              <w:sz w:val="24"/>
            </w:rPr>
            <w:t>(Trigger, 1995, p. 18)</w:t>
          </w:r>
          <w:r w:rsidR="00C107D4">
            <w:rPr>
              <w:sz w:val="24"/>
            </w:rPr>
            <w:fldChar w:fldCharType="end"/>
          </w:r>
        </w:sdtContent>
      </w:sdt>
      <w:r w:rsidR="00C107D4">
        <w:rPr>
          <w:sz w:val="24"/>
        </w:rPr>
        <w:t>, thus not meaning ‘etern</w:t>
      </w:r>
      <w:r w:rsidR="00B7553D">
        <w:rPr>
          <w:sz w:val="24"/>
        </w:rPr>
        <w:t>ity</w:t>
      </w:r>
      <w:r w:rsidR="00C107D4">
        <w:rPr>
          <w:sz w:val="24"/>
        </w:rPr>
        <w:t xml:space="preserve">’ as we know it. </w:t>
      </w:r>
      <w:r w:rsidR="001C1CD2">
        <w:rPr>
          <w:sz w:val="24"/>
        </w:rPr>
        <w:t xml:space="preserve"> </w:t>
      </w:r>
      <w:r w:rsidR="00D54D2E">
        <w:rPr>
          <w:sz w:val="24"/>
        </w:rPr>
        <w:t xml:space="preserve">  </w:t>
      </w:r>
    </w:p>
    <w:p w14:paraId="7175F2BE" w14:textId="77777777" w:rsidR="00DF353E" w:rsidRDefault="00DF353E" w:rsidP="005540EF">
      <w:pPr>
        <w:pStyle w:val="NoSpacing"/>
        <w:rPr>
          <w:sz w:val="24"/>
        </w:rPr>
      </w:pPr>
    </w:p>
    <w:p w14:paraId="54EE59DC" w14:textId="02ADE2C4" w:rsidR="00C107D4" w:rsidRDefault="00C107D4" w:rsidP="005540EF">
      <w:pPr>
        <w:pStyle w:val="NoSpacing"/>
        <w:rPr>
          <w:sz w:val="24"/>
        </w:rPr>
      </w:pPr>
      <w:r>
        <w:rPr>
          <w:sz w:val="24"/>
        </w:rPr>
        <w:t>Trigger</w:t>
      </w:r>
      <w:r w:rsidR="000651F6">
        <w:rPr>
          <w:sz w:val="24"/>
        </w:rPr>
        <w:t xml:space="preserve"> (1995)</w:t>
      </w:r>
      <w:r>
        <w:rPr>
          <w:sz w:val="24"/>
        </w:rPr>
        <w:t xml:space="preserve"> introduces his own labels on </w:t>
      </w:r>
      <w:r w:rsidR="000651F6">
        <w:rPr>
          <w:sz w:val="24"/>
        </w:rPr>
        <w:t xml:space="preserve">what </w:t>
      </w:r>
      <w:r>
        <w:rPr>
          <w:sz w:val="24"/>
        </w:rPr>
        <w:t>Maisel (1990</w:t>
      </w:r>
      <w:r w:rsidR="000447AD">
        <w:rPr>
          <w:sz w:val="24"/>
        </w:rPr>
        <w:t>, cited in Trigger, 1995</w:t>
      </w:r>
      <w:r>
        <w:rPr>
          <w:sz w:val="24"/>
        </w:rPr>
        <w:t xml:space="preserve">) </w:t>
      </w:r>
      <w:r w:rsidR="000651F6">
        <w:rPr>
          <w:sz w:val="24"/>
        </w:rPr>
        <w:t xml:space="preserve">calls </w:t>
      </w:r>
      <w:r>
        <w:rPr>
          <w:sz w:val="24"/>
        </w:rPr>
        <w:t xml:space="preserve">‘city and village states’. He uses ‘city-state systems’ and ‘territorial states’ instead </w:t>
      </w:r>
      <w:r w:rsidR="00CE120B">
        <w:rPr>
          <w:sz w:val="24"/>
        </w:rPr>
        <w:t>(Trigger 19</w:t>
      </w:r>
      <w:r w:rsidR="00C86A7A">
        <w:rPr>
          <w:sz w:val="24"/>
        </w:rPr>
        <w:t>95, p. 8</w:t>
      </w:r>
      <w:r w:rsidR="00CE120B">
        <w:rPr>
          <w:sz w:val="24"/>
        </w:rPr>
        <w:t xml:space="preserve">). Egypt is known to </w:t>
      </w:r>
      <w:r w:rsidR="0085179D">
        <w:rPr>
          <w:sz w:val="24"/>
        </w:rPr>
        <w:t>be</w:t>
      </w:r>
      <w:r w:rsidR="00CE120B">
        <w:rPr>
          <w:sz w:val="24"/>
        </w:rPr>
        <w:t xml:space="preserve"> a large territorial state which was formed prior unification</w:t>
      </w:r>
      <w:r w:rsidR="000651F6" w:rsidRPr="000651F6">
        <w:rPr>
          <w:sz w:val="24"/>
        </w:rPr>
        <w:t xml:space="preserve"> </w:t>
      </w:r>
      <w:sdt>
        <w:sdtPr>
          <w:rPr>
            <w:sz w:val="24"/>
          </w:rPr>
          <w:id w:val="-766763188"/>
          <w:citation/>
        </w:sdtPr>
        <w:sdtContent>
          <w:r w:rsidR="000651F6">
            <w:rPr>
              <w:sz w:val="24"/>
            </w:rPr>
            <w:fldChar w:fldCharType="begin"/>
          </w:r>
          <w:r w:rsidR="000651F6">
            <w:rPr>
              <w:sz w:val="24"/>
            </w:rPr>
            <w:instrText xml:space="preserve"> CITATION Bru95 \l 2057 </w:instrText>
          </w:r>
          <w:r w:rsidR="000651F6">
            <w:rPr>
              <w:sz w:val="24"/>
            </w:rPr>
            <w:fldChar w:fldCharType="separate"/>
          </w:r>
          <w:r w:rsidR="000651F6" w:rsidRPr="00CE120B">
            <w:rPr>
              <w:noProof/>
              <w:sz w:val="24"/>
            </w:rPr>
            <w:t>(Trigger, 1995)</w:t>
          </w:r>
          <w:r w:rsidR="000651F6">
            <w:rPr>
              <w:sz w:val="24"/>
            </w:rPr>
            <w:fldChar w:fldCharType="end"/>
          </w:r>
        </w:sdtContent>
      </w:sdt>
      <w:r w:rsidR="00CE120B">
        <w:rPr>
          <w:sz w:val="24"/>
        </w:rPr>
        <w:t>.  According to the author, territorial states create</w:t>
      </w:r>
      <w:r w:rsidR="000651F6">
        <w:rPr>
          <w:sz w:val="24"/>
        </w:rPr>
        <w:t xml:space="preserve"> a</w:t>
      </w:r>
      <w:r w:rsidR="00CE120B">
        <w:rPr>
          <w:sz w:val="24"/>
        </w:rPr>
        <w:t xml:space="preserve"> ‘hierarchy of administrative centres at the local, provincial</w:t>
      </w:r>
      <w:r w:rsidR="0085179D">
        <w:rPr>
          <w:sz w:val="24"/>
        </w:rPr>
        <w:t xml:space="preserve"> </w:t>
      </w:r>
      <w:r w:rsidR="00CE120B">
        <w:rPr>
          <w:sz w:val="24"/>
        </w:rPr>
        <w:t>and national levels, but thes</w:t>
      </w:r>
      <w:r w:rsidR="0085179D">
        <w:rPr>
          <w:sz w:val="24"/>
        </w:rPr>
        <w:t>e</w:t>
      </w:r>
      <w:r w:rsidR="00CE120B">
        <w:rPr>
          <w:sz w:val="24"/>
        </w:rPr>
        <w:t xml:space="preserve"> urban </w:t>
      </w:r>
      <w:r w:rsidR="0085179D">
        <w:rPr>
          <w:sz w:val="24"/>
        </w:rPr>
        <w:t>centres</w:t>
      </w:r>
      <w:r w:rsidR="00CE120B">
        <w:rPr>
          <w:sz w:val="24"/>
        </w:rPr>
        <w:t xml:space="preserve"> tended to have small populations’</w:t>
      </w:r>
      <w:r w:rsidR="0085179D">
        <w:rPr>
          <w:sz w:val="24"/>
        </w:rPr>
        <w:t xml:space="preserve"> </w:t>
      </w:r>
      <w:sdt>
        <w:sdtPr>
          <w:rPr>
            <w:sz w:val="24"/>
          </w:rPr>
          <w:id w:val="513724332"/>
          <w:citation/>
        </w:sdtPr>
        <w:sdtEndPr/>
        <w:sdtContent>
          <w:r w:rsidR="0085179D">
            <w:rPr>
              <w:sz w:val="24"/>
            </w:rPr>
            <w:fldChar w:fldCharType="begin"/>
          </w:r>
          <w:r w:rsidR="000651F6">
            <w:rPr>
              <w:sz w:val="24"/>
            </w:rPr>
            <w:instrText xml:space="preserve">CITATION Bru95 \p 10 \l 2057 </w:instrText>
          </w:r>
          <w:r w:rsidR="0085179D">
            <w:rPr>
              <w:sz w:val="24"/>
            </w:rPr>
            <w:fldChar w:fldCharType="separate"/>
          </w:r>
          <w:r w:rsidR="000651F6" w:rsidRPr="000651F6">
            <w:rPr>
              <w:noProof/>
              <w:sz w:val="24"/>
            </w:rPr>
            <w:t>(Trigger, 1995, p. 10)</w:t>
          </w:r>
          <w:r w:rsidR="0085179D">
            <w:rPr>
              <w:sz w:val="24"/>
            </w:rPr>
            <w:fldChar w:fldCharType="end"/>
          </w:r>
        </w:sdtContent>
      </w:sdt>
      <w:r w:rsidR="0085179D">
        <w:rPr>
          <w:sz w:val="24"/>
        </w:rPr>
        <w:t xml:space="preserve">. This is generally accepted by scholars, which is backed up </w:t>
      </w:r>
      <w:r w:rsidR="000651F6">
        <w:rPr>
          <w:sz w:val="24"/>
        </w:rPr>
        <w:t>by</w:t>
      </w:r>
      <w:r w:rsidR="0085179D">
        <w:rPr>
          <w:sz w:val="24"/>
        </w:rPr>
        <w:t xml:space="preserve"> anthropological</w:t>
      </w:r>
      <w:r w:rsidR="000651F6">
        <w:rPr>
          <w:sz w:val="24"/>
        </w:rPr>
        <w:t>-</w:t>
      </w:r>
      <w:r w:rsidR="0085179D">
        <w:rPr>
          <w:sz w:val="24"/>
        </w:rPr>
        <w:t xml:space="preserve">archaeological evidence. </w:t>
      </w:r>
      <w:r w:rsidR="00693730">
        <w:rPr>
          <w:sz w:val="24"/>
        </w:rPr>
        <w:t xml:space="preserve">Later </w:t>
      </w:r>
      <w:proofErr w:type="gramStart"/>
      <w:r w:rsidR="00693730">
        <w:rPr>
          <w:sz w:val="24"/>
        </w:rPr>
        <w:t>on</w:t>
      </w:r>
      <w:proofErr w:type="gramEnd"/>
      <w:r w:rsidR="00693730">
        <w:rPr>
          <w:sz w:val="24"/>
        </w:rPr>
        <w:t xml:space="preserve"> within the passage, it is </w:t>
      </w:r>
      <w:r w:rsidR="000651F6">
        <w:rPr>
          <w:sz w:val="24"/>
        </w:rPr>
        <w:t>explained</w:t>
      </w:r>
      <w:r w:rsidR="00693730">
        <w:rPr>
          <w:sz w:val="24"/>
        </w:rPr>
        <w:t xml:space="preserve"> how being a part of a ‘territorial state’ (Trigger 19</w:t>
      </w:r>
      <w:r w:rsidR="000651F6">
        <w:rPr>
          <w:sz w:val="24"/>
        </w:rPr>
        <w:t>95</w:t>
      </w:r>
      <w:r w:rsidR="00C86A7A">
        <w:rPr>
          <w:sz w:val="24"/>
        </w:rPr>
        <w:t>, p. 8</w:t>
      </w:r>
      <w:r w:rsidR="00693730">
        <w:rPr>
          <w:sz w:val="24"/>
        </w:rPr>
        <w:t>) enables</w:t>
      </w:r>
      <w:r w:rsidR="00C86A7A">
        <w:rPr>
          <w:sz w:val="24"/>
        </w:rPr>
        <w:t xml:space="preserve"> the</w:t>
      </w:r>
      <w:r w:rsidR="00693730">
        <w:rPr>
          <w:sz w:val="24"/>
        </w:rPr>
        <w:t xml:space="preserve"> </w:t>
      </w:r>
      <w:r w:rsidR="00C86A7A">
        <w:rPr>
          <w:sz w:val="24"/>
        </w:rPr>
        <w:t>construction</w:t>
      </w:r>
      <w:r w:rsidR="00693730">
        <w:rPr>
          <w:sz w:val="24"/>
        </w:rPr>
        <w:t xml:space="preserve"> of</w:t>
      </w:r>
      <w:r w:rsidR="00C86A7A">
        <w:rPr>
          <w:sz w:val="24"/>
        </w:rPr>
        <w:t xml:space="preserve"> monuments</w:t>
      </w:r>
      <w:r w:rsidR="00693730">
        <w:rPr>
          <w:sz w:val="24"/>
        </w:rPr>
        <w:t xml:space="preserve"> </w:t>
      </w:r>
      <w:r w:rsidR="00C86A7A">
        <w:rPr>
          <w:sz w:val="24"/>
        </w:rPr>
        <w:t xml:space="preserve">on an </w:t>
      </w:r>
      <w:r w:rsidR="00693730">
        <w:rPr>
          <w:sz w:val="24"/>
        </w:rPr>
        <w:t>enormous scale, such as the construction of Giza in the Old Kingdom</w:t>
      </w:r>
      <w:r w:rsidR="000651F6">
        <w:rPr>
          <w:sz w:val="24"/>
        </w:rPr>
        <w:t>. T</w:t>
      </w:r>
      <w:r w:rsidR="00323AA5">
        <w:rPr>
          <w:sz w:val="24"/>
        </w:rPr>
        <w:t xml:space="preserve">he government was able to take control of the food surpluses and the labour of a greater number of people as well as being able to sponsor skilled craftsmen for bigger projects </w:t>
      </w:r>
      <w:sdt>
        <w:sdtPr>
          <w:rPr>
            <w:sz w:val="24"/>
          </w:rPr>
          <w:id w:val="1015500365"/>
          <w:citation/>
        </w:sdtPr>
        <w:sdtEndPr/>
        <w:sdtContent>
          <w:r w:rsidR="00323AA5">
            <w:rPr>
              <w:sz w:val="24"/>
            </w:rPr>
            <w:fldChar w:fldCharType="begin"/>
          </w:r>
          <w:r w:rsidR="00323AA5">
            <w:rPr>
              <w:sz w:val="24"/>
            </w:rPr>
            <w:instrText xml:space="preserve"> CITATION Bru95 \l 2057 </w:instrText>
          </w:r>
          <w:r w:rsidR="00323AA5">
            <w:rPr>
              <w:sz w:val="24"/>
            </w:rPr>
            <w:fldChar w:fldCharType="separate"/>
          </w:r>
          <w:r w:rsidR="00323AA5" w:rsidRPr="00323AA5">
            <w:rPr>
              <w:noProof/>
              <w:sz w:val="24"/>
            </w:rPr>
            <w:t>(Trigger, 1995)</w:t>
          </w:r>
          <w:r w:rsidR="00323AA5">
            <w:rPr>
              <w:sz w:val="24"/>
            </w:rPr>
            <w:fldChar w:fldCharType="end"/>
          </w:r>
        </w:sdtContent>
      </w:sdt>
      <w:r w:rsidR="00587643">
        <w:rPr>
          <w:sz w:val="24"/>
        </w:rPr>
        <w:t xml:space="preserve">. </w:t>
      </w:r>
      <w:r w:rsidR="00C86A7A">
        <w:rPr>
          <w:sz w:val="24"/>
        </w:rPr>
        <w:t>T</w:t>
      </w:r>
      <w:r w:rsidR="00587643">
        <w:rPr>
          <w:sz w:val="24"/>
        </w:rPr>
        <w:t>his</w:t>
      </w:r>
      <w:r w:rsidR="00C86A7A">
        <w:rPr>
          <w:sz w:val="24"/>
        </w:rPr>
        <w:t xml:space="preserve"> can be seen</w:t>
      </w:r>
      <w:r w:rsidR="00587643">
        <w:rPr>
          <w:sz w:val="24"/>
        </w:rPr>
        <w:t xml:space="preserve"> happening all throughout the kingdom</w:t>
      </w:r>
      <w:r w:rsidR="00C86A7A">
        <w:rPr>
          <w:sz w:val="24"/>
        </w:rPr>
        <w:t>.</w:t>
      </w:r>
      <w:r w:rsidR="00587643">
        <w:rPr>
          <w:sz w:val="24"/>
        </w:rPr>
        <w:t xml:space="preserve"> </w:t>
      </w:r>
      <w:r w:rsidR="00C86A7A">
        <w:rPr>
          <w:sz w:val="24"/>
        </w:rPr>
        <w:t>T</w:t>
      </w:r>
      <w:r w:rsidR="00587643">
        <w:rPr>
          <w:sz w:val="24"/>
        </w:rPr>
        <w:t xml:space="preserve">he growth of economic development with specialised skilled workers </w:t>
      </w:r>
      <w:r w:rsidR="00C86A7A">
        <w:rPr>
          <w:sz w:val="24"/>
        </w:rPr>
        <w:t>allowed</w:t>
      </w:r>
      <w:r w:rsidR="00587643">
        <w:rPr>
          <w:sz w:val="24"/>
        </w:rPr>
        <w:t xml:space="preserve"> </w:t>
      </w:r>
      <w:r w:rsidR="00E22441">
        <w:rPr>
          <w:sz w:val="24"/>
        </w:rPr>
        <w:t xml:space="preserve">detailed and </w:t>
      </w:r>
      <w:r w:rsidR="00E22441">
        <w:rPr>
          <w:sz w:val="24"/>
        </w:rPr>
        <w:lastRenderedPageBreak/>
        <w:t>elaborate constructions to take place</w:t>
      </w:r>
      <w:r w:rsidR="00587643">
        <w:rPr>
          <w:sz w:val="24"/>
        </w:rPr>
        <w:t>.</w:t>
      </w:r>
      <w:r w:rsidR="00E22441">
        <w:rPr>
          <w:sz w:val="24"/>
        </w:rPr>
        <w:t xml:space="preserve"> However, as Trigger mentions, in the Old and Middle Kingdom, temples seemed to be more modest in size which could suggest a change in religious beliefs or a change of architectural preferences </w:t>
      </w:r>
      <w:sdt>
        <w:sdtPr>
          <w:rPr>
            <w:sz w:val="24"/>
          </w:rPr>
          <w:id w:val="242071288"/>
          <w:citation/>
        </w:sdtPr>
        <w:sdtEndPr/>
        <w:sdtContent>
          <w:r w:rsidR="00E22441">
            <w:rPr>
              <w:sz w:val="24"/>
            </w:rPr>
            <w:fldChar w:fldCharType="begin"/>
          </w:r>
          <w:r w:rsidR="00E22441">
            <w:rPr>
              <w:sz w:val="24"/>
            </w:rPr>
            <w:instrText xml:space="preserve"> CITATION Bru95 \l 2057 </w:instrText>
          </w:r>
          <w:r w:rsidR="00E22441">
            <w:rPr>
              <w:sz w:val="24"/>
            </w:rPr>
            <w:fldChar w:fldCharType="separate"/>
          </w:r>
          <w:r w:rsidR="00E22441" w:rsidRPr="00E22441">
            <w:rPr>
              <w:noProof/>
              <w:sz w:val="24"/>
            </w:rPr>
            <w:t>(Trigger, 1995)</w:t>
          </w:r>
          <w:r w:rsidR="00E22441">
            <w:rPr>
              <w:sz w:val="24"/>
            </w:rPr>
            <w:fldChar w:fldCharType="end"/>
          </w:r>
        </w:sdtContent>
      </w:sdt>
      <w:r w:rsidR="00E22441">
        <w:rPr>
          <w:sz w:val="24"/>
        </w:rPr>
        <w:t xml:space="preserve">. </w:t>
      </w:r>
    </w:p>
    <w:p w14:paraId="56FA2A0F" w14:textId="77777777" w:rsidR="00E22441" w:rsidRDefault="00E22441" w:rsidP="005540EF">
      <w:pPr>
        <w:pStyle w:val="NoSpacing"/>
        <w:rPr>
          <w:sz w:val="24"/>
        </w:rPr>
      </w:pPr>
    </w:p>
    <w:p w14:paraId="562C52D2" w14:textId="5CC7E6F1" w:rsidR="00006D2A" w:rsidRDefault="007566C4" w:rsidP="005540EF">
      <w:pPr>
        <w:pStyle w:val="NoSpacing"/>
        <w:rPr>
          <w:sz w:val="24"/>
        </w:rPr>
      </w:pPr>
      <w:r>
        <w:rPr>
          <w:sz w:val="24"/>
        </w:rPr>
        <w:t>According to Trigger (1995),</w:t>
      </w:r>
      <w:r w:rsidR="00275921">
        <w:rPr>
          <w:sz w:val="24"/>
        </w:rPr>
        <w:t xml:space="preserve"> it is important when looking at civilisations to explain the differences as well as the similarities to</w:t>
      </w:r>
      <w:r>
        <w:rPr>
          <w:sz w:val="24"/>
        </w:rPr>
        <w:t xml:space="preserve"> be able to </w:t>
      </w:r>
      <w:r w:rsidR="00275921">
        <w:rPr>
          <w:sz w:val="24"/>
        </w:rPr>
        <w:t xml:space="preserve">examine human behaviour. He uses the example of the connection of “high places” </w:t>
      </w:r>
      <w:sdt>
        <w:sdtPr>
          <w:rPr>
            <w:sz w:val="24"/>
          </w:rPr>
          <w:id w:val="1548960329"/>
          <w:citation/>
        </w:sdtPr>
        <w:sdtContent>
          <w:r w:rsidR="00EA17F3">
            <w:rPr>
              <w:sz w:val="24"/>
            </w:rPr>
            <w:fldChar w:fldCharType="begin"/>
          </w:r>
          <w:r w:rsidR="00EA17F3">
            <w:rPr>
              <w:sz w:val="24"/>
            </w:rPr>
            <w:instrText xml:space="preserve">CITATION Bru95 \p 4 \l 2057 </w:instrText>
          </w:r>
          <w:r w:rsidR="00EA17F3">
            <w:rPr>
              <w:sz w:val="24"/>
            </w:rPr>
            <w:fldChar w:fldCharType="separate"/>
          </w:r>
          <w:r w:rsidR="00EA17F3" w:rsidRPr="00EA17F3">
            <w:rPr>
              <w:noProof/>
              <w:sz w:val="24"/>
            </w:rPr>
            <w:t>(Trigger, 1995, p. 4)</w:t>
          </w:r>
          <w:r w:rsidR="00EA17F3">
            <w:rPr>
              <w:sz w:val="24"/>
            </w:rPr>
            <w:fldChar w:fldCharType="end"/>
          </w:r>
        </w:sdtContent>
      </w:sdt>
      <w:r w:rsidR="00EA17F3">
        <w:rPr>
          <w:sz w:val="24"/>
        </w:rPr>
        <w:t xml:space="preserve"> </w:t>
      </w:r>
      <w:r w:rsidR="00275921">
        <w:rPr>
          <w:sz w:val="24"/>
        </w:rPr>
        <w:t xml:space="preserve">within different societies to gain access to the supernatural. </w:t>
      </w:r>
      <w:r w:rsidR="00AB007D">
        <w:rPr>
          <w:sz w:val="24"/>
        </w:rPr>
        <w:t xml:space="preserve">Trigger identifies Egypt as being ‘Unique’ as they use the ‘mound of creation’ </w:t>
      </w:r>
      <w:sdt>
        <w:sdtPr>
          <w:rPr>
            <w:sz w:val="24"/>
          </w:rPr>
          <w:id w:val="-658076645"/>
          <w:citation/>
        </w:sdtPr>
        <w:sdtEndPr/>
        <w:sdtContent>
          <w:r w:rsidR="00AB007D">
            <w:rPr>
              <w:sz w:val="24"/>
            </w:rPr>
            <w:fldChar w:fldCharType="begin"/>
          </w:r>
          <w:r w:rsidR="00EA17F3">
            <w:rPr>
              <w:sz w:val="24"/>
            </w:rPr>
            <w:instrText xml:space="preserve">CITATION Bru95 \p 5 \l 2057 </w:instrText>
          </w:r>
          <w:r w:rsidR="00AB007D">
            <w:rPr>
              <w:sz w:val="24"/>
            </w:rPr>
            <w:fldChar w:fldCharType="separate"/>
          </w:r>
          <w:r w:rsidR="00EA17F3" w:rsidRPr="00EA17F3">
            <w:rPr>
              <w:noProof/>
              <w:sz w:val="24"/>
            </w:rPr>
            <w:t>(Trigger, 1995, p. 5)</w:t>
          </w:r>
          <w:r w:rsidR="00AB007D">
            <w:rPr>
              <w:sz w:val="24"/>
            </w:rPr>
            <w:fldChar w:fldCharType="end"/>
          </w:r>
        </w:sdtContent>
      </w:sdt>
      <w:r w:rsidR="00AB007D">
        <w:rPr>
          <w:sz w:val="24"/>
        </w:rPr>
        <w:t xml:space="preserve"> which </w:t>
      </w:r>
      <w:r w:rsidR="00006D2A">
        <w:rPr>
          <w:sz w:val="24"/>
        </w:rPr>
        <w:t>refers</w:t>
      </w:r>
      <w:r w:rsidR="00AB007D">
        <w:rPr>
          <w:sz w:val="24"/>
        </w:rPr>
        <w:t xml:space="preserve"> to the land rising from the sea in </w:t>
      </w:r>
      <w:r w:rsidR="00EA17F3">
        <w:rPr>
          <w:sz w:val="24"/>
        </w:rPr>
        <w:t xml:space="preserve">the </w:t>
      </w:r>
      <w:r w:rsidR="00AB007D">
        <w:rPr>
          <w:sz w:val="24"/>
        </w:rPr>
        <w:t>creation</w:t>
      </w:r>
      <w:r w:rsidR="00EA17F3">
        <w:rPr>
          <w:sz w:val="24"/>
        </w:rPr>
        <w:t xml:space="preserve"> myth</w:t>
      </w:r>
      <w:r w:rsidR="00AB007D">
        <w:rPr>
          <w:sz w:val="24"/>
        </w:rPr>
        <w:t xml:space="preserve">. The ‘mound of creation’ is the </w:t>
      </w:r>
      <w:r w:rsidR="00EA17F3">
        <w:rPr>
          <w:sz w:val="24"/>
        </w:rPr>
        <w:t>foundation</w:t>
      </w:r>
      <w:r w:rsidR="00AB007D">
        <w:rPr>
          <w:sz w:val="24"/>
        </w:rPr>
        <w:t xml:space="preserve"> of every temple and inspire</w:t>
      </w:r>
      <w:r w:rsidR="00EA17F3">
        <w:rPr>
          <w:sz w:val="24"/>
        </w:rPr>
        <w:t>s</w:t>
      </w:r>
      <w:r w:rsidR="00AB007D">
        <w:rPr>
          <w:sz w:val="24"/>
        </w:rPr>
        <w:t xml:space="preserve"> the pyramids and obelisks</w:t>
      </w:r>
      <w:r w:rsidR="005D5DD6">
        <w:rPr>
          <w:sz w:val="24"/>
        </w:rPr>
        <w:t xml:space="preserve"> </w:t>
      </w:r>
      <w:sdt>
        <w:sdtPr>
          <w:rPr>
            <w:sz w:val="24"/>
          </w:rPr>
          <w:id w:val="1778909748"/>
          <w:citation/>
        </w:sdtPr>
        <w:sdtEndPr/>
        <w:sdtContent>
          <w:r w:rsidR="005D5DD6">
            <w:rPr>
              <w:sz w:val="24"/>
            </w:rPr>
            <w:fldChar w:fldCharType="begin"/>
          </w:r>
          <w:r w:rsidR="005D5DD6">
            <w:rPr>
              <w:sz w:val="24"/>
            </w:rPr>
            <w:instrText xml:space="preserve"> CITATION Bru95 \l 2057 </w:instrText>
          </w:r>
          <w:r w:rsidR="005D5DD6">
            <w:rPr>
              <w:sz w:val="24"/>
            </w:rPr>
            <w:fldChar w:fldCharType="separate"/>
          </w:r>
          <w:r w:rsidR="005D5DD6" w:rsidRPr="005D5DD6">
            <w:rPr>
              <w:noProof/>
              <w:sz w:val="24"/>
            </w:rPr>
            <w:t>(Trigger, 1995)</w:t>
          </w:r>
          <w:r w:rsidR="005D5DD6">
            <w:rPr>
              <w:sz w:val="24"/>
            </w:rPr>
            <w:fldChar w:fldCharType="end"/>
          </w:r>
        </w:sdtContent>
      </w:sdt>
      <w:r w:rsidR="005D5DD6">
        <w:rPr>
          <w:sz w:val="24"/>
        </w:rPr>
        <w:t xml:space="preserve">.  Mark </w:t>
      </w:r>
      <w:r w:rsidR="00EA17F3">
        <w:rPr>
          <w:sz w:val="24"/>
        </w:rPr>
        <w:t xml:space="preserve">(2016) </w:t>
      </w:r>
      <w:r w:rsidR="005D5DD6">
        <w:rPr>
          <w:sz w:val="24"/>
        </w:rPr>
        <w:t>agrees with Trigger</w:t>
      </w:r>
      <w:r w:rsidR="00EA17F3">
        <w:rPr>
          <w:sz w:val="24"/>
        </w:rPr>
        <w:t>’</w:t>
      </w:r>
      <w:r w:rsidR="005D5DD6">
        <w:rPr>
          <w:sz w:val="24"/>
        </w:rPr>
        <w:t>s</w:t>
      </w:r>
      <w:r w:rsidR="00EA17F3">
        <w:rPr>
          <w:sz w:val="24"/>
        </w:rPr>
        <w:t xml:space="preserve"> view of the</w:t>
      </w:r>
      <w:r w:rsidR="005D5DD6">
        <w:rPr>
          <w:sz w:val="24"/>
        </w:rPr>
        <w:t xml:space="preserve"> </w:t>
      </w:r>
      <w:r w:rsidR="00006D2A">
        <w:rPr>
          <w:sz w:val="24"/>
        </w:rPr>
        <w:t>‘mound of creation’ as</w:t>
      </w:r>
      <w:r w:rsidR="00EA17F3">
        <w:rPr>
          <w:sz w:val="24"/>
        </w:rPr>
        <w:t xml:space="preserve"> an</w:t>
      </w:r>
      <w:r w:rsidR="00006D2A">
        <w:rPr>
          <w:sz w:val="24"/>
        </w:rPr>
        <w:t xml:space="preserve"> inspiration for Egyptian construction</w:t>
      </w:r>
      <w:r w:rsidR="00EA17F3">
        <w:rPr>
          <w:sz w:val="24"/>
        </w:rPr>
        <w:t>.</w:t>
      </w:r>
      <w:r w:rsidR="00006D2A">
        <w:rPr>
          <w:sz w:val="24"/>
        </w:rPr>
        <w:t xml:space="preserve"> </w:t>
      </w:r>
      <w:r w:rsidR="00EA17F3">
        <w:rPr>
          <w:sz w:val="24"/>
        </w:rPr>
        <w:t xml:space="preserve">Mark </w:t>
      </w:r>
      <w:r w:rsidR="00006D2A">
        <w:rPr>
          <w:sz w:val="24"/>
        </w:rPr>
        <w:t>refer</w:t>
      </w:r>
      <w:r w:rsidR="00EA17F3">
        <w:rPr>
          <w:sz w:val="24"/>
        </w:rPr>
        <w:t>s</w:t>
      </w:r>
      <w:r w:rsidR="00006D2A">
        <w:rPr>
          <w:sz w:val="24"/>
        </w:rPr>
        <w:t xml:space="preserve"> to the creation myth as the mound represent</w:t>
      </w:r>
      <w:r w:rsidR="00EA17F3">
        <w:rPr>
          <w:sz w:val="24"/>
        </w:rPr>
        <w:t>ing</w:t>
      </w:r>
      <w:r w:rsidR="00006D2A">
        <w:rPr>
          <w:sz w:val="24"/>
        </w:rPr>
        <w:t xml:space="preserve"> the rising of land and the relationship between the people and the gods. He further explains how the symmetry of the structures and design represent harmony, </w:t>
      </w:r>
      <w:proofErr w:type="spellStart"/>
      <w:r w:rsidR="00006D2A">
        <w:rPr>
          <w:i/>
          <w:sz w:val="24"/>
        </w:rPr>
        <w:t>ma’at</w:t>
      </w:r>
      <w:proofErr w:type="spellEnd"/>
      <w:r w:rsidR="00006D2A">
        <w:rPr>
          <w:sz w:val="24"/>
        </w:rPr>
        <w:t xml:space="preserve"> which is</w:t>
      </w:r>
      <w:r w:rsidR="00EA17F3">
        <w:rPr>
          <w:sz w:val="24"/>
        </w:rPr>
        <w:t xml:space="preserve"> at</w:t>
      </w:r>
      <w:r w:rsidR="00006D2A">
        <w:rPr>
          <w:sz w:val="24"/>
        </w:rPr>
        <w:t xml:space="preserve"> the heart of Egyptian values </w:t>
      </w:r>
      <w:sdt>
        <w:sdtPr>
          <w:rPr>
            <w:sz w:val="24"/>
          </w:rPr>
          <w:id w:val="-1912692894"/>
          <w:citation/>
        </w:sdtPr>
        <w:sdtEndPr/>
        <w:sdtContent>
          <w:r w:rsidR="00006D2A">
            <w:rPr>
              <w:sz w:val="24"/>
            </w:rPr>
            <w:fldChar w:fldCharType="begin"/>
          </w:r>
          <w:r w:rsidR="00006D2A">
            <w:rPr>
              <w:sz w:val="24"/>
            </w:rPr>
            <w:instrText xml:space="preserve"> CITATION Jos16 \l 2057 </w:instrText>
          </w:r>
          <w:r w:rsidR="00006D2A">
            <w:rPr>
              <w:sz w:val="24"/>
            </w:rPr>
            <w:fldChar w:fldCharType="separate"/>
          </w:r>
          <w:r w:rsidR="00006D2A" w:rsidRPr="00006D2A">
            <w:rPr>
              <w:noProof/>
              <w:sz w:val="24"/>
            </w:rPr>
            <w:t>(Mark, 2016)</w:t>
          </w:r>
          <w:r w:rsidR="00006D2A">
            <w:rPr>
              <w:sz w:val="24"/>
            </w:rPr>
            <w:fldChar w:fldCharType="end"/>
          </w:r>
        </w:sdtContent>
      </w:sdt>
      <w:r w:rsidR="00006D2A">
        <w:rPr>
          <w:sz w:val="24"/>
        </w:rPr>
        <w:t>.</w:t>
      </w:r>
    </w:p>
    <w:p w14:paraId="7D72262A" w14:textId="77777777" w:rsidR="00006D2A" w:rsidRDefault="00006D2A" w:rsidP="005540EF">
      <w:pPr>
        <w:pStyle w:val="NoSpacing"/>
        <w:rPr>
          <w:sz w:val="24"/>
        </w:rPr>
      </w:pPr>
    </w:p>
    <w:p w14:paraId="1F2F1E55" w14:textId="6841C550" w:rsidR="00E22441" w:rsidRDefault="00057B2F" w:rsidP="001D6A4B">
      <w:pPr>
        <w:pStyle w:val="NoSpacing"/>
        <w:rPr>
          <w:sz w:val="24"/>
        </w:rPr>
      </w:pPr>
      <w:r>
        <w:rPr>
          <w:sz w:val="24"/>
        </w:rPr>
        <w:t>Overall, the chapter provides an an</w:t>
      </w:r>
      <w:r w:rsidR="001D6A4B">
        <w:rPr>
          <w:sz w:val="24"/>
        </w:rPr>
        <w:t>a</w:t>
      </w:r>
      <w:r>
        <w:rPr>
          <w:sz w:val="24"/>
        </w:rPr>
        <w:t>lyticall</w:t>
      </w:r>
      <w:r w:rsidR="001D6A4B">
        <w:rPr>
          <w:sz w:val="24"/>
        </w:rPr>
        <w:t>y</w:t>
      </w:r>
      <w:r>
        <w:rPr>
          <w:sz w:val="24"/>
        </w:rPr>
        <w:t xml:space="preserve"> look at Egyptian society</w:t>
      </w:r>
      <w:r w:rsidR="001D6A4B">
        <w:rPr>
          <w:sz w:val="24"/>
        </w:rPr>
        <w:t xml:space="preserve">. Trigger looks at a variety of sources from different fields and creates, I believe, a well-balanced argument which is recognised within the </w:t>
      </w:r>
      <w:r w:rsidR="00D207C8">
        <w:rPr>
          <w:sz w:val="24"/>
        </w:rPr>
        <w:t>h</w:t>
      </w:r>
      <w:r w:rsidR="001D6A4B">
        <w:rPr>
          <w:sz w:val="24"/>
        </w:rPr>
        <w:t xml:space="preserve">istoric and </w:t>
      </w:r>
      <w:r w:rsidR="00D207C8">
        <w:rPr>
          <w:sz w:val="24"/>
        </w:rPr>
        <w:t>a</w:t>
      </w:r>
      <w:r w:rsidR="001D6A4B">
        <w:rPr>
          <w:sz w:val="24"/>
        </w:rPr>
        <w:t xml:space="preserve">nthropological fields and is widely accepted and acknowledged. He openly and clearly writes </w:t>
      </w:r>
      <w:r w:rsidR="001406C2">
        <w:rPr>
          <w:sz w:val="24"/>
        </w:rPr>
        <w:t xml:space="preserve">about </w:t>
      </w:r>
      <w:r w:rsidR="001D6A4B">
        <w:rPr>
          <w:sz w:val="24"/>
        </w:rPr>
        <w:t xml:space="preserve">his weakness in </w:t>
      </w:r>
      <w:r w:rsidR="001406C2">
        <w:rPr>
          <w:sz w:val="24"/>
        </w:rPr>
        <w:t xml:space="preserve">the knowledge of the Egyptian </w:t>
      </w:r>
      <w:r w:rsidR="001D6A4B">
        <w:rPr>
          <w:sz w:val="24"/>
        </w:rPr>
        <w:t>language</w:t>
      </w:r>
      <w:r w:rsidR="001406C2">
        <w:rPr>
          <w:sz w:val="24"/>
        </w:rPr>
        <w:t>.</w:t>
      </w:r>
      <w:r w:rsidR="001D6A4B">
        <w:rPr>
          <w:sz w:val="24"/>
        </w:rPr>
        <w:t xml:space="preserve"> </w:t>
      </w:r>
      <w:r w:rsidR="001406C2">
        <w:rPr>
          <w:sz w:val="24"/>
        </w:rPr>
        <w:t xml:space="preserve">This book is a useful resource for the reader to get an understanding of the formation of ancient civilisations. </w:t>
      </w:r>
    </w:p>
    <w:p w14:paraId="6DAB6D21" w14:textId="77777777" w:rsidR="001D6A4B" w:rsidRDefault="001D6A4B" w:rsidP="001D6A4B">
      <w:pPr>
        <w:pStyle w:val="NoSpacing"/>
        <w:rPr>
          <w:sz w:val="24"/>
        </w:rPr>
      </w:pPr>
    </w:p>
    <w:p w14:paraId="64868B6A" w14:textId="77777777" w:rsidR="001D6A4B" w:rsidRDefault="001D6A4B" w:rsidP="001D6A4B">
      <w:pPr>
        <w:pStyle w:val="NoSpacing"/>
        <w:rPr>
          <w:sz w:val="24"/>
        </w:rPr>
      </w:pPr>
    </w:p>
    <w:p w14:paraId="189F483D" w14:textId="77777777" w:rsidR="001D6A4B" w:rsidRDefault="001D6A4B" w:rsidP="001D6A4B">
      <w:pPr>
        <w:pStyle w:val="NoSpacing"/>
        <w:rPr>
          <w:sz w:val="24"/>
        </w:rPr>
      </w:pPr>
    </w:p>
    <w:p w14:paraId="31A300C3" w14:textId="77777777" w:rsidR="001D6A4B" w:rsidRDefault="001D6A4B" w:rsidP="001D6A4B">
      <w:pPr>
        <w:pStyle w:val="NoSpacing"/>
        <w:rPr>
          <w:sz w:val="24"/>
        </w:rPr>
      </w:pPr>
    </w:p>
    <w:p w14:paraId="5560FFF2" w14:textId="77777777" w:rsidR="001D6A4B" w:rsidRDefault="001D6A4B" w:rsidP="001D6A4B">
      <w:pPr>
        <w:pStyle w:val="NoSpacing"/>
        <w:rPr>
          <w:sz w:val="24"/>
        </w:rPr>
      </w:pPr>
    </w:p>
    <w:p w14:paraId="0547CF38" w14:textId="77777777" w:rsidR="001D6A4B" w:rsidRDefault="001D6A4B" w:rsidP="001D6A4B">
      <w:pPr>
        <w:pStyle w:val="NoSpacing"/>
        <w:rPr>
          <w:sz w:val="24"/>
        </w:rPr>
      </w:pPr>
    </w:p>
    <w:p w14:paraId="2EE544D4" w14:textId="77777777" w:rsidR="001D6A4B" w:rsidRDefault="001D6A4B" w:rsidP="001D6A4B">
      <w:pPr>
        <w:pStyle w:val="NoSpacing"/>
        <w:rPr>
          <w:sz w:val="24"/>
        </w:rPr>
      </w:pPr>
    </w:p>
    <w:p w14:paraId="2C8E364F" w14:textId="77777777" w:rsidR="001D6A4B" w:rsidRDefault="001D6A4B" w:rsidP="001D6A4B">
      <w:pPr>
        <w:pStyle w:val="NoSpacing"/>
        <w:rPr>
          <w:sz w:val="24"/>
        </w:rPr>
      </w:pPr>
    </w:p>
    <w:p w14:paraId="66C63E80" w14:textId="77777777" w:rsidR="001D6A4B" w:rsidRDefault="001D6A4B" w:rsidP="001D6A4B">
      <w:pPr>
        <w:pStyle w:val="NoSpacing"/>
        <w:rPr>
          <w:sz w:val="24"/>
        </w:rPr>
      </w:pPr>
    </w:p>
    <w:p w14:paraId="5E58B17B" w14:textId="77777777" w:rsidR="001D6A4B" w:rsidRDefault="001D6A4B" w:rsidP="001D6A4B">
      <w:pPr>
        <w:pStyle w:val="NoSpacing"/>
        <w:rPr>
          <w:sz w:val="24"/>
        </w:rPr>
      </w:pPr>
    </w:p>
    <w:p w14:paraId="0B9D94A1" w14:textId="77777777" w:rsidR="001D6A4B" w:rsidRDefault="001D6A4B" w:rsidP="001D6A4B">
      <w:pPr>
        <w:pStyle w:val="NoSpacing"/>
        <w:rPr>
          <w:sz w:val="24"/>
        </w:rPr>
      </w:pPr>
    </w:p>
    <w:p w14:paraId="375B88E7" w14:textId="77777777" w:rsidR="001D6A4B" w:rsidRDefault="001D6A4B" w:rsidP="001D6A4B">
      <w:pPr>
        <w:pStyle w:val="NoSpacing"/>
        <w:rPr>
          <w:sz w:val="24"/>
        </w:rPr>
      </w:pPr>
    </w:p>
    <w:p w14:paraId="4D9FEA65" w14:textId="77777777" w:rsidR="001D6A4B" w:rsidRDefault="001D6A4B" w:rsidP="001D6A4B">
      <w:pPr>
        <w:pStyle w:val="NoSpacing"/>
        <w:rPr>
          <w:sz w:val="24"/>
        </w:rPr>
      </w:pPr>
    </w:p>
    <w:p w14:paraId="0AF014CA" w14:textId="77777777" w:rsidR="001D6A4B" w:rsidRDefault="001D6A4B" w:rsidP="001D6A4B">
      <w:pPr>
        <w:pStyle w:val="NoSpacing"/>
        <w:rPr>
          <w:sz w:val="24"/>
        </w:rPr>
      </w:pPr>
    </w:p>
    <w:p w14:paraId="375A32AB" w14:textId="77777777" w:rsidR="001D6A4B" w:rsidRDefault="001D6A4B" w:rsidP="001D6A4B">
      <w:pPr>
        <w:pStyle w:val="NoSpacing"/>
        <w:rPr>
          <w:sz w:val="24"/>
        </w:rPr>
      </w:pPr>
    </w:p>
    <w:p w14:paraId="1A56A72F" w14:textId="77777777" w:rsidR="001D6A4B" w:rsidRDefault="001D6A4B" w:rsidP="001D6A4B">
      <w:pPr>
        <w:pStyle w:val="NoSpacing"/>
        <w:rPr>
          <w:sz w:val="24"/>
        </w:rPr>
      </w:pPr>
    </w:p>
    <w:p w14:paraId="0958807B" w14:textId="77777777" w:rsidR="001D6A4B" w:rsidRDefault="001D6A4B" w:rsidP="001D6A4B">
      <w:pPr>
        <w:pStyle w:val="NoSpacing"/>
        <w:rPr>
          <w:sz w:val="24"/>
        </w:rPr>
      </w:pPr>
    </w:p>
    <w:p w14:paraId="2345B053" w14:textId="77777777" w:rsidR="001D6A4B" w:rsidRDefault="001D6A4B" w:rsidP="001D6A4B">
      <w:pPr>
        <w:pStyle w:val="NoSpacing"/>
        <w:rPr>
          <w:sz w:val="24"/>
        </w:rPr>
      </w:pPr>
    </w:p>
    <w:p w14:paraId="438A1820" w14:textId="77777777" w:rsidR="001D6A4B" w:rsidRDefault="001D6A4B" w:rsidP="001D6A4B">
      <w:pPr>
        <w:pStyle w:val="NoSpacing"/>
        <w:rPr>
          <w:sz w:val="24"/>
        </w:rPr>
      </w:pPr>
    </w:p>
    <w:p w14:paraId="4CD4BE5B" w14:textId="77777777" w:rsidR="00191BBD" w:rsidRDefault="00191BBD">
      <w:pPr>
        <w:pStyle w:val="Heading1"/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12186706"/>
        <w:docPartObj>
          <w:docPartGallery w:val="Bibliographies"/>
          <w:docPartUnique/>
        </w:docPartObj>
      </w:sdtPr>
      <w:sdtEndPr/>
      <w:sdtContent>
        <w:p w14:paraId="705BA4B9" w14:textId="0B89048B" w:rsidR="001D6A4B" w:rsidRPr="00191BBD" w:rsidRDefault="00191BBD">
          <w:pPr>
            <w:pStyle w:val="Heading1"/>
            <w:rPr>
              <w:color w:val="auto"/>
            </w:rPr>
          </w:pPr>
          <w:r w:rsidRPr="00191BBD">
            <w:rPr>
              <w:color w:val="auto"/>
            </w:rPr>
            <w:t>Reference</w:t>
          </w:r>
        </w:p>
        <w:sdt>
          <w:sdtPr>
            <w:id w:val="111145805"/>
            <w:bibliography/>
          </w:sdtPr>
          <w:sdtEndPr/>
          <w:sdtContent>
            <w:p w14:paraId="06CB31EA" w14:textId="00EE7394" w:rsidR="001D6A4B" w:rsidRDefault="001D6A4B" w:rsidP="001D6A4B">
              <w:pPr>
                <w:pStyle w:val="Bibliography"/>
                <w:rPr>
                  <w:noProof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Mark, J. J. </w:t>
              </w:r>
              <w:r w:rsidR="000447A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2016</w:t>
              </w:r>
              <w:r w:rsidR="000447A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Ancient History Encyclopedia.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 w:rsidRPr="000447AD">
                <w:rPr>
                  <w:noProof/>
                  <w:lang w:val="en-US"/>
                </w:rPr>
                <w:t>https://www.ancient.eu/Egyptian_Architecture/</w:t>
              </w:r>
              <w:r>
                <w:rPr>
                  <w:noProof/>
                  <w:lang w:val="en-US"/>
                </w:rPr>
                <w:br/>
              </w:r>
              <w:r w:rsidR="000447A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Accessed 16</w:t>
              </w:r>
              <w:r w:rsidR="000447AD" w:rsidRPr="000447AD">
                <w:rPr>
                  <w:noProof/>
                  <w:vertAlign w:val="superscript"/>
                  <w:lang w:val="en-US"/>
                </w:rPr>
                <w:t>th</w:t>
              </w:r>
              <w:r w:rsidR="000447AD">
                <w:rPr>
                  <w:noProof/>
                  <w:lang w:val="en-US"/>
                </w:rPr>
                <w:t xml:space="preserve"> January</w:t>
              </w:r>
              <w:r>
                <w:rPr>
                  <w:noProof/>
                  <w:lang w:val="en-US"/>
                </w:rPr>
                <w:t xml:space="preserve"> 2019</w:t>
              </w:r>
              <w:r w:rsidR="000447A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>.</w:t>
              </w:r>
            </w:p>
            <w:p w14:paraId="3C469648" w14:textId="7377154D" w:rsidR="001D6A4B" w:rsidRDefault="001D6A4B" w:rsidP="000447AD">
              <w:pPr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Trigger, B. G. </w:t>
              </w:r>
              <w:r w:rsidR="000447AD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1995</w:t>
              </w:r>
              <w:r w:rsidR="000447AD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Early Civilizations Ancient Egypt in Context. </w:t>
              </w:r>
              <w:r>
                <w:rPr>
                  <w:noProof/>
                  <w:lang w:val="en-US"/>
                </w:rPr>
                <w:t>first edition ed. Columbia: Columbia University Press.</w:t>
              </w:r>
            </w:p>
            <w:p w14:paraId="7B000B70" w14:textId="77777777" w:rsidR="001D6A4B" w:rsidRDefault="001D6A4B" w:rsidP="001D6A4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BC3CC3C" w14:textId="77777777" w:rsidR="001D6A4B" w:rsidRPr="00006D2A" w:rsidRDefault="001D6A4B" w:rsidP="001D6A4B">
      <w:pPr>
        <w:pStyle w:val="NoSpacing"/>
        <w:rPr>
          <w:sz w:val="24"/>
        </w:rPr>
      </w:pPr>
      <w:bookmarkStart w:id="0" w:name="_GoBack"/>
      <w:bookmarkEnd w:id="0"/>
    </w:p>
    <w:sectPr w:rsidR="001D6A4B" w:rsidRPr="00006D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0EF"/>
    <w:rsid w:val="00006D2A"/>
    <w:rsid w:val="000447AD"/>
    <w:rsid w:val="00057B2F"/>
    <w:rsid w:val="000651F6"/>
    <w:rsid w:val="000B1AA9"/>
    <w:rsid w:val="00130809"/>
    <w:rsid w:val="001406C2"/>
    <w:rsid w:val="00191BBD"/>
    <w:rsid w:val="001C1CD2"/>
    <w:rsid w:val="001D049C"/>
    <w:rsid w:val="001D6A4B"/>
    <w:rsid w:val="00275921"/>
    <w:rsid w:val="00323AA5"/>
    <w:rsid w:val="00427C21"/>
    <w:rsid w:val="005540EF"/>
    <w:rsid w:val="00580CFE"/>
    <w:rsid w:val="00587643"/>
    <w:rsid w:val="005D5DD6"/>
    <w:rsid w:val="00693730"/>
    <w:rsid w:val="007566C4"/>
    <w:rsid w:val="0085179D"/>
    <w:rsid w:val="00930275"/>
    <w:rsid w:val="009D2C46"/>
    <w:rsid w:val="00AB007D"/>
    <w:rsid w:val="00AF516D"/>
    <w:rsid w:val="00B6448C"/>
    <w:rsid w:val="00B7553D"/>
    <w:rsid w:val="00B95031"/>
    <w:rsid w:val="00BC2114"/>
    <w:rsid w:val="00BD1F11"/>
    <w:rsid w:val="00C038D3"/>
    <w:rsid w:val="00C107D4"/>
    <w:rsid w:val="00C86A7A"/>
    <w:rsid w:val="00CE120B"/>
    <w:rsid w:val="00D207C8"/>
    <w:rsid w:val="00D54D2E"/>
    <w:rsid w:val="00D833A2"/>
    <w:rsid w:val="00D94E2A"/>
    <w:rsid w:val="00DF353E"/>
    <w:rsid w:val="00E22441"/>
    <w:rsid w:val="00E90A87"/>
    <w:rsid w:val="00EA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2B06A"/>
  <w15:chartTrackingRefBased/>
  <w15:docId w15:val="{11D3626E-7094-4B90-AE97-217139F55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6A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540E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D6A4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1D6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0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Bru95</b:Tag>
    <b:SourceType>Book</b:SourceType>
    <b:Guid>{3E92B770-9A02-4BD3-B7A3-BA86FA47080F}</b:Guid>
    <b:Title>Early Civilizations Ancient Egypt in Context</b:Title>
    <b:Year>1995</b:Year>
    <b:Author>
      <b:Author>
        <b:NameList>
          <b:Person>
            <b:Last>Trigger</b:Last>
            <b:First>Bruce</b:First>
            <b:Middle>G.</b:Middle>
          </b:Person>
        </b:NameList>
      </b:Author>
    </b:Author>
    <b:City>Columbia </b:City>
    <b:Publisher>Columbia University Press</b:Publisher>
    <b:Edition>first edition </b:Edition>
    <b:RefOrder>1</b:RefOrder>
  </b:Source>
  <b:Source>
    <b:Tag>Jos16</b:Tag>
    <b:SourceType>InternetSite</b:SourceType>
    <b:Guid>{2F7E497E-07B0-4407-8485-E1F71DC4B675}</b:Guid>
    <b:Title>Ancient History Encyclopedia </b:Title>
    <b:Year>2016</b:Year>
    <b:Author>
      <b:Author>
        <b:NameList>
          <b:Person>
            <b:Last>Mark</b:Last>
            <b:First>Joshua</b:First>
            <b:Middle>J.</b:Middle>
          </b:Person>
        </b:NameList>
      </b:Author>
    </b:Author>
    <b:YearAccessed>2019</b:YearAccessed>
    <b:MonthAccessed>01</b:MonthAccessed>
    <b:DayAccessed>16</b:DayAccessed>
    <b:URL>https://www.ancient.eu/Egyptian_Architecture/</b:URL>
    <b:RefOrder>2</b:RefOrder>
  </b:Source>
</b:Sources>
</file>

<file path=customXml/itemProps1.xml><?xml version="1.0" encoding="utf-8"?>
<ds:datastoreItem xmlns:ds="http://schemas.openxmlformats.org/officeDocument/2006/customXml" ds:itemID="{5771A46C-1828-40D1-9718-3950DE2BE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Issie Griffin</dc:creator>
  <cp:keywords/>
  <dc:description/>
  <cp:lastModifiedBy>Issie Griffin</cp:lastModifiedBy>
  <cp:revision>13</cp:revision>
  <dcterms:created xsi:type="dcterms:W3CDTF">2019-01-16T17:32:00Z</dcterms:created>
  <dcterms:modified xsi:type="dcterms:W3CDTF">2019-01-17T12:31:00Z</dcterms:modified>
</cp:coreProperties>
</file>