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5" w14:textId="77777777" w:rsidR="00577BAD" w:rsidRDefault="00577BAD">
      <w:pPr>
        <w:spacing w:before="100" w:beforeAutospacing="1" w:after="100" w:afterAutospacing="1" w:line="360" w:lineRule="auto"/>
        <w:jc w:val="center"/>
        <w:rPr>
          <w:rFonts w:ascii="Arial" w:eastAsia="Times New Roman" w:hAnsi="Arial" w:cs="Arial"/>
          <w:b/>
          <w:bCs/>
          <w:lang w:val="en-IN" w:eastAsia="en-IN" w:bidi="ml-IN"/>
        </w:rPr>
      </w:pPr>
    </w:p>
    <w:p w14:paraId="00000006" w14:textId="77777777" w:rsidR="00577BAD" w:rsidRDefault="00577BAD">
      <w:pPr>
        <w:spacing w:before="100" w:beforeAutospacing="1" w:after="100" w:afterAutospacing="1" w:line="360" w:lineRule="auto"/>
        <w:jc w:val="center"/>
        <w:rPr>
          <w:rFonts w:ascii="Arial" w:eastAsia="Times New Roman" w:hAnsi="Arial" w:cs="Arial"/>
          <w:b/>
          <w:bCs/>
          <w:lang w:val="en-IN" w:eastAsia="en-IN" w:bidi="ml-IN"/>
        </w:rPr>
      </w:pPr>
    </w:p>
    <w:p w14:paraId="00000007" w14:textId="77777777" w:rsidR="00577BAD" w:rsidRDefault="00577BAD">
      <w:pPr>
        <w:rPr>
          <w:lang w:val="en-IN" w:eastAsia="en-IN" w:bidi="ml-IN"/>
        </w:rPr>
      </w:pPr>
    </w:p>
    <w:p w14:paraId="00000008" w14:textId="77777777" w:rsidR="00577BAD" w:rsidRDefault="00577BAD">
      <w:pPr>
        <w:rPr>
          <w:lang w:val="en-IN" w:eastAsia="en-IN" w:bidi="ml-IN"/>
        </w:rPr>
      </w:pPr>
    </w:p>
    <w:p w14:paraId="00000009" w14:textId="77777777" w:rsidR="00577BAD" w:rsidRDefault="00577BAD">
      <w:pPr>
        <w:spacing w:before="100" w:beforeAutospacing="1" w:after="100" w:afterAutospacing="1" w:line="360" w:lineRule="auto"/>
        <w:jc w:val="center"/>
        <w:rPr>
          <w:rFonts w:ascii="Arial" w:eastAsia="Times New Roman" w:hAnsi="Arial" w:cs="Arial"/>
          <w:b/>
          <w:bCs/>
          <w:lang w:val="en-IN" w:eastAsia="en-IN" w:bidi="ml-IN"/>
        </w:rPr>
      </w:pPr>
    </w:p>
    <w:p w14:paraId="0000000A" w14:textId="77777777" w:rsidR="00577BAD" w:rsidRDefault="00577BAD">
      <w:pPr>
        <w:rPr>
          <w:lang w:val="en-IN" w:eastAsia="en-IN" w:bidi="ml-IN"/>
        </w:rPr>
      </w:pPr>
    </w:p>
    <w:p w14:paraId="0000000B" w14:textId="77777777" w:rsidR="00577BAD" w:rsidRDefault="00000000">
      <w:pPr>
        <w:pStyle w:val="NoSpacing"/>
        <w:spacing w:line="360" w:lineRule="auto"/>
        <w:jc w:val="center"/>
        <w:rPr>
          <w:rFonts w:ascii="Arial" w:hAnsi="Arial" w:cs="Arial"/>
          <w:b/>
          <w:bCs/>
          <w:sz w:val="24"/>
          <w:szCs w:val="24"/>
          <w:lang w:val="en-IN" w:eastAsia="en-IN" w:bidi="ml-IN"/>
        </w:rPr>
      </w:pPr>
      <w:r>
        <w:rPr>
          <w:rFonts w:ascii="Arial" w:hAnsi="Arial" w:cs="Arial"/>
          <w:b/>
          <w:bCs/>
          <w:sz w:val="24"/>
          <w:szCs w:val="24"/>
          <w:lang w:val="en-IN" w:eastAsia="en-IN" w:bidi="ml-IN"/>
        </w:rPr>
        <w:t>Person-Centred Care in Practice: Communication, Documentation, and Multi-Professional Working in Post-Stroke Domiciliary Support</w:t>
      </w:r>
    </w:p>
    <w:p w14:paraId="0000000C" w14:textId="77777777" w:rsidR="00577BAD" w:rsidRDefault="00577BAD">
      <w:pPr>
        <w:pStyle w:val="NoSpacing"/>
        <w:spacing w:line="360" w:lineRule="auto"/>
        <w:jc w:val="center"/>
        <w:rPr>
          <w:rFonts w:ascii="Arial" w:hAnsi="Arial" w:cs="Arial"/>
          <w:b/>
          <w:bCs/>
          <w:sz w:val="24"/>
          <w:szCs w:val="24"/>
          <w:lang w:val="en-IN" w:eastAsia="en-IN" w:bidi="ml-IN"/>
        </w:rPr>
      </w:pPr>
    </w:p>
    <w:p w14:paraId="0000000D" w14:textId="77777777" w:rsidR="00577BAD" w:rsidRDefault="00000000">
      <w:pPr>
        <w:pStyle w:val="NoSpacing"/>
        <w:spacing w:line="360" w:lineRule="auto"/>
        <w:jc w:val="center"/>
        <w:rPr>
          <w:rFonts w:ascii="Arial" w:hAnsi="Arial" w:cs="Arial"/>
          <w:b/>
          <w:bCs/>
          <w:sz w:val="24"/>
          <w:szCs w:val="24"/>
          <w:lang w:val="en-IN" w:eastAsia="en-IN" w:bidi="ml-IN"/>
        </w:rPr>
      </w:pPr>
      <w:r>
        <w:rPr>
          <w:rFonts w:ascii="Arial" w:hAnsi="Arial" w:cs="Arial"/>
          <w:b/>
          <w:bCs/>
          <w:sz w:val="24"/>
          <w:szCs w:val="24"/>
          <w:lang w:val="en-IN" w:eastAsia="en-IN" w:bidi="ml-IN"/>
        </w:rPr>
        <w:t xml:space="preserve">Module Code: LCHS4003 </w:t>
      </w:r>
      <w:r>
        <w:rPr>
          <w:rFonts w:ascii="Arial" w:hAnsi="Arial" w:cs="Arial"/>
          <w:b/>
          <w:bCs/>
          <w:sz w:val="24"/>
          <w:szCs w:val="24"/>
          <w:lang w:val="en-IN" w:eastAsia="en-IN" w:bidi="ml-IN"/>
        </w:rPr>
        <w:br/>
        <w:t>Module Name: Introduction to Health and Social Care</w:t>
      </w:r>
    </w:p>
    <w:p w14:paraId="0000000E" w14:textId="77777777" w:rsidR="00577BAD" w:rsidRDefault="00577BAD">
      <w:pPr>
        <w:pStyle w:val="NoSpacing"/>
        <w:spacing w:line="360" w:lineRule="auto"/>
        <w:jc w:val="center"/>
        <w:rPr>
          <w:rFonts w:ascii="Arial" w:hAnsi="Arial" w:cs="Arial"/>
          <w:b/>
          <w:bCs/>
          <w:sz w:val="24"/>
          <w:szCs w:val="24"/>
          <w:lang w:val="en-IN" w:eastAsia="en-IN" w:bidi="ml-IN"/>
        </w:rPr>
      </w:pPr>
    </w:p>
    <w:p w14:paraId="0000000F" w14:textId="77777777" w:rsidR="00577BAD" w:rsidRDefault="00000000">
      <w:pPr>
        <w:pStyle w:val="NoSpacing"/>
        <w:spacing w:line="360" w:lineRule="auto"/>
        <w:jc w:val="center"/>
        <w:rPr>
          <w:rFonts w:ascii="Arial" w:hAnsi="Arial" w:cs="Arial"/>
          <w:b/>
          <w:bCs/>
          <w:sz w:val="24"/>
          <w:szCs w:val="24"/>
          <w:lang w:val="en-IN" w:eastAsia="en-IN" w:bidi="ml-IN"/>
        </w:rPr>
      </w:pPr>
      <w:r>
        <w:rPr>
          <w:rFonts w:ascii="Arial" w:hAnsi="Arial" w:cs="Arial"/>
          <w:b/>
          <w:bCs/>
          <w:sz w:val="24"/>
          <w:szCs w:val="24"/>
          <w:lang w:val="en-IN" w:eastAsia="en-IN" w:bidi="ml-IN"/>
        </w:rPr>
        <w:t>Component 2 – Written Assignment</w:t>
      </w:r>
    </w:p>
    <w:p w14:paraId="00000010" w14:textId="77777777" w:rsidR="00577BAD" w:rsidRDefault="00577BAD">
      <w:pPr>
        <w:pStyle w:val="NoSpacing"/>
        <w:spacing w:line="360" w:lineRule="auto"/>
        <w:jc w:val="center"/>
        <w:rPr>
          <w:rFonts w:ascii="Arial" w:hAnsi="Arial" w:cs="Arial"/>
          <w:b/>
          <w:bCs/>
          <w:sz w:val="24"/>
          <w:szCs w:val="24"/>
          <w:lang w:val="en-IN" w:eastAsia="en-IN" w:bidi="ml-IN"/>
        </w:rPr>
      </w:pPr>
    </w:p>
    <w:p w14:paraId="00000011" w14:textId="77777777" w:rsidR="00577BAD" w:rsidRDefault="00577BAD">
      <w:pPr>
        <w:pStyle w:val="NoSpacing"/>
        <w:spacing w:line="360" w:lineRule="auto"/>
        <w:jc w:val="center"/>
        <w:rPr>
          <w:rFonts w:ascii="Arial" w:hAnsi="Arial" w:cs="Arial"/>
          <w:b/>
          <w:bCs/>
          <w:sz w:val="24"/>
          <w:szCs w:val="24"/>
          <w:lang w:val="en-IN" w:eastAsia="en-IN" w:bidi="ml-IN"/>
        </w:rPr>
      </w:pPr>
    </w:p>
    <w:p w14:paraId="00000012" w14:textId="77777777" w:rsidR="00577BAD" w:rsidRDefault="00577BAD">
      <w:pPr>
        <w:pStyle w:val="NoSpacing"/>
        <w:spacing w:line="360" w:lineRule="auto"/>
        <w:jc w:val="center"/>
        <w:rPr>
          <w:rFonts w:ascii="Arial" w:hAnsi="Arial" w:cs="Arial"/>
          <w:b/>
          <w:bCs/>
          <w:sz w:val="24"/>
          <w:szCs w:val="24"/>
          <w:lang w:val="en-IN" w:eastAsia="en-IN" w:bidi="ml-IN"/>
        </w:rPr>
      </w:pPr>
    </w:p>
    <w:p w14:paraId="00000013" w14:textId="77777777" w:rsidR="00577BAD" w:rsidRDefault="00000000">
      <w:pPr>
        <w:pStyle w:val="NoSpacing"/>
        <w:spacing w:line="360" w:lineRule="auto"/>
        <w:jc w:val="center"/>
        <w:rPr>
          <w:rFonts w:ascii="Arial" w:hAnsi="Arial" w:cs="Arial"/>
          <w:b/>
          <w:bCs/>
          <w:sz w:val="24"/>
          <w:szCs w:val="24"/>
          <w:lang w:val="en-IN" w:eastAsia="en-IN" w:bidi="ml-IN"/>
        </w:rPr>
      </w:pPr>
      <w:r>
        <w:rPr>
          <w:rFonts w:ascii="Arial" w:hAnsi="Arial" w:cs="Arial"/>
          <w:b/>
          <w:bCs/>
          <w:sz w:val="24"/>
          <w:szCs w:val="24"/>
          <w:lang w:val="en-IN" w:eastAsia="en-IN" w:bidi="ml-IN"/>
        </w:rPr>
        <w:t>Student name: Ajibola Moses Owoolapo</w:t>
      </w:r>
      <w:r>
        <w:rPr>
          <w:rFonts w:ascii="Arial" w:hAnsi="Arial" w:cs="Arial"/>
          <w:b/>
          <w:bCs/>
          <w:sz w:val="24"/>
          <w:szCs w:val="24"/>
          <w:lang w:val="en-IN" w:eastAsia="en-IN" w:bidi="ml-IN"/>
        </w:rPr>
        <w:br/>
      </w:r>
      <w:r>
        <w:rPr>
          <w:rFonts w:ascii="Arial" w:hAnsi="Arial" w:cs="Arial"/>
          <w:b/>
          <w:bCs/>
          <w:sz w:val="24"/>
          <w:szCs w:val="24"/>
          <w:lang w:val="en-IN" w:eastAsia="en-IN" w:bidi="ml-IN"/>
        </w:rPr>
        <w:br/>
        <w:t>Lecture name: Muhammed Aliyu</w:t>
      </w:r>
    </w:p>
    <w:p w14:paraId="00000014" w14:textId="77777777" w:rsidR="00577BAD" w:rsidRDefault="00577BAD">
      <w:pPr>
        <w:spacing w:after="0" w:line="360" w:lineRule="auto"/>
        <w:jc w:val="both"/>
        <w:rPr>
          <w:rFonts w:ascii="Arial" w:eastAsia="Times New Roman" w:hAnsi="Arial" w:cs="Arial"/>
          <w:lang w:val="en-IN" w:eastAsia="en-IN" w:bidi="ml-IN"/>
        </w:rPr>
      </w:pPr>
    </w:p>
    <w:p w14:paraId="00000015" w14:textId="77777777" w:rsidR="00577BAD" w:rsidRDefault="00577BAD">
      <w:pPr>
        <w:spacing w:after="0" w:line="360" w:lineRule="auto"/>
        <w:jc w:val="both"/>
        <w:rPr>
          <w:rFonts w:ascii="Arial" w:eastAsia="Times New Roman" w:hAnsi="Arial" w:cs="Arial"/>
          <w:lang w:val="en-IN" w:eastAsia="en-IN" w:bidi="ml-IN"/>
        </w:rPr>
      </w:pPr>
    </w:p>
    <w:p w14:paraId="00000016" w14:textId="77777777" w:rsidR="00577BAD" w:rsidRDefault="00577BAD">
      <w:pPr>
        <w:spacing w:after="0" w:line="360" w:lineRule="auto"/>
        <w:jc w:val="both"/>
        <w:rPr>
          <w:rFonts w:ascii="Arial" w:eastAsia="Times New Roman" w:hAnsi="Arial" w:cs="Arial"/>
          <w:lang w:val="en-IN" w:eastAsia="en-IN" w:bidi="ml-IN"/>
        </w:rPr>
      </w:pPr>
    </w:p>
    <w:p w14:paraId="00000017" w14:textId="77777777" w:rsidR="00577BAD" w:rsidRDefault="00577BAD">
      <w:pPr>
        <w:spacing w:after="0" w:line="360" w:lineRule="auto"/>
        <w:jc w:val="both"/>
        <w:rPr>
          <w:rFonts w:ascii="Arial" w:eastAsia="Times New Roman" w:hAnsi="Arial" w:cs="Arial"/>
          <w:lang w:val="en-IN" w:eastAsia="en-IN" w:bidi="ml-IN"/>
        </w:rPr>
      </w:pPr>
    </w:p>
    <w:p w14:paraId="00000018" w14:textId="77777777" w:rsidR="00577BAD" w:rsidRDefault="00577BAD">
      <w:pPr>
        <w:spacing w:after="0" w:line="360" w:lineRule="auto"/>
        <w:jc w:val="both"/>
        <w:rPr>
          <w:rFonts w:ascii="Arial" w:eastAsia="Times New Roman" w:hAnsi="Arial" w:cs="Arial"/>
          <w:lang w:val="en-IN" w:eastAsia="en-IN" w:bidi="ml-IN"/>
        </w:rPr>
      </w:pPr>
    </w:p>
    <w:p w14:paraId="00000019" w14:textId="77777777" w:rsidR="00577BAD" w:rsidRDefault="00577BAD">
      <w:pPr>
        <w:spacing w:after="0" w:line="360" w:lineRule="auto"/>
        <w:jc w:val="both"/>
        <w:rPr>
          <w:rFonts w:ascii="Arial" w:eastAsia="Times New Roman" w:hAnsi="Arial" w:cs="Arial"/>
          <w:lang w:val="en-IN" w:eastAsia="en-IN" w:bidi="ml-IN"/>
        </w:rPr>
      </w:pPr>
    </w:p>
    <w:p w14:paraId="0000001A" w14:textId="77777777" w:rsidR="00577BAD" w:rsidRDefault="00577BAD">
      <w:pPr>
        <w:spacing w:after="0" w:line="360" w:lineRule="auto"/>
        <w:jc w:val="both"/>
        <w:rPr>
          <w:rFonts w:ascii="Arial" w:eastAsia="Times New Roman" w:hAnsi="Arial" w:cs="Arial"/>
          <w:lang w:val="en-IN" w:eastAsia="en-IN" w:bidi="ml-IN"/>
        </w:rPr>
      </w:pPr>
    </w:p>
    <w:p w14:paraId="0000001B" w14:textId="77777777" w:rsidR="00577BAD" w:rsidRDefault="00577BAD">
      <w:pPr>
        <w:spacing w:after="0" w:line="360" w:lineRule="auto"/>
        <w:jc w:val="both"/>
        <w:rPr>
          <w:rFonts w:ascii="Arial" w:eastAsia="Times New Roman" w:hAnsi="Arial" w:cs="Arial"/>
          <w:lang w:val="en-IN" w:eastAsia="en-IN" w:bidi="ml-IN"/>
        </w:rPr>
      </w:pPr>
    </w:p>
    <w:p w14:paraId="0000001C" w14:textId="77777777" w:rsidR="00577BAD" w:rsidRDefault="00577BAD">
      <w:pPr>
        <w:spacing w:after="0" w:line="360" w:lineRule="auto"/>
        <w:jc w:val="both"/>
        <w:rPr>
          <w:rFonts w:ascii="Arial" w:eastAsia="Times New Roman" w:hAnsi="Arial" w:cs="Arial"/>
          <w:lang w:val="en-IN" w:eastAsia="en-IN" w:bidi="ml-IN"/>
        </w:rPr>
      </w:pPr>
    </w:p>
    <w:p w14:paraId="0000001D" w14:textId="77777777" w:rsidR="00577BAD" w:rsidRDefault="00577BAD">
      <w:pPr>
        <w:spacing w:after="0" w:line="360" w:lineRule="auto"/>
        <w:jc w:val="both"/>
        <w:rPr>
          <w:rFonts w:ascii="Arial" w:eastAsia="Times New Roman" w:hAnsi="Arial" w:cs="Arial"/>
          <w:lang w:val="en-IN" w:eastAsia="en-IN" w:bidi="ml-IN"/>
        </w:rPr>
      </w:pPr>
    </w:p>
    <w:p w14:paraId="0000001E" w14:textId="77777777" w:rsidR="00577BAD" w:rsidRDefault="00577BAD">
      <w:pPr>
        <w:spacing w:after="0" w:line="360" w:lineRule="auto"/>
        <w:jc w:val="both"/>
        <w:rPr>
          <w:rFonts w:ascii="Arial" w:eastAsia="Times New Roman" w:hAnsi="Arial" w:cs="Arial"/>
          <w:lang w:val="en-IN" w:eastAsia="en-IN" w:bidi="ml-IN"/>
        </w:rPr>
      </w:pPr>
    </w:p>
    <w:p w14:paraId="0000001F" w14:textId="77777777" w:rsidR="00577BAD" w:rsidRDefault="00577BAD">
      <w:pPr>
        <w:spacing w:after="0" w:line="360" w:lineRule="auto"/>
        <w:jc w:val="both"/>
        <w:rPr>
          <w:rFonts w:ascii="Arial" w:eastAsia="Times New Roman" w:hAnsi="Arial" w:cs="Arial"/>
          <w:lang w:val="en-IN" w:eastAsia="en-IN" w:bidi="ml-IN"/>
        </w:rPr>
      </w:pPr>
    </w:p>
    <w:p w14:paraId="00000020" w14:textId="77777777" w:rsidR="00577BAD" w:rsidRDefault="00577BAD">
      <w:pPr>
        <w:spacing w:after="0" w:line="360" w:lineRule="auto"/>
        <w:jc w:val="both"/>
        <w:rPr>
          <w:rFonts w:ascii="Arial" w:eastAsia="Times New Roman" w:hAnsi="Arial" w:cs="Arial"/>
          <w:lang w:val="en-IN" w:eastAsia="en-IN" w:bidi="ml-IN"/>
        </w:rPr>
      </w:pPr>
    </w:p>
    <w:p w14:paraId="00000021" w14:textId="77777777" w:rsidR="00577BAD" w:rsidRDefault="00000000">
      <w:pPr>
        <w:pStyle w:val="TOCHeading"/>
        <w:spacing w:line="360" w:lineRule="auto"/>
        <w:jc w:val="center"/>
        <w:rPr>
          <w:rFonts w:ascii="Arial" w:hAnsi="Arial" w:cs="Arial"/>
          <w:b/>
          <w:bCs/>
          <w:color w:val="000000" w:themeColor="text1"/>
          <w:sz w:val="22"/>
          <w:szCs w:val="22"/>
        </w:rPr>
      </w:pPr>
      <w:r>
        <w:rPr>
          <w:rFonts w:ascii="Arial" w:hAnsi="Arial" w:cs="Arial"/>
          <w:b/>
          <w:bCs/>
          <w:color w:val="000000" w:themeColor="text1"/>
          <w:sz w:val="22"/>
          <w:szCs w:val="22"/>
        </w:rPr>
        <w:lastRenderedPageBreak/>
        <w:t>Table of Contents</w:t>
      </w:r>
    </w:p>
    <w:p w14:paraId="00000022" w14:textId="77777777" w:rsidR="00577BAD" w:rsidRDefault="00000000">
      <w:pPr>
        <w:pStyle w:val="TOC1"/>
        <w:tabs>
          <w:tab w:val="right" w:leader="dot" w:pos="9016"/>
        </w:tabs>
        <w:spacing w:line="360" w:lineRule="auto"/>
        <w:rPr>
          <w:rFonts w:eastAsiaTheme="minorEastAsia"/>
          <w:lang w:val="en-IN" w:eastAsia="en-IN" w:bidi="ml-IN"/>
        </w:rPr>
      </w:pPr>
      <w:r>
        <w:rPr>
          <w:rStyle w:val="Hyperlink"/>
          <w:rFonts w:ascii="Arial" w:hAnsi="Arial" w:cs="Arial"/>
          <w:lang w:val="en-IN" w:eastAsia="en-IN"/>
        </w:rPr>
        <w:fldChar w:fldCharType="begin"/>
      </w:r>
      <w:r>
        <w:rPr>
          <w:rStyle w:val="Hyperlink"/>
          <w:rFonts w:ascii="Arial" w:hAnsi="Arial" w:cs="Arial"/>
          <w:lang w:val="en-IN" w:eastAsia="en-IN"/>
        </w:rPr>
        <w:instrText xml:space="preserve"> TOC \o "1-3" \h \z \u </w:instrText>
      </w:r>
      <w:r>
        <w:rPr>
          <w:rStyle w:val="Hyperlink"/>
          <w:rFonts w:ascii="Arial" w:hAnsi="Arial" w:cs="Arial"/>
          <w:lang w:val="en-IN" w:eastAsia="en-IN"/>
        </w:rPr>
        <w:fldChar w:fldCharType="separate"/>
      </w:r>
      <w:hyperlink w:anchor="_Toc227769441" w:history="1">
        <w:r>
          <w:rPr>
            <w:rStyle w:val="Hyperlink"/>
            <w:rFonts w:ascii="Arial" w:hAnsi="Arial" w:cs="Arial"/>
            <w:lang w:val="en-IN" w:eastAsia="en-IN"/>
          </w:rPr>
          <w:t xml:space="preserve">1. </w:t>
        </w:r>
        <w:r>
          <w:rPr>
            <w:rStyle w:val="Hyperlink"/>
            <w:rFonts w:ascii="Arial" w:eastAsia="Times New Roman" w:hAnsi="Arial" w:cs="Arial"/>
            <w:lang w:val="en-IN" w:eastAsia="en-IN"/>
          </w:rPr>
          <w:t>Introduction</w:t>
        </w:r>
        <w:r>
          <w:tab/>
        </w:r>
        <w:r>
          <w:fldChar w:fldCharType="begin"/>
        </w:r>
        <w:r>
          <w:instrText xml:space="preserve"> PAGEREF _Toc227769441 \h </w:instrText>
        </w:r>
        <w:r>
          <w:fldChar w:fldCharType="separate"/>
        </w:r>
        <w:r>
          <w:t>2</w:t>
        </w:r>
        <w:r>
          <w:rPr>
            <w:rFonts w:eastAsiaTheme="minorEastAsia"/>
            <w:lang w:val="en-IN" w:eastAsia="en-IN" w:bidi="ml-IN"/>
          </w:rPr>
          <w:fldChar w:fldCharType="end"/>
        </w:r>
      </w:hyperlink>
    </w:p>
    <w:p w14:paraId="00000023" w14:textId="77777777" w:rsidR="00577BAD" w:rsidRDefault="00000000">
      <w:pPr>
        <w:pStyle w:val="TOC1"/>
        <w:tabs>
          <w:tab w:val="right" w:leader="dot" w:pos="9016"/>
        </w:tabs>
        <w:spacing w:line="360" w:lineRule="auto"/>
        <w:rPr>
          <w:rFonts w:eastAsiaTheme="minorEastAsia"/>
          <w:lang w:val="en-IN" w:eastAsia="en-IN" w:bidi="ml-IN"/>
        </w:rPr>
      </w:pPr>
      <w:hyperlink w:anchor="_Toc227769442" w:history="1">
        <w:r>
          <w:rPr>
            <w:rStyle w:val="Hyperlink"/>
            <w:rFonts w:ascii="Arial" w:eastAsia="Times New Roman" w:hAnsi="Arial" w:cs="Arial"/>
            <w:lang w:val="en-IN" w:eastAsia="en-IN"/>
          </w:rPr>
          <w:t>2.</w:t>
        </w:r>
        <w:r>
          <w:rPr>
            <w:rStyle w:val="Hyperlink"/>
            <w:rFonts w:ascii="Arial" w:hAnsi="Arial" w:cs="Arial"/>
            <w:lang w:val="en-IN" w:eastAsia="en-IN"/>
          </w:rPr>
          <w:t xml:space="preserve"> </w:t>
        </w:r>
        <w:r>
          <w:rPr>
            <w:rStyle w:val="Hyperlink"/>
            <w:rFonts w:ascii="Arial" w:eastAsia="Times New Roman" w:hAnsi="Arial" w:cs="Arial"/>
            <w:lang w:val="en-IN" w:eastAsia="en-IN"/>
          </w:rPr>
          <w:t>Effective Communication and Its Role in Supporting Mr Ahmed</w:t>
        </w:r>
        <w:r>
          <w:tab/>
        </w:r>
        <w:r>
          <w:fldChar w:fldCharType="begin"/>
        </w:r>
        <w:r>
          <w:instrText xml:space="preserve"> PAGEREF _Toc227769442 \h </w:instrText>
        </w:r>
        <w:r>
          <w:fldChar w:fldCharType="separate"/>
        </w:r>
        <w:r>
          <w:t>3</w:t>
        </w:r>
        <w:r>
          <w:rPr>
            <w:rFonts w:eastAsiaTheme="minorEastAsia"/>
            <w:lang w:val="en-IN" w:eastAsia="en-IN" w:bidi="ml-IN"/>
          </w:rPr>
          <w:fldChar w:fldCharType="end"/>
        </w:r>
      </w:hyperlink>
    </w:p>
    <w:p w14:paraId="00000024" w14:textId="77777777" w:rsidR="00577BAD" w:rsidRDefault="00000000">
      <w:pPr>
        <w:pStyle w:val="TOC1"/>
        <w:tabs>
          <w:tab w:val="right" w:leader="dot" w:pos="9016"/>
        </w:tabs>
        <w:spacing w:line="360" w:lineRule="auto"/>
        <w:rPr>
          <w:rFonts w:eastAsiaTheme="minorEastAsia"/>
          <w:lang w:val="en-IN" w:eastAsia="en-IN" w:bidi="ml-IN"/>
        </w:rPr>
      </w:pPr>
      <w:hyperlink w:anchor="_Toc227769443" w:history="1">
        <w:r>
          <w:rPr>
            <w:rStyle w:val="Hyperlink"/>
            <w:rFonts w:ascii="Arial" w:eastAsia="Times New Roman" w:hAnsi="Arial" w:cs="Arial"/>
            <w:lang w:val="en-IN" w:eastAsia="en-IN"/>
          </w:rPr>
          <w:t>3. The Significance of Record Keeping and Administrative Skills in Professional Practice</w:t>
        </w:r>
        <w:r>
          <w:tab/>
        </w:r>
        <w:r>
          <w:fldChar w:fldCharType="begin"/>
        </w:r>
        <w:r>
          <w:instrText xml:space="preserve"> PAGEREF _Toc227769443 \h </w:instrText>
        </w:r>
        <w:r>
          <w:fldChar w:fldCharType="separate"/>
        </w:r>
        <w:r>
          <w:t>5</w:t>
        </w:r>
        <w:r>
          <w:rPr>
            <w:rFonts w:eastAsiaTheme="minorEastAsia"/>
            <w:lang w:val="en-IN" w:eastAsia="en-IN" w:bidi="ml-IN"/>
          </w:rPr>
          <w:fldChar w:fldCharType="end"/>
        </w:r>
      </w:hyperlink>
    </w:p>
    <w:p w14:paraId="00000025" w14:textId="77777777" w:rsidR="00577BAD" w:rsidRDefault="00000000">
      <w:pPr>
        <w:pStyle w:val="TOC1"/>
        <w:tabs>
          <w:tab w:val="right" w:leader="dot" w:pos="9016"/>
        </w:tabs>
        <w:spacing w:line="360" w:lineRule="auto"/>
        <w:rPr>
          <w:rFonts w:eastAsiaTheme="minorEastAsia"/>
          <w:lang w:val="en-IN" w:eastAsia="en-IN" w:bidi="ml-IN"/>
        </w:rPr>
      </w:pPr>
      <w:hyperlink w:anchor="_Toc227769444" w:history="1">
        <w:r>
          <w:rPr>
            <w:rStyle w:val="Hyperlink"/>
            <w:rFonts w:ascii="Arial" w:eastAsia="Times New Roman" w:hAnsi="Arial" w:cs="Arial"/>
            <w:lang w:val="en-IN" w:eastAsia="en-IN"/>
          </w:rPr>
          <w:t>4. The Relevance of Multi-Professional Collaboration in Delivering Mr Ahmed's Care</w:t>
        </w:r>
        <w:r>
          <w:tab/>
        </w:r>
        <w:r>
          <w:fldChar w:fldCharType="begin"/>
        </w:r>
        <w:r>
          <w:instrText xml:space="preserve"> PAGEREF _Toc227769444 \h </w:instrText>
        </w:r>
        <w:r>
          <w:fldChar w:fldCharType="separate"/>
        </w:r>
        <w:r>
          <w:t>6</w:t>
        </w:r>
        <w:r>
          <w:rPr>
            <w:rFonts w:eastAsiaTheme="minorEastAsia"/>
            <w:lang w:val="en-IN" w:eastAsia="en-IN" w:bidi="ml-IN"/>
          </w:rPr>
          <w:fldChar w:fldCharType="end"/>
        </w:r>
      </w:hyperlink>
    </w:p>
    <w:p w14:paraId="00000026" w14:textId="77777777" w:rsidR="00577BAD" w:rsidRDefault="00000000">
      <w:pPr>
        <w:pStyle w:val="TOC1"/>
        <w:tabs>
          <w:tab w:val="right" w:leader="dot" w:pos="9016"/>
        </w:tabs>
        <w:spacing w:line="360" w:lineRule="auto"/>
        <w:rPr>
          <w:rFonts w:eastAsiaTheme="minorEastAsia"/>
          <w:lang w:val="en-IN" w:eastAsia="en-IN" w:bidi="ml-IN"/>
        </w:rPr>
      </w:pPr>
      <w:hyperlink w:anchor="_Toc227769445" w:history="1">
        <w:r>
          <w:rPr>
            <w:rStyle w:val="Hyperlink"/>
            <w:rFonts w:ascii="Arial" w:eastAsia="Times New Roman" w:hAnsi="Arial" w:cs="Arial"/>
            <w:lang w:val="en-IN" w:eastAsia="en-IN"/>
          </w:rPr>
          <w:t>5. Conclusion</w:t>
        </w:r>
        <w:r>
          <w:tab/>
        </w:r>
        <w:r>
          <w:fldChar w:fldCharType="begin"/>
        </w:r>
        <w:r>
          <w:instrText xml:space="preserve"> PAGEREF _Toc227769445 \h </w:instrText>
        </w:r>
        <w:r>
          <w:fldChar w:fldCharType="separate"/>
        </w:r>
        <w:r>
          <w:t>7</w:t>
        </w:r>
        <w:r>
          <w:rPr>
            <w:rFonts w:eastAsiaTheme="minorEastAsia"/>
            <w:lang w:val="en-IN" w:eastAsia="en-IN" w:bidi="ml-IN"/>
          </w:rPr>
          <w:fldChar w:fldCharType="end"/>
        </w:r>
      </w:hyperlink>
    </w:p>
    <w:p w14:paraId="00000027" w14:textId="77777777" w:rsidR="00577BAD" w:rsidRDefault="00000000">
      <w:pPr>
        <w:pStyle w:val="TOC1"/>
        <w:tabs>
          <w:tab w:val="right" w:leader="dot" w:pos="9016"/>
        </w:tabs>
        <w:spacing w:line="360" w:lineRule="auto"/>
        <w:rPr>
          <w:rFonts w:eastAsiaTheme="minorEastAsia"/>
          <w:lang w:val="en-IN" w:eastAsia="en-IN" w:bidi="ml-IN"/>
        </w:rPr>
      </w:pPr>
      <w:hyperlink w:anchor="_Toc227769446" w:history="1">
        <w:r>
          <w:rPr>
            <w:rStyle w:val="Hyperlink"/>
            <w:rFonts w:ascii="Arial" w:eastAsia="Times New Roman" w:hAnsi="Arial" w:cs="Arial"/>
            <w:lang w:val="en-IN" w:eastAsia="en-IN"/>
          </w:rPr>
          <w:t>References</w:t>
        </w:r>
        <w:r>
          <w:tab/>
        </w:r>
        <w:r>
          <w:fldChar w:fldCharType="begin"/>
        </w:r>
        <w:r>
          <w:instrText xml:space="preserve"> PAGEREF _Toc227769446 \h </w:instrText>
        </w:r>
        <w:r>
          <w:fldChar w:fldCharType="separate"/>
        </w:r>
        <w:r>
          <w:t>8</w:t>
        </w:r>
        <w:r>
          <w:rPr>
            <w:rFonts w:eastAsiaTheme="minorEastAsia"/>
            <w:lang w:val="en-IN" w:eastAsia="en-IN" w:bidi="ml-IN"/>
          </w:rPr>
          <w:fldChar w:fldCharType="end"/>
        </w:r>
      </w:hyperlink>
    </w:p>
    <w:p w14:paraId="00000028" w14:textId="77777777" w:rsidR="00577BAD" w:rsidRDefault="00000000">
      <w:pPr>
        <w:spacing w:line="360" w:lineRule="auto"/>
      </w:pPr>
      <w:r>
        <w:fldChar w:fldCharType="end"/>
      </w:r>
    </w:p>
    <w:p w14:paraId="00000029" w14:textId="77777777" w:rsidR="00577BAD" w:rsidRDefault="00577BAD" w:rsidP="00D46B5F">
      <w:pPr>
        <w:spacing w:after="0" w:line="360" w:lineRule="auto"/>
        <w:jc w:val="right"/>
        <w:rPr>
          <w:rFonts w:ascii="Arial" w:eastAsia="Times New Roman" w:hAnsi="Arial" w:cs="Arial"/>
          <w:lang w:val="en-IN" w:eastAsia="en-IN" w:bidi="ml-IN"/>
        </w:rPr>
      </w:pPr>
    </w:p>
    <w:p w14:paraId="0000002A"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2B"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2C"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2D"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2E"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2F"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30"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31"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32"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33"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34"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35"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36" w14:textId="77777777" w:rsidR="00577BAD" w:rsidRDefault="00577BAD">
      <w:pPr>
        <w:spacing w:before="100" w:beforeAutospacing="1" w:after="100" w:afterAutospacing="1" w:line="360" w:lineRule="auto"/>
        <w:jc w:val="both"/>
        <w:rPr>
          <w:rFonts w:ascii="Arial" w:eastAsia="Times New Roman" w:hAnsi="Arial" w:cs="Arial"/>
          <w:lang w:val="en-IN" w:eastAsia="en-IN" w:bidi="ml-IN"/>
        </w:rPr>
      </w:pPr>
    </w:p>
    <w:p w14:paraId="00000037" w14:textId="77777777" w:rsidR="00577BAD" w:rsidRDefault="00000000">
      <w:pPr>
        <w:pStyle w:val="Heading1"/>
        <w:spacing w:line="360" w:lineRule="auto"/>
        <w:rPr>
          <w:rFonts w:ascii="Arial" w:eastAsia="Times New Roman" w:hAnsi="Arial" w:cs="Arial"/>
          <w:b/>
          <w:bCs/>
          <w:color w:val="000000" w:themeColor="text1"/>
          <w:sz w:val="22"/>
          <w:szCs w:val="22"/>
          <w:lang w:val="en-IN" w:eastAsia="en-IN" w:bidi="ml-IN"/>
        </w:rPr>
      </w:pPr>
      <w:bookmarkStart w:id="0" w:name="_Toc227769441"/>
      <w:r>
        <w:rPr>
          <w:rFonts w:ascii="Arial" w:hAnsi="Arial" w:cs="Arial"/>
          <w:b/>
          <w:bCs/>
          <w:color w:val="000000" w:themeColor="text1"/>
          <w:sz w:val="22"/>
          <w:szCs w:val="22"/>
          <w:lang w:val="en-IN" w:eastAsia="en-IN" w:bidi="ml-IN"/>
        </w:rPr>
        <w:lastRenderedPageBreak/>
        <w:t xml:space="preserve">1. </w:t>
      </w:r>
      <w:r>
        <w:rPr>
          <w:rFonts w:ascii="Arial" w:eastAsia="Times New Roman" w:hAnsi="Arial" w:cs="Arial"/>
          <w:b/>
          <w:bCs/>
          <w:color w:val="000000" w:themeColor="text1"/>
          <w:sz w:val="22"/>
          <w:szCs w:val="22"/>
          <w:lang w:val="en-IN" w:eastAsia="en-IN" w:bidi="ml-IN"/>
        </w:rPr>
        <w:t>Introduction</w:t>
      </w:r>
      <w:bookmarkEnd w:id="0"/>
    </w:p>
    <w:p w14:paraId="00000038" w14:textId="77777777" w:rsidR="00577BAD" w:rsidRDefault="00000000">
      <w:pPr>
        <w:pStyle w:val="NoSpacing"/>
        <w:spacing w:line="360" w:lineRule="auto"/>
        <w:jc w:val="both"/>
        <w:rPr>
          <w:rFonts w:ascii="Arial" w:hAnsi="Arial" w:cs="Arial"/>
          <w:lang w:val="en-IN" w:eastAsia="en-IN" w:bidi="ml-IN"/>
        </w:rPr>
      </w:pPr>
      <w:r>
        <w:rPr>
          <w:rFonts w:ascii="Arial" w:hAnsi="Arial" w:cs="Arial"/>
          <w:lang w:val="en-IN" w:eastAsia="en-IN" w:bidi="ml-IN"/>
        </w:rPr>
        <w:t xml:space="preserve">Mr Ahmed is a 68-year-old Bengali-speaking male who has just been discharged following a stroke and is receiving domiciliary care with the assistance of a GP, district nurse and speech and language therapist. His clinical and social history is complicated, as he requires rehabilitation and has language barriers, which contribute to vulnerability. The recent missed home visit that led to the late administration of medication is an example of how communication, documentation, and professional coordination failures may directly be detrimental to service users. This report has used legislation, policy frameworks, and academic literature to explore three interrelated areas that are the focus of his care: effective communication, record-keeping and data protection, and approaches to multi-agency collaboration in health and social care. All the areas will be </w:t>
      </w:r>
      <w:proofErr w:type="spellStart"/>
      <w:r>
        <w:rPr>
          <w:rFonts w:ascii="Arial" w:hAnsi="Arial" w:cs="Arial"/>
          <w:lang w:val="en-IN" w:eastAsia="en-IN" w:bidi="ml-IN"/>
        </w:rPr>
        <w:t>analyzed</w:t>
      </w:r>
      <w:proofErr w:type="spellEnd"/>
      <w:r>
        <w:rPr>
          <w:rFonts w:ascii="Arial" w:hAnsi="Arial" w:cs="Arial"/>
          <w:lang w:val="en-IN" w:eastAsia="en-IN" w:bidi="ml-IN"/>
        </w:rPr>
        <w:t xml:space="preserve"> in terms of the particular situation of Mr Ahmed and the health and social care in general.</w:t>
      </w:r>
    </w:p>
    <w:p w14:paraId="00000039" w14:textId="77777777" w:rsidR="00577BAD" w:rsidRDefault="00577BAD">
      <w:pPr>
        <w:pStyle w:val="NoSpacing"/>
        <w:spacing w:line="360" w:lineRule="auto"/>
        <w:jc w:val="both"/>
        <w:rPr>
          <w:lang w:val="en-IN" w:eastAsia="en-IN" w:bidi="ml-IN"/>
        </w:rPr>
      </w:pPr>
    </w:p>
    <w:p w14:paraId="0000003A" w14:textId="77777777" w:rsidR="00577BAD" w:rsidRDefault="00577BAD">
      <w:pPr>
        <w:pStyle w:val="NoSpacing"/>
        <w:spacing w:line="360" w:lineRule="auto"/>
        <w:jc w:val="both"/>
        <w:rPr>
          <w:lang w:val="en-IN" w:eastAsia="en-IN" w:bidi="ml-IN"/>
        </w:rPr>
      </w:pPr>
    </w:p>
    <w:p w14:paraId="0000003B" w14:textId="77777777" w:rsidR="00577BAD" w:rsidRDefault="00577BAD">
      <w:pPr>
        <w:pStyle w:val="NoSpacing"/>
        <w:spacing w:line="360" w:lineRule="auto"/>
        <w:jc w:val="both"/>
        <w:rPr>
          <w:lang w:val="en-IN" w:eastAsia="en-IN" w:bidi="ml-IN"/>
        </w:rPr>
      </w:pPr>
    </w:p>
    <w:p w14:paraId="0000003C" w14:textId="77777777" w:rsidR="00577BAD" w:rsidRDefault="00577BAD">
      <w:pPr>
        <w:pStyle w:val="NoSpacing"/>
        <w:spacing w:line="360" w:lineRule="auto"/>
        <w:jc w:val="both"/>
        <w:rPr>
          <w:lang w:val="en-IN" w:eastAsia="en-IN" w:bidi="ml-IN"/>
        </w:rPr>
      </w:pPr>
    </w:p>
    <w:p w14:paraId="0000003D" w14:textId="77777777" w:rsidR="00577BAD" w:rsidRDefault="00577BAD">
      <w:pPr>
        <w:pStyle w:val="NoSpacing"/>
        <w:spacing w:line="360" w:lineRule="auto"/>
        <w:jc w:val="both"/>
        <w:rPr>
          <w:lang w:val="en-IN" w:eastAsia="en-IN" w:bidi="ml-IN"/>
        </w:rPr>
      </w:pPr>
    </w:p>
    <w:p w14:paraId="0000003E" w14:textId="77777777" w:rsidR="00577BAD" w:rsidRDefault="00577BAD">
      <w:pPr>
        <w:pStyle w:val="NoSpacing"/>
        <w:spacing w:line="360" w:lineRule="auto"/>
        <w:jc w:val="both"/>
        <w:rPr>
          <w:lang w:val="en-IN" w:eastAsia="en-IN" w:bidi="ml-IN"/>
        </w:rPr>
      </w:pPr>
    </w:p>
    <w:p w14:paraId="0000003F" w14:textId="77777777" w:rsidR="00577BAD" w:rsidRDefault="00577BAD">
      <w:pPr>
        <w:pStyle w:val="NoSpacing"/>
        <w:spacing w:line="360" w:lineRule="auto"/>
        <w:jc w:val="both"/>
        <w:rPr>
          <w:lang w:val="en-IN" w:eastAsia="en-IN" w:bidi="ml-IN"/>
        </w:rPr>
      </w:pPr>
    </w:p>
    <w:p w14:paraId="00000040" w14:textId="77777777" w:rsidR="00577BAD" w:rsidRDefault="00577BAD">
      <w:pPr>
        <w:pStyle w:val="NoSpacing"/>
        <w:spacing w:line="360" w:lineRule="auto"/>
        <w:jc w:val="both"/>
        <w:rPr>
          <w:lang w:val="en-IN" w:eastAsia="en-IN" w:bidi="ml-IN"/>
        </w:rPr>
      </w:pPr>
    </w:p>
    <w:p w14:paraId="00000041" w14:textId="77777777" w:rsidR="00577BAD" w:rsidRDefault="00577BAD">
      <w:pPr>
        <w:pStyle w:val="NoSpacing"/>
        <w:spacing w:line="360" w:lineRule="auto"/>
        <w:jc w:val="both"/>
        <w:rPr>
          <w:lang w:val="en-IN" w:eastAsia="en-IN" w:bidi="ml-IN"/>
        </w:rPr>
      </w:pPr>
    </w:p>
    <w:p w14:paraId="00000042" w14:textId="77777777" w:rsidR="00577BAD" w:rsidRDefault="00577BAD">
      <w:pPr>
        <w:pStyle w:val="NoSpacing"/>
        <w:spacing w:line="360" w:lineRule="auto"/>
        <w:jc w:val="both"/>
        <w:rPr>
          <w:lang w:val="en-IN" w:eastAsia="en-IN" w:bidi="ml-IN"/>
        </w:rPr>
      </w:pPr>
    </w:p>
    <w:p w14:paraId="00000043" w14:textId="77777777" w:rsidR="00577BAD" w:rsidRDefault="00577BAD">
      <w:pPr>
        <w:pStyle w:val="NoSpacing"/>
        <w:spacing w:line="360" w:lineRule="auto"/>
        <w:jc w:val="both"/>
        <w:rPr>
          <w:lang w:val="en-IN" w:eastAsia="en-IN" w:bidi="ml-IN"/>
        </w:rPr>
      </w:pPr>
    </w:p>
    <w:p w14:paraId="00000044" w14:textId="77777777" w:rsidR="00577BAD" w:rsidRDefault="00577BAD">
      <w:pPr>
        <w:pStyle w:val="NoSpacing"/>
        <w:spacing w:line="360" w:lineRule="auto"/>
        <w:jc w:val="both"/>
        <w:rPr>
          <w:lang w:val="en-IN" w:eastAsia="en-IN" w:bidi="ml-IN"/>
        </w:rPr>
      </w:pPr>
    </w:p>
    <w:p w14:paraId="00000045" w14:textId="77777777" w:rsidR="00577BAD" w:rsidRDefault="00577BAD">
      <w:pPr>
        <w:pStyle w:val="NoSpacing"/>
        <w:spacing w:line="360" w:lineRule="auto"/>
        <w:jc w:val="both"/>
        <w:rPr>
          <w:lang w:val="en-IN" w:eastAsia="en-IN" w:bidi="ml-IN"/>
        </w:rPr>
      </w:pPr>
    </w:p>
    <w:p w14:paraId="00000046" w14:textId="77777777" w:rsidR="00577BAD" w:rsidRDefault="00577BAD">
      <w:pPr>
        <w:pStyle w:val="NoSpacing"/>
        <w:spacing w:line="360" w:lineRule="auto"/>
        <w:jc w:val="both"/>
        <w:rPr>
          <w:lang w:val="en-IN" w:eastAsia="en-IN" w:bidi="ml-IN"/>
        </w:rPr>
      </w:pPr>
    </w:p>
    <w:p w14:paraId="00000047" w14:textId="77777777" w:rsidR="00577BAD" w:rsidRDefault="00577BAD">
      <w:pPr>
        <w:pStyle w:val="NoSpacing"/>
        <w:spacing w:line="360" w:lineRule="auto"/>
        <w:jc w:val="both"/>
        <w:rPr>
          <w:lang w:val="en-IN" w:eastAsia="en-IN" w:bidi="ml-IN"/>
        </w:rPr>
      </w:pPr>
    </w:p>
    <w:p w14:paraId="00000048" w14:textId="77777777" w:rsidR="00577BAD" w:rsidRDefault="00577BAD">
      <w:pPr>
        <w:pStyle w:val="NoSpacing"/>
        <w:spacing w:line="360" w:lineRule="auto"/>
        <w:jc w:val="both"/>
        <w:rPr>
          <w:lang w:val="en-IN" w:eastAsia="en-IN" w:bidi="ml-IN"/>
        </w:rPr>
      </w:pPr>
    </w:p>
    <w:p w14:paraId="00000049" w14:textId="77777777" w:rsidR="00577BAD" w:rsidRDefault="00577BAD">
      <w:pPr>
        <w:pStyle w:val="NoSpacing"/>
        <w:spacing w:line="360" w:lineRule="auto"/>
        <w:jc w:val="both"/>
        <w:rPr>
          <w:lang w:val="en-IN" w:eastAsia="en-IN" w:bidi="ml-IN"/>
        </w:rPr>
      </w:pPr>
    </w:p>
    <w:p w14:paraId="0000004A" w14:textId="77777777" w:rsidR="00577BAD" w:rsidRDefault="00577BAD">
      <w:pPr>
        <w:pStyle w:val="NoSpacing"/>
        <w:spacing w:line="360" w:lineRule="auto"/>
        <w:jc w:val="both"/>
        <w:rPr>
          <w:lang w:val="en-IN" w:eastAsia="en-IN" w:bidi="ml-IN"/>
        </w:rPr>
      </w:pPr>
    </w:p>
    <w:p w14:paraId="0000004B" w14:textId="77777777" w:rsidR="00577BAD" w:rsidRDefault="00577BAD">
      <w:pPr>
        <w:pStyle w:val="NoSpacing"/>
        <w:spacing w:line="360" w:lineRule="auto"/>
        <w:jc w:val="both"/>
        <w:rPr>
          <w:lang w:val="en-IN" w:eastAsia="en-IN" w:bidi="ml-IN"/>
        </w:rPr>
      </w:pPr>
    </w:p>
    <w:p w14:paraId="0000004C" w14:textId="77777777" w:rsidR="00577BAD" w:rsidRDefault="00577BAD">
      <w:pPr>
        <w:pStyle w:val="NoSpacing"/>
        <w:spacing w:line="360" w:lineRule="auto"/>
        <w:jc w:val="both"/>
        <w:rPr>
          <w:lang w:val="en-IN" w:eastAsia="en-IN" w:bidi="ml-IN"/>
        </w:rPr>
      </w:pPr>
    </w:p>
    <w:p w14:paraId="0000004D" w14:textId="77777777" w:rsidR="00577BAD" w:rsidRDefault="00577BAD">
      <w:pPr>
        <w:pStyle w:val="NoSpacing"/>
        <w:spacing w:line="360" w:lineRule="auto"/>
        <w:jc w:val="both"/>
        <w:rPr>
          <w:lang w:val="en-IN" w:eastAsia="en-IN" w:bidi="ml-IN"/>
        </w:rPr>
      </w:pPr>
    </w:p>
    <w:p w14:paraId="0000004E" w14:textId="77777777" w:rsidR="00577BAD" w:rsidRDefault="00577BAD">
      <w:pPr>
        <w:pStyle w:val="NoSpacing"/>
        <w:spacing w:line="360" w:lineRule="auto"/>
        <w:jc w:val="both"/>
        <w:rPr>
          <w:lang w:val="en-IN" w:eastAsia="en-IN" w:bidi="ml-IN"/>
        </w:rPr>
      </w:pPr>
    </w:p>
    <w:p w14:paraId="0000004F" w14:textId="77777777" w:rsidR="00577BAD" w:rsidRDefault="00000000">
      <w:pPr>
        <w:pStyle w:val="Heading1"/>
        <w:spacing w:line="360" w:lineRule="auto"/>
        <w:rPr>
          <w:rFonts w:ascii="Arial" w:eastAsia="Times New Roman" w:hAnsi="Arial" w:cs="Arial"/>
          <w:b/>
          <w:bCs/>
          <w:color w:val="000000" w:themeColor="text1"/>
          <w:sz w:val="22"/>
          <w:szCs w:val="22"/>
          <w:lang w:val="en-IN" w:eastAsia="en-IN" w:bidi="ml-IN"/>
        </w:rPr>
      </w:pPr>
      <w:bookmarkStart w:id="1" w:name="_Toc227769442"/>
      <w:r>
        <w:rPr>
          <w:rFonts w:ascii="Arial" w:eastAsia="Times New Roman" w:hAnsi="Arial" w:cs="Arial"/>
          <w:b/>
          <w:bCs/>
          <w:color w:val="000000" w:themeColor="text1"/>
          <w:sz w:val="22"/>
          <w:szCs w:val="22"/>
          <w:lang w:val="en-IN" w:eastAsia="en-IN" w:bidi="ml-IN"/>
        </w:rPr>
        <w:lastRenderedPageBreak/>
        <w:t>2.</w:t>
      </w:r>
      <w:r>
        <w:rPr>
          <w:rFonts w:ascii="Arial" w:hAnsi="Arial" w:cs="Arial"/>
          <w:b/>
          <w:bCs/>
          <w:color w:val="000000" w:themeColor="text1"/>
          <w:sz w:val="22"/>
          <w:szCs w:val="22"/>
          <w:lang w:val="en-IN" w:eastAsia="en-IN" w:bidi="ml-IN"/>
        </w:rPr>
        <w:t xml:space="preserve"> </w:t>
      </w:r>
      <w:r>
        <w:rPr>
          <w:rFonts w:ascii="Arial" w:eastAsia="Times New Roman" w:hAnsi="Arial" w:cs="Arial"/>
          <w:b/>
          <w:bCs/>
          <w:color w:val="000000" w:themeColor="text1"/>
          <w:sz w:val="22"/>
          <w:szCs w:val="22"/>
          <w:lang w:val="en-IN" w:eastAsia="en-IN" w:bidi="ml-IN"/>
        </w:rPr>
        <w:t>Effective Communication and Its Role in Supporting Mr Ahmed</w:t>
      </w:r>
      <w:bookmarkEnd w:id="1"/>
    </w:p>
    <w:p w14:paraId="00000050" w14:textId="77777777" w:rsidR="00577BAD" w:rsidRDefault="00000000">
      <w:pPr>
        <w:pStyle w:val="NoSpacing"/>
        <w:spacing w:line="360" w:lineRule="auto"/>
        <w:jc w:val="both"/>
        <w:rPr>
          <w:rFonts w:ascii="Arial" w:hAnsi="Arial" w:cs="Arial"/>
          <w:lang w:val="en-IN" w:eastAsia="en-IN" w:bidi="ml-IN"/>
        </w:rPr>
      </w:pPr>
      <w:r>
        <w:rPr>
          <w:rFonts w:ascii="Arial" w:hAnsi="Arial" w:cs="Arial"/>
          <w:lang w:val="en-IN" w:eastAsia="en-IN" w:bidi="ml-IN"/>
        </w:rPr>
        <w:t>Safe, person-</w:t>
      </w:r>
      <w:proofErr w:type="spellStart"/>
      <w:r>
        <w:rPr>
          <w:rFonts w:ascii="Arial" w:hAnsi="Arial" w:cs="Arial"/>
          <w:lang w:val="en-IN" w:eastAsia="en-IN" w:bidi="ml-IN"/>
        </w:rPr>
        <w:t>centered</w:t>
      </w:r>
      <w:proofErr w:type="spellEnd"/>
      <w:r>
        <w:rPr>
          <w:rFonts w:ascii="Arial" w:hAnsi="Arial" w:cs="Arial"/>
          <w:lang w:val="en-IN" w:eastAsia="en-IN" w:bidi="ml-IN"/>
        </w:rPr>
        <w:t xml:space="preserve"> health and social care is a foundation of effective communication. It involves the mutual sharing of precise, timely and understandable information among people to support health and well-being (Moss, 2020). Limited English proficiency, use of his wife as an informal interpreter, and post-stroke speech difficulties are all barriers that, when not addressed, can negatively affect the quality of care and patient safety in the case of Mr Ahmed.</w:t>
      </w:r>
    </w:p>
    <w:p w14:paraId="00000051" w14:textId="77777777" w:rsidR="00577BAD" w:rsidRDefault="00577BAD">
      <w:pPr>
        <w:pStyle w:val="NoSpacing"/>
        <w:spacing w:line="360" w:lineRule="auto"/>
        <w:jc w:val="both"/>
        <w:rPr>
          <w:rFonts w:ascii="Arial" w:hAnsi="Arial" w:cs="Arial"/>
          <w:lang w:val="en-IN" w:eastAsia="en-IN" w:bidi="ml-IN"/>
        </w:rPr>
      </w:pPr>
    </w:p>
    <w:p w14:paraId="00000052" w14:textId="77777777" w:rsidR="00577BAD" w:rsidRDefault="00000000">
      <w:pPr>
        <w:pStyle w:val="NoSpacing"/>
        <w:spacing w:line="360" w:lineRule="auto"/>
        <w:jc w:val="both"/>
        <w:rPr>
          <w:rFonts w:ascii="Arial" w:hAnsi="Arial" w:cs="Arial"/>
          <w:lang w:val="en-IN" w:eastAsia="en-IN" w:bidi="ml-IN"/>
        </w:rPr>
      </w:pPr>
      <w:r>
        <w:rPr>
          <w:rFonts w:ascii="Arial" w:hAnsi="Arial" w:cs="Arial"/>
          <w:lang w:val="en-IN" w:eastAsia="en-IN" w:bidi="ml-IN"/>
        </w:rPr>
        <w:t>One of the most popular theoretical frameworks applied in health and social care is the Communication Cycle (1972) by Argyle, which defines communication as a process that is continuous and six stages are involved in it: the idea is created, the message is coded, transmitted, received, decoded and interpreted. Importantly, the model underlines that communication is not a one-way flow of information but the cycle that involves the feedback that must be provided continuously to ensure the understanding (Argyle, 1972). In the case of Mr. Ahmed, practitioners need to not only address what they say but the way the messages are coded and whether Mr. Ahmed and his family have actually decoded and comprehended the information. As an example, a care worker giving instructions on how to take medication verbally in English has a high risk of Mr. Ahmed not decoding the message correctly, as he has a language barrier and has post-stroke communication problems. The cycle requires that the sender request feedback to ensure that they are understood, possibly by using professional interpreting services, written instructions in Bengali or visual aids.</w:t>
      </w:r>
    </w:p>
    <w:p w14:paraId="00000053" w14:textId="77777777" w:rsidR="00577BAD" w:rsidRDefault="00577BAD">
      <w:pPr>
        <w:pStyle w:val="NoSpacing"/>
        <w:spacing w:line="360" w:lineRule="auto"/>
        <w:jc w:val="both"/>
        <w:rPr>
          <w:rFonts w:ascii="Arial" w:hAnsi="Arial" w:cs="Arial"/>
          <w:lang w:val="en-IN" w:eastAsia="en-IN" w:bidi="ml-IN"/>
        </w:rPr>
      </w:pPr>
    </w:p>
    <w:p w14:paraId="00000054" w14:textId="77777777" w:rsidR="00577BAD" w:rsidRDefault="00000000">
      <w:pPr>
        <w:pStyle w:val="NoSpacing"/>
        <w:spacing w:line="360" w:lineRule="auto"/>
        <w:jc w:val="both"/>
        <w:rPr>
          <w:rFonts w:ascii="Arial" w:hAnsi="Arial" w:cs="Arial"/>
          <w:lang w:val="en-IN" w:eastAsia="en-IN" w:bidi="ml-IN"/>
        </w:rPr>
      </w:pPr>
      <w:r>
        <w:rPr>
          <w:rFonts w:ascii="Arial" w:hAnsi="Arial" w:cs="Arial"/>
          <w:lang w:val="en-IN" w:eastAsia="en-IN" w:bidi="ml-IN"/>
        </w:rPr>
        <w:t>This has direct reference to the Equality Act 2010. The Act prohibits the discrimination on nine characteristics that are deemed to be safeguarded such as race and disability and imposes a responsibility on the public bodies to make reasonable changes to remove barriers to service users (Equality Act, 2010). Language is also inseparably connected with race and national origin; therefore, refusing Mr Ahmed the right to be provided with proper health information by failing to arrange proper communication assistance would be indirect discrimination under the Act. More importantly, the Equality Act (2010) places upon the public bodies including NHS trusts and domiciliary care providers the duty to make reasonable adjustments in removing the barriers to persons with the protected characteristics.</w:t>
      </w:r>
      <w:r>
        <w:t xml:space="preserve"> </w:t>
      </w:r>
    </w:p>
    <w:p w14:paraId="00000055" w14:textId="77777777" w:rsidR="00577BAD" w:rsidRDefault="00577BAD">
      <w:pPr>
        <w:pStyle w:val="NoSpacing"/>
        <w:spacing w:line="360" w:lineRule="auto"/>
        <w:jc w:val="both"/>
        <w:rPr>
          <w:rFonts w:ascii="Arial" w:hAnsi="Arial" w:cs="Arial"/>
          <w:lang w:val="en-IN" w:eastAsia="en-IN" w:bidi="ml-IN"/>
        </w:rPr>
      </w:pPr>
    </w:p>
    <w:p w14:paraId="00000056" w14:textId="77777777" w:rsidR="00577BAD" w:rsidRDefault="00000000">
      <w:pPr>
        <w:pStyle w:val="NoSpacing"/>
        <w:spacing w:line="360" w:lineRule="auto"/>
        <w:jc w:val="both"/>
        <w:rPr>
          <w:rFonts w:ascii="Arial" w:hAnsi="Arial" w:cs="Arial"/>
          <w:lang w:val="en-IN" w:eastAsia="en-IN" w:bidi="ml-IN"/>
        </w:rPr>
      </w:pPr>
      <w:r>
        <w:rPr>
          <w:rFonts w:ascii="Arial" w:hAnsi="Arial" w:cs="Arial"/>
          <w:lang w:val="en-IN" w:eastAsia="en-IN" w:bidi="ml-IN"/>
        </w:rPr>
        <w:t>The public sector equality duty also requires organisations to foster equality of opportunity in a positive manner, that is, the care providers are legally obliged to take positive steps towards ensuring meaningful involvement in care decisions. These requirements are both ethical and clinical in nature because research has shown that inadequate communication within care facilities has negative consequences, such as medication errors and decreased patient safety (</w:t>
      </w:r>
      <w:proofErr w:type="spellStart"/>
      <w:r>
        <w:rPr>
          <w:rFonts w:ascii="Arial" w:hAnsi="Arial" w:cs="Arial"/>
          <w:lang w:val="en-IN" w:eastAsia="en-IN" w:bidi="ml-IN"/>
        </w:rPr>
        <w:t>Vermeir</w:t>
      </w:r>
      <w:proofErr w:type="spellEnd"/>
      <w:r>
        <w:rPr>
          <w:rFonts w:ascii="Arial" w:hAnsi="Arial" w:cs="Arial"/>
          <w:lang w:val="en-IN" w:eastAsia="en-IN" w:bidi="ml-IN"/>
        </w:rPr>
        <w:t xml:space="preserve"> et al., 2015).</w:t>
      </w:r>
    </w:p>
    <w:p w14:paraId="00000057" w14:textId="77777777" w:rsidR="00577BAD" w:rsidRDefault="00000000">
      <w:pPr>
        <w:pStyle w:val="Heading1"/>
        <w:spacing w:line="360" w:lineRule="auto"/>
        <w:rPr>
          <w:rFonts w:ascii="Arial" w:eastAsia="Times New Roman" w:hAnsi="Arial" w:cs="Arial"/>
          <w:b/>
          <w:bCs/>
          <w:color w:val="000000" w:themeColor="text1"/>
          <w:sz w:val="22"/>
          <w:szCs w:val="22"/>
          <w:lang w:val="en-IN" w:eastAsia="en-IN" w:bidi="ml-IN"/>
        </w:rPr>
      </w:pPr>
      <w:bookmarkStart w:id="2" w:name="_Toc227769443"/>
      <w:r>
        <w:rPr>
          <w:rFonts w:ascii="Arial" w:eastAsia="Times New Roman" w:hAnsi="Arial" w:cs="Arial"/>
          <w:b/>
          <w:bCs/>
          <w:color w:val="000000" w:themeColor="text1"/>
          <w:sz w:val="22"/>
          <w:szCs w:val="22"/>
          <w:lang w:val="en-IN" w:eastAsia="en-IN" w:bidi="ml-IN"/>
        </w:rPr>
        <w:lastRenderedPageBreak/>
        <w:t>3. The Significance of Record Keeping and Administrative Skills in Professional Practice</w:t>
      </w:r>
      <w:bookmarkEnd w:id="2"/>
    </w:p>
    <w:p w14:paraId="00000058" w14:textId="77777777" w:rsidR="00577BAD" w:rsidRDefault="00000000">
      <w:pPr>
        <w:pStyle w:val="NoSpacing"/>
        <w:spacing w:line="360" w:lineRule="auto"/>
        <w:jc w:val="both"/>
        <w:rPr>
          <w:rFonts w:ascii="Arial" w:hAnsi="Arial" w:cs="Arial"/>
          <w:lang w:val="en-IN" w:eastAsia="en-IN" w:bidi="ml-IN"/>
        </w:rPr>
      </w:pPr>
      <w:r>
        <w:rPr>
          <w:rFonts w:ascii="Arial" w:hAnsi="Arial" w:cs="Arial"/>
          <w:lang w:val="en-IN" w:eastAsia="en-IN" w:bidi="ml-IN"/>
        </w:rPr>
        <w:t>Without timely and proper record keeping, professional health and social care practice is impossible. Records are the primary means through which care is coordinated, planned, reviewed and assessed across agencies. With Mr. Ahmed, where a series of professionals are required to work in different environments, continuity, accountability and safety are ensured through well-maintained records.</w:t>
      </w:r>
    </w:p>
    <w:p w14:paraId="00000059" w14:textId="77777777" w:rsidR="00577BAD" w:rsidRDefault="00577BAD">
      <w:pPr>
        <w:pStyle w:val="NoSpacing"/>
        <w:spacing w:line="360" w:lineRule="auto"/>
        <w:jc w:val="both"/>
        <w:rPr>
          <w:rFonts w:ascii="Arial" w:hAnsi="Arial" w:cs="Arial"/>
          <w:lang w:val="en-IN" w:eastAsia="en-IN" w:bidi="ml-IN"/>
        </w:rPr>
      </w:pPr>
    </w:p>
    <w:p w14:paraId="0000005A" w14:textId="77777777" w:rsidR="00577BAD" w:rsidRDefault="00000000">
      <w:pPr>
        <w:pStyle w:val="NoSpacing"/>
        <w:spacing w:line="360" w:lineRule="auto"/>
        <w:jc w:val="both"/>
        <w:rPr>
          <w:rFonts w:ascii="Arial" w:hAnsi="Arial" w:cs="Arial"/>
          <w:lang w:val="en-IN" w:eastAsia="en-IN" w:bidi="ml-IN"/>
        </w:rPr>
      </w:pPr>
      <w:r>
        <w:rPr>
          <w:rFonts w:ascii="Arial" w:hAnsi="Arial" w:cs="Arial"/>
          <w:lang w:val="en-IN" w:eastAsia="en-IN" w:bidi="ml-IN"/>
        </w:rPr>
        <w:t>Accurate, up to date, clear and securely held health and care records should be in line with the NHS Records Management Code of Practice (NHS England, 2023). These standards indicate the value of a care record that gives a trustworthy record of decisions made and care given on behalf of a service user. In the context of the missed home visit, administrative communication within the multidisciplinary team between the domiciliary care agency and the rest of the team was a direct reason why Mr. Ahmed failed to receive his medication. This would have likely been prevented by stringent documentation and escalation procedures.</w:t>
      </w:r>
    </w:p>
    <w:p w14:paraId="0000005B" w14:textId="77777777" w:rsidR="00577BAD" w:rsidRDefault="00577BAD">
      <w:pPr>
        <w:pStyle w:val="NoSpacing"/>
        <w:spacing w:line="360" w:lineRule="auto"/>
        <w:jc w:val="both"/>
        <w:rPr>
          <w:rFonts w:ascii="Arial" w:hAnsi="Arial" w:cs="Arial"/>
          <w:lang w:val="en-IN" w:eastAsia="en-IN" w:bidi="ml-IN"/>
        </w:rPr>
      </w:pPr>
    </w:p>
    <w:p w14:paraId="0000005C" w14:textId="77777777" w:rsidR="00577BAD" w:rsidRDefault="00000000">
      <w:pPr>
        <w:pStyle w:val="NoSpacing"/>
        <w:spacing w:line="360" w:lineRule="auto"/>
        <w:jc w:val="both"/>
        <w:rPr>
          <w:rFonts w:ascii="Arial" w:hAnsi="Arial" w:cs="Arial"/>
          <w:lang w:val="en-IN" w:eastAsia="en-IN" w:bidi="ml-IN"/>
        </w:rPr>
      </w:pPr>
      <w:r>
        <w:rPr>
          <w:rFonts w:ascii="Arial" w:hAnsi="Arial" w:cs="Arial"/>
          <w:lang w:val="en-IN" w:eastAsia="en-IN" w:bidi="ml-IN"/>
        </w:rPr>
        <w:t xml:space="preserve">The UK Data Protection Act of 2018 (DPA 2018) that operates alongside the UK General Data Protection Regulation (UK GDPR) provides six broad principles of personal data: it is to be processed in a lawful, fair and transparent manner; it should be collected with defined purposes; it should be sufficient and limited to the necessary amount; it should be accurate; it should be kept as long as it is necessary and it should be processed. The health records of Mr. Ahmed are categorized as special category data under Schedule 1 of the DPA 2018 and must be given extra protection. His records should only be accessed and shared by all practitioners when there is a need to do so and only to individuals who have a legitimate clinical reason to access his records. </w:t>
      </w:r>
    </w:p>
    <w:p w14:paraId="0000005D" w14:textId="77777777" w:rsidR="00577BAD" w:rsidRDefault="00577BAD">
      <w:pPr>
        <w:pStyle w:val="NoSpacing"/>
        <w:spacing w:line="360" w:lineRule="auto"/>
        <w:jc w:val="both"/>
        <w:rPr>
          <w:rFonts w:ascii="Arial" w:hAnsi="Arial" w:cs="Arial"/>
          <w:lang w:val="en-IN" w:eastAsia="en-IN" w:bidi="ml-IN"/>
        </w:rPr>
      </w:pPr>
    </w:p>
    <w:p w14:paraId="0000005E" w14:textId="77777777" w:rsidR="00577BAD" w:rsidRDefault="00000000">
      <w:pPr>
        <w:pStyle w:val="NoSpacing"/>
        <w:spacing w:line="360" w:lineRule="auto"/>
        <w:jc w:val="both"/>
        <w:rPr>
          <w:rFonts w:ascii="Arial" w:hAnsi="Arial" w:cs="Arial"/>
          <w:lang w:val="en-IN" w:eastAsia="en-IN" w:bidi="ml-IN"/>
        </w:rPr>
      </w:pPr>
      <w:r>
        <w:rPr>
          <w:rFonts w:ascii="Arial" w:hAnsi="Arial" w:cs="Arial"/>
          <w:lang w:val="en-IN" w:eastAsia="en-IN" w:bidi="ml-IN"/>
        </w:rPr>
        <w:t xml:space="preserve">According to the common law of confidentiality, the information exchanged between Mr Ahmed and his care team should not be disclosed without his permission unless there are situations in which it is required to disclose the information to avoid severe dangers to life (NHS Health Research Authority, 2026). The consent and confidentiality concerns of having Mrs. Ahmed as an interpreter; health information should not be revealed through the family without the express consent of Mr. Ahmed. In addition to the legal needs, the Care Quality Commission (2022) emphasizes that the records must be understandable, precise, up-to-date and dependable to ensure safe care delivery. The missed home visit is a reportable event, and the incident and the investigation after it should be well documented to ensure accountability and to learn so that similar events could be avoided. As pointed out by Prideaux (2011), record </w:t>
      </w:r>
      <w:r>
        <w:rPr>
          <w:rFonts w:ascii="Arial" w:hAnsi="Arial" w:cs="Arial"/>
          <w:lang w:val="en-IN" w:eastAsia="en-IN" w:bidi="ml-IN"/>
        </w:rPr>
        <w:lastRenderedPageBreak/>
        <w:t xml:space="preserve">keeping is a clinical responsibility and a professional obligation and has direct implications to patient safety. </w:t>
      </w:r>
    </w:p>
    <w:p w14:paraId="0000005F" w14:textId="77777777" w:rsidR="00577BAD" w:rsidRDefault="00000000">
      <w:pPr>
        <w:pStyle w:val="Heading1"/>
        <w:spacing w:line="360" w:lineRule="auto"/>
        <w:rPr>
          <w:rFonts w:ascii="Arial" w:eastAsia="Times New Roman" w:hAnsi="Arial" w:cs="Arial"/>
          <w:b/>
          <w:bCs/>
          <w:color w:val="000000" w:themeColor="text1"/>
          <w:sz w:val="22"/>
          <w:szCs w:val="22"/>
          <w:lang w:val="en-IN" w:eastAsia="en-IN" w:bidi="ml-IN"/>
        </w:rPr>
      </w:pPr>
      <w:bookmarkStart w:id="3" w:name="_Toc227769444"/>
      <w:r>
        <w:rPr>
          <w:rFonts w:ascii="Arial" w:eastAsia="Times New Roman" w:hAnsi="Arial" w:cs="Arial"/>
          <w:b/>
          <w:bCs/>
          <w:color w:val="000000" w:themeColor="text1"/>
          <w:sz w:val="22"/>
          <w:szCs w:val="22"/>
          <w:lang w:val="en-IN" w:eastAsia="en-IN" w:bidi="ml-IN"/>
        </w:rPr>
        <w:t>4. The Relevance of Multi-Professional Collaboration in Delivering Mr Ahmed's Care</w:t>
      </w:r>
      <w:bookmarkEnd w:id="3"/>
    </w:p>
    <w:p w14:paraId="00000060" w14:textId="77777777" w:rsidR="00577BAD" w:rsidRDefault="00000000">
      <w:pPr>
        <w:pStyle w:val="NoSpacing"/>
        <w:spacing w:line="360" w:lineRule="auto"/>
        <w:jc w:val="both"/>
        <w:rPr>
          <w:rFonts w:ascii="Arial" w:hAnsi="Arial" w:cs="Arial"/>
          <w:lang w:val="en-IN" w:eastAsia="en-IN" w:bidi="ml-IN"/>
        </w:rPr>
      </w:pPr>
      <w:r>
        <w:rPr>
          <w:rFonts w:ascii="Arial" w:hAnsi="Arial" w:cs="Arial"/>
          <w:lang w:val="en-IN" w:eastAsia="en-IN" w:bidi="ml-IN"/>
        </w:rPr>
        <w:t>Complex needs in people demand actual collaboration on the organisational and professional levels to provide them with holistic care. The multidisciplinary team (MDT) of Mr Ahmed comprises his GP, his district nurse, his domiciliary care workers, and his speech and language therapist who have varied skills to make available to his post-stroke recovery. Fisher et al. (2023) discovered that cross-agency MDT collaboration was a key facilitator of successful stroke rehabilitation, and that in silo working professionals created service users with a disjointed, inconsistent care. These risks are exactly what is reflected in the case of Mr Ahmed.</w:t>
      </w:r>
    </w:p>
    <w:p w14:paraId="00000061" w14:textId="77777777" w:rsidR="00577BAD" w:rsidRDefault="00577BAD">
      <w:pPr>
        <w:pStyle w:val="NoSpacing"/>
        <w:spacing w:line="360" w:lineRule="auto"/>
        <w:jc w:val="both"/>
        <w:rPr>
          <w:rFonts w:ascii="Arial" w:hAnsi="Arial" w:cs="Arial"/>
          <w:lang w:val="en-IN" w:eastAsia="en-IN" w:bidi="ml-IN"/>
        </w:rPr>
      </w:pPr>
    </w:p>
    <w:p w14:paraId="00000062" w14:textId="77777777" w:rsidR="00577BAD" w:rsidRDefault="00000000">
      <w:pPr>
        <w:pStyle w:val="NoSpacing"/>
        <w:spacing w:line="360" w:lineRule="auto"/>
        <w:jc w:val="both"/>
        <w:rPr>
          <w:rFonts w:ascii="Arial" w:hAnsi="Arial" w:cs="Arial"/>
          <w:lang w:val="en-IN" w:eastAsia="en-IN" w:bidi="ml-IN"/>
        </w:rPr>
      </w:pPr>
      <w:r>
        <w:rPr>
          <w:rFonts w:ascii="Arial" w:hAnsi="Arial" w:cs="Arial"/>
          <w:lang w:val="en-IN" w:eastAsia="en-IN" w:bidi="ml-IN"/>
        </w:rPr>
        <w:t>To promote effective collaboration, information exchange could be improved with the assistance of organized communication tools, such as the SBAR (Situation, Background, Assessment, Recommendation) framework that has already shown to be more efficient in the process of information sharing during handovers and multi-professional meetings (Muller et al., 2018). The MDT case conferences, role definition, and shared care planning encourage a common vision of care objectives and assist in recognizing gaps in care delivery. The issues common to multi-agency working are role ambiguity, organisational culture differences, and ineffective information exchange (Liberati et al., 2016). The fact that Mr Ahmed had a domiciliary care agency and NHS professionals complicates the situation further, as in this case the organisations may have varying governance and accountability frameworks. The Health and Care Act (2022) was intended to address structural barriers, by establishing integrated care systems in England, requiring NHS organisations, local authorities and partner organisations to plan and provide care collaboratively. These structures should be used by the practitioners working with Mr Ahmed to make sure that his care is not left in the gaps between organisational structures. Lastly, MDT communication facilitates expertise sharing, which supports the post-stroke language and cultural needs of Mr Ahmed.</w:t>
      </w:r>
    </w:p>
    <w:p w14:paraId="00000063" w14:textId="77777777" w:rsidR="00577BAD" w:rsidRDefault="00577BAD">
      <w:pPr>
        <w:pStyle w:val="NoSpacing"/>
        <w:spacing w:line="360" w:lineRule="auto"/>
        <w:jc w:val="both"/>
        <w:rPr>
          <w:rFonts w:ascii="Arial" w:hAnsi="Arial" w:cs="Arial"/>
          <w:lang w:val="en-IN" w:eastAsia="en-IN" w:bidi="ml-IN"/>
        </w:rPr>
      </w:pPr>
    </w:p>
    <w:p w14:paraId="00000064" w14:textId="77777777" w:rsidR="00577BAD" w:rsidRDefault="00577BAD">
      <w:pPr>
        <w:pStyle w:val="NoSpacing"/>
        <w:spacing w:line="360" w:lineRule="auto"/>
        <w:jc w:val="both"/>
        <w:rPr>
          <w:rFonts w:ascii="Arial" w:hAnsi="Arial" w:cs="Arial"/>
          <w:lang w:val="en-IN" w:eastAsia="en-IN" w:bidi="ml-IN"/>
        </w:rPr>
      </w:pPr>
    </w:p>
    <w:p w14:paraId="00000065" w14:textId="77777777" w:rsidR="00577BAD" w:rsidRDefault="00577BAD">
      <w:pPr>
        <w:pStyle w:val="NoSpacing"/>
        <w:spacing w:line="360" w:lineRule="auto"/>
        <w:jc w:val="both"/>
        <w:rPr>
          <w:rFonts w:ascii="Arial" w:hAnsi="Arial" w:cs="Arial"/>
          <w:lang w:val="en-IN" w:eastAsia="en-IN" w:bidi="ml-IN"/>
        </w:rPr>
      </w:pPr>
    </w:p>
    <w:p w14:paraId="00000066" w14:textId="77777777" w:rsidR="00577BAD" w:rsidRDefault="00577BAD">
      <w:pPr>
        <w:pStyle w:val="NoSpacing"/>
        <w:spacing w:line="360" w:lineRule="auto"/>
        <w:jc w:val="both"/>
        <w:rPr>
          <w:rFonts w:ascii="Arial" w:hAnsi="Arial" w:cs="Arial"/>
          <w:lang w:val="en-IN" w:eastAsia="en-IN" w:bidi="ml-IN"/>
        </w:rPr>
      </w:pPr>
    </w:p>
    <w:p w14:paraId="00000067" w14:textId="77777777" w:rsidR="00577BAD" w:rsidRDefault="00577BAD">
      <w:pPr>
        <w:pStyle w:val="NoSpacing"/>
        <w:spacing w:line="360" w:lineRule="auto"/>
        <w:jc w:val="both"/>
        <w:rPr>
          <w:rFonts w:ascii="Arial" w:hAnsi="Arial" w:cs="Arial"/>
          <w:lang w:val="en-IN" w:eastAsia="en-IN" w:bidi="ml-IN"/>
        </w:rPr>
      </w:pPr>
    </w:p>
    <w:p w14:paraId="00000068" w14:textId="77777777" w:rsidR="00577BAD" w:rsidRDefault="00000000">
      <w:pPr>
        <w:pStyle w:val="Heading1"/>
        <w:spacing w:line="360" w:lineRule="auto"/>
        <w:rPr>
          <w:rFonts w:ascii="Arial" w:eastAsia="Times New Roman" w:hAnsi="Arial" w:cs="Arial"/>
          <w:b/>
          <w:bCs/>
          <w:color w:val="000000" w:themeColor="text1"/>
          <w:sz w:val="22"/>
          <w:szCs w:val="22"/>
          <w:lang w:val="en-IN" w:eastAsia="en-IN" w:bidi="ml-IN"/>
        </w:rPr>
      </w:pPr>
      <w:bookmarkStart w:id="4" w:name="_Toc227769445"/>
      <w:r>
        <w:rPr>
          <w:rFonts w:ascii="Arial" w:eastAsia="Times New Roman" w:hAnsi="Arial" w:cs="Arial"/>
          <w:b/>
          <w:bCs/>
          <w:color w:val="000000" w:themeColor="text1"/>
          <w:sz w:val="22"/>
          <w:szCs w:val="22"/>
          <w:lang w:val="en-IN" w:eastAsia="en-IN" w:bidi="ml-IN"/>
        </w:rPr>
        <w:lastRenderedPageBreak/>
        <w:t>5. Conclusion</w:t>
      </w:r>
      <w:bookmarkEnd w:id="4"/>
    </w:p>
    <w:p w14:paraId="00000069" w14:textId="77777777" w:rsidR="00577BAD" w:rsidRDefault="00000000">
      <w:pPr>
        <w:pStyle w:val="NoSpacing"/>
        <w:spacing w:line="360" w:lineRule="auto"/>
        <w:jc w:val="both"/>
        <w:rPr>
          <w:rFonts w:ascii="Arial" w:hAnsi="Arial" w:cs="Arial"/>
          <w:lang w:val="en-IN" w:eastAsia="en-IN" w:bidi="ml-IN"/>
        </w:rPr>
      </w:pPr>
      <w:r>
        <w:rPr>
          <w:rFonts w:ascii="Arial" w:hAnsi="Arial" w:cs="Arial"/>
          <w:lang w:val="en-IN" w:eastAsia="en-IN" w:bidi="ml-IN"/>
        </w:rPr>
        <w:t>The case of Mr Ahmed reveals that communication, documentation, and collaborative working are complementary factors that are critical to safe, person-centred care. The results of such a failure on the part of any of these, as the missed home visit shows, can be drastic when it comes to vulnerable individuals. The Equality Act 2010 requires practitioners to use the Act to make sure that there is a real access to communication and indirect discrimination is avoided. Accuracy, transparency, and security are required of all information handling in the Data Protection Act 2018 and the NHS Records Management Code of Practice 2023. The Health and Care Act (2022) requires compliance by the agencies with integrated care frameworks thus limiting fragmentation in delivery. Adherence to the legislation, however, should be provided with the cultural awareness, professional responsibility, and a long-lasting adherence to the dignity and safety of the person.</w:t>
      </w:r>
    </w:p>
    <w:p w14:paraId="0000006A" w14:textId="77777777" w:rsidR="00577BAD" w:rsidRDefault="00577BAD">
      <w:pPr>
        <w:pStyle w:val="NoSpacing"/>
        <w:spacing w:line="360" w:lineRule="auto"/>
        <w:jc w:val="both"/>
        <w:rPr>
          <w:lang w:val="en-IN" w:eastAsia="en-IN" w:bidi="ml-IN"/>
        </w:rPr>
      </w:pPr>
    </w:p>
    <w:p w14:paraId="0000006B" w14:textId="77777777" w:rsidR="00577BAD" w:rsidRDefault="00577BAD">
      <w:pPr>
        <w:pStyle w:val="NoSpacing"/>
        <w:spacing w:line="360" w:lineRule="auto"/>
        <w:jc w:val="both"/>
        <w:rPr>
          <w:lang w:val="en-IN" w:eastAsia="en-IN" w:bidi="ml-IN"/>
        </w:rPr>
      </w:pPr>
    </w:p>
    <w:p w14:paraId="0000006C" w14:textId="77777777" w:rsidR="00577BAD" w:rsidRDefault="00577BAD">
      <w:pPr>
        <w:pStyle w:val="NoSpacing"/>
        <w:spacing w:line="360" w:lineRule="auto"/>
        <w:jc w:val="both"/>
        <w:rPr>
          <w:lang w:val="en-IN" w:eastAsia="en-IN" w:bidi="ml-IN"/>
        </w:rPr>
      </w:pPr>
    </w:p>
    <w:p w14:paraId="0000006D" w14:textId="77777777" w:rsidR="00577BAD" w:rsidRDefault="00577BAD">
      <w:pPr>
        <w:pStyle w:val="NoSpacing"/>
        <w:spacing w:line="360" w:lineRule="auto"/>
        <w:jc w:val="both"/>
        <w:rPr>
          <w:lang w:val="en-IN" w:eastAsia="en-IN" w:bidi="ml-IN"/>
        </w:rPr>
      </w:pPr>
    </w:p>
    <w:p w14:paraId="0000006E" w14:textId="77777777" w:rsidR="00577BAD" w:rsidRDefault="00577BAD">
      <w:pPr>
        <w:pStyle w:val="NoSpacing"/>
        <w:spacing w:line="360" w:lineRule="auto"/>
        <w:jc w:val="both"/>
        <w:rPr>
          <w:lang w:val="en-IN" w:eastAsia="en-IN" w:bidi="ml-IN"/>
        </w:rPr>
      </w:pPr>
    </w:p>
    <w:p w14:paraId="0000006F" w14:textId="77777777" w:rsidR="00577BAD" w:rsidRDefault="00577BAD">
      <w:pPr>
        <w:pStyle w:val="NoSpacing"/>
        <w:spacing w:line="360" w:lineRule="auto"/>
        <w:jc w:val="both"/>
        <w:rPr>
          <w:lang w:val="en-IN" w:eastAsia="en-IN" w:bidi="ml-IN"/>
        </w:rPr>
      </w:pPr>
    </w:p>
    <w:p w14:paraId="00000070" w14:textId="77777777" w:rsidR="00577BAD" w:rsidRDefault="00577BAD">
      <w:pPr>
        <w:pStyle w:val="NoSpacing"/>
        <w:spacing w:line="360" w:lineRule="auto"/>
        <w:jc w:val="both"/>
        <w:rPr>
          <w:lang w:val="en-IN" w:eastAsia="en-IN" w:bidi="ml-IN"/>
        </w:rPr>
      </w:pPr>
    </w:p>
    <w:p w14:paraId="00000071" w14:textId="77777777" w:rsidR="00577BAD" w:rsidRDefault="00577BAD">
      <w:pPr>
        <w:pStyle w:val="NoSpacing"/>
        <w:spacing w:line="360" w:lineRule="auto"/>
        <w:jc w:val="both"/>
        <w:rPr>
          <w:lang w:val="en-IN" w:eastAsia="en-IN" w:bidi="ml-IN"/>
        </w:rPr>
      </w:pPr>
    </w:p>
    <w:p w14:paraId="00000072" w14:textId="77777777" w:rsidR="00577BAD" w:rsidRDefault="00577BAD">
      <w:pPr>
        <w:pStyle w:val="NoSpacing"/>
        <w:spacing w:line="360" w:lineRule="auto"/>
        <w:jc w:val="both"/>
        <w:rPr>
          <w:lang w:val="en-IN" w:eastAsia="en-IN" w:bidi="ml-IN"/>
        </w:rPr>
      </w:pPr>
    </w:p>
    <w:p w14:paraId="00000073" w14:textId="77777777" w:rsidR="00577BAD" w:rsidRDefault="00577BAD">
      <w:pPr>
        <w:pStyle w:val="NoSpacing"/>
        <w:spacing w:line="360" w:lineRule="auto"/>
        <w:jc w:val="both"/>
        <w:rPr>
          <w:lang w:val="en-IN" w:eastAsia="en-IN" w:bidi="ml-IN"/>
        </w:rPr>
      </w:pPr>
    </w:p>
    <w:p w14:paraId="00000074" w14:textId="77777777" w:rsidR="00577BAD" w:rsidRDefault="00577BAD">
      <w:pPr>
        <w:pStyle w:val="NoSpacing"/>
        <w:spacing w:line="360" w:lineRule="auto"/>
        <w:jc w:val="both"/>
        <w:rPr>
          <w:lang w:val="en-IN" w:eastAsia="en-IN" w:bidi="ml-IN"/>
        </w:rPr>
      </w:pPr>
    </w:p>
    <w:p w14:paraId="00000075" w14:textId="77777777" w:rsidR="00577BAD" w:rsidRDefault="00577BAD">
      <w:pPr>
        <w:pStyle w:val="NoSpacing"/>
        <w:spacing w:line="360" w:lineRule="auto"/>
        <w:jc w:val="both"/>
        <w:rPr>
          <w:lang w:val="en-IN" w:eastAsia="en-IN" w:bidi="ml-IN"/>
        </w:rPr>
      </w:pPr>
    </w:p>
    <w:p w14:paraId="00000076" w14:textId="77777777" w:rsidR="00577BAD" w:rsidRDefault="00577BAD">
      <w:pPr>
        <w:pStyle w:val="NoSpacing"/>
        <w:spacing w:line="360" w:lineRule="auto"/>
        <w:jc w:val="both"/>
        <w:rPr>
          <w:lang w:val="en-IN" w:eastAsia="en-IN" w:bidi="ml-IN"/>
        </w:rPr>
      </w:pPr>
    </w:p>
    <w:p w14:paraId="00000077" w14:textId="77777777" w:rsidR="00577BAD" w:rsidRDefault="00577BAD">
      <w:pPr>
        <w:pStyle w:val="NoSpacing"/>
        <w:spacing w:line="360" w:lineRule="auto"/>
        <w:jc w:val="both"/>
        <w:rPr>
          <w:lang w:val="en-IN" w:eastAsia="en-IN" w:bidi="ml-IN"/>
        </w:rPr>
      </w:pPr>
    </w:p>
    <w:p w14:paraId="00000078" w14:textId="77777777" w:rsidR="00577BAD" w:rsidRDefault="00577BAD">
      <w:pPr>
        <w:pStyle w:val="NoSpacing"/>
        <w:spacing w:line="360" w:lineRule="auto"/>
        <w:jc w:val="both"/>
        <w:rPr>
          <w:lang w:val="en-IN" w:eastAsia="en-IN" w:bidi="ml-IN"/>
        </w:rPr>
      </w:pPr>
    </w:p>
    <w:p w14:paraId="00000079" w14:textId="77777777" w:rsidR="00577BAD" w:rsidRDefault="00577BAD">
      <w:pPr>
        <w:pStyle w:val="NoSpacing"/>
        <w:spacing w:line="360" w:lineRule="auto"/>
        <w:jc w:val="both"/>
        <w:rPr>
          <w:lang w:val="en-IN" w:eastAsia="en-IN" w:bidi="ml-IN"/>
        </w:rPr>
      </w:pPr>
    </w:p>
    <w:p w14:paraId="0000007A" w14:textId="77777777" w:rsidR="00577BAD" w:rsidRDefault="00577BAD">
      <w:pPr>
        <w:pStyle w:val="NoSpacing"/>
        <w:spacing w:line="360" w:lineRule="auto"/>
        <w:jc w:val="both"/>
        <w:rPr>
          <w:lang w:val="en-IN" w:eastAsia="en-IN" w:bidi="ml-IN"/>
        </w:rPr>
      </w:pPr>
    </w:p>
    <w:p w14:paraId="0000007B" w14:textId="77777777" w:rsidR="00577BAD" w:rsidRDefault="00577BAD">
      <w:pPr>
        <w:pStyle w:val="NoSpacing"/>
        <w:spacing w:line="360" w:lineRule="auto"/>
        <w:jc w:val="both"/>
        <w:rPr>
          <w:lang w:val="en-IN" w:eastAsia="en-IN" w:bidi="ml-IN"/>
        </w:rPr>
      </w:pPr>
    </w:p>
    <w:p w14:paraId="0000007C" w14:textId="77777777" w:rsidR="00577BAD" w:rsidRDefault="00577BAD">
      <w:pPr>
        <w:pStyle w:val="NoSpacing"/>
        <w:spacing w:line="360" w:lineRule="auto"/>
        <w:jc w:val="both"/>
        <w:rPr>
          <w:lang w:val="en-IN" w:eastAsia="en-IN" w:bidi="ml-IN"/>
        </w:rPr>
      </w:pPr>
    </w:p>
    <w:p w14:paraId="0000007D" w14:textId="77777777" w:rsidR="00577BAD" w:rsidRDefault="00577BAD">
      <w:pPr>
        <w:pStyle w:val="NoSpacing"/>
        <w:spacing w:line="360" w:lineRule="auto"/>
        <w:jc w:val="both"/>
        <w:rPr>
          <w:lang w:val="en-IN" w:eastAsia="en-IN" w:bidi="ml-IN"/>
        </w:rPr>
      </w:pPr>
    </w:p>
    <w:p w14:paraId="0000007E" w14:textId="77777777" w:rsidR="00577BAD" w:rsidRDefault="00577BAD">
      <w:pPr>
        <w:pStyle w:val="NoSpacing"/>
        <w:spacing w:line="360" w:lineRule="auto"/>
        <w:jc w:val="both"/>
        <w:rPr>
          <w:lang w:val="en-IN" w:eastAsia="en-IN" w:bidi="ml-IN"/>
        </w:rPr>
      </w:pPr>
    </w:p>
    <w:p w14:paraId="0000007F" w14:textId="77777777" w:rsidR="00577BAD" w:rsidRDefault="00577BAD">
      <w:pPr>
        <w:pStyle w:val="NoSpacing"/>
        <w:spacing w:line="360" w:lineRule="auto"/>
        <w:jc w:val="both"/>
        <w:rPr>
          <w:lang w:val="en-IN" w:eastAsia="en-IN" w:bidi="ml-IN"/>
        </w:rPr>
      </w:pPr>
    </w:p>
    <w:p w14:paraId="00000080" w14:textId="77777777" w:rsidR="00577BAD" w:rsidRDefault="00577BAD">
      <w:pPr>
        <w:pStyle w:val="NoSpacing"/>
        <w:spacing w:line="360" w:lineRule="auto"/>
        <w:jc w:val="both"/>
        <w:rPr>
          <w:lang w:val="en-IN" w:eastAsia="en-IN" w:bidi="ml-IN"/>
        </w:rPr>
      </w:pPr>
    </w:p>
    <w:p w14:paraId="00000081" w14:textId="77777777" w:rsidR="00577BAD" w:rsidRDefault="00000000">
      <w:pPr>
        <w:pStyle w:val="Heading1"/>
        <w:spacing w:line="360" w:lineRule="auto"/>
        <w:rPr>
          <w:rFonts w:ascii="Arial" w:eastAsia="Times New Roman" w:hAnsi="Arial" w:cs="Arial"/>
          <w:b/>
          <w:bCs/>
          <w:color w:val="000000" w:themeColor="text1"/>
          <w:sz w:val="22"/>
          <w:szCs w:val="22"/>
          <w:lang w:val="en-IN" w:eastAsia="en-IN" w:bidi="ml-IN"/>
        </w:rPr>
      </w:pPr>
      <w:bookmarkStart w:id="5" w:name="_Toc227769446"/>
      <w:r>
        <w:rPr>
          <w:rFonts w:ascii="Arial" w:eastAsia="Times New Roman" w:hAnsi="Arial" w:cs="Arial"/>
          <w:b/>
          <w:bCs/>
          <w:color w:val="000000" w:themeColor="text1"/>
          <w:sz w:val="22"/>
          <w:szCs w:val="22"/>
          <w:lang w:val="en-IN" w:eastAsia="en-IN" w:bidi="ml-IN"/>
        </w:rPr>
        <w:lastRenderedPageBreak/>
        <w:t>References</w:t>
      </w:r>
      <w:bookmarkEnd w:id="5"/>
    </w:p>
    <w:p w14:paraId="00000082" w14:textId="77777777" w:rsidR="00577BAD" w:rsidRDefault="00000000">
      <w:pPr>
        <w:pStyle w:val="NoSpacing"/>
        <w:numPr>
          <w:ilvl w:val="0"/>
          <w:numId w:val="2"/>
        </w:numPr>
        <w:spacing w:line="360" w:lineRule="auto"/>
      </w:pPr>
      <w:r>
        <w:rPr>
          <w:rFonts w:ascii="Arial" w:hAnsi="Arial" w:cs="Arial"/>
        </w:rPr>
        <w:t xml:space="preserve">Argyle, M. (1972) </w:t>
      </w:r>
      <w:r>
        <w:rPr>
          <w:rStyle w:val="Emphasis"/>
          <w:rFonts w:ascii="Arial" w:hAnsi="Arial" w:cs="Arial"/>
        </w:rPr>
        <w:t>The psychology of interpersonal behaviour</w:t>
      </w:r>
      <w:r>
        <w:rPr>
          <w:rFonts w:ascii="Arial" w:hAnsi="Arial" w:cs="Arial"/>
        </w:rPr>
        <w:t xml:space="preserve">. 2nd </w:t>
      </w:r>
      <w:proofErr w:type="spellStart"/>
      <w:r>
        <w:rPr>
          <w:rFonts w:ascii="Arial" w:hAnsi="Arial" w:cs="Arial"/>
        </w:rPr>
        <w:t>edn</w:t>
      </w:r>
      <w:proofErr w:type="spellEnd"/>
      <w:r>
        <w:rPr>
          <w:rFonts w:ascii="Arial" w:hAnsi="Arial" w:cs="Arial"/>
        </w:rPr>
        <w:t>. Penguin Books.</w:t>
      </w:r>
    </w:p>
    <w:p w14:paraId="00000083" w14:textId="77777777" w:rsidR="00577BAD" w:rsidRDefault="00000000">
      <w:pPr>
        <w:pStyle w:val="Font-claude-response-body"/>
        <w:numPr>
          <w:ilvl w:val="0"/>
          <w:numId w:val="2"/>
        </w:numPr>
        <w:spacing w:beforeAutospacing="0" w:afterAutospacing="0" w:line="360" w:lineRule="auto"/>
        <w:jc w:val="both"/>
      </w:pPr>
      <w:r>
        <w:rPr>
          <w:rFonts w:ascii="Arial" w:hAnsi="Arial" w:cs="Arial"/>
          <w:sz w:val="22"/>
          <w:szCs w:val="22"/>
          <w:lang w:val="en-GB"/>
        </w:rPr>
        <w:t xml:space="preserve">Care Quality Commission (2022) </w:t>
      </w:r>
      <w:r>
        <w:rPr>
          <w:rFonts w:ascii="Arial" w:hAnsi="Arial" w:cs="Arial"/>
          <w:i/>
          <w:iCs/>
          <w:sz w:val="22"/>
          <w:szCs w:val="22"/>
          <w:lang w:val="en-GB"/>
        </w:rPr>
        <w:t>Regulation 17: Good governance</w:t>
      </w:r>
      <w:r>
        <w:rPr>
          <w:rFonts w:ascii="Arial" w:hAnsi="Arial" w:cs="Arial"/>
          <w:sz w:val="22"/>
          <w:szCs w:val="22"/>
          <w:lang w:val="en-GB"/>
        </w:rPr>
        <w:t xml:space="preserve">. Available at: </w:t>
      </w:r>
      <w:hyperlink r:id="rId8" w:history="1">
        <w:r>
          <w:rPr>
            <w:rStyle w:val="Hyperlink"/>
            <w:rFonts w:ascii="Arial" w:hAnsi="Arial" w:cs="Arial"/>
            <w:sz w:val="22"/>
            <w:szCs w:val="22"/>
            <w:lang w:val="en-GB"/>
          </w:rPr>
          <w:t>https://www.cqc.org.uk/guidance-providers/regulations/regulation-17-good-governance</w:t>
        </w:r>
      </w:hyperlink>
      <w:r>
        <w:rPr>
          <w:rFonts w:ascii="Arial" w:hAnsi="Arial" w:cs="Arial"/>
          <w:sz w:val="22"/>
          <w:szCs w:val="22"/>
          <w:lang w:val="en-GB"/>
        </w:rPr>
        <w:t xml:space="preserve"> (Accessed: 22 April 2026).</w:t>
      </w:r>
    </w:p>
    <w:p w14:paraId="00000084" w14:textId="77777777" w:rsidR="00577BAD" w:rsidRDefault="00000000">
      <w:pPr>
        <w:pStyle w:val="Font-claude-response-body"/>
        <w:numPr>
          <w:ilvl w:val="0"/>
          <w:numId w:val="2"/>
        </w:numPr>
        <w:spacing w:beforeAutospacing="0" w:afterAutospacing="0" w:line="360" w:lineRule="auto"/>
        <w:jc w:val="both"/>
        <w:rPr>
          <w:rFonts w:ascii="Arial" w:hAnsi="Arial" w:cs="Arial"/>
          <w:sz w:val="22"/>
          <w:szCs w:val="22"/>
        </w:rPr>
      </w:pPr>
      <w:r>
        <w:rPr>
          <w:rStyle w:val="Emphasis"/>
          <w:rFonts w:ascii="Arial" w:hAnsi="Arial" w:cs="Arial"/>
          <w:sz w:val="22"/>
          <w:szCs w:val="22"/>
        </w:rPr>
        <w:t>Data Protection Act (DPA)</w:t>
      </w:r>
      <w:r>
        <w:rPr>
          <w:rFonts w:ascii="Arial" w:hAnsi="Arial" w:cs="Arial"/>
          <w:sz w:val="22"/>
          <w:szCs w:val="22"/>
        </w:rPr>
        <w:t xml:space="preserve"> 2018, c. 12. Available at: </w:t>
      </w:r>
      <w:hyperlink r:id="rId9" w:history="1">
        <w:r>
          <w:rPr>
            <w:rStyle w:val="Hyperlink"/>
            <w:rFonts w:ascii="Arial" w:hAnsi="Arial" w:cs="Arial"/>
            <w:sz w:val="22"/>
            <w:szCs w:val="22"/>
          </w:rPr>
          <w:t>https://www.legislation.gov.uk/ukpga/2018/12/contents</w:t>
        </w:r>
      </w:hyperlink>
      <w:r>
        <w:rPr>
          <w:rFonts w:ascii="Arial" w:hAnsi="Arial" w:cs="Arial"/>
          <w:sz w:val="22"/>
          <w:szCs w:val="22"/>
        </w:rPr>
        <w:t xml:space="preserve"> (Accessed: 22 April 2026).</w:t>
      </w:r>
    </w:p>
    <w:p w14:paraId="00000085" w14:textId="77777777" w:rsidR="00577BAD" w:rsidRDefault="00000000">
      <w:pPr>
        <w:pStyle w:val="Font-claude-response-body"/>
        <w:numPr>
          <w:ilvl w:val="0"/>
          <w:numId w:val="2"/>
        </w:numPr>
        <w:spacing w:beforeAutospacing="0" w:afterAutospacing="0" w:line="360" w:lineRule="auto"/>
        <w:jc w:val="both"/>
        <w:rPr>
          <w:rFonts w:ascii="Arial" w:hAnsi="Arial" w:cs="Arial"/>
          <w:sz w:val="22"/>
          <w:szCs w:val="22"/>
        </w:rPr>
      </w:pPr>
      <w:r>
        <w:rPr>
          <w:rStyle w:val="Emphasis"/>
          <w:rFonts w:ascii="Arial" w:hAnsi="Arial" w:cs="Arial"/>
          <w:sz w:val="22"/>
          <w:szCs w:val="22"/>
        </w:rPr>
        <w:t>Equality Act</w:t>
      </w:r>
      <w:r>
        <w:rPr>
          <w:rFonts w:ascii="Arial" w:hAnsi="Arial" w:cs="Arial"/>
          <w:sz w:val="22"/>
          <w:szCs w:val="22"/>
        </w:rPr>
        <w:t xml:space="preserve"> 2010, c. 15. Available at: </w:t>
      </w:r>
      <w:hyperlink r:id="rId10" w:history="1">
        <w:r>
          <w:rPr>
            <w:rStyle w:val="Hyperlink"/>
            <w:rFonts w:ascii="Arial" w:hAnsi="Arial" w:cs="Arial"/>
            <w:sz w:val="22"/>
            <w:szCs w:val="22"/>
          </w:rPr>
          <w:t>https://www.legislation.gov.uk/ukpga/2010/15/contents</w:t>
        </w:r>
      </w:hyperlink>
      <w:r>
        <w:rPr>
          <w:rFonts w:ascii="Arial" w:hAnsi="Arial" w:cs="Arial"/>
          <w:sz w:val="22"/>
          <w:szCs w:val="22"/>
        </w:rPr>
        <w:t xml:space="preserve"> (Accessed: 22 April 2026).</w:t>
      </w:r>
    </w:p>
    <w:p w14:paraId="00000086" w14:textId="77777777" w:rsidR="00577BAD" w:rsidRDefault="00000000">
      <w:pPr>
        <w:pStyle w:val="Font-claude-response-body"/>
        <w:numPr>
          <w:ilvl w:val="0"/>
          <w:numId w:val="2"/>
        </w:numPr>
        <w:spacing w:beforeAutospacing="0" w:afterAutospacing="0" w:line="360" w:lineRule="auto"/>
        <w:jc w:val="both"/>
        <w:rPr>
          <w:rFonts w:ascii="Arial" w:hAnsi="Arial" w:cs="Arial"/>
          <w:sz w:val="22"/>
          <w:szCs w:val="22"/>
        </w:rPr>
      </w:pPr>
      <w:r>
        <w:rPr>
          <w:rFonts w:ascii="Arial" w:hAnsi="Arial" w:cs="Arial"/>
          <w:sz w:val="22"/>
          <w:szCs w:val="22"/>
        </w:rPr>
        <w:t xml:space="preserve">Fisher, R.J., Russell, L., Riley-Bennett, F., Cameron, T., Walker, M. and </w:t>
      </w:r>
      <w:proofErr w:type="spellStart"/>
      <w:r>
        <w:rPr>
          <w:rFonts w:ascii="Arial" w:hAnsi="Arial" w:cs="Arial"/>
          <w:sz w:val="22"/>
          <w:szCs w:val="22"/>
        </w:rPr>
        <w:t>Sackley</w:t>
      </w:r>
      <w:proofErr w:type="spellEnd"/>
      <w:r>
        <w:rPr>
          <w:rFonts w:ascii="Arial" w:hAnsi="Arial" w:cs="Arial"/>
          <w:sz w:val="22"/>
          <w:szCs w:val="22"/>
        </w:rPr>
        <w:t xml:space="preserve">, C. (2023) 'Barriers and facilitators in providing home-based rehabilitation for stroke survivors with severe disability in the UK: an online focus group study with multidisciplinary rehabilitation teams', </w:t>
      </w:r>
      <w:r>
        <w:rPr>
          <w:rStyle w:val="Emphasis"/>
          <w:rFonts w:ascii="Arial" w:hAnsi="Arial" w:cs="Arial"/>
          <w:sz w:val="22"/>
          <w:szCs w:val="22"/>
        </w:rPr>
        <w:t>BMJ Open</w:t>
      </w:r>
      <w:r>
        <w:rPr>
          <w:rFonts w:ascii="Arial" w:hAnsi="Arial" w:cs="Arial"/>
          <w:sz w:val="22"/>
          <w:szCs w:val="22"/>
        </w:rPr>
        <w:t xml:space="preserve">, 13(8), e071217. Available at: </w:t>
      </w:r>
      <w:hyperlink r:id="rId11" w:history="1">
        <w:r>
          <w:rPr>
            <w:rStyle w:val="Hyperlink"/>
            <w:rFonts w:ascii="Arial" w:hAnsi="Arial" w:cs="Arial"/>
            <w:sz w:val="22"/>
            <w:szCs w:val="22"/>
          </w:rPr>
          <w:t>https://doi.org/10.1136/bmjopen-2022-071217</w:t>
        </w:r>
      </w:hyperlink>
    </w:p>
    <w:p w14:paraId="00000087" w14:textId="77777777" w:rsidR="00577BAD" w:rsidRDefault="00000000">
      <w:pPr>
        <w:pStyle w:val="Font-claude-response-body"/>
        <w:numPr>
          <w:ilvl w:val="0"/>
          <w:numId w:val="2"/>
        </w:numPr>
        <w:spacing w:beforeAutospacing="0" w:afterAutospacing="0" w:line="360" w:lineRule="auto"/>
        <w:jc w:val="both"/>
        <w:rPr>
          <w:rFonts w:ascii="Arial" w:hAnsi="Arial" w:cs="Arial"/>
          <w:sz w:val="22"/>
          <w:szCs w:val="22"/>
        </w:rPr>
      </w:pPr>
      <w:r>
        <w:rPr>
          <w:rStyle w:val="Emphasis"/>
          <w:rFonts w:ascii="Arial" w:hAnsi="Arial" w:cs="Arial"/>
          <w:sz w:val="22"/>
          <w:szCs w:val="22"/>
        </w:rPr>
        <w:t>Health and Care Act</w:t>
      </w:r>
      <w:r>
        <w:rPr>
          <w:rFonts w:ascii="Arial" w:hAnsi="Arial" w:cs="Arial"/>
          <w:sz w:val="22"/>
          <w:szCs w:val="22"/>
        </w:rPr>
        <w:t xml:space="preserve"> 2022, c. 31. Available at: </w:t>
      </w:r>
      <w:hyperlink r:id="rId12" w:history="1">
        <w:r>
          <w:rPr>
            <w:rStyle w:val="Hyperlink"/>
            <w:rFonts w:ascii="Arial" w:hAnsi="Arial" w:cs="Arial"/>
            <w:sz w:val="22"/>
            <w:szCs w:val="22"/>
          </w:rPr>
          <w:t>https://www.legislation.gov.uk/ukpga/2022/31/contents</w:t>
        </w:r>
      </w:hyperlink>
      <w:r>
        <w:rPr>
          <w:rFonts w:ascii="Arial" w:hAnsi="Arial" w:cs="Arial"/>
          <w:sz w:val="22"/>
          <w:szCs w:val="22"/>
        </w:rPr>
        <w:t xml:space="preserve"> (Accessed: 22 April 2026).</w:t>
      </w:r>
    </w:p>
    <w:p w14:paraId="00000088" w14:textId="77777777" w:rsidR="00577BAD" w:rsidRDefault="00000000">
      <w:pPr>
        <w:pStyle w:val="Font-claude-response-body"/>
        <w:numPr>
          <w:ilvl w:val="0"/>
          <w:numId w:val="2"/>
        </w:numPr>
        <w:spacing w:beforeAutospacing="0" w:afterAutospacing="0" w:line="360" w:lineRule="auto"/>
        <w:jc w:val="both"/>
        <w:rPr>
          <w:rFonts w:ascii="Arial" w:hAnsi="Arial" w:cs="Arial"/>
          <w:sz w:val="22"/>
          <w:szCs w:val="22"/>
        </w:rPr>
      </w:pPr>
      <w:r>
        <w:rPr>
          <w:rFonts w:ascii="Arial" w:hAnsi="Arial" w:cs="Arial"/>
          <w:sz w:val="22"/>
          <w:szCs w:val="22"/>
        </w:rPr>
        <w:t xml:space="preserve">Liberati, E.G., </w:t>
      </w:r>
      <w:proofErr w:type="spellStart"/>
      <w:r>
        <w:rPr>
          <w:rFonts w:ascii="Arial" w:hAnsi="Arial" w:cs="Arial"/>
          <w:sz w:val="22"/>
          <w:szCs w:val="22"/>
        </w:rPr>
        <w:t>Gorli</w:t>
      </w:r>
      <w:proofErr w:type="spellEnd"/>
      <w:r>
        <w:rPr>
          <w:rFonts w:ascii="Arial" w:hAnsi="Arial" w:cs="Arial"/>
          <w:sz w:val="22"/>
          <w:szCs w:val="22"/>
        </w:rPr>
        <w:t xml:space="preserve">, M. and Scaratti, G. (2016) 'Invisible walls within multidisciplinary teams: disciplinary boundaries and their effects on integrated care', </w:t>
      </w:r>
      <w:r>
        <w:rPr>
          <w:rStyle w:val="Emphasis"/>
          <w:rFonts w:ascii="Arial" w:hAnsi="Arial" w:cs="Arial"/>
          <w:sz w:val="22"/>
          <w:szCs w:val="22"/>
        </w:rPr>
        <w:t>Social Science and Medicine</w:t>
      </w:r>
      <w:r>
        <w:rPr>
          <w:rFonts w:ascii="Arial" w:hAnsi="Arial" w:cs="Arial"/>
          <w:sz w:val="22"/>
          <w:szCs w:val="22"/>
        </w:rPr>
        <w:t xml:space="preserve">, 150, pp. 31–39. Available at: </w:t>
      </w:r>
      <w:hyperlink r:id="rId13" w:history="1">
        <w:r>
          <w:rPr>
            <w:rStyle w:val="Hyperlink"/>
            <w:rFonts w:ascii="Arial" w:hAnsi="Arial" w:cs="Arial"/>
            <w:sz w:val="22"/>
            <w:szCs w:val="22"/>
          </w:rPr>
          <w:t>https://doi.org/10.1016/j.socscimed.2015.12.002</w:t>
        </w:r>
      </w:hyperlink>
      <w:r>
        <w:rPr>
          <w:rFonts w:ascii="Arial" w:hAnsi="Arial" w:cs="Arial"/>
          <w:sz w:val="22"/>
          <w:szCs w:val="22"/>
        </w:rPr>
        <w:t xml:space="preserve"> </w:t>
      </w:r>
    </w:p>
    <w:p w14:paraId="00000089" w14:textId="77777777" w:rsidR="00577BAD" w:rsidRDefault="00000000">
      <w:pPr>
        <w:pStyle w:val="Font-claude-response-body"/>
        <w:numPr>
          <w:ilvl w:val="0"/>
          <w:numId w:val="2"/>
        </w:numPr>
        <w:spacing w:beforeAutospacing="0" w:afterAutospacing="0" w:line="360" w:lineRule="auto"/>
        <w:jc w:val="both"/>
        <w:rPr>
          <w:rFonts w:ascii="Arial" w:hAnsi="Arial" w:cs="Arial"/>
          <w:sz w:val="22"/>
          <w:szCs w:val="22"/>
        </w:rPr>
      </w:pPr>
      <w:r>
        <w:rPr>
          <w:rFonts w:ascii="Arial" w:hAnsi="Arial" w:cs="Arial"/>
          <w:sz w:val="22"/>
          <w:szCs w:val="22"/>
        </w:rPr>
        <w:t xml:space="preserve">Moss, B. (2020) </w:t>
      </w:r>
      <w:r>
        <w:rPr>
          <w:rStyle w:val="Emphasis"/>
          <w:rFonts w:ascii="Arial" w:hAnsi="Arial" w:cs="Arial"/>
          <w:sz w:val="22"/>
          <w:szCs w:val="22"/>
        </w:rPr>
        <w:t>Communication skills in health and social care</w:t>
      </w:r>
      <w:r>
        <w:rPr>
          <w:rFonts w:ascii="Arial" w:hAnsi="Arial" w:cs="Arial"/>
          <w:sz w:val="22"/>
          <w:szCs w:val="22"/>
        </w:rPr>
        <w:t xml:space="preserve">. 5th </w:t>
      </w:r>
      <w:proofErr w:type="spellStart"/>
      <w:r>
        <w:rPr>
          <w:rFonts w:ascii="Arial" w:hAnsi="Arial" w:cs="Arial"/>
          <w:sz w:val="22"/>
          <w:szCs w:val="22"/>
        </w:rPr>
        <w:t>edn</w:t>
      </w:r>
      <w:proofErr w:type="spellEnd"/>
      <w:r>
        <w:rPr>
          <w:rFonts w:ascii="Arial" w:hAnsi="Arial" w:cs="Arial"/>
          <w:sz w:val="22"/>
          <w:szCs w:val="22"/>
        </w:rPr>
        <w:t>. SAGE Publications.</w:t>
      </w:r>
      <w:r>
        <w:t xml:space="preserve"> </w:t>
      </w:r>
      <w:r>
        <w:rPr>
          <w:rFonts w:ascii="Arial" w:hAnsi="Arial" w:cs="Arial"/>
          <w:sz w:val="22"/>
          <w:szCs w:val="22"/>
        </w:rPr>
        <w:t xml:space="preserve">Available at: </w:t>
      </w:r>
      <w:hyperlink r:id="rId14" w:history="1">
        <w:r>
          <w:rPr>
            <w:rStyle w:val="Hyperlink"/>
            <w:rFonts w:ascii="Arial" w:hAnsi="Arial" w:cs="Arial"/>
            <w:sz w:val="22"/>
            <w:szCs w:val="22"/>
          </w:rPr>
          <w:t>https://doi.org/10.4135/9781036232481</w:t>
        </w:r>
      </w:hyperlink>
    </w:p>
    <w:p w14:paraId="0000008A" w14:textId="77777777" w:rsidR="00577BAD" w:rsidRDefault="00000000">
      <w:pPr>
        <w:pStyle w:val="Font-claude-response-body"/>
        <w:numPr>
          <w:ilvl w:val="0"/>
          <w:numId w:val="2"/>
        </w:numPr>
        <w:spacing w:beforeAutospacing="0" w:afterAutospacing="0" w:line="360" w:lineRule="auto"/>
        <w:jc w:val="both"/>
        <w:rPr>
          <w:rFonts w:ascii="Arial" w:hAnsi="Arial" w:cs="Arial"/>
          <w:sz w:val="22"/>
          <w:szCs w:val="22"/>
        </w:rPr>
      </w:pPr>
      <w:r>
        <w:rPr>
          <w:rFonts w:ascii="Arial" w:hAnsi="Arial" w:cs="Arial"/>
          <w:sz w:val="22"/>
          <w:szCs w:val="22"/>
        </w:rPr>
        <w:t xml:space="preserve">Müller, M., Jürgens, J., </w:t>
      </w:r>
      <w:proofErr w:type="spellStart"/>
      <w:r>
        <w:rPr>
          <w:rFonts w:ascii="Arial" w:hAnsi="Arial" w:cs="Arial"/>
          <w:sz w:val="22"/>
          <w:szCs w:val="22"/>
        </w:rPr>
        <w:t>Redaèlli</w:t>
      </w:r>
      <w:proofErr w:type="spellEnd"/>
      <w:r>
        <w:rPr>
          <w:rFonts w:ascii="Arial" w:hAnsi="Arial" w:cs="Arial"/>
          <w:sz w:val="22"/>
          <w:szCs w:val="22"/>
        </w:rPr>
        <w:t xml:space="preserve">, M., Klingberg, K., Hautz, W.E. and Stock, S. (2018) 'Impact of the communication and patient hand-off tool SBAR on patient safety: a systematic review', </w:t>
      </w:r>
      <w:r>
        <w:rPr>
          <w:rStyle w:val="Emphasis"/>
          <w:rFonts w:ascii="Arial" w:hAnsi="Arial" w:cs="Arial"/>
          <w:sz w:val="22"/>
          <w:szCs w:val="22"/>
        </w:rPr>
        <w:t>BMJ Open</w:t>
      </w:r>
      <w:r>
        <w:rPr>
          <w:rFonts w:ascii="Arial" w:hAnsi="Arial" w:cs="Arial"/>
          <w:sz w:val="22"/>
          <w:szCs w:val="22"/>
        </w:rPr>
        <w:t xml:space="preserve">, 8(8), e022202. Available at: </w:t>
      </w:r>
      <w:hyperlink r:id="rId15" w:history="1">
        <w:r>
          <w:rPr>
            <w:rStyle w:val="Hyperlink"/>
            <w:rFonts w:ascii="Arial" w:hAnsi="Arial" w:cs="Arial"/>
            <w:sz w:val="22"/>
            <w:szCs w:val="22"/>
          </w:rPr>
          <w:t>https://doi.org/10.1136/bmjopen-2018-022202</w:t>
        </w:r>
      </w:hyperlink>
      <w:r>
        <w:rPr>
          <w:rFonts w:ascii="Arial" w:hAnsi="Arial" w:cs="Arial"/>
          <w:sz w:val="22"/>
          <w:szCs w:val="22"/>
        </w:rPr>
        <w:t xml:space="preserve"> </w:t>
      </w:r>
    </w:p>
    <w:p w14:paraId="0000008B" w14:textId="77777777" w:rsidR="00577BAD" w:rsidRDefault="00000000">
      <w:pPr>
        <w:pStyle w:val="Font-claude-response-body"/>
        <w:numPr>
          <w:ilvl w:val="0"/>
          <w:numId w:val="2"/>
        </w:numPr>
        <w:spacing w:beforeAutospacing="0" w:afterAutospacing="0" w:line="360" w:lineRule="auto"/>
        <w:jc w:val="both"/>
        <w:rPr>
          <w:rFonts w:ascii="Arial" w:hAnsi="Arial" w:cs="Arial"/>
          <w:sz w:val="22"/>
          <w:szCs w:val="22"/>
        </w:rPr>
      </w:pPr>
      <w:r>
        <w:rPr>
          <w:rFonts w:ascii="Arial" w:hAnsi="Arial" w:cs="Arial"/>
          <w:sz w:val="22"/>
          <w:szCs w:val="22"/>
        </w:rPr>
        <w:t xml:space="preserve">NHS England (2023) </w:t>
      </w:r>
      <w:r>
        <w:rPr>
          <w:rStyle w:val="Emphasis"/>
          <w:rFonts w:ascii="Arial" w:hAnsi="Arial" w:cs="Arial"/>
          <w:sz w:val="22"/>
          <w:szCs w:val="22"/>
        </w:rPr>
        <w:t>Records management code of practice</w:t>
      </w:r>
      <w:r>
        <w:rPr>
          <w:rFonts w:ascii="Arial" w:hAnsi="Arial" w:cs="Arial"/>
          <w:sz w:val="22"/>
          <w:szCs w:val="22"/>
        </w:rPr>
        <w:t xml:space="preserve">. Available at: </w:t>
      </w:r>
      <w:hyperlink r:id="rId16" w:history="1">
        <w:r>
          <w:rPr>
            <w:rStyle w:val="Hyperlink"/>
            <w:rFonts w:ascii="Arial" w:hAnsi="Arial" w:cs="Arial"/>
            <w:sz w:val="22"/>
            <w:szCs w:val="22"/>
          </w:rPr>
          <w:t>https://transform.england.nhs.uk/information-governance/guidance/records-management-code/</w:t>
        </w:r>
      </w:hyperlink>
      <w:r>
        <w:rPr>
          <w:rFonts w:ascii="Arial" w:hAnsi="Arial" w:cs="Arial"/>
          <w:sz w:val="22"/>
          <w:szCs w:val="22"/>
        </w:rPr>
        <w:t xml:space="preserve"> (Accessed: 20 April 2026).</w:t>
      </w:r>
    </w:p>
    <w:p w14:paraId="0000008C" w14:textId="77777777" w:rsidR="00577BAD" w:rsidRDefault="00000000">
      <w:pPr>
        <w:pStyle w:val="Font-claude-response-body"/>
        <w:numPr>
          <w:ilvl w:val="0"/>
          <w:numId w:val="2"/>
        </w:numPr>
        <w:spacing w:beforeAutospacing="0" w:afterAutospacing="0" w:line="360" w:lineRule="auto"/>
        <w:jc w:val="both"/>
        <w:rPr>
          <w:rFonts w:ascii="Arial" w:hAnsi="Arial" w:cs="Arial"/>
          <w:sz w:val="22"/>
          <w:szCs w:val="22"/>
        </w:rPr>
      </w:pPr>
      <w:r>
        <w:rPr>
          <w:rFonts w:ascii="Arial" w:hAnsi="Arial" w:cs="Arial"/>
          <w:sz w:val="22"/>
          <w:szCs w:val="22"/>
        </w:rPr>
        <w:t xml:space="preserve">NHS Health Research Authority (2026) </w:t>
      </w:r>
      <w:r>
        <w:rPr>
          <w:rStyle w:val="Emphasis"/>
          <w:rFonts w:ascii="Arial" w:hAnsi="Arial" w:cs="Arial"/>
          <w:sz w:val="22"/>
          <w:szCs w:val="22"/>
        </w:rPr>
        <w:t>Data protection and information governance</w:t>
      </w:r>
      <w:r>
        <w:rPr>
          <w:rFonts w:ascii="Arial" w:hAnsi="Arial" w:cs="Arial"/>
          <w:sz w:val="22"/>
          <w:szCs w:val="22"/>
        </w:rPr>
        <w:t xml:space="preserve">. Available at: </w:t>
      </w:r>
      <w:hyperlink r:id="rId17" w:history="1">
        <w:r>
          <w:rPr>
            <w:rStyle w:val="Hyperlink"/>
            <w:rFonts w:ascii="Arial" w:hAnsi="Arial" w:cs="Arial"/>
            <w:sz w:val="22"/>
            <w:szCs w:val="22"/>
          </w:rPr>
          <w:t>https://www.hra.nhs.uk/planning-and-improving-research/policies-</w:t>
        </w:r>
        <w:r>
          <w:rPr>
            <w:rStyle w:val="Hyperlink"/>
            <w:rFonts w:ascii="Arial" w:hAnsi="Arial" w:cs="Arial"/>
            <w:sz w:val="22"/>
            <w:szCs w:val="22"/>
          </w:rPr>
          <w:lastRenderedPageBreak/>
          <w:t>standards-legislation/data-protection-and-information-governance/</w:t>
        </w:r>
      </w:hyperlink>
      <w:r>
        <w:rPr>
          <w:rFonts w:ascii="Arial" w:hAnsi="Arial" w:cs="Arial"/>
          <w:sz w:val="22"/>
          <w:szCs w:val="22"/>
        </w:rPr>
        <w:t xml:space="preserve"> (Accessed: 22 April 2026).</w:t>
      </w:r>
    </w:p>
    <w:p w14:paraId="0000008D" w14:textId="77777777" w:rsidR="00577BAD" w:rsidRDefault="00000000">
      <w:pPr>
        <w:pStyle w:val="Font-claude-response-body"/>
        <w:numPr>
          <w:ilvl w:val="0"/>
          <w:numId w:val="2"/>
        </w:numPr>
        <w:spacing w:beforeAutospacing="0" w:afterAutospacing="0" w:line="360" w:lineRule="auto"/>
        <w:jc w:val="both"/>
        <w:rPr>
          <w:rFonts w:ascii="Arial" w:hAnsi="Arial" w:cs="Arial"/>
          <w:sz w:val="22"/>
          <w:szCs w:val="22"/>
        </w:rPr>
      </w:pPr>
      <w:r>
        <w:rPr>
          <w:rFonts w:ascii="Arial" w:hAnsi="Arial" w:cs="Arial"/>
          <w:sz w:val="22"/>
          <w:szCs w:val="22"/>
        </w:rPr>
        <w:t xml:space="preserve">Prideaux, A. (2011) 'Issues in nursing documentation and record-keeping practice', </w:t>
      </w:r>
      <w:r>
        <w:rPr>
          <w:rStyle w:val="Emphasis"/>
          <w:rFonts w:ascii="Arial" w:hAnsi="Arial" w:cs="Arial"/>
          <w:sz w:val="22"/>
          <w:szCs w:val="22"/>
        </w:rPr>
        <w:t>British Journal of Nursing</w:t>
      </w:r>
      <w:r>
        <w:rPr>
          <w:rFonts w:ascii="Arial" w:hAnsi="Arial" w:cs="Arial"/>
          <w:sz w:val="22"/>
          <w:szCs w:val="22"/>
        </w:rPr>
        <w:t xml:space="preserve">, 20(22), pp. 1450–1454. Available at: </w:t>
      </w:r>
      <w:hyperlink r:id="rId18" w:history="1">
        <w:r>
          <w:rPr>
            <w:rStyle w:val="Hyperlink"/>
            <w:rFonts w:ascii="Arial" w:hAnsi="Arial" w:cs="Arial"/>
            <w:sz w:val="22"/>
            <w:szCs w:val="22"/>
          </w:rPr>
          <w:t>https://doi.org/10.12968/bjon.2011.20.22.1450</w:t>
        </w:r>
      </w:hyperlink>
      <w:r>
        <w:rPr>
          <w:rFonts w:ascii="Arial" w:hAnsi="Arial" w:cs="Arial"/>
          <w:sz w:val="22"/>
          <w:szCs w:val="22"/>
        </w:rPr>
        <w:t xml:space="preserve"> </w:t>
      </w:r>
    </w:p>
    <w:p w14:paraId="0000008E" w14:textId="77777777" w:rsidR="00577BAD" w:rsidRDefault="00000000">
      <w:pPr>
        <w:pStyle w:val="Font-claude-response-body"/>
        <w:numPr>
          <w:ilvl w:val="0"/>
          <w:numId w:val="2"/>
        </w:numPr>
        <w:spacing w:beforeAutospacing="0" w:afterAutospacing="0" w:line="360" w:lineRule="auto"/>
        <w:jc w:val="both"/>
        <w:rPr>
          <w:rFonts w:ascii="Arial" w:hAnsi="Arial" w:cs="Arial"/>
          <w:sz w:val="22"/>
          <w:szCs w:val="22"/>
        </w:rPr>
      </w:pPr>
      <w:proofErr w:type="spellStart"/>
      <w:r>
        <w:rPr>
          <w:rFonts w:ascii="Arial" w:hAnsi="Arial" w:cs="Arial"/>
          <w:sz w:val="22"/>
          <w:szCs w:val="22"/>
        </w:rPr>
        <w:t>Vermeir</w:t>
      </w:r>
      <w:proofErr w:type="spellEnd"/>
      <w:r>
        <w:rPr>
          <w:rFonts w:ascii="Arial" w:hAnsi="Arial" w:cs="Arial"/>
          <w:sz w:val="22"/>
          <w:szCs w:val="22"/>
        </w:rPr>
        <w:t xml:space="preserve">, P., </w:t>
      </w:r>
      <w:proofErr w:type="spellStart"/>
      <w:r>
        <w:rPr>
          <w:rFonts w:ascii="Arial" w:hAnsi="Arial" w:cs="Arial"/>
          <w:sz w:val="22"/>
          <w:szCs w:val="22"/>
        </w:rPr>
        <w:t>Vandijck</w:t>
      </w:r>
      <w:proofErr w:type="spellEnd"/>
      <w:r>
        <w:rPr>
          <w:rFonts w:ascii="Arial" w:hAnsi="Arial" w:cs="Arial"/>
          <w:sz w:val="22"/>
          <w:szCs w:val="22"/>
        </w:rPr>
        <w:t xml:space="preserve">, D., </w:t>
      </w:r>
      <w:proofErr w:type="spellStart"/>
      <w:r>
        <w:rPr>
          <w:rFonts w:ascii="Arial" w:hAnsi="Arial" w:cs="Arial"/>
          <w:sz w:val="22"/>
          <w:szCs w:val="22"/>
        </w:rPr>
        <w:t>Degroote</w:t>
      </w:r>
      <w:proofErr w:type="spellEnd"/>
      <w:r>
        <w:rPr>
          <w:rFonts w:ascii="Arial" w:hAnsi="Arial" w:cs="Arial"/>
          <w:sz w:val="22"/>
          <w:szCs w:val="22"/>
        </w:rPr>
        <w:t xml:space="preserve">, S., </w:t>
      </w:r>
      <w:proofErr w:type="spellStart"/>
      <w:r>
        <w:rPr>
          <w:rFonts w:ascii="Arial" w:hAnsi="Arial" w:cs="Arial"/>
          <w:sz w:val="22"/>
          <w:szCs w:val="22"/>
        </w:rPr>
        <w:t>Peleman</w:t>
      </w:r>
      <w:proofErr w:type="spellEnd"/>
      <w:r>
        <w:rPr>
          <w:rFonts w:ascii="Arial" w:hAnsi="Arial" w:cs="Arial"/>
          <w:sz w:val="22"/>
          <w:szCs w:val="22"/>
        </w:rPr>
        <w:t xml:space="preserve">, R., Verhaeghe, R., Mortier, E., </w:t>
      </w:r>
      <w:proofErr w:type="spellStart"/>
      <w:r>
        <w:rPr>
          <w:rFonts w:ascii="Arial" w:hAnsi="Arial" w:cs="Arial"/>
          <w:sz w:val="22"/>
          <w:szCs w:val="22"/>
        </w:rPr>
        <w:t>Hallaert</w:t>
      </w:r>
      <w:proofErr w:type="spellEnd"/>
      <w:r>
        <w:rPr>
          <w:rFonts w:ascii="Arial" w:hAnsi="Arial" w:cs="Arial"/>
          <w:sz w:val="22"/>
          <w:szCs w:val="22"/>
        </w:rPr>
        <w:t xml:space="preserve">, G., Van Daele, S., </w:t>
      </w:r>
      <w:proofErr w:type="spellStart"/>
      <w:r>
        <w:rPr>
          <w:rFonts w:ascii="Arial" w:hAnsi="Arial" w:cs="Arial"/>
          <w:sz w:val="22"/>
          <w:szCs w:val="22"/>
        </w:rPr>
        <w:t>Buylaert</w:t>
      </w:r>
      <w:proofErr w:type="spellEnd"/>
      <w:r>
        <w:rPr>
          <w:rFonts w:ascii="Arial" w:hAnsi="Arial" w:cs="Arial"/>
          <w:sz w:val="22"/>
          <w:szCs w:val="22"/>
        </w:rPr>
        <w:t xml:space="preserve">, W. and </w:t>
      </w:r>
      <w:proofErr w:type="spellStart"/>
      <w:r>
        <w:rPr>
          <w:rFonts w:ascii="Arial" w:hAnsi="Arial" w:cs="Arial"/>
          <w:sz w:val="22"/>
          <w:szCs w:val="22"/>
        </w:rPr>
        <w:t>Vogelaers</w:t>
      </w:r>
      <w:proofErr w:type="spellEnd"/>
      <w:r>
        <w:rPr>
          <w:rFonts w:ascii="Arial" w:hAnsi="Arial" w:cs="Arial"/>
          <w:sz w:val="22"/>
          <w:szCs w:val="22"/>
        </w:rPr>
        <w:t xml:space="preserve">, D. (2015) 'Communication in healthcare: a narrative review of the literature and practical recommendations', </w:t>
      </w:r>
      <w:r>
        <w:rPr>
          <w:rStyle w:val="Emphasis"/>
          <w:rFonts w:ascii="Arial" w:hAnsi="Arial" w:cs="Arial"/>
          <w:sz w:val="22"/>
          <w:szCs w:val="22"/>
        </w:rPr>
        <w:t>International Journal of Clinical Practice</w:t>
      </w:r>
      <w:r>
        <w:rPr>
          <w:rFonts w:ascii="Arial" w:hAnsi="Arial" w:cs="Arial"/>
          <w:sz w:val="22"/>
          <w:szCs w:val="22"/>
        </w:rPr>
        <w:t xml:space="preserve">, 69(11), pp. 1257–1267. Available at: </w:t>
      </w:r>
      <w:hyperlink r:id="rId19" w:history="1">
        <w:r>
          <w:rPr>
            <w:rStyle w:val="Hyperlink"/>
            <w:rFonts w:ascii="Arial" w:hAnsi="Arial" w:cs="Arial"/>
            <w:sz w:val="22"/>
            <w:szCs w:val="22"/>
          </w:rPr>
          <w:t>https://doi.org/10.1111/ijcp.12686</w:t>
        </w:r>
      </w:hyperlink>
    </w:p>
    <w:p w14:paraId="0000008F" w14:textId="77777777" w:rsidR="00577BAD" w:rsidRDefault="00577BAD">
      <w:pPr>
        <w:pStyle w:val="Font-claude-response-body"/>
        <w:spacing w:beforeAutospacing="0" w:afterAutospacing="0" w:line="360" w:lineRule="auto"/>
        <w:ind w:left="720"/>
        <w:jc w:val="both"/>
      </w:pPr>
    </w:p>
    <w:p w14:paraId="00000090" w14:textId="77777777" w:rsidR="00577BAD" w:rsidRDefault="00577BAD">
      <w:pPr>
        <w:spacing w:line="360" w:lineRule="auto"/>
        <w:jc w:val="both"/>
        <w:rPr>
          <w:rFonts w:ascii="Arial" w:hAnsi="Arial" w:cs="Arial"/>
        </w:rPr>
      </w:pPr>
    </w:p>
    <w:sectPr w:rsidR="00577BAD">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58E91" w14:textId="77777777" w:rsidR="00F6335A" w:rsidRDefault="00F6335A">
      <w:pPr>
        <w:spacing w:after="0" w:line="240" w:lineRule="auto"/>
      </w:pPr>
      <w:r>
        <w:separator/>
      </w:r>
    </w:p>
  </w:endnote>
  <w:endnote w:type="continuationSeparator" w:id="0">
    <w:p w14:paraId="5525413E" w14:textId="77777777" w:rsidR="00F6335A" w:rsidRDefault="00F63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Kartika">
    <w:charset w:val="00"/>
    <w:family w:val="roman"/>
    <w:pitch w:val="variable"/>
    <w:sig w:usb0="008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91" w14:textId="77777777" w:rsidR="00577BAD" w:rsidRDefault="00000000">
    <w:pPr>
      <w:pStyle w:val="Footer"/>
      <w:jc w:val="center"/>
    </w:pPr>
    <w:r>
      <w:fldChar w:fldCharType="begin"/>
    </w:r>
    <w:r>
      <w:instrText xml:space="preserve"> PAGE   \* MERGEFORMAT </w:instrText>
    </w:r>
    <w:r>
      <w:fldChar w:fldCharType="separate"/>
    </w:r>
    <w:r>
      <w:t>2</w:t>
    </w:r>
    <w:r>
      <w:fldChar w:fldCharType="end"/>
    </w:r>
  </w:p>
  <w:p w14:paraId="00000092" w14:textId="77777777" w:rsidR="00577BAD" w:rsidRDefault="00577B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80FB05" w14:textId="77777777" w:rsidR="00F6335A" w:rsidRDefault="00F6335A">
      <w:pPr>
        <w:spacing w:after="0" w:line="240" w:lineRule="auto"/>
      </w:pPr>
      <w:r>
        <w:separator/>
      </w:r>
    </w:p>
  </w:footnote>
  <w:footnote w:type="continuationSeparator" w:id="0">
    <w:p w14:paraId="06EACC02" w14:textId="77777777" w:rsidR="00F6335A" w:rsidRDefault="00F633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105CF"/>
    <w:multiLevelType w:val="hybridMultilevel"/>
    <w:tmpl w:val="0406D636"/>
    <w:lvl w:ilvl="0" w:tplc="955427C8">
      <w:start w:val="1"/>
      <w:numFmt w:val="bullet"/>
      <w:lvlText w:val=""/>
      <w:lvlJc w:val="left"/>
      <w:pPr>
        <w:ind w:left="720" w:hanging="360"/>
      </w:pPr>
      <w:rPr>
        <w:rFonts w:ascii="Symbol" w:hAnsi="Symbol" w:hint="default"/>
      </w:rPr>
    </w:lvl>
    <w:lvl w:ilvl="1" w:tplc="7D42BED8" w:tentative="1">
      <w:start w:val="1"/>
      <w:numFmt w:val="bullet"/>
      <w:lvlText w:val="o"/>
      <w:lvlJc w:val="left"/>
      <w:pPr>
        <w:ind w:left="1440" w:hanging="360"/>
      </w:pPr>
      <w:rPr>
        <w:rFonts w:ascii="Courier New" w:hAnsi="Courier New" w:cs="Courier New" w:hint="default"/>
      </w:rPr>
    </w:lvl>
    <w:lvl w:ilvl="2" w:tplc="E506D930" w:tentative="1">
      <w:start w:val="1"/>
      <w:numFmt w:val="bullet"/>
      <w:lvlText w:val=""/>
      <w:lvlJc w:val="left"/>
      <w:pPr>
        <w:ind w:left="2160" w:hanging="360"/>
      </w:pPr>
      <w:rPr>
        <w:rFonts w:ascii="Wingdings" w:hAnsi="Wingdings" w:hint="default"/>
      </w:rPr>
    </w:lvl>
    <w:lvl w:ilvl="3" w:tplc="91527FE0" w:tentative="1">
      <w:start w:val="1"/>
      <w:numFmt w:val="bullet"/>
      <w:lvlText w:val=""/>
      <w:lvlJc w:val="left"/>
      <w:pPr>
        <w:ind w:left="2880" w:hanging="360"/>
      </w:pPr>
      <w:rPr>
        <w:rFonts w:ascii="Symbol" w:hAnsi="Symbol" w:hint="default"/>
      </w:rPr>
    </w:lvl>
    <w:lvl w:ilvl="4" w:tplc="4A0039FE" w:tentative="1">
      <w:start w:val="1"/>
      <w:numFmt w:val="bullet"/>
      <w:lvlText w:val="o"/>
      <w:lvlJc w:val="left"/>
      <w:pPr>
        <w:ind w:left="3600" w:hanging="360"/>
      </w:pPr>
      <w:rPr>
        <w:rFonts w:ascii="Courier New" w:hAnsi="Courier New" w:cs="Courier New" w:hint="default"/>
      </w:rPr>
    </w:lvl>
    <w:lvl w:ilvl="5" w:tplc="0D14F5CC" w:tentative="1">
      <w:start w:val="1"/>
      <w:numFmt w:val="bullet"/>
      <w:lvlText w:val=""/>
      <w:lvlJc w:val="left"/>
      <w:pPr>
        <w:ind w:left="4320" w:hanging="360"/>
      </w:pPr>
      <w:rPr>
        <w:rFonts w:ascii="Wingdings" w:hAnsi="Wingdings" w:hint="default"/>
      </w:rPr>
    </w:lvl>
    <w:lvl w:ilvl="6" w:tplc="267020B8" w:tentative="1">
      <w:start w:val="1"/>
      <w:numFmt w:val="bullet"/>
      <w:lvlText w:val=""/>
      <w:lvlJc w:val="left"/>
      <w:pPr>
        <w:ind w:left="5040" w:hanging="360"/>
      </w:pPr>
      <w:rPr>
        <w:rFonts w:ascii="Symbol" w:hAnsi="Symbol" w:hint="default"/>
      </w:rPr>
    </w:lvl>
    <w:lvl w:ilvl="7" w:tplc="B95C7C56" w:tentative="1">
      <w:start w:val="1"/>
      <w:numFmt w:val="bullet"/>
      <w:lvlText w:val="o"/>
      <w:lvlJc w:val="left"/>
      <w:pPr>
        <w:ind w:left="5760" w:hanging="360"/>
      </w:pPr>
      <w:rPr>
        <w:rFonts w:ascii="Courier New" w:hAnsi="Courier New" w:cs="Courier New" w:hint="default"/>
      </w:rPr>
    </w:lvl>
    <w:lvl w:ilvl="8" w:tplc="94C6F34A" w:tentative="1">
      <w:start w:val="1"/>
      <w:numFmt w:val="bullet"/>
      <w:lvlText w:val=""/>
      <w:lvlJc w:val="left"/>
      <w:pPr>
        <w:ind w:left="6480" w:hanging="360"/>
      </w:pPr>
      <w:rPr>
        <w:rFonts w:ascii="Wingdings" w:hAnsi="Wingdings" w:hint="default"/>
      </w:rPr>
    </w:lvl>
  </w:abstractNum>
  <w:abstractNum w:abstractNumId="1" w15:restartNumberingAfterBreak="0">
    <w:nsid w:val="61681C3A"/>
    <w:multiLevelType w:val="hybridMultilevel"/>
    <w:tmpl w:val="3D181D3A"/>
    <w:lvl w:ilvl="0" w:tplc="BF383872">
      <w:start w:val="1"/>
      <w:numFmt w:val="bullet"/>
      <w:lvlText w:val=""/>
      <w:lvlJc w:val="left"/>
      <w:pPr>
        <w:ind w:left="720" w:hanging="360"/>
      </w:pPr>
      <w:rPr>
        <w:rFonts w:ascii="Symbol" w:hAnsi="Symbol" w:hint="default"/>
      </w:rPr>
    </w:lvl>
    <w:lvl w:ilvl="1" w:tplc="B9C2D57A" w:tentative="1">
      <w:start w:val="1"/>
      <w:numFmt w:val="bullet"/>
      <w:lvlText w:val="o"/>
      <w:lvlJc w:val="left"/>
      <w:pPr>
        <w:ind w:left="1440" w:hanging="360"/>
      </w:pPr>
      <w:rPr>
        <w:rFonts w:ascii="Courier New" w:hAnsi="Courier New" w:cs="Courier New" w:hint="default"/>
      </w:rPr>
    </w:lvl>
    <w:lvl w:ilvl="2" w:tplc="33F250A8" w:tentative="1">
      <w:start w:val="1"/>
      <w:numFmt w:val="bullet"/>
      <w:lvlText w:val=""/>
      <w:lvlJc w:val="left"/>
      <w:pPr>
        <w:ind w:left="2160" w:hanging="360"/>
      </w:pPr>
      <w:rPr>
        <w:rFonts w:ascii="Wingdings" w:hAnsi="Wingdings" w:hint="default"/>
      </w:rPr>
    </w:lvl>
    <w:lvl w:ilvl="3" w:tplc="920A28EE" w:tentative="1">
      <w:start w:val="1"/>
      <w:numFmt w:val="bullet"/>
      <w:lvlText w:val=""/>
      <w:lvlJc w:val="left"/>
      <w:pPr>
        <w:ind w:left="2880" w:hanging="360"/>
      </w:pPr>
      <w:rPr>
        <w:rFonts w:ascii="Symbol" w:hAnsi="Symbol" w:hint="default"/>
      </w:rPr>
    </w:lvl>
    <w:lvl w:ilvl="4" w:tplc="BBB6C874" w:tentative="1">
      <w:start w:val="1"/>
      <w:numFmt w:val="bullet"/>
      <w:lvlText w:val="o"/>
      <w:lvlJc w:val="left"/>
      <w:pPr>
        <w:ind w:left="3600" w:hanging="360"/>
      </w:pPr>
      <w:rPr>
        <w:rFonts w:ascii="Courier New" w:hAnsi="Courier New" w:cs="Courier New" w:hint="default"/>
      </w:rPr>
    </w:lvl>
    <w:lvl w:ilvl="5" w:tplc="A984AD32" w:tentative="1">
      <w:start w:val="1"/>
      <w:numFmt w:val="bullet"/>
      <w:lvlText w:val=""/>
      <w:lvlJc w:val="left"/>
      <w:pPr>
        <w:ind w:left="4320" w:hanging="360"/>
      </w:pPr>
      <w:rPr>
        <w:rFonts w:ascii="Wingdings" w:hAnsi="Wingdings" w:hint="default"/>
      </w:rPr>
    </w:lvl>
    <w:lvl w:ilvl="6" w:tplc="02E0BCAA" w:tentative="1">
      <w:start w:val="1"/>
      <w:numFmt w:val="bullet"/>
      <w:lvlText w:val=""/>
      <w:lvlJc w:val="left"/>
      <w:pPr>
        <w:ind w:left="5040" w:hanging="360"/>
      </w:pPr>
      <w:rPr>
        <w:rFonts w:ascii="Symbol" w:hAnsi="Symbol" w:hint="default"/>
      </w:rPr>
    </w:lvl>
    <w:lvl w:ilvl="7" w:tplc="5D82A2A6" w:tentative="1">
      <w:start w:val="1"/>
      <w:numFmt w:val="bullet"/>
      <w:lvlText w:val="o"/>
      <w:lvlJc w:val="left"/>
      <w:pPr>
        <w:ind w:left="5760" w:hanging="360"/>
      </w:pPr>
      <w:rPr>
        <w:rFonts w:ascii="Courier New" w:hAnsi="Courier New" w:cs="Courier New" w:hint="default"/>
      </w:rPr>
    </w:lvl>
    <w:lvl w:ilvl="8" w:tplc="5C942B5C" w:tentative="1">
      <w:start w:val="1"/>
      <w:numFmt w:val="bullet"/>
      <w:lvlText w:val=""/>
      <w:lvlJc w:val="left"/>
      <w:pPr>
        <w:ind w:left="6480" w:hanging="360"/>
      </w:pPr>
      <w:rPr>
        <w:rFonts w:ascii="Wingdings" w:hAnsi="Wingdings" w:hint="default"/>
      </w:rPr>
    </w:lvl>
  </w:abstractNum>
  <w:num w:numId="1" w16cid:durableId="1473869376">
    <w:abstractNumId w:val="0"/>
  </w:num>
  <w:num w:numId="2" w16cid:durableId="17764868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A6B"/>
    <w:rsid w:val="00082DC7"/>
    <w:rsid w:val="000F155A"/>
    <w:rsid w:val="00133900"/>
    <w:rsid w:val="00154DC7"/>
    <w:rsid w:val="00160DAC"/>
    <w:rsid w:val="00185D15"/>
    <w:rsid w:val="00191568"/>
    <w:rsid w:val="001A08E1"/>
    <w:rsid w:val="001A285A"/>
    <w:rsid w:val="001D09A8"/>
    <w:rsid w:val="002046C7"/>
    <w:rsid w:val="002B79E9"/>
    <w:rsid w:val="002D0AD5"/>
    <w:rsid w:val="002F5C71"/>
    <w:rsid w:val="0031496B"/>
    <w:rsid w:val="0039423C"/>
    <w:rsid w:val="0043034A"/>
    <w:rsid w:val="00465F0E"/>
    <w:rsid w:val="004F7248"/>
    <w:rsid w:val="00517149"/>
    <w:rsid w:val="00572037"/>
    <w:rsid w:val="00577BAD"/>
    <w:rsid w:val="005D53A3"/>
    <w:rsid w:val="00621823"/>
    <w:rsid w:val="00675740"/>
    <w:rsid w:val="006C6E22"/>
    <w:rsid w:val="006D6AB6"/>
    <w:rsid w:val="006E7E2F"/>
    <w:rsid w:val="007A3CDB"/>
    <w:rsid w:val="007A79B6"/>
    <w:rsid w:val="007C0118"/>
    <w:rsid w:val="007F708B"/>
    <w:rsid w:val="008034EF"/>
    <w:rsid w:val="00817590"/>
    <w:rsid w:val="008756E3"/>
    <w:rsid w:val="00885EA8"/>
    <w:rsid w:val="008E0B3E"/>
    <w:rsid w:val="00912EFA"/>
    <w:rsid w:val="00917F53"/>
    <w:rsid w:val="00947E02"/>
    <w:rsid w:val="00977F14"/>
    <w:rsid w:val="009A6ECB"/>
    <w:rsid w:val="00A01794"/>
    <w:rsid w:val="00A672F1"/>
    <w:rsid w:val="00AD6274"/>
    <w:rsid w:val="00B00249"/>
    <w:rsid w:val="00B71262"/>
    <w:rsid w:val="00B71300"/>
    <w:rsid w:val="00BA3A05"/>
    <w:rsid w:val="00BD32B5"/>
    <w:rsid w:val="00BD4C2D"/>
    <w:rsid w:val="00C04C4E"/>
    <w:rsid w:val="00C24846"/>
    <w:rsid w:val="00C27D32"/>
    <w:rsid w:val="00C62A6B"/>
    <w:rsid w:val="00C87FF1"/>
    <w:rsid w:val="00C96FA5"/>
    <w:rsid w:val="00D46B5F"/>
    <w:rsid w:val="00D4774F"/>
    <w:rsid w:val="00D759F5"/>
    <w:rsid w:val="00DD7B2C"/>
    <w:rsid w:val="00E306D0"/>
    <w:rsid w:val="00E342C5"/>
    <w:rsid w:val="00E44AF4"/>
    <w:rsid w:val="00E96532"/>
    <w:rsid w:val="00EC1916"/>
    <w:rsid w:val="00F512FD"/>
    <w:rsid w:val="00F546A4"/>
    <w:rsid w:val="00F56ECF"/>
    <w:rsid w:val="00F6335A"/>
    <w:rsid w:val="00F764A6"/>
    <w:rsid w:val="00F96AD4"/>
    <w:rsid w:val="00FA5D15"/>
    <w:rsid w:val="00FF30F4"/>
  </w:rsids>
  <m:mathPr>
    <m:mathFont m:val="Cambria Math"/>
    <m:brkBin m:val="before"/>
    <m:brkBinSub m:val="--"/>
    <m:smallFrac m:val="0"/>
    <m:dispDef/>
    <m:lMargin m:val="0"/>
    <m:rMargin m:val="0"/>
    <m:defJc m:val="centerGroup"/>
    <m:wrapIndent m:val="1440"/>
    <m:intLim m:val="subSup"/>
    <m:naryLim m:val="undOvr"/>
  </m:mathPr>
  <w:themeFontLang w:val="en-IN" w:bidi="ml-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FF64C8"/>
  <w15:chartTrackingRefBased/>
  <w15:docId w15:val="{26E43E3B-2B1C-488A-8C15-99BC448E5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eastAsiaTheme="majorEastAsia" w:hAnsiTheme="majorHAnsi" w:cstheme="majorBidi"/>
      <w:i/>
      <w:iCs/>
      <w:color w:val="4472C4" w:themeColor="accent1"/>
      <w:spacing w:val="15"/>
      <w:sz w:val="24"/>
      <w:szCs w:val="24"/>
    </w:rPr>
  </w:style>
  <w:style w:type="character" w:styleId="SubtleEmphasis">
    <w:name w:val="Subtle Emphasis"/>
    <w:basedOn w:val="DefaultParagraphFont"/>
    <w:uiPriority w:val="19"/>
    <w:qFormat/>
    <w:rPr>
      <w:i/>
      <w:iCs/>
      <w:color w:val="808080" w:themeColor="text1" w:themeTint="7F"/>
    </w:rPr>
  </w:style>
  <w:style w:type="character" w:styleId="IntenseEmphasis">
    <w:name w:val="Intense Emphasis"/>
    <w:basedOn w:val="DefaultParagraphFont"/>
    <w:uiPriority w:val="21"/>
    <w:qFormat/>
    <w:rPr>
      <w:b/>
      <w:bCs/>
      <w:i/>
      <w:iCs/>
      <w:color w:val="4472C4" w:themeColor="accent1"/>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Pr>
      <w:b/>
      <w:bCs/>
      <w:smallCaps/>
      <w:color w:val="ED7D31" w:themeColor="accent2"/>
      <w:spacing w:val="5"/>
      <w:u w:val="single"/>
    </w:rPr>
  </w:style>
  <w:style w:type="character" w:styleId="BookTitle">
    <w:name w:val="Book Title"/>
    <w:basedOn w:val="DefaultParagraphFont"/>
    <w:uiPriority w:val="33"/>
    <w:qFormat/>
    <w:rPr>
      <w:b/>
      <w:bCs/>
      <w:smallCaps/>
      <w:spacing w:val="5"/>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FollowedHyperlink">
    <w:name w:val="FollowedHyperlink"/>
    <w:basedOn w:val="DefaultParagraphFont"/>
    <w:uiPriority w:val="99"/>
    <w:semiHidden/>
    <w:unhideWhenUsed/>
    <w:rPr>
      <w:color w:val="954F72" w:themeColor="followedHyperlink"/>
      <w:u w:val="single"/>
    </w:rPr>
  </w:style>
  <w:style w:type="paragraph" w:styleId="PlainText">
    <w:name w:val="Plain Text"/>
    <w:basedOn w:val="Normal"/>
    <w:link w:val="PlainTextChar"/>
    <w:uiPriority w:val="99"/>
    <w:semiHidden/>
    <w:unhideWhenUsed/>
    <w:pPr>
      <w:spacing w:after="0" w:line="240" w:lineRule="auto"/>
    </w:pPr>
    <w:rPr>
      <w:rFonts w:ascii="Courier New" w:hAnsi="Courier New" w:cs="Courier New"/>
      <w:sz w:val="21"/>
      <w:szCs w:val="21"/>
    </w:rPr>
  </w:style>
  <w:style w:type="character" w:customStyle="1" w:styleId="PlainTextChar">
    <w:name w:val="Plain Text Char"/>
    <w:basedOn w:val="DefaultParagraphFont"/>
    <w:link w:val="PlainText"/>
    <w:uiPriority w:val="99"/>
    <w:rPr>
      <w:rFonts w:ascii="Courier New" w:hAnsi="Courier New" w:cs="Courier New"/>
      <w:sz w:val="21"/>
      <w:szCs w:val="21"/>
    </w:rPr>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NoSpacing">
    <w:name w:val="No Spacing"/>
    <w:uiPriority w:val="1"/>
    <w:qFormat/>
    <w:pPr>
      <w:spacing w:after="0" w:line="240" w:lineRule="auto"/>
    </w:pPr>
    <w:rPr>
      <w:lang w:val="en-GB"/>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Pr>
      <w:lang w:val="en-US"/>
    </w:rPr>
  </w:style>
  <w:style w:type="paragraph" w:styleId="TOC2">
    <w:name w:val="toc 2"/>
    <w:basedOn w:val="Normal"/>
    <w:next w:val="Normal"/>
    <w:uiPriority w:val="39"/>
    <w:unhideWhenUsed/>
    <w:pPr>
      <w:spacing w:after="100"/>
      <w:ind w:left="220"/>
    </w:pPr>
  </w:style>
  <w:style w:type="paragraph" w:styleId="TOC3">
    <w:name w:val="toc 3"/>
    <w:basedOn w:val="Normal"/>
    <w:next w:val="Normal"/>
    <w:uiPriority w:val="39"/>
    <w:unhideWhenUsed/>
    <w:pPr>
      <w:spacing w:after="100"/>
      <w:ind w:left="440"/>
    </w:p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Pr>
      <w:color w:val="605E5C"/>
      <w:shd w:val="clear" w:color="auto" w:fill="E1DFDD"/>
    </w:rPr>
  </w:style>
  <w:style w:type="paragraph" w:styleId="NormalWeb">
    <w:name w:val="Normal (Web)"/>
    <w:basedOn w:val="Normal"/>
    <w:uiPriority w:val="99"/>
    <w:semiHidden/>
    <w:unhideWhenUsed/>
    <w:rPr>
      <w:rFonts w:ascii="Times New Roman" w:hAnsi="Times New Roman" w:cs="Times New Roman"/>
      <w:sz w:val="24"/>
      <w:szCs w:val="24"/>
    </w:rPr>
  </w:style>
  <w:style w:type="paragraph" w:styleId="TOC1">
    <w:name w:val="toc 1"/>
    <w:basedOn w:val="Normal"/>
    <w:next w:val="Normal"/>
    <w:uiPriority w:val="39"/>
    <w:unhideWhenUsed/>
    <w:pPr>
      <w:spacing w:after="100"/>
    </w:p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customStyle="1" w:styleId="HeaderChar">
    <w:name w:val="Header Char"/>
    <w:basedOn w:val="DefaultParagraphFont"/>
    <w:link w:val="Header"/>
    <w:uiPriority w:val="99"/>
    <w:rPr>
      <w:lang w:val="en-GB"/>
    </w:rPr>
  </w:style>
  <w:style w:type="paragraph" w:styleId="Footer">
    <w:name w:val="footer"/>
    <w:basedOn w:val="Normal"/>
    <w:link w:val="FooterChar"/>
    <w:uiPriority w:val="99"/>
    <w:unhideWhenUsed/>
    <w:pPr>
      <w:tabs>
        <w:tab w:val="center" w:pos="4513"/>
        <w:tab w:val="right" w:pos="9026"/>
      </w:tabs>
      <w:spacing w:after="0" w:line="240" w:lineRule="auto"/>
    </w:pPr>
  </w:style>
  <w:style w:type="character" w:customStyle="1" w:styleId="FooterChar">
    <w:name w:val="Footer Char"/>
    <w:basedOn w:val="DefaultParagraphFont"/>
    <w:link w:val="Footer"/>
    <w:uiPriority w:val="99"/>
    <w:rPr>
      <w:lang w:val="en-GB"/>
    </w:rPr>
  </w:style>
  <w:style w:type="paragraph" w:customStyle="1" w:styleId="Font-claude-response-body">
    <w:name w:val="Font-claude-response-body"/>
    <w:basedOn w:val="Normal"/>
    <w:uiPriority w:val="99"/>
    <w:pPr>
      <w:spacing w:before="100" w:beforeAutospacing="1" w:after="100" w:afterAutospacing="1" w:line="240" w:lineRule="auto"/>
    </w:pPr>
    <w:rPr>
      <w:rFonts w:ascii="Times New Roman" w:eastAsia="Times New Roman" w:hAnsi="Times New Roman" w:cs="Times New Roman"/>
      <w:sz w:val="24"/>
      <w:szCs w:val="24"/>
      <w:lang w:val="en-IN" w:eastAsia="en-IN" w:bidi="ml-IN"/>
    </w:rPr>
  </w:style>
  <w:style w:type="character" w:styleId="Emphasis">
    <w:name w:val="Emphasis"/>
    <w:basedOn w:val="DefaultParagraphFont"/>
    <w:uiPriority w:val="20"/>
    <w:qForma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3626419">
      <w:bodyDiv w:val="1"/>
      <w:marLeft w:val="0"/>
      <w:marRight w:val="0"/>
      <w:marTop w:val="0"/>
      <w:marBottom w:val="0"/>
      <w:divBdr>
        <w:top w:val="none" w:sz="0" w:space="0" w:color="auto"/>
        <w:left w:val="none" w:sz="0" w:space="0" w:color="auto"/>
        <w:bottom w:val="none" w:sz="0" w:space="0" w:color="auto"/>
        <w:right w:val="none" w:sz="0" w:space="0" w:color="auto"/>
      </w:divBdr>
    </w:div>
    <w:div w:id="532349925">
      <w:bodyDiv w:val="1"/>
      <w:marLeft w:val="0"/>
      <w:marRight w:val="0"/>
      <w:marTop w:val="0"/>
      <w:marBottom w:val="0"/>
      <w:divBdr>
        <w:top w:val="none" w:sz="0" w:space="0" w:color="auto"/>
        <w:left w:val="none" w:sz="0" w:space="0" w:color="auto"/>
        <w:bottom w:val="none" w:sz="0" w:space="0" w:color="auto"/>
        <w:right w:val="none" w:sz="0" w:space="0" w:color="auto"/>
      </w:divBdr>
    </w:div>
    <w:div w:id="582766815">
      <w:bodyDiv w:val="1"/>
      <w:marLeft w:val="0"/>
      <w:marRight w:val="0"/>
      <w:marTop w:val="0"/>
      <w:marBottom w:val="0"/>
      <w:divBdr>
        <w:top w:val="none" w:sz="0" w:space="0" w:color="auto"/>
        <w:left w:val="none" w:sz="0" w:space="0" w:color="auto"/>
        <w:bottom w:val="none" w:sz="0" w:space="0" w:color="auto"/>
        <w:right w:val="none" w:sz="0" w:space="0" w:color="auto"/>
      </w:divBdr>
      <w:divsChild>
        <w:div w:id="864102837">
          <w:marLeft w:val="-720"/>
          <w:marRight w:val="0"/>
          <w:marTop w:val="0"/>
          <w:marBottom w:val="0"/>
          <w:divBdr>
            <w:top w:val="none" w:sz="0" w:space="0" w:color="auto"/>
            <w:left w:val="none" w:sz="0" w:space="0" w:color="auto"/>
            <w:bottom w:val="none" w:sz="0" w:space="0" w:color="auto"/>
            <w:right w:val="none" w:sz="0" w:space="0" w:color="auto"/>
          </w:divBdr>
        </w:div>
      </w:divsChild>
    </w:div>
    <w:div w:id="678968438">
      <w:bodyDiv w:val="1"/>
      <w:marLeft w:val="0"/>
      <w:marRight w:val="0"/>
      <w:marTop w:val="0"/>
      <w:marBottom w:val="0"/>
      <w:divBdr>
        <w:top w:val="none" w:sz="0" w:space="0" w:color="auto"/>
        <w:left w:val="none" w:sz="0" w:space="0" w:color="auto"/>
        <w:bottom w:val="none" w:sz="0" w:space="0" w:color="auto"/>
        <w:right w:val="none" w:sz="0" w:space="0" w:color="auto"/>
      </w:divBdr>
    </w:div>
    <w:div w:id="732654933">
      <w:bodyDiv w:val="1"/>
      <w:marLeft w:val="0"/>
      <w:marRight w:val="0"/>
      <w:marTop w:val="0"/>
      <w:marBottom w:val="0"/>
      <w:divBdr>
        <w:top w:val="none" w:sz="0" w:space="0" w:color="auto"/>
        <w:left w:val="none" w:sz="0" w:space="0" w:color="auto"/>
        <w:bottom w:val="none" w:sz="0" w:space="0" w:color="auto"/>
        <w:right w:val="none" w:sz="0" w:space="0" w:color="auto"/>
      </w:divBdr>
    </w:div>
    <w:div w:id="1225527134">
      <w:bodyDiv w:val="1"/>
      <w:marLeft w:val="0"/>
      <w:marRight w:val="0"/>
      <w:marTop w:val="0"/>
      <w:marBottom w:val="0"/>
      <w:divBdr>
        <w:top w:val="none" w:sz="0" w:space="0" w:color="auto"/>
        <w:left w:val="none" w:sz="0" w:space="0" w:color="auto"/>
        <w:bottom w:val="none" w:sz="0" w:space="0" w:color="auto"/>
        <w:right w:val="none" w:sz="0" w:space="0" w:color="auto"/>
      </w:divBdr>
    </w:div>
    <w:div w:id="1349216820">
      <w:bodyDiv w:val="1"/>
      <w:marLeft w:val="0"/>
      <w:marRight w:val="0"/>
      <w:marTop w:val="0"/>
      <w:marBottom w:val="0"/>
      <w:divBdr>
        <w:top w:val="none" w:sz="0" w:space="0" w:color="auto"/>
        <w:left w:val="none" w:sz="0" w:space="0" w:color="auto"/>
        <w:bottom w:val="none" w:sz="0" w:space="0" w:color="auto"/>
        <w:right w:val="none" w:sz="0" w:space="0" w:color="auto"/>
      </w:divBdr>
      <w:divsChild>
        <w:div w:id="1563442933">
          <w:marLeft w:val="-720"/>
          <w:marRight w:val="0"/>
          <w:marTop w:val="0"/>
          <w:marBottom w:val="0"/>
          <w:divBdr>
            <w:top w:val="none" w:sz="0" w:space="0" w:color="auto"/>
            <w:left w:val="none" w:sz="0" w:space="0" w:color="auto"/>
            <w:bottom w:val="none" w:sz="0" w:space="0" w:color="auto"/>
            <w:right w:val="none" w:sz="0" w:space="0" w:color="auto"/>
          </w:divBdr>
        </w:div>
      </w:divsChild>
    </w:div>
    <w:div w:id="1487867120">
      <w:bodyDiv w:val="1"/>
      <w:marLeft w:val="0"/>
      <w:marRight w:val="0"/>
      <w:marTop w:val="0"/>
      <w:marBottom w:val="0"/>
      <w:divBdr>
        <w:top w:val="none" w:sz="0" w:space="0" w:color="auto"/>
        <w:left w:val="none" w:sz="0" w:space="0" w:color="auto"/>
        <w:bottom w:val="none" w:sz="0" w:space="0" w:color="auto"/>
        <w:right w:val="none" w:sz="0" w:space="0" w:color="auto"/>
      </w:divBdr>
    </w:div>
    <w:div w:id="1569269566">
      <w:bodyDiv w:val="1"/>
      <w:marLeft w:val="0"/>
      <w:marRight w:val="0"/>
      <w:marTop w:val="0"/>
      <w:marBottom w:val="0"/>
      <w:divBdr>
        <w:top w:val="none" w:sz="0" w:space="0" w:color="auto"/>
        <w:left w:val="none" w:sz="0" w:space="0" w:color="auto"/>
        <w:bottom w:val="none" w:sz="0" w:space="0" w:color="auto"/>
        <w:right w:val="none" w:sz="0" w:space="0" w:color="auto"/>
      </w:divBdr>
      <w:divsChild>
        <w:div w:id="208031071">
          <w:marLeft w:val="-720"/>
          <w:marRight w:val="0"/>
          <w:marTop w:val="0"/>
          <w:marBottom w:val="0"/>
          <w:divBdr>
            <w:top w:val="none" w:sz="0" w:space="0" w:color="auto"/>
            <w:left w:val="none" w:sz="0" w:space="0" w:color="auto"/>
            <w:bottom w:val="none" w:sz="0" w:space="0" w:color="auto"/>
            <w:right w:val="none" w:sz="0" w:space="0" w:color="auto"/>
          </w:divBdr>
        </w:div>
      </w:divsChild>
    </w:div>
    <w:div w:id="1811630912">
      <w:bodyDiv w:val="1"/>
      <w:marLeft w:val="0"/>
      <w:marRight w:val="0"/>
      <w:marTop w:val="0"/>
      <w:marBottom w:val="0"/>
      <w:divBdr>
        <w:top w:val="none" w:sz="0" w:space="0" w:color="auto"/>
        <w:left w:val="none" w:sz="0" w:space="0" w:color="auto"/>
        <w:bottom w:val="none" w:sz="0" w:space="0" w:color="auto"/>
        <w:right w:val="none" w:sz="0" w:space="0" w:color="auto"/>
      </w:divBdr>
      <w:divsChild>
        <w:div w:id="439565626">
          <w:marLeft w:val="-720"/>
          <w:marRight w:val="0"/>
          <w:marTop w:val="0"/>
          <w:marBottom w:val="0"/>
          <w:divBdr>
            <w:top w:val="none" w:sz="0" w:space="0" w:color="auto"/>
            <w:left w:val="none" w:sz="0" w:space="0" w:color="auto"/>
            <w:bottom w:val="none" w:sz="0" w:space="0" w:color="auto"/>
            <w:right w:val="none" w:sz="0" w:space="0" w:color="auto"/>
          </w:divBdr>
        </w:div>
      </w:divsChild>
    </w:div>
    <w:div w:id="1979530594">
      <w:bodyDiv w:val="1"/>
      <w:marLeft w:val="0"/>
      <w:marRight w:val="0"/>
      <w:marTop w:val="0"/>
      <w:marBottom w:val="0"/>
      <w:divBdr>
        <w:top w:val="none" w:sz="0" w:space="0" w:color="auto"/>
        <w:left w:val="none" w:sz="0" w:space="0" w:color="auto"/>
        <w:bottom w:val="none" w:sz="0" w:space="0" w:color="auto"/>
        <w:right w:val="none" w:sz="0" w:space="0" w:color="auto"/>
      </w:divBdr>
      <w:divsChild>
        <w:div w:id="1408454141">
          <w:marLeft w:val="-720"/>
          <w:marRight w:val="0"/>
          <w:marTop w:val="0"/>
          <w:marBottom w:val="0"/>
          <w:divBdr>
            <w:top w:val="none" w:sz="0" w:space="0" w:color="auto"/>
            <w:left w:val="none" w:sz="0" w:space="0" w:color="auto"/>
            <w:bottom w:val="none" w:sz="0" w:space="0" w:color="auto"/>
            <w:right w:val="none" w:sz="0" w:space="0" w:color="auto"/>
          </w:divBdr>
        </w:div>
      </w:divsChild>
    </w:div>
    <w:div w:id="2097090113">
      <w:bodyDiv w:val="1"/>
      <w:marLeft w:val="0"/>
      <w:marRight w:val="0"/>
      <w:marTop w:val="0"/>
      <w:marBottom w:val="0"/>
      <w:divBdr>
        <w:top w:val="none" w:sz="0" w:space="0" w:color="auto"/>
        <w:left w:val="none" w:sz="0" w:space="0" w:color="auto"/>
        <w:bottom w:val="none" w:sz="0" w:space="0" w:color="auto"/>
        <w:right w:val="none" w:sz="0" w:space="0" w:color="auto"/>
      </w:divBdr>
      <w:divsChild>
        <w:div w:id="813721787">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providers/regulations/regulation-17-good-governance" TargetMode="External"/><Relationship Id="rId13" Type="http://schemas.openxmlformats.org/officeDocument/2006/relationships/hyperlink" Target="https://doi.org/10.1016/j.socscimed.2015.12.002" TargetMode="External"/><Relationship Id="rId18" Type="http://schemas.openxmlformats.org/officeDocument/2006/relationships/hyperlink" Target="https://doi.org/10.12968/bjon.2011.20.22.1450"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egislation.gov.uk/ukpga/2022/31/contents" TargetMode="External"/><Relationship Id="rId17" Type="http://schemas.openxmlformats.org/officeDocument/2006/relationships/hyperlink" Target="https://www.hra.nhs.uk/planning-and-improving-research/policies-standards-legislation/data-protection-and-information-governance/" TargetMode="External"/><Relationship Id="rId2" Type="http://schemas.openxmlformats.org/officeDocument/2006/relationships/numbering" Target="numbering.xml"/><Relationship Id="rId16" Type="http://schemas.openxmlformats.org/officeDocument/2006/relationships/hyperlink" Target="https://transform.england.nhs.uk/information-governance/guidance/records-management-cod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open-2022-071217" TargetMode="External"/><Relationship Id="rId5" Type="http://schemas.openxmlformats.org/officeDocument/2006/relationships/webSettings" Target="webSettings.xml"/><Relationship Id="rId15" Type="http://schemas.openxmlformats.org/officeDocument/2006/relationships/hyperlink" Target="https://doi.org/10.1136/bmjopen-2018-022202" TargetMode="External"/><Relationship Id="rId10" Type="http://schemas.openxmlformats.org/officeDocument/2006/relationships/hyperlink" Target="https://www.legislation.gov.uk/ukpga/2010/15/contents" TargetMode="External"/><Relationship Id="rId19" Type="http://schemas.openxmlformats.org/officeDocument/2006/relationships/hyperlink" Target="https://doi.org/10.1111/ijcp.12686" TargetMode="External"/><Relationship Id="rId4" Type="http://schemas.openxmlformats.org/officeDocument/2006/relationships/settings" Target="settings.xml"/><Relationship Id="rId9" Type="http://schemas.openxmlformats.org/officeDocument/2006/relationships/hyperlink" Target="https://www.legislation.gov.uk/ukpga/2018/12/contents" TargetMode="External"/><Relationship Id="rId14" Type="http://schemas.openxmlformats.org/officeDocument/2006/relationships/hyperlink" Target="https://doi.org/10.4135/9781036232481"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4E0F30-0AF1-46CB-A9A5-5E206BA908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2199</Words>
  <Characters>12537</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Ajibola Owoolapo</cp:lastModifiedBy>
  <cp:revision>2</cp:revision>
  <dcterms:created xsi:type="dcterms:W3CDTF">2026-04-23T20:35:00Z</dcterms:created>
  <dcterms:modified xsi:type="dcterms:W3CDTF">2026-04-23T20:35:00Z</dcterms:modified>
</cp:coreProperties>
</file>