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FB7BDE">
      <w:pPr>
        <w:jc w:val="center"/>
        <w:rPr>
          <w:b/>
          <w:sz w:val="32"/>
          <w:szCs w:val="32"/>
        </w:rPr>
      </w:pPr>
      <w:r>
        <w:rPr>
          <w:b/>
          <w:sz w:val="32"/>
          <w:szCs w:val="32"/>
        </w:rPr>
        <w:t xml:space="preserve">Data Handling and Business Intelligence </w:t>
      </w:r>
    </w:p>
    <w:p w:rsidR="00FB7BDE">
      <w:pPr>
        <w:jc w:val="center"/>
        <w:rPr>
          <w:b/>
          <w:sz w:val="32"/>
          <w:szCs w:val="32"/>
        </w:rPr>
      </w:pPr>
      <w:r>
        <w:rPr>
          <w:b/>
          <w:sz w:val="32"/>
          <w:szCs w:val="32"/>
        </w:rPr>
        <w:t>LCBB5000</w:t>
      </w:r>
    </w:p>
    <w:p w:rsidR="00FB7BDE">
      <w:pPr>
        <w:jc w:val="center"/>
        <w:rPr>
          <w:b/>
          <w:sz w:val="32"/>
          <w:szCs w:val="32"/>
        </w:rPr>
      </w:pPr>
      <w:r>
        <w:rPr>
          <w:b/>
          <w:sz w:val="32"/>
          <w:szCs w:val="32"/>
        </w:rPr>
        <w:t>Component 2</w:t>
      </w:r>
    </w:p>
    <w:p w:rsidR="00FB7BDE">
      <w:pPr>
        <w:jc w:val="center"/>
        <w:rPr>
          <w:b/>
          <w:sz w:val="32"/>
          <w:szCs w:val="32"/>
        </w:rPr>
      </w:pPr>
      <w:r>
        <w:br w:type="page"/>
      </w:r>
    </w:p>
    <w:sdt>
      <w:sdtPr>
        <w:id w:val="915289822"/>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rsidR="009A61F5" w:rsidRPr="009A61F5" w:rsidP="009A61F5">
          <w:pPr>
            <w:pStyle w:val="TOCHeading"/>
            <w:jc w:val="center"/>
            <w:rPr>
              <w:rFonts w:ascii="Times New Roman" w:hAnsi="Times New Roman" w:cs="Times New Roman"/>
              <w:b/>
              <w:color w:val="auto"/>
              <w:sz w:val="24"/>
            </w:rPr>
          </w:pPr>
          <w:r w:rsidRPr="009A61F5">
            <w:rPr>
              <w:rFonts w:ascii="Times New Roman" w:hAnsi="Times New Roman" w:cs="Times New Roman"/>
              <w:b/>
              <w:color w:val="auto"/>
              <w:sz w:val="24"/>
            </w:rPr>
            <w:t>Table of Contents</w:t>
          </w:r>
        </w:p>
        <w:p w:rsidR="009A61F5">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61057944" w:history="1">
            <w:r w:rsidRPr="0073590A">
              <w:rPr>
                <w:rStyle w:val="Hyperlink"/>
                <w:noProof/>
              </w:rPr>
              <w:t>Introduction</w:t>
            </w:r>
            <w:r>
              <w:rPr>
                <w:noProof/>
                <w:webHidden/>
              </w:rPr>
              <w:tab/>
            </w:r>
            <w:r>
              <w:rPr>
                <w:noProof/>
                <w:webHidden/>
              </w:rPr>
              <w:fldChar w:fldCharType="begin"/>
            </w:r>
            <w:r>
              <w:rPr>
                <w:noProof/>
                <w:webHidden/>
              </w:rPr>
              <w:instrText xml:space="preserve"> PAGEREF _Toc161057944 \h </w:instrText>
            </w:r>
            <w:r>
              <w:rPr>
                <w:noProof/>
                <w:webHidden/>
              </w:rPr>
              <w:fldChar w:fldCharType="separate"/>
            </w:r>
            <w:r>
              <w:rPr>
                <w:noProof/>
                <w:webHidden/>
              </w:rPr>
              <w:t>3</w:t>
            </w:r>
            <w:r>
              <w:rPr>
                <w:noProof/>
                <w:webHidden/>
              </w:rPr>
              <w:fldChar w:fldCharType="end"/>
            </w:r>
          </w:hyperlink>
        </w:p>
        <w:p w:rsidR="009A61F5">
          <w:pPr>
            <w:pStyle w:val="TOC1"/>
            <w:tabs>
              <w:tab w:val="right" w:leader="dot" w:pos="9350"/>
            </w:tabs>
            <w:rPr>
              <w:rFonts w:asciiTheme="minorHAnsi" w:eastAsiaTheme="minorEastAsia" w:hAnsiTheme="minorHAnsi" w:cstheme="minorBidi"/>
              <w:noProof/>
              <w:sz w:val="22"/>
              <w:szCs w:val="22"/>
            </w:rPr>
          </w:pPr>
          <w:hyperlink w:anchor="_Toc161057945" w:history="1">
            <w:r w:rsidRPr="0073590A">
              <w:rPr>
                <w:rStyle w:val="Hyperlink"/>
                <w:noProof/>
              </w:rPr>
              <w:t>Part 1: Analysing the data for the e-commerce store</w:t>
            </w:r>
            <w:r>
              <w:rPr>
                <w:noProof/>
                <w:webHidden/>
              </w:rPr>
              <w:tab/>
            </w:r>
            <w:r>
              <w:rPr>
                <w:noProof/>
                <w:webHidden/>
              </w:rPr>
              <w:fldChar w:fldCharType="begin"/>
            </w:r>
            <w:r>
              <w:rPr>
                <w:noProof/>
                <w:webHidden/>
              </w:rPr>
              <w:instrText xml:space="preserve"> PAGEREF _Toc161057945 \h </w:instrText>
            </w:r>
            <w:r>
              <w:rPr>
                <w:noProof/>
                <w:webHidden/>
              </w:rPr>
              <w:fldChar w:fldCharType="separate"/>
            </w:r>
            <w:r>
              <w:rPr>
                <w:noProof/>
                <w:webHidden/>
              </w:rPr>
              <w:t>3</w:t>
            </w:r>
            <w:r>
              <w:rPr>
                <w:noProof/>
                <w:webHidden/>
              </w:rPr>
              <w:fldChar w:fldCharType="end"/>
            </w:r>
          </w:hyperlink>
        </w:p>
        <w:p w:rsidR="009A61F5">
          <w:pPr>
            <w:pStyle w:val="TOC1"/>
            <w:tabs>
              <w:tab w:val="right" w:leader="dot" w:pos="9350"/>
            </w:tabs>
            <w:rPr>
              <w:rFonts w:asciiTheme="minorHAnsi" w:eastAsiaTheme="minorEastAsia" w:hAnsiTheme="minorHAnsi" w:cstheme="minorBidi"/>
              <w:noProof/>
              <w:sz w:val="22"/>
              <w:szCs w:val="22"/>
            </w:rPr>
          </w:pPr>
          <w:hyperlink w:anchor="_Toc161057946" w:history="1">
            <w:r w:rsidRPr="0073590A">
              <w:rPr>
                <w:rStyle w:val="Hyperlink"/>
                <w:noProof/>
              </w:rPr>
              <w:t>Part 2: Analysing the data for the local school</w:t>
            </w:r>
            <w:r>
              <w:rPr>
                <w:noProof/>
                <w:webHidden/>
              </w:rPr>
              <w:tab/>
            </w:r>
            <w:r>
              <w:rPr>
                <w:noProof/>
                <w:webHidden/>
              </w:rPr>
              <w:fldChar w:fldCharType="begin"/>
            </w:r>
            <w:r>
              <w:rPr>
                <w:noProof/>
                <w:webHidden/>
              </w:rPr>
              <w:instrText xml:space="preserve"> PAGEREF _Toc161057946 \h </w:instrText>
            </w:r>
            <w:r>
              <w:rPr>
                <w:noProof/>
                <w:webHidden/>
              </w:rPr>
              <w:fldChar w:fldCharType="separate"/>
            </w:r>
            <w:r>
              <w:rPr>
                <w:noProof/>
                <w:webHidden/>
              </w:rPr>
              <w:t>12</w:t>
            </w:r>
            <w:r>
              <w:rPr>
                <w:noProof/>
                <w:webHidden/>
              </w:rPr>
              <w:fldChar w:fldCharType="end"/>
            </w:r>
          </w:hyperlink>
        </w:p>
        <w:p w:rsidR="009A61F5">
          <w:pPr>
            <w:pStyle w:val="TOC1"/>
            <w:tabs>
              <w:tab w:val="right" w:leader="dot" w:pos="9350"/>
            </w:tabs>
            <w:rPr>
              <w:rFonts w:asciiTheme="minorHAnsi" w:eastAsiaTheme="minorEastAsia" w:hAnsiTheme="minorHAnsi" w:cstheme="minorBidi"/>
              <w:noProof/>
              <w:sz w:val="22"/>
              <w:szCs w:val="22"/>
            </w:rPr>
          </w:pPr>
          <w:hyperlink w:anchor="_Toc161057947" w:history="1">
            <w:r w:rsidRPr="0073590A">
              <w:rPr>
                <w:rStyle w:val="Hyperlink"/>
                <w:noProof/>
              </w:rPr>
              <w:t>Conclusion</w:t>
            </w:r>
            <w:r>
              <w:rPr>
                <w:noProof/>
                <w:webHidden/>
              </w:rPr>
              <w:tab/>
            </w:r>
            <w:r>
              <w:rPr>
                <w:noProof/>
                <w:webHidden/>
              </w:rPr>
              <w:fldChar w:fldCharType="begin"/>
            </w:r>
            <w:r>
              <w:rPr>
                <w:noProof/>
                <w:webHidden/>
              </w:rPr>
              <w:instrText xml:space="preserve"> PAGEREF _Toc161057947 \h </w:instrText>
            </w:r>
            <w:r>
              <w:rPr>
                <w:noProof/>
                <w:webHidden/>
              </w:rPr>
              <w:fldChar w:fldCharType="separate"/>
            </w:r>
            <w:r>
              <w:rPr>
                <w:noProof/>
                <w:webHidden/>
              </w:rPr>
              <w:t>18</w:t>
            </w:r>
            <w:r>
              <w:rPr>
                <w:noProof/>
                <w:webHidden/>
              </w:rPr>
              <w:fldChar w:fldCharType="end"/>
            </w:r>
          </w:hyperlink>
        </w:p>
        <w:p w:rsidR="009A61F5">
          <w:pPr>
            <w:pStyle w:val="TOC1"/>
            <w:tabs>
              <w:tab w:val="right" w:leader="dot" w:pos="9350"/>
            </w:tabs>
            <w:rPr>
              <w:rFonts w:asciiTheme="minorHAnsi" w:eastAsiaTheme="minorEastAsia" w:hAnsiTheme="minorHAnsi" w:cstheme="minorBidi"/>
              <w:noProof/>
              <w:sz w:val="22"/>
              <w:szCs w:val="22"/>
            </w:rPr>
          </w:pPr>
          <w:hyperlink w:anchor="_Toc161057948" w:history="1">
            <w:r w:rsidRPr="0073590A">
              <w:rPr>
                <w:rStyle w:val="Hyperlink"/>
                <w:noProof/>
              </w:rPr>
              <w:t>References</w:t>
            </w:r>
            <w:r>
              <w:rPr>
                <w:noProof/>
                <w:webHidden/>
              </w:rPr>
              <w:tab/>
            </w:r>
            <w:r>
              <w:rPr>
                <w:noProof/>
                <w:webHidden/>
              </w:rPr>
              <w:fldChar w:fldCharType="begin"/>
            </w:r>
            <w:r>
              <w:rPr>
                <w:noProof/>
                <w:webHidden/>
              </w:rPr>
              <w:instrText xml:space="preserve"> PAGEREF _Toc161057948 \h </w:instrText>
            </w:r>
            <w:r>
              <w:rPr>
                <w:noProof/>
                <w:webHidden/>
              </w:rPr>
              <w:fldChar w:fldCharType="separate"/>
            </w:r>
            <w:r>
              <w:rPr>
                <w:noProof/>
                <w:webHidden/>
              </w:rPr>
              <w:t>19</w:t>
            </w:r>
            <w:r>
              <w:rPr>
                <w:noProof/>
                <w:webHidden/>
              </w:rPr>
              <w:fldChar w:fldCharType="end"/>
            </w:r>
          </w:hyperlink>
        </w:p>
        <w:p w:rsidR="009A61F5">
          <w:r>
            <w:rPr>
              <w:b/>
              <w:bCs/>
              <w:noProof/>
            </w:rPr>
            <w:fldChar w:fldCharType="end"/>
          </w:r>
        </w:p>
      </w:sdtContent>
    </w:sdt>
    <w:p w:rsidR="00FB7BDE">
      <w:r>
        <w:br w:type="page"/>
      </w:r>
    </w:p>
    <w:p w:rsidR="00FB7BDE">
      <w:pPr>
        <w:pStyle w:val="Heading1"/>
      </w:pPr>
      <w:bookmarkStart w:id="0" w:name="_smiecyp95rwd" w:colFirst="0" w:colLast="0"/>
      <w:bookmarkStart w:id="1" w:name="_Toc161057944"/>
      <w:bookmarkEnd w:id="0"/>
      <w:r>
        <w:t>Introduction</w:t>
      </w:r>
      <w:bookmarkEnd w:id="1"/>
      <w:r>
        <w:t xml:space="preserve"> </w:t>
      </w:r>
    </w:p>
    <w:p w:rsidR="00FB7BDE">
      <w:r>
        <w:t>In the dynamic world of e-commerce, companies leverage digital platforms to expand their market reach and streamline their distribution; more consumers are making purchases online via computers and smart devices as a result of this shift in consumer behavi</w:t>
      </w:r>
      <w:r>
        <w:t xml:space="preserve">our. This essay considers a dataset that offers insights into the online sales transactions of a UK-based shop with a focus on homewares and presents. The essay also examines the differences in data analysis software, Microsoft Excel and SPSS, and closely </w:t>
      </w:r>
      <w:r>
        <w:t>examines a school dataset to understand the connections between student demographics, lunch eligibility, and academic achievement.</w:t>
      </w:r>
    </w:p>
    <w:p w:rsidR="00FB7BDE">
      <w:pPr>
        <w:pStyle w:val="Heading1"/>
      </w:pPr>
      <w:bookmarkStart w:id="2" w:name="_yld0w0wcaz7q" w:colFirst="0" w:colLast="0"/>
      <w:bookmarkStart w:id="3" w:name="_Toc161057945"/>
      <w:bookmarkEnd w:id="2"/>
      <w:r>
        <w:t>Part 1: Analysing the data for the e-commerce store</w:t>
      </w:r>
      <w:bookmarkEnd w:id="3"/>
      <w:r>
        <w:t xml:space="preserve"> </w:t>
      </w:r>
    </w:p>
    <w:p w:rsidR="00FB7BDE">
      <w:r>
        <w:t>Microsoft Excel is a popular spreadsheet program that was made by Micros</w:t>
      </w:r>
      <w:r>
        <w:t>oft; numerous tasks, including data analysis, administration, and visualisation, commonly involve its use. It is a part of the productivity tools for Microsoft Office. Excel allows the import of data from many sources, such as text files, databases, and ot</w:t>
      </w:r>
      <w:r>
        <w:t xml:space="preserve">hers. Users can clean and edit the data after it has been imported by using the built-in </w:t>
      </w:r>
      <w:r w:rsidR="009A61F5">
        <w:t>functions, formulas</w:t>
      </w:r>
      <w:r>
        <w:t>, and features; including data validation, sorting, and filtering. Excel provides a plethora of tools and functions for data analysis. To glean ins</w:t>
      </w:r>
      <w:r>
        <w:t xml:space="preserve">ights from their data, users can perform custom formula construction, statistical </w:t>
      </w:r>
      <w:r w:rsidR="009A61F5">
        <w:t>analysis, and</w:t>
      </w:r>
      <w:r>
        <w:t xml:space="preserve"> mathematical computations. Excel users may build a variety of charts to illustrate their data, including bar charts, pie charts, line graphs, and spreadsheet p</w:t>
      </w:r>
      <w:r>
        <w:t>lots; Excel provides formatting and styling tools to improve the visual attractiveness of the data representations. These charts can be altered to meet specific needs.</w:t>
      </w:r>
    </w:p>
    <w:p w:rsidR="00FB7BDE">
      <w:pPr>
        <w:rPr>
          <w:b/>
        </w:rPr>
      </w:pPr>
      <w:r>
        <w:rPr>
          <w:b/>
        </w:rPr>
        <w:t>Pre-processing the data</w:t>
      </w:r>
    </w:p>
    <w:p w:rsidR="00FB7BDE">
      <w:r>
        <w:t>In the stage of data preprocessing in data analysis, the raw dat</w:t>
      </w:r>
      <w:r>
        <w:t>a is first cleansed and then converted into functional details, so that the grade of the data can be improved and the compatibility of the data can also be improved. This stage includes the elimination of mistakes, valid handling of misplaced values, remov</w:t>
      </w:r>
      <w:r>
        <w:t>al of replications and also standardising the forms. Data cleaning, also known as data scrubbing, is a crucial phase in the processing of data that involves eliminating and identifying errors, duplicates, and superfluous information from a dataset. To gene</w:t>
      </w:r>
      <w:r>
        <w:t>rate reliable insights and create decisions that can be defended, it is necessary to ensure data quality by removing information that is inaccurate, lacking or inconsistent (Mesevage, 2021), The data is collected in this step so that it can be analysed fur</w:t>
      </w:r>
      <w:r>
        <w:t xml:space="preserve">ther; This data can be collected from various sources, which can be primary or secondary. </w:t>
      </w:r>
    </w:p>
    <w:p w:rsidR="00FB7BDE">
      <w:r>
        <w:rPr>
          <w:noProof/>
        </w:rPr>
        <w:drawing>
          <wp:inline distT="114300" distB="114300" distL="114300" distR="114300">
            <wp:extent cx="5943600" cy="2578100"/>
            <wp:effectExtent l="25400" t="25400" r="25400" b="25400"/>
            <wp:docPr id="17" name="image2.png"/>
            <wp:cNvGraphicFramePr/>
            <a:graphic xmlns:a="http://schemas.openxmlformats.org/drawingml/2006/main">
              <a:graphicData uri="http://schemas.openxmlformats.org/drawingml/2006/picture">
                <pic:pic xmlns:pic="http://schemas.openxmlformats.org/drawingml/2006/picture">
                  <pic:nvPicPr>
                    <pic:cNvPr id="17" name="image2.png"/>
                    <pic:cNvPicPr/>
                  </pic:nvPicPr>
                  <pic:blipFill>
                    <a:blip xmlns:r="http://schemas.openxmlformats.org/officeDocument/2006/relationships" r:embed="rId5"/>
                    <a:stretch>
                      <a:fillRect/>
                    </a:stretch>
                  </pic:blipFill>
                  <pic:spPr>
                    <a:xfrm>
                      <a:off x="0" y="0"/>
                      <a:ext cx="5943600" cy="2578100"/>
                    </a:xfrm>
                    <a:prstGeom prst="rect">
                      <a:avLst/>
                    </a:prstGeom>
                    <a:ln w="25400">
                      <a:solidFill>
                        <a:srgbClr val="000000"/>
                      </a:solidFill>
                      <a:prstDash val="solid"/>
                    </a:ln>
                  </pic:spPr>
                </pic:pic>
              </a:graphicData>
            </a:graphic>
          </wp:inline>
        </w:drawing>
      </w:r>
    </w:p>
    <w:p w:rsidR="00FB7BDE">
      <w:pPr>
        <w:jc w:val="center"/>
      </w:pPr>
      <w:r>
        <w:t>Snip: 1</w:t>
      </w:r>
    </w:p>
    <w:p w:rsidR="00FB7BDE">
      <w:pPr>
        <w:jc w:val="center"/>
      </w:pPr>
      <w:r>
        <w:t>(Source: Learner)</w:t>
      </w:r>
    </w:p>
    <w:p w:rsidR="00FB7BDE">
      <w:r>
        <w:t>Snip 1 under this particular case implies that the e-commerce operations data was selected for extra cleaning. This decision was made wit</w:t>
      </w:r>
      <w:r>
        <w:t>h the intention of lowering errors and raising the overall accuracy of the dataset; focusing on the subset of e-commerce data would allow for the application of particular cleaning methods to address any discrepancies or anomalies, thereby enhancing the ac</w:t>
      </w:r>
      <w:r>
        <w:t>curacy and dependability of data for subsequent processing or analysis.</w:t>
      </w:r>
    </w:p>
    <w:p w:rsidR="00FB7BDE">
      <w:r>
        <w:rPr>
          <w:noProof/>
        </w:rPr>
        <w:drawing>
          <wp:inline distT="114300" distB="114300" distL="114300" distR="114300">
            <wp:extent cx="5943600" cy="5080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xmlns:r="http://schemas.openxmlformats.org/officeDocument/2006/relationships" r:embed="rId6"/>
                    <a:stretch>
                      <a:fillRect/>
                    </a:stretch>
                  </pic:blipFill>
                  <pic:spPr>
                    <a:xfrm>
                      <a:off x="0" y="0"/>
                      <a:ext cx="5943600" cy="508000"/>
                    </a:xfrm>
                    <a:prstGeom prst="rect">
                      <a:avLst/>
                    </a:prstGeom>
                    <a:ln w="25400">
                      <a:solidFill>
                        <a:srgbClr val="000000"/>
                      </a:solidFill>
                      <a:prstDash val="solid"/>
                    </a:ln>
                  </pic:spPr>
                </pic:pic>
              </a:graphicData>
            </a:graphic>
          </wp:inline>
        </w:drawing>
      </w:r>
    </w:p>
    <w:p w:rsidR="00FB7BDE">
      <w:pPr>
        <w:jc w:val="center"/>
      </w:pPr>
      <w:r>
        <w:t>Snip: 2</w:t>
      </w:r>
    </w:p>
    <w:p w:rsidR="00FB7BDE">
      <w:pPr>
        <w:jc w:val="center"/>
      </w:pPr>
      <w:r>
        <w:t>(Source: Learner)</w:t>
      </w:r>
    </w:p>
    <w:p w:rsidR="00FB7BDE">
      <w:r>
        <w:t>The dataset was made clearer by using the Data tab of Excel and using the "Remove Duplicates" feature to eliminate any duplicate items. This particular oper</w:t>
      </w:r>
      <w:r>
        <w:t>ation was directed towards the rows pertaining to the e-commerce data spanning a full year; Duplicate values in these rows were successfully found and removed using the "Remove Duplicates" function, improving the accuracy of the e-commerce data analysis an</w:t>
      </w:r>
      <w:r>
        <w:t>d protecting the integrity of the data.</w:t>
      </w:r>
    </w:p>
    <w:p w:rsidR="00FB7BDE">
      <w:pPr>
        <w:jc w:val="center"/>
      </w:pPr>
      <w:r>
        <w:rPr>
          <w:noProof/>
        </w:rPr>
        <w:drawing>
          <wp:inline distT="114300" distB="114300" distL="114300" distR="114300">
            <wp:extent cx="4486275" cy="1209675"/>
            <wp:effectExtent l="25400" t="25400" r="25400" b="25400"/>
            <wp:docPr id="16" name="image12.png"/>
            <wp:cNvGraphicFramePr/>
            <a:graphic xmlns:a="http://schemas.openxmlformats.org/drawingml/2006/main">
              <a:graphicData uri="http://schemas.openxmlformats.org/drawingml/2006/picture">
                <pic:pic xmlns:pic="http://schemas.openxmlformats.org/drawingml/2006/picture">
                  <pic:nvPicPr>
                    <pic:cNvPr id="16" name="image12.png"/>
                    <pic:cNvPicPr/>
                  </pic:nvPicPr>
                  <pic:blipFill>
                    <a:blip xmlns:r="http://schemas.openxmlformats.org/officeDocument/2006/relationships" r:embed="rId7"/>
                    <a:stretch>
                      <a:fillRect/>
                    </a:stretch>
                  </pic:blipFill>
                  <pic:spPr>
                    <a:xfrm>
                      <a:off x="0" y="0"/>
                      <a:ext cx="4486275" cy="1209675"/>
                    </a:xfrm>
                    <a:prstGeom prst="rect">
                      <a:avLst/>
                    </a:prstGeom>
                    <a:ln w="25400">
                      <a:solidFill>
                        <a:srgbClr val="000000"/>
                      </a:solidFill>
                      <a:prstDash val="solid"/>
                    </a:ln>
                  </pic:spPr>
                </pic:pic>
              </a:graphicData>
            </a:graphic>
          </wp:inline>
        </w:drawing>
      </w:r>
    </w:p>
    <w:p w:rsidR="00FB7BDE">
      <w:pPr>
        <w:jc w:val="center"/>
      </w:pPr>
      <w:r>
        <w:t>Snip: 3</w:t>
      </w:r>
    </w:p>
    <w:p w:rsidR="00FB7BDE">
      <w:pPr>
        <w:jc w:val="center"/>
      </w:pPr>
      <w:r>
        <w:t>(Source: Learner)</w:t>
      </w:r>
    </w:p>
    <w:p w:rsidR="00FB7BDE">
      <w:r>
        <w:t xml:space="preserve">Using the “remove duplicate function in Excel, 770 duplicates were discovered from the total, after which 64765 values remained for further cleaning and analysis (Snip 3). Duplicates must </w:t>
      </w:r>
      <w:r>
        <w:t>be removed during data cleaning since they can introduce bias, errors and noise, in analysis and modelling; Duplicate results can affect prediction outcomes, leading to incorrect insights and potentially bad business decisions (Facer, 2020).</w:t>
      </w:r>
    </w:p>
    <w:p w:rsidR="00FB7BDE">
      <w:pPr>
        <w:jc w:val="center"/>
      </w:pPr>
      <w:r>
        <w:rPr>
          <w:noProof/>
        </w:rPr>
        <w:drawing>
          <wp:inline distT="114300" distB="114300" distL="114300" distR="114300">
            <wp:extent cx="4791075" cy="3924300"/>
            <wp:effectExtent l="25400" t="25400" r="25400" b="2540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xmlns:r="http://schemas.openxmlformats.org/officeDocument/2006/relationships" r:embed="rId8"/>
                    <a:stretch>
                      <a:fillRect/>
                    </a:stretch>
                  </pic:blipFill>
                  <pic:spPr>
                    <a:xfrm>
                      <a:off x="0" y="0"/>
                      <a:ext cx="4791075" cy="3924300"/>
                    </a:xfrm>
                    <a:prstGeom prst="rect">
                      <a:avLst/>
                    </a:prstGeom>
                    <a:ln w="25400">
                      <a:solidFill>
                        <a:srgbClr val="000000"/>
                      </a:solidFill>
                      <a:prstDash val="solid"/>
                    </a:ln>
                  </pic:spPr>
                </pic:pic>
              </a:graphicData>
            </a:graphic>
          </wp:inline>
        </w:drawing>
      </w:r>
    </w:p>
    <w:p w:rsidR="00FB7BDE">
      <w:pPr>
        <w:jc w:val="center"/>
      </w:pPr>
      <w:r>
        <w:t>Snip: 4</w:t>
      </w:r>
    </w:p>
    <w:p w:rsidR="00FB7BDE">
      <w:pPr>
        <w:jc w:val="center"/>
      </w:pPr>
      <w:r>
        <w:t>(Sou</w:t>
      </w:r>
      <w:r>
        <w:t>rce: Learner)</w:t>
      </w:r>
    </w:p>
    <w:p w:rsidR="00FB7BDE">
      <w:r>
        <w:t xml:space="preserve">Certain entries in the "date" column were text values rather than dates, therefore formatting adjustments had to be made. The "Text to Columns Wizard," an internal Excel tool, was used to </w:t>
      </w:r>
      <w:r>
        <w:t>remedy this discrepancy; by effortlessly converting th</w:t>
      </w:r>
      <w:r>
        <w:t>e textual entries into the proper date format, this tool was essential in ensuring accuracy and consistency throughout the dataset.</w:t>
      </w:r>
    </w:p>
    <w:p w:rsidR="00FB7BDE">
      <w:pPr>
        <w:jc w:val="center"/>
      </w:pPr>
      <w:r>
        <w:rPr>
          <w:noProof/>
        </w:rPr>
        <w:drawing>
          <wp:inline distT="114300" distB="114300" distL="114300" distR="114300">
            <wp:extent cx="3448050" cy="2124075"/>
            <wp:effectExtent l="25400" t="25400" r="25400" b="25400"/>
            <wp:docPr id="12" name="image15.png"/>
            <wp:cNvGraphicFramePr/>
            <a:graphic xmlns:a="http://schemas.openxmlformats.org/drawingml/2006/main">
              <a:graphicData uri="http://schemas.openxmlformats.org/drawingml/2006/picture">
                <pic:pic xmlns:pic="http://schemas.openxmlformats.org/drawingml/2006/picture">
                  <pic:nvPicPr>
                    <pic:cNvPr id="12" name="image15.png"/>
                    <pic:cNvPicPr/>
                  </pic:nvPicPr>
                  <pic:blipFill>
                    <a:blip xmlns:r="http://schemas.openxmlformats.org/officeDocument/2006/relationships" r:embed="rId9"/>
                    <a:stretch>
                      <a:fillRect/>
                    </a:stretch>
                  </pic:blipFill>
                  <pic:spPr>
                    <a:xfrm>
                      <a:off x="0" y="0"/>
                      <a:ext cx="3448050" cy="2124075"/>
                    </a:xfrm>
                    <a:prstGeom prst="rect">
                      <a:avLst/>
                    </a:prstGeom>
                    <a:ln w="25400">
                      <a:solidFill>
                        <a:srgbClr val="000000"/>
                      </a:solidFill>
                      <a:prstDash val="solid"/>
                    </a:ln>
                  </pic:spPr>
                </pic:pic>
              </a:graphicData>
            </a:graphic>
          </wp:inline>
        </w:drawing>
      </w:r>
    </w:p>
    <w:p w:rsidR="00FB7BDE">
      <w:pPr>
        <w:jc w:val="center"/>
      </w:pPr>
      <w:r>
        <w:t>Snip: 5</w:t>
      </w:r>
    </w:p>
    <w:p w:rsidR="00FB7BDE">
      <w:pPr>
        <w:jc w:val="center"/>
      </w:pPr>
      <w:r>
        <w:t>(Source: Learner)</w:t>
      </w:r>
    </w:p>
    <w:p w:rsidR="00FB7BDE">
      <w:r>
        <w:t>For further filtering the data, the custom auto filter was used to filter the values which were less than zero, so that the error can be decreased further. Data filtering is essential to data analysis because it makes it possible to exclude irrelevant or i</w:t>
      </w:r>
      <w:r>
        <w:t>naccurate data; allowing the study to concentrate on particular information subsets according to predetermined standards. This procedure eliminates unnecessary or inaccurate suggestions, leading to more accurate conclusions and insights (Facer, 2020).</w:t>
      </w:r>
    </w:p>
    <w:p w:rsidR="00FB7BDE">
      <w:pPr>
        <w:jc w:val="left"/>
        <w:rPr>
          <w:b/>
        </w:rPr>
      </w:pPr>
      <w:r>
        <w:rPr>
          <w:b/>
        </w:rPr>
        <w:t>Anal</w:t>
      </w:r>
      <w:r>
        <w:rPr>
          <w:b/>
        </w:rPr>
        <w:t>ysing the data</w:t>
      </w:r>
    </w:p>
    <w:p w:rsidR="00FB7BDE">
      <w:r>
        <w:t>Excel facilitates the process of data analysis by providing a multitude of functionalities and tools that are necessary and among the crucial components are pivot tables, pivot charts,  conditional formatting, dashboards, and methods like XL</w:t>
      </w:r>
      <w:r>
        <w:t>OOKUP, MATCH, and RANK (Tuttle, 2023). Effective data management, assessment and analysis are made possible by these instruments; With the help of the Analysis ToolPak add-in, which provides strong data analysis capabilities for intricate computations, reg</w:t>
      </w:r>
      <w:r>
        <w:t xml:space="preserve">ression analysis is also achievable in Excel. For analysing the data, pivot charts and the internal functions of Excel were used for the case of the e-commerce store. </w:t>
      </w:r>
    </w:p>
    <w:p w:rsidR="00FB7BDE">
      <w:pPr>
        <w:jc w:val="center"/>
      </w:pPr>
      <w:r>
        <w:rPr>
          <w:noProof/>
        </w:rPr>
        <w:drawing>
          <wp:inline distT="114300" distB="114300" distL="114300" distR="114300">
            <wp:extent cx="3333750" cy="3819525"/>
            <wp:effectExtent l="25400" t="25400" r="25400" b="25400"/>
            <wp:docPr id="10" name="image11.png"/>
            <wp:cNvGraphicFramePr/>
            <a:graphic xmlns:a="http://schemas.openxmlformats.org/drawingml/2006/main">
              <a:graphicData uri="http://schemas.openxmlformats.org/drawingml/2006/picture">
                <pic:pic xmlns:pic="http://schemas.openxmlformats.org/drawingml/2006/picture">
                  <pic:nvPicPr>
                    <pic:cNvPr id="10" name="image11.png"/>
                    <pic:cNvPicPr/>
                  </pic:nvPicPr>
                  <pic:blipFill>
                    <a:blip xmlns:r="http://schemas.openxmlformats.org/officeDocument/2006/relationships" r:embed="rId10"/>
                    <a:stretch>
                      <a:fillRect/>
                    </a:stretch>
                  </pic:blipFill>
                  <pic:spPr>
                    <a:xfrm>
                      <a:off x="0" y="0"/>
                      <a:ext cx="3333750" cy="3819525"/>
                    </a:xfrm>
                    <a:prstGeom prst="rect">
                      <a:avLst/>
                    </a:prstGeom>
                    <a:ln w="25400">
                      <a:solidFill>
                        <a:srgbClr val="000000"/>
                      </a:solidFill>
                      <a:prstDash val="solid"/>
                    </a:ln>
                  </pic:spPr>
                </pic:pic>
              </a:graphicData>
            </a:graphic>
          </wp:inline>
        </w:drawing>
      </w:r>
    </w:p>
    <w:p w:rsidR="00FB7BDE">
      <w:pPr>
        <w:jc w:val="center"/>
      </w:pPr>
      <w:r>
        <w:t>Snip: 6</w:t>
      </w:r>
    </w:p>
    <w:p w:rsidR="00FB7BDE">
      <w:pPr>
        <w:jc w:val="center"/>
      </w:pPr>
      <w:r>
        <w:t>(Source: Learner)</w:t>
      </w:r>
    </w:p>
    <w:p w:rsidR="00FB7BDE">
      <w:r>
        <w:t>Analysing the e-commerce dataset, it was observed that the s</w:t>
      </w:r>
      <w:r>
        <w:t xml:space="preserve">tore the product that was cancelled most was the “Paper Craft Little Birdie”. The product with the second highest quantity cancellation was the “Asstd design 3D Paper stickers”; thus, the company can further analyse the factors that the products have that </w:t>
      </w:r>
      <w:r>
        <w:t xml:space="preserve">are leading to cancellation and invest more to curb those factors for further increasing their sales.  </w:t>
      </w:r>
    </w:p>
    <w:p w:rsidR="00FB7BDE">
      <w:pPr>
        <w:jc w:val="left"/>
        <w:rPr>
          <w:b/>
        </w:rPr>
      </w:pPr>
      <w:r>
        <w:rPr>
          <w:b/>
        </w:rPr>
        <w:t>Visualising the data</w:t>
      </w:r>
    </w:p>
    <w:p w:rsidR="00FB7BDE">
      <w:r>
        <w:t xml:space="preserve">Visualisation of the data is important it can help in understanding complex information with the help of visual representation. It </w:t>
      </w:r>
      <w:r>
        <w:t>helps in the identification of trends, patterns and other valuable insights from the data and the decision-making process can also be enhanced by the insights gained from visualisation (Unwin, 2020). In order to make data easier to interpret, Excel data vi</w:t>
      </w:r>
      <w:r>
        <w:t xml:space="preserve">sualisation entails generating graphical representations of the data. Numerous chart kinds, including bar, column, line, pie, scatter, and others, are available in Excel. </w:t>
      </w:r>
    </w:p>
    <w:p w:rsidR="00FB7BDE">
      <w:pPr>
        <w:jc w:val="left"/>
      </w:pPr>
      <w:r>
        <w:rPr>
          <w:noProof/>
        </w:rPr>
        <w:drawing>
          <wp:inline distT="114300" distB="114300" distL="114300" distR="114300">
            <wp:extent cx="5943600" cy="3746500"/>
            <wp:effectExtent l="25400" t="25400" r="25400" b="25400"/>
            <wp:docPr id="11" name="image10.png"/>
            <wp:cNvGraphicFramePr/>
            <a:graphic xmlns:a="http://schemas.openxmlformats.org/drawingml/2006/main">
              <a:graphicData uri="http://schemas.openxmlformats.org/drawingml/2006/picture">
                <pic:pic xmlns:pic="http://schemas.openxmlformats.org/drawingml/2006/picture">
                  <pic:nvPicPr>
                    <pic:cNvPr id="11" name="image10.png"/>
                    <pic:cNvPicPr/>
                  </pic:nvPicPr>
                  <pic:blipFill>
                    <a:blip xmlns:r="http://schemas.openxmlformats.org/officeDocument/2006/relationships" r:embed="rId11"/>
                    <a:stretch>
                      <a:fillRect/>
                    </a:stretch>
                  </pic:blipFill>
                  <pic:spPr>
                    <a:xfrm>
                      <a:off x="0" y="0"/>
                      <a:ext cx="5943600" cy="3746500"/>
                    </a:xfrm>
                    <a:prstGeom prst="rect">
                      <a:avLst/>
                    </a:prstGeom>
                    <a:ln w="25400">
                      <a:solidFill>
                        <a:srgbClr val="000000"/>
                      </a:solidFill>
                      <a:prstDash val="solid"/>
                    </a:ln>
                  </pic:spPr>
                </pic:pic>
              </a:graphicData>
            </a:graphic>
          </wp:inline>
        </w:drawing>
      </w:r>
    </w:p>
    <w:p w:rsidR="00FB7BDE">
      <w:pPr>
        <w:jc w:val="center"/>
      </w:pPr>
      <w:r>
        <w:t>Snip: 7</w:t>
      </w:r>
    </w:p>
    <w:p w:rsidR="00FB7BDE">
      <w:pPr>
        <w:jc w:val="center"/>
      </w:pPr>
      <w:r>
        <w:t>(Source: Learner)</w:t>
      </w:r>
    </w:p>
    <w:p w:rsidR="00FB7BDE">
      <w:r>
        <w:t>Overall, the product's cancellation rate remained within a tolerable range, exhibiting a steady trend for the bulk of the goods. However, one product, in particular, stood out since it was cancelled considerably more frequently than the others, which was t</w:t>
      </w:r>
      <w:r>
        <w:t>he “Papercraft Little Birdie”; given this significant shift, the company may want to consider discontinuing this particular product line. This will allow the company to allocate resources to a comprehensive analysis of the underlying reasons for the abnorm</w:t>
      </w:r>
      <w:r>
        <w:t>ally high cancellation rate. The company will be able to identify and address any systemic difficulties or product-related problems by implementing this strategic decision, increasing consumer satisfaction levels for its whole product line and safeguarding</w:t>
      </w:r>
      <w:r>
        <w:t xml:space="preserve"> its reputation.</w:t>
      </w:r>
    </w:p>
    <w:p w:rsidR="00FB7BDE"/>
    <w:p w:rsidR="00FB7BDE"/>
    <w:p w:rsidR="00FB7BDE">
      <w:pPr>
        <w:jc w:val="center"/>
      </w:pPr>
      <w:r>
        <w:rPr>
          <w:noProof/>
        </w:rPr>
        <w:drawing>
          <wp:inline distT="114300" distB="114300" distL="114300" distR="114300">
            <wp:extent cx="5557838" cy="3348953"/>
            <wp:effectExtent l="25400" t="25400" r="25400" b="25400"/>
            <wp:docPr id="9" name="image18.png"/>
            <wp:cNvGraphicFramePr/>
            <a:graphic xmlns:a="http://schemas.openxmlformats.org/drawingml/2006/main">
              <a:graphicData uri="http://schemas.openxmlformats.org/drawingml/2006/picture">
                <pic:pic xmlns:pic="http://schemas.openxmlformats.org/drawingml/2006/picture">
                  <pic:nvPicPr>
                    <pic:cNvPr id="9" name="image18.png"/>
                    <pic:cNvPicPr/>
                  </pic:nvPicPr>
                  <pic:blipFill>
                    <a:blip xmlns:r="http://schemas.openxmlformats.org/officeDocument/2006/relationships" r:embed="rId12"/>
                    <a:stretch>
                      <a:fillRect/>
                    </a:stretch>
                  </pic:blipFill>
                  <pic:spPr>
                    <a:xfrm>
                      <a:off x="0" y="0"/>
                      <a:ext cx="5557838" cy="3348953"/>
                    </a:xfrm>
                    <a:prstGeom prst="rect">
                      <a:avLst/>
                    </a:prstGeom>
                    <a:ln w="25400">
                      <a:solidFill>
                        <a:srgbClr val="000000"/>
                      </a:solidFill>
                      <a:prstDash val="solid"/>
                    </a:ln>
                  </pic:spPr>
                </pic:pic>
              </a:graphicData>
            </a:graphic>
          </wp:inline>
        </w:drawing>
      </w:r>
    </w:p>
    <w:p w:rsidR="00FB7BDE">
      <w:pPr>
        <w:jc w:val="center"/>
      </w:pPr>
      <w:r>
        <w:t>Snip: 8</w:t>
      </w:r>
    </w:p>
    <w:p w:rsidR="00FB7BDE">
      <w:pPr>
        <w:jc w:val="center"/>
      </w:pPr>
      <w:r>
        <w:t>(Source: Learner)</w:t>
      </w:r>
    </w:p>
    <w:p w:rsidR="00FB7BDE">
      <w:r>
        <w:t>“Paper Craft Little Birdie” had the highest sales in the year 2019, but it also had many cancellations, such that many customers were ordering it but for some reason, they are cancelling those orders. The e-co</w:t>
      </w:r>
      <w:r>
        <w:t>mmerce store can study those factors like those that are attracting the customers to order the item and factors that are leading them to cancel it. This can help the company to improve their systems of the website and improve their state of cancellation.</w:t>
      </w:r>
    </w:p>
    <w:p w:rsidR="00FB7BDE">
      <w:pPr>
        <w:jc w:val="left"/>
      </w:pPr>
    </w:p>
    <w:p w:rsidR="00FB7BDE">
      <w:pPr>
        <w:jc w:val="left"/>
      </w:pPr>
      <w:r>
        <w:rPr>
          <w:noProof/>
        </w:rPr>
        <w:drawing>
          <wp:inline distT="114300" distB="114300" distL="114300" distR="114300">
            <wp:extent cx="5943600" cy="2997200"/>
            <wp:effectExtent l="25400" t="25400" r="25400" b="25400"/>
            <wp:docPr id="20" name="image3.png"/>
            <wp:cNvGraphicFramePr/>
            <a:graphic xmlns:a="http://schemas.openxmlformats.org/drawingml/2006/main">
              <a:graphicData uri="http://schemas.openxmlformats.org/drawingml/2006/picture">
                <pic:pic xmlns:pic="http://schemas.openxmlformats.org/drawingml/2006/picture">
                  <pic:nvPicPr>
                    <pic:cNvPr id="20" name="image3.png"/>
                    <pic:cNvPicPr/>
                  </pic:nvPicPr>
                  <pic:blipFill>
                    <a:blip xmlns:r="http://schemas.openxmlformats.org/officeDocument/2006/relationships" r:embed="rId13"/>
                    <a:stretch>
                      <a:fillRect/>
                    </a:stretch>
                  </pic:blipFill>
                  <pic:spPr>
                    <a:xfrm>
                      <a:off x="0" y="0"/>
                      <a:ext cx="5943600" cy="2997200"/>
                    </a:xfrm>
                    <a:prstGeom prst="rect">
                      <a:avLst/>
                    </a:prstGeom>
                    <a:ln w="25400">
                      <a:solidFill>
                        <a:srgbClr val="000000"/>
                      </a:solidFill>
                      <a:prstDash val="solid"/>
                    </a:ln>
                  </pic:spPr>
                </pic:pic>
              </a:graphicData>
            </a:graphic>
          </wp:inline>
        </w:drawing>
      </w:r>
    </w:p>
    <w:p w:rsidR="00FB7BDE">
      <w:pPr>
        <w:jc w:val="center"/>
      </w:pPr>
      <w:r>
        <w:t>Snip: 9</w:t>
      </w:r>
    </w:p>
    <w:p w:rsidR="00FB7BDE">
      <w:pPr>
        <w:jc w:val="center"/>
      </w:pPr>
      <w:r>
        <w:t>(Source: Learner)</w:t>
      </w:r>
    </w:p>
    <w:p w:rsidR="00FB7BDE">
      <w:r>
        <w:t>The e-commerce site's greatest income level was attained in the UK, demonstrating the effectiveness of its UK market marketing strategy. This achievement provides the company with an invaluable learning opportunity as it demonst</w:t>
      </w:r>
      <w:r>
        <w:t>rates strategies and tactics that work well and can be used in other contexts to boost sales success. The company may develop a thorough plan for expanding into other markets by looking closely at the factors that have led to this success, such as market s</w:t>
      </w:r>
      <w:r>
        <w:t>egmentation,  targeted advertising campaigns,  user experience optimisation, and customer contact strategies; through the use of insights gained from the UK market, the company can modify its approach to suit the unique characteristics and preferences of d</w:t>
      </w:r>
      <w:r>
        <w:t>ifferent regions, thus enhancing its chances of global growth and financial prosperity.</w:t>
      </w:r>
    </w:p>
    <w:p w:rsidR="00FB7BDE" w:rsidP="009A61F5">
      <w:bookmarkStart w:id="4" w:name="_3ivat7yfi05e" w:colFirst="0" w:colLast="0"/>
      <w:bookmarkEnd w:id="4"/>
      <w:r>
        <w:rPr>
          <w:noProof/>
        </w:rPr>
        <w:drawing>
          <wp:inline distT="114300" distB="114300" distL="114300" distR="114300">
            <wp:extent cx="5586413" cy="2909590"/>
            <wp:effectExtent l="25400" t="25400" r="25400" b="25400"/>
            <wp:docPr id="13" name="image19.png"/>
            <wp:cNvGraphicFramePr/>
            <a:graphic xmlns:a="http://schemas.openxmlformats.org/drawingml/2006/main">
              <a:graphicData uri="http://schemas.openxmlformats.org/drawingml/2006/picture">
                <pic:pic xmlns:pic="http://schemas.openxmlformats.org/drawingml/2006/picture">
                  <pic:nvPicPr>
                    <pic:cNvPr id="13" name="image19.png"/>
                    <pic:cNvPicPr/>
                  </pic:nvPicPr>
                  <pic:blipFill>
                    <a:blip xmlns:r="http://schemas.openxmlformats.org/officeDocument/2006/relationships" r:embed="rId14"/>
                    <a:stretch>
                      <a:fillRect/>
                    </a:stretch>
                  </pic:blipFill>
                  <pic:spPr>
                    <a:xfrm>
                      <a:off x="0" y="0"/>
                      <a:ext cx="5586413" cy="2909590"/>
                    </a:xfrm>
                    <a:prstGeom prst="rect">
                      <a:avLst/>
                    </a:prstGeom>
                    <a:ln w="25400">
                      <a:solidFill>
                        <a:srgbClr val="000000"/>
                      </a:solidFill>
                      <a:prstDash val="solid"/>
                    </a:ln>
                  </pic:spPr>
                </pic:pic>
              </a:graphicData>
            </a:graphic>
          </wp:inline>
        </w:drawing>
      </w:r>
    </w:p>
    <w:p w:rsidR="00FB7BDE">
      <w:pPr>
        <w:jc w:val="center"/>
      </w:pPr>
      <w:r>
        <w:t>Snip: 10</w:t>
      </w:r>
    </w:p>
    <w:p w:rsidR="00FB7BDE">
      <w:pPr>
        <w:jc w:val="center"/>
      </w:pPr>
      <w:r>
        <w:t>(Source: Learner)</w:t>
      </w:r>
    </w:p>
    <w:p w:rsidR="00FB7BDE">
      <w:r>
        <w:t>The eCommerce Store has had varying sales over the months of 2019. The eCommerce store's sales decreased during the course of the first several months and persisted in doing so until April;  However, things began to improve in April and remained that way t</w:t>
      </w:r>
      <w:r>
        <w:t xml:space="preserve">hrough May as sales started to increase (Snip 10). Sales peaked in September and October when they were at their highest point. However, this successful period was short-lived, as sales fell off significantly in the following years. This trend illustrates </w:t>
      </w:r>
      <w:r>
        <w:t xml:space="preserve">the irregular nature of the sales performance of the eCommerce store and it highlights how important it is for the store to look closely at these variations and gather relevant data to inform its marketing strategies. Understanding the fundamental reasons </w:t>
      </w:r>
      <w:r>
        <w:t>behind both increases and decreases in sales will enable the store to develop targeted marketing programs; that capitalise on expanding times and mitigate downturns. This proactive approach will enable the store to better adapt to changing market condition</w:t>
      </w:r>
      <w:r>
        <w:t>s and sustain long-term success.</w:t>
      </w:r>
    </w:p>
    <w:p w:rsidR="00FB7BDE">
      <w:pPr>
        <w:rPr>
          <w:b/>
        </w:rPr>
      </w:pPr>
      <w:r>
        <w:rPr>
          <w:b/>
        </w:rPr>
        <w:t xml:space="preserve">Recommendations for the e-commerce store </w:t>
      </w:r>
    </w:p>
    <w:p w:rsidR="00FB7BDE">
      <w:r>
        <w:t>A thorough strategy can be created to raise the company's profitability using the insights gleaned from the analysis of the e-commerce dataset. The business might focus on enhancing</w:t>
      </w:r>
      <w:r>
        <w:t xml:space="preserve"> customer service and product optimisation. Through careful examination of products with high cancellation rates, such as "Paper Craft Little Birdie" and "Asstd design 3D Paper stickers," the company will be able to identify and resolve the issues that cau</w:t>
      </w:r>
      <w:r>
        <w:t xml:space="preserve">se cancellations; this could mean increased quality, and improved customer service or accelerated logistics. Profitability can also be increased </w:t>
      </w:r>
      <w:r>
        <w:t>by promoting consumer involvement through customised experiences and reward programs, which will increase brand</w:t>
      </w:r>
      <w:r>
        <w:t xml:space="preserve"> loyalty and repeat business (Rane, Achari and Choudhary 2023). Refinement of marketing strategy through data-driven insights can yield substantial gains. The organisation should prioritise channels and activities that offer a high Return On Investment (RO</w:t>
      </w:r>
      <w:r>
        <w:t>I), as long as it is in line with client preferences. Effective market efforts in the UK can yield insightful data for tailored advertising campaigns; that target specific demographics and geographic regions. Investing in website optimisation to enhance us</w:t>
      </w:r>
      <w:r>
        <w:t xml:space="preserve">er experience and speed up the purchasing process will boost revenue development and conversion rates (Mnyakin, 2020). It is crucial to take advantage of growth prospects in promising markets. Building on the UK market's success, the business can create a </w:t>
      </w:r>
      <w:r>
        <w:t>thorough expansion strategy suitable for other desirable locations. To ensure that product offerings and marketing messaging are appealing to a wide range of consumers, localisation activities will be guided by market research; examining potential strategi</w:t>
      </w:r>
      <w:r>
        <w:t>c alliances with nearby merchants or online companies could make it easier to enter new markets and encourage expansion (Spieth, Laudien and Meissner, 2021).</w:t>
      </w:r>
    </w:p>
    <w:p w:rsidR="00FB7BDE">
      <w:r>
        <w:t xml:space="preserve">For the method to be effective, ongoing observation and adjustment are necessary. Key performance </w:t>
      </w:r>
      <w:r>
        <w:t>indicators (KPIs) can be tracked in real-time; this can be done with the help of robust analytics frameworks, allowing businesses to react swiftly to shifting market conditions. Fostering a culture of data-driven decision-making improves organisational agi</w:t>
      </w:r>
      <w:r>
        <w:t>lity by streamlining resource allocation and goal alignment (Fabian, 2020). The company may improve its standing in the competitive e-commerce market. It can do so by promoting long-term growth and maximising profitability by implementing this comprehensiv</w:t>
      </w:r>
      <w:r>
        <w:t>e approach. Through the synergistic combination of product optimisation, strategic expansion, adaptive management, and focused marketing, the company can seize opportunities, navigate difficult circumstances, and deliver long-term value to stakeholders.</w:t>
      </w:r>
    </w:p>
    <w:p w:rsidR="00FB7BDE">
      <w:pPr>
        <w:pStyle w:val="Heading1"/>
      </w:pPr>
      <w:bookmarkStart w:id="5" w:name="_5syjq1h3u4he" w:colFirst="0" w:colLast="0"/>
      <w:bookmarkStart w:id="6" w:name="_Toc161057946"/>
      <w:bookmarkEnd w:id="5"/>
      <w:r>
        <w:t>Pa</w:t>
      </w:r>
      <w:r>
        <w:t>rt 2: Analysing the data for the local school</w:t>
      </w:r>
      <w:bookmarkEnd w:id="6"/>
      <w:r>
        <w:t xml:space="preserve"> </w:t>
      </w:r>
    </w:p>
    <w:p w:rsidR="00FB7BDE">
      <w:r>
        <w:t>The Package of Statistics, for the Social Sciences, or SPSS, is software used to analyze statistical data; IBM acquired SPSS Inc. in 2009 after the company started developing it in 1968 (Geneva, 2021).  SPSS i</w:t>
      </w:r>
      <w:r>
        <w:t>s widely used in, marketing, healthcare education research, and other industries to assess, consumer databases, survey results, scientific research data, and more. Among the data formats it supports are spreadsheets, plain text files and relational databas</w:t>
      </w:r>
      <w:r>
        <w:t xml:space="preserve">es, Tools for group </w:t>
      </w:r>
      <w:r>
        <w:t xml:space="preserve">identification, bivariate and numerical outcome prediction, descriptive statistics, graphing,  data processing, and direct marketing are all included in the package (Alchemer, 2021). </w:t>
      </w:r>
    </w:p>
    <w:p w:rsidR="00FB7BDE"/>
    <w:p w:rsidR="00FB7BDE">
      <w:pPr>
        <w:jc w:val="center"/>
      </w:pPr>
      <w:r>
        <w:rPr>
          <w:noProof/>
        </w:rPr>
        <w:drawing>
          <wp:inline distT="114300" distB="114300" distL="114300" distR="114300">
            <wp:extent cx="1495425" cy="106680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xmlns:r="http://schemas.openxmlformats.org/officeDocument/2006/relationships" r:embed="rId15"/>
                    <a:stretch>
                      <a:fillRect/>
                    </a:stretch>
                  </pic:blipFill>
                  <pic:spPr>
                    <a:xfrm>
                      <a:off x="0" y="0"/>
                      <a:ext cx="1495425" cy="1066800"/>
                    </a:xfrm>
                    <a:prstGeom prst="rect">
                      <a:avLst/>
                    </a:prstGeom>
                    <a:ln w="25400">
                      <a:solidFill>
                        <a:srgbClr val="000000"/>
                      </a:solidFill>
                      <a:prstDash val="solid"/>
                    </a:ln>
                  </pic:spPr>
                </pic:pic>
              </a:graphicData>
            </a:graphic>
          </wp:inline>
        </w:drawing>
      </w:r>
    </w:p>
    <w:p w:rsidR="00FB7BDE">
      <w:pPr>
        <w:jc w:val="center"/>
      </w:pPr>
      <w:r>
        <w:t>Snip: 11</w:t>
      </w:r>
    </w:p>
    <w:p w:rsidR="00FB7BDE">
      <w:pPr>
        <w:jc w:val="center"/>
      </w:pPr>
      <w:r>
        <w:t>(Source: Learner)</w:t>
      </w:r>
    </w:p>
    <w:p w:rsidR="00FB7BDE">
      <w:r>
        <w:t xml:space="preserve">In this case, to find </w:t>
      </w:r>
      <w:r>
        <w:t>meaningful insights from the free lunch distribution in the local School many statistical devices were utilised. The distribution of the gender in the case of the local school was quite similar for males and females,  such that there were 1056 female stude</w:t>
      </w:r>
      <w:r>
        <w:t>nts and 1077 male students, totalling about 2133 (Snip 11).</w:t>
      </w:r>
    </w:p>
    <w:p w:rsidR="00FB7BDE">
      <w:pPr>
        <w:jc w:val="center"/>
      </w:pPr>
      <w:r>
        <w:rPr>
          <w:noProof/>
        </w:rPr>
        <w:drawing>
          <wp:inline distT="114300" distB="114300" distL="114300" distR="114300">
            <wp:extent cx="2466975" cy="1047750"/>
            <wp:effectExtent l="25400" t="25400" r="25400" b="25400"/>
            <wp:docPr id="8" name="image17.png"/>
            <wp:cNvGraphicFramePr/>
            <a:graphic xmlns:a="http://schemas.openxmlformats.org/drawingml/2006/main">
              <a:graphicData uri="http://schemas.openxmlformats.org/drawingml/2006/picture">
                <pic:pic xmlns:pic="http://schemas.openxmlformats.org/drawingml/2006/picture">
                  <pic:nvPicPr>
                    <pic:cNvPr id="8" name="image17.png"/>
                    <pic:cNvPicPr/>
                  </pic:nvPicPr>
                  <pic:blipFill>
                    <a:blip xmlns:r="http://schemas.openxmlformats.org/officeDocument/2006/relationships" r:embed="rId16"/>
                    <a:stretch>
                      <a:fillRect/>
                    </a:stretch>
                  </pic:blipFill>
                  <pic:spPr>
                    <a:xfrm>
                      <a:off x="0" y="0"/>
                      <a:ext cx="2466975" cy="1047750"/>
                    </a:xfrm>
                    <a:prstGeom prst="rect">
                      <a:avLst/>
                    </a:prstGeom>
                    <a:ln w="25400">
                      <a:solidFill>
                        <a:srgbClr val="000000"/>
                      </a:solidFill>
                      <a:prstDash val="solid"/>
                    </a:ln>
                  </pic:spPr>
                </pic:pic>
              </a:graphicData>
            </a:graphic>
          </wp:inline>
        </w:drawing>
      </w:r>
    </w:p>
    <w:p w:rsidR="00FB7BDE">
      <w:pPr>
        <w:jc w:val="center"/>
      </w:pPr>
      <w:r>
        <w:t>Snip: 12</w:t>
      </w:r>
    </w:p>
    <w:p w:rsidR="00FB7BDE">
      <w:pPr>
        <w:jc w:val="center"/>
      </w:pPr>
      <w:r>
        <w:t>(Source: Learner)</w:t>
      </w:r>
    </w:p>
    <w:p w:rsidR="00FB7BDE">
      <w:r>
        <w:t>Out of the 2133 students, 1215 students did not qualify for the free lunch whereas 918 qualified for the free lunch (Snip 12). Thus, implying that more students were n</w:t>
      </w:r>
      <w:r>
        <w:t>ot qualified for the free lunch than those who were qualified.</w:t>
      </w:r>
    </w:p>
    <w:p w:rsidR="00FB7BDE">
      <w:pPr>
        <w:jc w:val="center"/>
      </w:pPr>
      <w:r>
        <w:rPr>
          <w:noProof/>
        </w:rPr>
        <w:drawing>
          <wp:inline distT="114300" distB="114300" distL="114300" distR="114300">
            <wp:extent cx="2533650" cy="790575"/>
            <wp:effectExtent l="25400" t="25400" r="25400" b="25400"/>
            <wp:docPr id="6" name="image16.png"/>
            <wp:cNvGraphicFramePr/>
            <a:graphic xmlns:a="http://schemas.openxmlformats.org/drawingml/2006/main">
              <a:graphicData uri="http://schemas.openxmlformats.org/drawingml/2006/picture">
                <pic:pic xmlns:pic="http://schemas.openxmlformats.org/drawingml/2006/picture">
                  <pic:nvPicPr>
                    <pic:cNvPr id="6" name="image16.png"/>
                    <pic:cNvPicPr/>
                  </pic:nvPicPr>
                  <pic:blipFill>
                    <a:blip xmlns:r="http://schemas.openxmlformats.org/officeDocument/2006/relationships" r:embed="rId17"/>
                    <a:stretch>
                      <a:fillRect/>
                    </a:stretch>
                  </pic:blipFill>
                  <pic:spPr>
                    <a:xfrm>
                      <a:off x="0" y="0"/>
                      <a:ext cx="2533650" cy="790575"/>
                    </a:xfrm>
                    <a:prstGeom prst="rect">
                      <a:avLst/>
                    </a:prstGeom>
                    <a:ln w="25400">
                      <a:solidFill>
                        <a:srgbClr val="000000"/>
                      </a:solidFill>
                      <a:prstDash val="solid"/>
                    </a:ln>
                  </pic:spPr>
                </pic:pic>
              </a:graphicData>
            </a:graphic>
          </wp:inline>
        </w:drawing>
      </w:r>
    </w:p>
    <w:p w:rsidR="00FB7BDE">
      <w:pPr>
        <w:jc w:val="center"/>
      </w:pPr>
      <w:r>
        <w:t>Snip: 13</w:t>
      </w:r>
    </w:p>
    <w:p w:rsidR="00FB7BDE">
      <w:pPr>
        <w:jc w:val="center"/>
      </w:pPr>
      <w:r>
        <w:t>(Source: Learner)</w:t>
      </w:r>
    </w:p>
    <w:p w:rsidR="00FB7BDE">
      <w:r>
        <w:t xml:space="preserve">In the case of the students who qualified for free lunch, the mean and median scores for the pretest were 45 and 44 respectively. The mean and median scores in the </w:t>
      </w:r>
      <w:r>
        <w:t xml:space="preserve">posttest for those who were qualified were 57 and 55 respectively.  The pre-test mean and median scores for children who </w:t>
      </w:r>
      <w:r>
        <w:t>qualify for free lunch are rather similar, indicating a reasonably symmetric distribution of scores: in contrast, the post-test mean an</w:t>
      </w:r>
      <w:r>
        <w:t>d median scores for these children are also close, suggesting a similar distribution.</w:t>
      </w:r>
    </w:p>
    <w:p w:rsidR="00FB7BDE">
      <w:pPr>
        <w:jc w:val="center"/>
      </w:pPr>
      <w:r>
        <w:rPr>
          <w:noProof/>
        </w:rPr>
        <w:drawing>
          <wp:inline distT="114300" distB="114300" distL="114300" distR="114300">
            <wp:extent cx="2514600" cy="857250"/>
            <wp:effectExtent l="25400" t="25400" r="25400" b="25400"/>
            <wp:docPr id="19" name="image1.png"/>
            <wp:cNvGraphicFramePr/>
            <a:graphic xmlns:a="http://schemas.openxmlformats.org/drawingml/2006/main">
              <a:graphicData uri="http://schemas.openxmlformats.org/drawingml/2006/picture">
                <pic:pic xmlns:pic="http://schemas.openxmlformats.org/drawingml/2006/picture">
                  <pic:nvPicPr>
                    <pic:cNvPr id="19" name="image1.png"/>
                    <pic:cNvPicPr/>
                  </pic:nvPicPr>
                  <pic:blipFill>
                    <a:blip xmlns:r="http://schemas.openxmlformats.org/officeDocument/2006/relationships" r:embed="rId18"/>
                    <a:stretch>
                      <a:fillRect/>
                    </a:stretch>
                  </pic:blipFill>
                  <pic:spPr>
                    <a:xfrm>
                      <a:off x="0" y="0"/>
                      <a:ext cx="2514600" cy="857250"/>
                    </a:xfrm>
                    <a:prstGeom prst="rect">
                      <a:avLst/>
                    </a:prstGeom>
                    <a:ln w="25400">
                      <a:solidFill>
                        <a:srgbClr val="000000"/>
                      </a:solidFill>
                      <a:prstDash val="solid"/>
                    </a:ln>
                  </pic:spPr>
                </pic:pic>
              </a:graphicData>
            </a:graphic>
          </wp:inline>
        </w:drawing>
      </w:r>
    </w:p>
    <w:p w:rsidR="00FB7BDE">
      <w:pPr>
        <w:jc w:val="center"/>
      </w:pPr>
      <w:r>
        <w:t>Snip: 14</w:t>
      </w:r>
    </w:p>
    <w:p w:rsidR="00FB7BDE">
      <w:pPr>
        <w:jc w:val="center"/>
      </w:pPr>
      <w:r>
        <w:t>(Source: Learner)</w:t>
      </w:r>
    </w:p>
    <w:p w:rsidR="00FB7BDE">
      <w:r>
        <w:t xml:space="preserve">The pretest mean and median scores for the students who were not eligible for free lunch were 62 and 62, respectively. For those who did not </w:t>
      </w:r>
      <w:r>
        <w:t>meet the eligibility requirements, the posttest's mean and median scores were, respectively, 72 and 72. For students who do not qualify for free lunch, the pre-test mean and median scores are equal, suggesting a symmetric distribution of outcomes; these pu</w:t>
      </w:r>
      <w:r>
        <w:t>pils' post-test mean and median scores are likewise the same, indicating a similar distribution. The mean and median scores from the pre-and post-tests are higher than those obtained from students who are eligible for free lunch.</w:t>
      </w:r>
    </w:p>
    <w:p w:rsidR="00FB7BDE">
      <w:pPr>
        <w:jc w:val="left"/>
        <w:rPr>
          <w:b/>
        </w:rPr>
      </w:pPr>
      <w:r>
        <w:rPr>
          <w:b/>
        </w:rPr>
        <w:t xml:space="preserve">K-means </w:t>
      </w:r>
    </w:p>
    <w:p w:rsidR="00FB7BDE">
      <w:r>
        <w:t>K-means cluster analysis can be used to identify substantially homogeneous case groupings based on a few selected characteristics; K-means cluster analysis can be performed in SPSS by choosing: Analysis,  Classification and K-Means Clustering. The variable</w:t>
      </w:r>
      <w:r>
        <w:t>s to cluster, the number of clusters to create, and the clustering technique can then be selected. The procedure comprises categorising and iterating in order to define further iterations and determine the final grouping (Vojnikova, 2020); additional varia</w:t>
      </w:r>
      <w:r>
        <w:t>bles that indicate membership in the cluster and the distance from the cluster centre can also be saved. The method includes specifying the maximum number of iterations, setting convergence criteria, identifying the beginning and ending cluster centres, an</w:t>
      </w:r>
      <w:r>
        <w:t xml:space="preserve">d other parameters (Vojnikova, 2020). In this case, k-clustering was observed with the help of SPSS software and appropriate interpretations were provided. </w:t>
      </w:r>
    </w:p>
    <w:p w:rsidR="00FB7BDE">
      <w:pPr>
        <w:jc w:val="left"/>
      </w:pPr>
      <w:r>
        <w:rPr>
          <w:noProof/>
        </w:rPr>
        <w:drawing>
          <wp:inline distT="114300" distB="114300" distL="114300" distR="114300">
            <wp:extent cx="5438775" cy="4743450"/>
            <wp:effectExtent l="25400" t="25400" r="25400" b="25400"/>
            <wp:docPr id="18" name="image14.png"/>
            <wp:cNvGraphicFramePr/>
            <a:graphic xmlns:a="http://schemas.openxmlformats.org/drawingml/2006/main">
              <a:graphicData uri="http://schemas.openxmlformats.org/drawingml/2006/picture">
                <pic:pic xmlns:pic="http://schemas.openxmlformats.org/drawingml/2006/picture">
                  <pic:nvPicPr>
                    <pic:cNvPr id="18" name="image14.png"/>
                    <pic:cNvPicPr/>
                  </pic:nvPicPr>
                  <pic:blipFill>
                    <a:blip xmlns:r="http://schemas.openxmlformats.org/officeDocument/2006/relationships" r:embed="rId19"/>
                    <a:stretch>
                      <a:fillRect/>
                    </a:stretch>
                  </pic:blipFill>
                  <pic:spPr>
                    <a:xfrm>
                      <a:off x="0" y="0"/>
                      <a:ext cx="5438775" cy="4743450"/>
                    </a:xfrm>
                    <a:prstGeom prst="rect">
                      <a:avLst/>
                    </a:prstGeom>
                    <a:ln w="25400">
                      <a:solidFill>
                        <a:srgbClr val="000000"/>
                      </a:solidFill>
                      <a:prstDash val="solid"/>
                    </a:ln>
                  </pic:spPr>
                </pic:pic>
              </a:graphicData>
            </a:graphic>
          </wp:inline>
        </w:drawing>
      </w:r>
    </w:p>
    <w:p w:rsidR="00FB7BDE">
      <w:pPr>
        <w:jc w:val="center"/>
      </w:pPr>
      <w:r>
        <w:t>Snip: 15</w:t>
      </w:r>
    </w:p>
    <w:p w:rsidR="00FB7BDE">
      <w:pPr>
        <w:jc w:val="center"/>
      </w:pPr>
      <w:r>
        <w:t>(Source: Learner)</w:t>
      </w:r>
    </w:p>
    <w:p w:rsidR="00FB7BDE">
      <w:r>
        <w:t xml:space="preserve">To perform the k-means clustering, first “analyze” was selected, then </w:t>
      </w:r>
      <w:r>
        <w:t xml:space="preserve">the k-means Cluster in the “classify” option in the dropdown menu was chosen. The maximum iteration was selected as 99 and the test was run with 3 clusters. </w:t>
      </w:r>
    </w:p>
    <w:p w:rsidR="00FB7BDE">
      <w:pPr>
        <w:jc w:val="center"/>
      </w:pPr>
      <w:r>
        <w:rPr>
          <w:noProof/>
        </w:rPr>
        <w:drawing>
          <wp:inline distT="114300" distB="114300" distL="114300" distR="114300">
            <wp:extent cx="2619375" cy="1181100"/>
            <wp:effectExtent l="25400" t="25400" r="25400" b="25400"/>
            <wp:docPr id="3" name="image20.png"/>
            <wp:cNvGraphicFramePr/>
            <a:graphic xmlns:a="http://schemas.openxmlformats.org/drawingml/2006/main">
              <a:graphicData uri="http://schemas.openxmlformats.org/drawingml/2006/picture">
                <pic:pic xmlns:pic="http://schemas.openxmlformats.org/drawingml/2006/picture">
                  <pic:nvPicPr>
                    <pic:cNvPr id="3" name="image20.png"/>
                    <pic:cNvPicPr/>
                  </pic:nvPicPr>
                  <pic:blipFill>
                    <a:blip xmlns:r="http://schemas.openxmlformats.org/officeDocument/2006/relationships" r:embed="rId20"/>
                    <a:stretch>
                      <a:fillRect/>
                    </a:stretch>
                  </pic:blipFill>
                  <pic:spPr>
                    <a:xfrm>
                      <a:off x="0" y="0"/>
                      <a:ext cx="2619375" cy="1181100"/>
                    </a:xfrm>
                    <a:prstGeom prst="rect">
                      <a:avLst/>
                    </a:prstGeom>
                    <a:ln w="25400">
                      <a:solidFill>
                        <a:srgbClr val="000000"/>
                      </a:solidFill>
                      <a:prstDash val="solid"/>
                    </a:ln>
                  </pic:spPr>
                </pic:pic>
              </a:graphicData>
            </a:graphic>
          </wp:inline>
        </w:drawing>
      </w:r>
    </w:p>
    <w:p w:rsidR="00FB7BDE">
      <w:pPr>
        <w:jc w:val="center"/>
      </w:pPr>
      <w:r>
        <w:t>Snip: 16</w:t>
      </w:r>
    </w:p>
    <w:p w:rsidR="00FB7BDE">
      <w:pPr>
        <w:jc w:val="center"/>
      </w:pPr>
      <w:r>
        <w:t>(Source: Learner)</w:t>
      </w:r>
    </w:p>
    <w:p w:rsidR="00FB7BDE">
      <w:r>
        <w:t>The initial cluster values in K-means clustering are established usin</w:t>
      </w:r>
      <w:r>
        <w:t>g centroid initialisation approaches (IBM, 2022).  Selecting the initial centroids of the clusters is the first step in the procedure. The initial cluster values were provided in (Snip 16).</w:t>
      </w:r>
    </w:p>
    <w:p w:rsidR="00FB7BDE">
      <w:pPr>
        <w:jc w:val="center"/>
      </w:pPr>
      <w:r>
        <w:rPr>
          <w:noProof/>
        </w:rPr>
        <w:drawing>
          <wp:inline distT="114300" distB="114300" distL="114300" distR="114300">
            <wp:extent cx="2609850" cy="3314700"/>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xmlns:r="http://schemas.openxmlformats.org/officeDocument/2006/relationships" r:embed="rId21"/>
                    <a:stretch>
                      <a:fillRect/>
                    </a:stretch>
                  </pic:blipFill>
                  <pic:spPr>
                    <a:xfrm>
                      <a:off x="0" y="0"/>
                      <a:ext cx="2609850" cy="3314700"/>
                    </a:xfrm>
                    <a:prstGeom prst="rect">
                      <a:avLst/>
                    </a:prstGeom>
                    <a:ln w="25400">
                      <a:solidFill>
                        <a:srgbClr val="000000"/>
                      </a:solidFill>
                      <a:prstDash val="solid"/>
                    </a:ln>
                  </pic:spPr>
                </pic:pic>
              </a:graphicData>
            </a:graphic>
          </wp:inline>
        </w:drawing>
      </w:r>
    </w:p>
    <w:p w:rsidR="00FB7BDE">
      <w:pPr>
        <w:jc w:val="center"/>
      </w:pPr>
      <w:r>
        <w:t>Snip: 17</w:t>
      </w:r>
    </w:p>
    <w:p w:rsidR="00FB7BDE">
      <w:pPr>
        <w:jc w:val="center"/>
      </w:pPr>
      <w:r>
        <w:t>(Source: Learner)</w:t>
      </w:r>
    </w:p>
    <w:p w:rsidR="00FB7BDE">
      <w:r>
        <w:t>The cluster centres moved a lot in the before interactions and were stable within the fifth iteration. This demonstrates the algorithm's search for the best groupings; The cluster centres stabilised by the fifth iteration, indicating convergence to a solut</w:t>
      </w:r>
      <w:r>
        <w:t>ion where the cluster assignments stayed largely unchanged.</w:t>
      </w:r>
    </w:p>
    <w:p w:rsidR="00FB7BDE">
      <w:pPr>
        <w:jc w:val="center"/>
      </w:pPr>
      <w:r>
        <w:rPr>
          <w:noProof/>
        </w:rPr>
        <w:drawing>
          <wp:inline distT="114300" distB="114300" distL="114300" distR="114300">
            <wp:extent cx="2619375" cy="11811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xmlns:r="http://schemas.openxmlformats.org/officeDocument/2006/relationships" r:embed="rId22"/>
                    <a:stretch>
                      <a:fillRect/>
                    </a:stretch>
                  </pic:blipFill>
                  <pic:spPr>
                    <a:xfrm>
                      <a:off x="0" y="0"/>
                      <a:ext cx="2619375" cy="1181100"/>
                    </a:xfrm>
                    <a:prstGeom prst="rect">
                      <a:avLst/>
                    </a:prstGeom>
                    <a:ln w="25400">
                      <a:solidFill>
                        <a:srgbClr val="000000"/>
                      </a:solidFill>
                      <a:prstDash val="solid"/>
                    </a:ln>
                  </pic:spPr>
                </pic:pic>
              </a:graphicData>
            </a:graphic>
          </wp:inline>
        </w:drawing>
      </w:r>
    </w:p>
    <w:p w:rsidR="00FB7BDE">
      <w:pPr>
        <w:jc w:val="center"/>
      </w:pPr>
      <w:r>
        <w:t>Snip: 18</w:t>
      </w:r>
    </w:p>
    <w:p w:rsidR="00FB7BDE">
      <w:pPr>
        <w:jc w:val="center"/>
      </w:pPr>
      <w:r>
        <w:t>(Source: Learner)</w:t>
      </w:r>
    </w:p>
    <w:p w:rsidR="00FB7BDE">
      <w:r>
        <w:t>Each cluster of the final cluster centres and initial cluster centres for the case of pretest and posttest scores is different; This shows that students were successfu</w:t>
      </w:r>
      <w:r>
        <w:t>lly divided into clusters based on distinctive traits related to their academic achievement.</w:t>
      </w:r>
    </w:p>
    <w:p w:rsidR="00FB7BDE">
      <w:pPr>
        <w:jc w:val="center"/>
      </w:pPr>
      <w:r>
        <w:rPr>
          <w:noProof/>
        </w:rPr>
        <w:drawing>
          <wp:inline distT="114300" distB="114300" distL="114300" distR="114300">
            <wp:extent cx="5048250" cy="1771650"/>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14" name="image6.png"/>
                    <pic:cNvPicPr/>
                  </pic:nvPicPr>
                  <pic:blipFill>
                    <a:blip xmlns:r="http://schemas.openxmlformats.org/officeDocument/2006/relationships" r:embed="rId23"/>
                    <a:stretch>
                      <a:fillRect/>
                    </a:stretch>
                  </pic:blipFill>
                  <pic:spPr>
                    <a:xfrm>
                      <a:off x="0" y="0"/>
                      <a:ext cx="5048250" cy="1771650"/>
                    </a:xfrm>
                    <a:prstGeom prst="rect">
                      <a:avLst/>
                    </a:prstGeom>
                    <a:ln w="25400">
                      <a:solidFill>
                        <a:srgbClr val="000000"/>
                      </a:solidFill>
                      <a:prstDash val="solid"/>
                    </a:ln>
                  </pic:spPr>
                </pic:pic>
              </a:graphicData>
            </a:graphic>
          </wp:inline>
        </w:drawing>
      </w:r>
    </w:p>
    <w:p w:rsidR="00FB7BDE">
      <w:pPr>
        <w:jc w:val="center"/>
      </w:pPr>
      <w:r>
        <w:t>Snip: 19</w:t>
      </w:r>
    </w:p>
    <w:p w:rsidR="00FB7BDE">
      <w:pPr>
        <w:jc w:val="center"/>
      </w:pPr>
      <w:r>
        <w:t>(Source: Learner)</w:t>
      </w:r>
    </w:p>
    <w:p w:rsidR="00FB7BDE">
      <w:r>
        <w:t>The influence of the posttest scores is slightly greater than that of pretest scores regarding the formation of clusters (Snip 19); Th</w:t>
      </w:r>
      <w:r>
        <w:t>is implies that the degree to which students' performance improved or declined over time was a major factor in deciding which cluster they belonged to.</w:t>
      </w:r>
    </w:p>
    <w:p w:rsidR="00FB7BDE">
      <w:pPr>
        <w:jc w:val="center"/>
      </w:pPr>
      <w:r>
        <w:rPr>
          <w:noProof/>
        </w:rPr>
        <w:drawing>
          <wp:inline distT="114300" distB="114300" distL="114300" distR="114300">
            <wp:extent cx="1724025" cy="1600200"/>
            <wp:effectExtent l="25400" t="25400" r="25400" b="25400"/>
            <wp:docPr id="15" name="image13.png"/>
            <wp:cNvGraphicFramePr/>
            <a:graphic xmlns:a="http://schemas.openxmlformats.org/drawingml/2006/main">
              <a:graphicData uri="http://schemas.openxmlformats.org/drawingml/2006/picture">
                <pic:pic xmlns:pic="http://schemas.openxmlformats.org/drawingml/2006/picture">
                  <pic:nvPicPr>
                    <pic:cNvPr id="15" name="image13.png"/>
                    <pic:cNvPicPr/>
                  </pic:nvPicPr>
                  <pic:blipFill>
                    <a:blip xmlns:r="http://schemas.openxmlformats.org/officeDocument/2006/relationships" r:embed="rId24"/>
                    <a:stretch>
                      <a:fillRect/>
                    </a:stretch>
                  </pic:blipFill>
                  <pic:spPr>
                    <a:xfrm>
                      <a:off x="0" y="0"/>
                      <a:ext cx="1724025" cy="1600200"/>
                    </a:xfrm>
                    <a:prstGeom prst="rect">
                      <a:avLst/>
                    </a:prstGeom>
                    <a:ln w="25400">
                      <a:solidFill>
                        <a:srgbClr val="000000"/>
                      </a:solidFill>
                      <a:prstDash val="solid"/>
                    </a:ln>
                  </pic:spPr>
                </pic:pic>
              </a:graphicData>
            </a:graphic>
          </wp:inline>
        </w:drawing>
      </w:r>
    </w:p>
    <w:p w:rsidR="00FB7BDE">
      <w:pPr>
        <w:jc w:val="center"/>
      </w:pPr>
      <w:r>
        <w:t>Snip: 20</w:t>
      </w:r>
    </w:p>
    <w:p w:rsidR="00FB7BDE">
      <w:pPr>
        <w:jc w:val="center"/>
      </w:pPr>
      <w:r>
        <w:t>(Source: Learner)</w:t>
      </w:r>
    </w:p>
    <w:p w:rsidR="00FB7BDE">
      <w:r>
        <w:t>The number of clusters in each cluster is 715, 534 884 in 1,2,3 respectivel</w:t>
      </w:r>
      <w:r>
        <w:t>y (Snip 20). There were differences in the number of students in each cluster; cluster 3 had the most pupils, followed by clusters 1 and 2; These cluster sizes shed light on the distribution of various performance profiles throughout the student body. Thus</w:t>
      </w:r>
      <w:r>
        <w:t>, the results of this calculation can guide focused interventions and support plans that are adapted to the unique requirements of each cluster's student body, ultimately leading to better learning outcomes.</w:t>
      </w:r>
    </w:p>
    <w:p w:rsidR="00FB7BDE">
      <w:pPr>
        <w:rPr>
          <w:b/>
        </w:rPr>
      </w:pPr>
      <w:r>
        <w:rPr>
          <w:b/>
        </w:rPr>
        <w:t xml:space="preserve">Difference between SPSS and Excel </w:t>
      </w:r>
    </w:p>
    <w:p w:rsidR="00FB7BDE">
      <w:r>
        <w:t>There are var</w:t>
      </w:r>
      <w:r>
        <w:t xml:space="preserve">ious differences in the software of Excel and SPSS, due to their capabilities and purpose.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tblPrEx>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Ex>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rPr>
                <w:b/>
              </w:rPr>
            </w:pPr>
            <w:r>
              <w:rPr>
                <w:b/>
              </w:rPr>
              <w:t>Criteria</w:t>
            </w:r>
          </w:p>
        </w:tc>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rPr>
                <w:b/>
              </w:rPr>
            </w:pPr>
            <w:r>
              <w:rPr>
                <w:b/>
              </w:rPr>
              <w:t>Distinction in Excel and SPSS</w:t>
            </w:r>
          </w:p>
        </w:tc>
      </w:tr>
      <w:tr>
        <w:tblPrEx>
          <w:tblW w:w="9360" w:type="dxa"/>
          <w:tblLayout w:type="fixed"/>
          <w:tblLook w:val="0600"/>
        </w:tblPrEx>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pPr>
            <w:r>
              <w:t>Ease of Use</w:t>
            </w:r>
          </w:p>
        </w:tc>
        <w:tc>
          <w:tcPr>
            <w:tcW w:w="4680" w:type="dxa"/>
            <w:shd w:val="clear" w:color="auto" w:fill="auto"/>
            <w:tcMar>
              <w:top w:w="100" w:type="dxa"/>
              <w:left w:w="100" w:type="dxa"/>
              <w:bottom w:w="100" w:type="dxa"/>
              <w:right w:w="100" w:type="dxa"/>
            </w:tcMar>
          </w:tcPr>
          <w:p w:rsidR="00FB7BDE">
            <w:pPr>
              <w:spacing w:line="240" w:lineRule="auto"/>
            </w:pPr>
            <w:r>
              <w:t>Excel is easier to use than SPSS, as it has fewer functions and the learning curve of SPSS is high. Excel is a fantastic option for beginners and initial data analysis assignments because of its price and user-friendliness; SPSS is favoured for more intric</w:t>
            </w:r>
            <w:r>
              <w:t>ate modelling and sophisticated statistical analysis, which makes it a vital resource for experts in the domains of statistics and data analytics.</w:t>
            </w:r>
          </w:p>
        </w:tc>
      </w:tr>
      <w:tr>
        <w:tblPrEx>
          <w:tblW w:w="9360" w:type="dxa"/>
          <w:tblLayout w:type="fixed"/>
          <w:tblLook w:val="0600"/>
        </w:tblPrEx>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pPr>
            <w:r>
              <w:t>Data Visualisation</w:t>
            </w:r>
          </w:p>
        </w:tc>
        <w:tc>
          <w:tcPr>
            <w:tcW w:w="4680" w:type="dxa"/>
            <w:shd w:val="clear" w:color="auto" w:fill="auto"/>
            <w:tcMar>
              <w:top w:w="100" w:type="dxa"/>
              <w:left w:w="100" w:type="dxa"/>
              <w:bottom w:w="100" w:type="dxa"/>
              <w:right w:w="100" w:type="dxa"/>
            </w:tcMar>
          </w:tcPr>
          <w:p w:rsidR="00FB7BDE">
            <w:pPr>
              <w:spacing w:line="240" w:lineRule="auto"/>
            </w:pPr>
            <w:r>
              <w:t xml:space="preserve">In the context of statistical analysis, the options for visualisation are greater in the </w:t>
            </w:r>
            <w:r>
              <w:t>case of SPSS than in Excel.</w:t>
            </w:r>
          </w:p>
        </w:tc>
      </w:tr>
      <w:tr>
        <w:tblPrEx>
          <w:tblW w:w="9360" w:type="dxa"/>
          <w:tblLayout w:type="fixed"/>
          <w:tblLook w:val="0600"/>
        </w:tblPrEx>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pPr>
            <w:r>
              <w:t>Statistical Analysis</w:t>
            </w:r>
          </w:p>
        </w:tc>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pPr>
            <w:r>
              <w:t>SPSS offers a wider range of statistical tests and techniques for in-depth analysis than that of Excel.</w:t>
            </w:r>
          </w:p>
        </w:tc>
      </w:tr>
      <w:tr>
        <w:tblPrEx>
          <w:tblW w:w="9360" w:type="dxa"/>
          <w:tblLayout w:type="fixed"/>
          <w:tblLook w:val="0600"/>
        </w:tblPrEx>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pPr>
            <w:r>
              <w:t>Automation and Macros</w:t>
            </w:r>
          </w:p>
        </w:tc>
        <w:tc>
          <w:tcPr>
            <w:tcW w:w="4680" w:type="dxa"/>
            <w:shd w:val="clear" w:color="auto" w:fill="auto"/>
            <w:tcMar>
              <w:top w:w="100" w:type="dxa"/>
              <w:left w:w="100" w:type="dxa"/>
              <w:bottom w:w="100" w:type="dxa"/>
              <w:right w:w="100" w:type="dxa"/>
            </w:tcMar>
          </w:tcPr>
          <w:p w:rsidR="00FB7BDE">
            <w:pPr>
              <w:spacing w:line="240" w:lineRule="auto"/>
            </w:pPr>
            <w:r>
              <w:t>SPSS has limited automation capabilities compared to Excel.</w:t>
            </w:r>
          </w:p>
        </w:tc>
      </w:tr>
      <w:tr>
        <w:tblPrEx>
          <w:tblW w:w="9360" w:type="dxa"/>
          <w:tblLayout w:type="fixed"/>
          <w:tblLook w:val="0600"/>
        </w:tblPrEx>
        <w:tc>
          <w:tcPr>
            <w:tcW w:w="4680" w:type="dxa"/>
            <w:shd w:val="clear" w:color="auto" w:fill="auto"/>
            <w:tcMar>
              <w:top w:w="100" w:type="dxa"/>
              <w:left w:w="100" w:type="dxa"/>
              <w:bottom w:w="100" w:type="dxa"/>
              <w:right w:w="100" w:type="dxa"/>
            </w:tcMar>
          </w:tcPr>
          <w:p w:rsidR="00FB7BDE">
            <w:pPr>
              <w:widowControl w:val="0"/>
              <w:pBdr>
                <w:top w:val="nil"/>
                <w:left w:val="nil"/>
                <w:bottom w:val="nil"/>
                <w:right w:val="nil"/>
                <w:between w:val="nil"/>
              </w:pBdr>
              <w:spacing w:line="240" w:lineRule="auto"/>
              <w:jc w:val="left"/>
            </w:pPr>
            <w:r>
              <w:t>Collaboration</w:t>
            </w:r>
          </w:p>
        </w:tc>
        <w:tc>
          <w:tcPr>
            <w:tcW w:w="4680" w:type="dxa"/>
            <w:shd w:val="clear" w:color="auto" w:fill="auto"/>
            <w:tcMar>
              <w:top w:w="100" w:type="dxa"/>
              <w:left w:w="100" w:type="dxa"/>
              <w:bottom w:w="100" w:type="dxa"/>
              <w:right w:w="100" w:type="dxa"/>
            </w:tcMar>
          </w:tcPr>
          <w:p w:rsidR="00FB7BDE">
            <w:pPr>
              <w:spacing w:line="240" w:lineRule="auto"/>
            </w:pPr>
            <w:r>
              <w:t>SPSS files are not as easily shareable and collaborative as Excel files.</w:t>
            </w:r>
          </w:p>
        </w:tc>
      </w:tr>
    </w:tbl>
    <w:p w:rsidR="00FB7BDE">
      <w:pPr>
        <w:jc w:val="center"/>
        <w:rPr>
          <w:b/>
        </w:rPr>
      </w:pPr>
      <w:r>
        <w:rPr>
          <w:b/>
        </w:rPr>
        <w:t>Table 1: Distinction of Excel and SPSS</w:t>
      </w:r>
    </w:p>
    <w:p w:rsidR="00FB7BDE">
      <w:pPr>
        <w:jc w:val="center"/>
      </w:pPr>
      <w:r>
        <w:t>(Source: Learner)</w:t>
      </w:r>
    </w:p>
    <w:p w:rsidR="00FB7BDE">
      <w:pPr>
        <w:pStyle w:val="Heading1"/>
      </w:pPr>
      <w:bookmarkStart w:id="7" w:name="_j5shcx8ryhti" w:colFirst="0" w:colLast="0"/>
      <w:bookmarkStart w:id="8" w:name="_Toc161057947"/>
      <w:bookmarkEnd w:id="7"/>
      <w:r>
        <w:t>Conclusion</w:t>
      </w:r>
      <w:bookmarkEnd w:id="8"/>
      <w:r>
        <w:t xml:space="preserve"> </w:t>
      </w:r>
    </w:p>
    <w:p w:rsidR="00FB7BDE">
      <w:r>
        <w:t>The essay investigated how to analyse school datasets using Microsoft Excel and how to analyse e-commerce using S</w:t>
      </w:r>
      <w:r>
        <w:t>PSS. The e-commerce business used insights into sales trends and product cancellations that were acquired through meticulous data preprocessing and analysis in Excel to make strategic decisions. SPSS allowed for the comprehensive statistical analysis of st</w:t>
      </w:r>
      <w:r>
        <w:t>udent performance data; leading to the classification of multiple groups based on academic achievement. Despite their differing capabilities, both tools offer useful information, underscoring the importance of selecting the appropriate software for certain</w:t>
      </w:r>
      <w:r>
        <w:t xml:space="preserve"> analytical tasks across a variety of domains.</w:t>
      </w:r>
      <w:r>
        <w:br w:type="page"/>
      </w:r>
    </w:p>
    <w:p w:rsidR="00FB7BDE">
      <w:pPr>
        <w:pStyle w:val="Heading1"/>
      </w:pPr>
      <w:bookmarkStart w:id="9" w:name="_c1rirxid7x58" w:colFirst="0" w:colLast="0"/>
      <w:bookmarkStart w:id="10" w:name="_Toc161057948"/>
      <w:bookmarkEnd w:id="9"/>
      <w:r>
        <w:t>References</w:t>
      </w:r>
      <w:bookmarkEnd w:id="10"/>
    </w:p>
    <w:p w:rsidR="009A61F5">
      <w:bookmarkStart w:id="11" w:name="_GoBack"/>
      <w:r>
        <w:t>Alchemer (2021). What is SPSS and How Does it Benefit Survey Data Analysis? [online] Alchemer. Available at: https://www.alchemer.com/resources/blog/what-is-spss/ [Accessed 11 Mar. 2024].</w:t>
      </w:r>
    </w:p>
    <w:p w:rsidR="009A61F5">
      <w:r>
        <w:t>Fabian, T.(2020). Fostering innovation through organizational agility in the technology-driven firm: an exploratory case study in the media industry (Master's thesis).</w:t>
      </w:r>
    </w:p>
    <w:p w:rsidR="009A61F5">
      <w:r>
        <w:t>Facer, C. (2020). What is Data Filtering? [online] Displayr. Available at: https://www.displayr.com/what-is-data-filtering/ [Accessed 11 Mar. 2024].</w:t>
      </w:r>
    </w:p>
    <w:p w:rsidR="009A61F5">
      <w:r>
        <w:t>Geneva, E.H. (2021). History of SPSS. [online] www.unige.ch. Available at: http://www.unige.ch/ses/sococ/cl/bib/soft/spss.history.html [Accessed 11 Mar. 2024].</w:t>
      </w:r>
    </w:p>
    <w:p w:rsidR="009A61F5">
      <w:r>
        <w:t>IBM (2022). How does the K-mean cluster node select initial records for clustering? [online] www.ibm.com. Available at: https://www.ibm.com/support/pages/how-does-k-mean-cluster-node-select-initial-records-clustering [Accessed 11 Mar. 2024].</w:t>
      </w:r>
    </w:p>
    <w:p w:rsidR="009A61F5">
      <w:r>
        <w:t>Mesevage, T.G. (2021). Data Cleaning Steps &amp; Process to Prep Your Data for Success. [online] MonkeyLearn Blog. Available at: https://monkeylearn.com/blog/data-cleaning-steps/ [Accessed 11 Mar. 2024].</w:t>
      </w:r>
    </w:p>
    <w:p w:rsidR="009A61F5">
      <w:r>
        <w:t>Mnyakin, M. (2020). Investigating the Impacts of AR, AI, and Website Optimization on Ecommerce Sales Growth. ResearchBerg Review of Science and Technology, 3(1), pp.116-130.</w:t>
      </w:r>
    </w:p>
    <w:p w:rsidR="009A61F5">
      <w:r>
        <w:t>Rane, N.L., Achari, A. and Choudhary, S.P. (2023). Enhancing customer loyalty through quality of service: Effective strategies to improve customer satisfaction, experience, relationship, and engagement. International Research Journal of Modernization in Engineering Technology and Science, 5(5), pp.427-452.</w:t>
      </w:r>
    </w:p>
    <w:p w:rsidR="009A61F5">
      <w:r>
        <w:t>Spieth, P., Laudien, S.M. and Meissner, S. (2021). Business model innovation in strategic alliances: a multi‐layer perspective. R&amp;D Management, 51(1), pp.24-39.</w:t>
      </w:r>
    </w:p>
    <w:p w:rsidR="009A61F5">
      <w:r>
        <w:t>Tuttle, L. (2023). Features of Excel to Use in Data Analysis. [online] Western Governors University. Available at: https://www.wgu.edu/blog/features-excel-use-data-analysis2308.html [Accessed 11 Mar. 2024].</w:t>
      </w:r>
    </w:p>
    <w:p w:rsidR="009A61F5">
      <w:r>
        <w:t>Unwin, A. (2020). Why Is Data Visualization Important? What Is Important in Data Visualization? Harvard Data Science Review, [online] 2(1). doi:</w:t>
      </w:r>
      <w:hyperlink r:id="rId25">
        <w:r>
          <w:rPr>
            <w:color w:val="1155CC"/>
            <w:u w:val="single"/>
          </w:rPr>
          <w:t>https://doi.org/10.1162/99608f92.8ae4d525</w:t>
        </w:r>
      </w:hyperlink>
      <w:r>
        <w:t>.</w:t>
      </w:r>
    </w:p>
    <w:p w:rsidR="009A61F5">
      <w:r>
        <w:t>Vojnikova, D. (2020). Cluster analysis with SPSS: K-Means Cluster Analysis. [online] Available at: http://evlm.stuba.sk/~partner2/STUDENTBOOK/English/SPSS_CA_2_EN.pdf [Accessed 2021].</w:t>
      </w:r>
    </w:p>
    <w:bookmarkEnd w:id="11"/>
    <w:p w:rsidR="00FB7BDE"/>
    <w:p w:rsidR="00FB7BDE"/>
    <w:p w:rsidR="00FB7BDE"/>
    <w:sectPr>
      <w:footerReference w:type="default" r:id="rId2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254330989"/>
      <w:docPartObj>
        <w:docPartGallery w:val="Page Numbers (Bottom of Page)"/>
        <w:docPartUnique/>
      </w:docPartObj>
    </w:sdtPr>
    <w:sdtEndPr>
      <w:rPr>
        <w:noProof/>
      </w:rPr>
    </w:sdtEndPr>
    <w:sdtContent>
      <w:p w:rsidR="009A61F5">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rsidR="009A61F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7BDE"/>
    <w:rsid w:val="0073590A"/>
    <w:rsid w:val="009A61F5"/>
    <w:rsid w:val="00AD6486"/>
    <w:rsid w:val="00FB7BDE"/>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docId w15:val="{88C9A4B3-65FB-4DA3-AE2D-4FC879515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A61F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61F5"/>
    <w:pPr>
      <w:spacing w:after="100"/>
    </w:pPr>
  </w:style>
  <w:style w:type="character" w:styleId="Hyperlink">
    <w:name w:val="Hyperlink"/>
    <w:basedOn w:val="DefaultParagraphFont"/>
    <w:uiPriority w:val="99"/>
    <w:unhideWhenUsed/>
    <w:rsid w:val="009A61F5"/>
    <w:rPr>
      <w:color w:val="0000FF" w:themeColor="hyperlink"/>
      <w:u w:val="single"/>
    </w:rPr>
  </w:style>
  <w:style w:type="paragraph" w:styleId="Header">
    <w:name w:val="header"/>
    <w:basedOn w:val="Normal"/>
    <w:link w:val="HeaderChar"/>
    <w:uiPriority w:val="99"/>
    <w:unhideWhenUsed/>
    <w:rsid w:val="009A61F5"/>
    <w:pPr>
      <w:tabs>
        <w:tab w:val="center" w:pos="4513"/>
        <w:tab w:val="right" w:pos="9026"/>
      </w:tabs>
      <w:spacing w:line="240" w:lineRule="auto"/>
    </w:pPr>
  </w:style>
  <w:style w:type="character" w:customStyle="1" w:styleId="HeaderChar">
    <w:name w:val="Header Char"/>
    <w:basedOn w:val="DefaultParagraphFont"/>
    <w:link w:val="Header"/>
    <w:uiPriority w:val="99"/>
    <w:rsid w:val="009A61F5"/>
  </w:style>
  <w:style w:type="paragraph" w:styleId="Footer">
    <w:name w:val="footer"/>
    <w:basedOn w:val="Normal"/>
    <w:link w:val="FooterChar"/>
    <w:uiPriority w:val="99"/>
    <w:unhideWhenUsed/>
    <w:rsid w:val="009A61F5"/>
    <w:pPr>
      <w:tabs>
        <w:tab w:val="center" w:pos="4513"/>
        <w:tab w:val="right" w:pos="9026"/>
      </w:tabs>
      <w:spacing w:line="240" w:lineRule="auto"/>
    </w:pPr>
  </w:style>
  <w:style w:type="character" w:customStyle="1" w:styleId="FooterChar">
    <w:name w:val="Footer Char"/>
    <w:basedOn w:val="DefaultParagraphFont"/>
    <w:link w:val="Footer"/>
    <w:uiPriority w:val="99"/>
    <w:rsid w:val="009A61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image" Target="media/image9.png" /><Relationship Id="rId14" Type="http://schemas.openxmlformats.org/officeDocument/2006/relationships/image" Target="media/image10.png" /><Relationship Id="rId15" Type="http://schemas.openxmlformats.org/officeDocument/2006/relationships/image" Target="media/image11.png" /><Relationship Id="rId16" Type="http://schemas.openxmlformats.org/officeDocument/2006/relationships/image" Target="media/image12.png" /><Relationship Id="rId17" Type="http://schemas.openxmlformats.org/officeDocument/2006/relationships/image" Target="media/image13.png" /><Relationship Id="rId18" Type="http://schemas.openxmlformats.org/officeDocument/2006/relationships/image" Target="media/image14.png" /><Relationship Id="rId19" Type="http://schemas.openxmlformats.org/officeDocument/2006/relationships/image" Target="media/image15.png" /><Relationship Id="rId2" Type="http://schemas.openxmlformats.org/officeDocument/2006/relationships/webSettings" Target="webSettings.xml" /><Relationship Id="rId20" Type="http://schemas.openxmlformats.org/officeDocument/2006/relationships/image" Target="media/image16.png" /><Relationship Id="rId21" Type="http://schemas.openxmlformats.org/officeDocument/2006/relationships/image" Target="media/image17.png" /><Relationship Id="rId22" Type="http://schemas.openxmlformats.org/officeDocument/2006/relationships/image" Target="media/image18.png" /><Relationship Id="rId23" Type="http://schemas.openxmlformats.org/officeDocument/2006/relationships/image" Target="media/image19.png" /><Relationship Id="rId24" Type="http://schemas.openxmlformats.org/officeDocument/2006/relationships/image" Target="media/image20.png" /><Relationship Id="rId25" Type="http://schemas.openxmlformats.org/officeDocument/2006/relationships/hyperlink" Target="https://doi.org/10.1162/99608f92.8ae4d525" TargetMode="External" /><Relationship Id="rId26" Type="http://schemas.openxmlformats.org/officeDocument/2006/relationships/footer" Target="footer1.xml" /><Relationship Id="rId27" Type="http://schemas.openxmlformats.org/officeDocument/2006/relationships/theme" Target="theme/theme1.xml" /><Relationship Id="rId28"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E767F-8320-4F4C-82EC-4C71D4AEB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3442</Words>
  <Characters>19621</Characters>
  <Application>Microsoft Office Word</Application>
  <DocSecurity>0</DocSecurity>
  <Lines>163</Lines>
  <Paragraphs>46</Paragraphs>
  <ScaleCrop>false</ScaleCrop>
  <Company/>
  <LinksUpToDate>false</LinksUpToDate>
  <CharactersWithSpaces>23017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mac</cp:lastModifiedBy>
  <cp:revision>2</cp:revision>
  <dcterms:created xsi:type="dcterms:W3CDTF">2024-03-11T08:28:00Z</dcterms:created>
  <dcterms:modified xsi:type="dcterms:W3CDTF">2024-03-11T08:29:00Z</dcterms:modified>
</cp:coreProperties>
</file>