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85F" w:rsidRPr="00C2385F" w:rsidRDefault="001632AB" w:rsidP="00C2385F">
      <w:pPr>
        <w:spacing w:line="278" w:lineRule="auto"/>
        <w:jc w:val="center"/>
        <w:rPr>
          <w:lang w:val="en-US"/>
        </w:rPr>
      </w:pPr>
      <w:r>
        <w:rPr>
          <w:noProof/>
          <w:lang w:val="en-US" w:bidi="gu-IN"/>
        </w:rPr>
        <w:drawing>
          <wp:inline distT="0" distB="0" distL="0" distR="0">
            <wp:extent cx="5826579" cy="3236988"/>
            <wp:effectExtent l="19050" t="0" r="2721"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28429" cy="3238016"/>
                    </a:xfrm>
                    <a:prstGeom prst="rect">
                      <a:avLst/>
                    </a:prstGeom>
                    <a:noFill/>
                  </pic:spPr>
                </pic:pic>
              </a:graphicData>
            </a:graphic>
          </wp:inline>
        </w:drawing>
      </w:r>
    </w:p>
    <w:p w:rsidR="00C2385F" w:rsidRDefault="00C2385F" w:rsidP="00C2385F">
      <w:pPr>
        <w:spacing w:line="278" w:lineRule="auto"/>
        <w:jc w:val="center"/>
        <w:rPr>
          <w:b/>
          <w:bCs/>
          <w:lang w:val="en-US"/>
        </w:rPr>
      </w:pPr>
    </w:p>
    <w:p w:rsidR="00C2385F" w:rsidRDefault="00C2385F" w:rsidP="00C2385F">
      <w:pPr>
        <w:spacing w:line="278" w:lineRule="auto"/>
        <w:jc w:val="center"/>
        <w:rPr>
          <w:b/>
          <w:bCs/>
          <w:lang w:val="en-US"/>
        </w:rPr>
      </w:pPr>
    </w:p>
    <w:p w:rsidR="00C2385F" w:rsidRDefault="00C2385F" w:rsidP="00C2385F">
      <w:pPr>
        <w:spacing w:line="278" w:lineRule="auto"/>
        <w:jc w:val="center"/>
        <w:rPr>
          <w:b/>
          <w:bCs/>
          <w:lang w:val="en-US"/>
        </w:rPr>
      </w:pPr>
    </w:p>
    <w:p w:rsidR="00C2385F" w:rsidRPr="00C2385F" w:rsidRDefault="00C2385F" w:rsidP="00C2385F">
      <w:pPr>
        <w:spacing w:line="278" w:lineRule="auto"/>
        <w:jc w:val="center"/>
        <w:rPr>
          <w:lang w:val="en-US"/>
        </w:rPr>
      </w:pPr>
      <w:r w:rsidRPr="00C2385F">
        <w:rPr>
          <w:b/>
          <w:bCs/>
          <w:lang w:val="en-US"/>
        </w:rPr>
        <w:t>Programme Name:</w:t>
      </w:r>
      <w:r w:rsidRPr="00C2385F">
        <w:rPr>
          <w:lang w:val="en-US"/>
        </w:rPr>
        <w:t xml:space="preserve"> Master of Business Administration</w:t>
      </w:r>
    </w:p>
    <w:p w:rsidR="00C2385F" w:rsidRPr="00C2385F" w:rsidRDefault="00C2385F" w:rsidP="00C2385F">
      <w:pPr>
        <w:spacing w:line="278" w:lineRule="auto"/>
        <w:jc w:val="center"/>
        <w:rPr>
          <w:lang w:val="en-US"/>
        </w:rPr>
      </w:pPr>
      <w:r w:rsidRPr="00C2385F">
        <w:rPr>
          <w:b/>
          <w:bCs/>
          <w:lang w:val="en-US"/>
        </w:rPr>
        <w:t>Module Name:</w:t>
      </w:r>
      <w:r w:rsidRPr="00C2385F">
        <w:rPr>
          <w:lang w:val="en-US"/>
        </w:rPr>
        <w:t xml:space="preserve"> Financial Management</w:t>
      </w:r>
    </w:p>
    <w:p w:rsidR="00C2385F" w:rsidRPr="00C2385F" w:rsidRDefault="00C2385F" w:rsidP="00C2385F">
      <w:pPr>
        <w:spacing w:line="278" w:lineRule="auto"/>
        <w:jc w:val="center"/>
        <w:rPr>
          <w:lang w:val="en-US"/>
        </w:rPr>
      </w:pPr>
      <w:r w:rsidRPr="00C2385F">
        <w:rPr>
          <w:b/>
          <w:bCs/>
          <w:lang w:val="en-US"/>
        </w:rPr>
        <w:t>Module Code:</w:t>
      </w:r>
      <w:r w:rsidRPr="00C2385F">
        <w:rPr>
          <w:lang w:val="en-US"/>
        </w:rPr>
        <w:t xml:space="preserve"> LCMB7002</w:t>
      </w:r>
    </w:p>
    <w:p w:rsidR="00C2385F" w:rsidRPr="00C2385F" w:rsidRDefault="00C2385F" w:rsidP="00C2385F">
      <w:pPr>
        <w:spacing w:line="278" w:lineRule="auto"/>
        <w:jc w:val="center"/>
        <w:rPr>
          <w:lang w:val="en-US"/>
        </w:rPr>
      </w:pPr>
      <w:r w:rsidRPr="00C2385F">
        <w:rPr>
          <w:b/>
          <w:bCs/>
          <w:lang w:val="en-US"/>
        </w:rPr>
        <w:t>Assessment Title:</w:t>
      </w:r>
      <w:r w:rsidRPr="00C2385F">
        <w:rPr>
          <w:lang w:val="en-US"/>
        </w:rPr>
        <w:t xml:space="preserve"> Financial Performance and Management: Individual Report on Whitbread PLC</w:t>
      </w:r>
    </w:p>
    <w:p w:rsidR="00C2385F" w:rsidRPr="00C2385F" w:rsidRDefault="00C2385F" w:rsidP="00C2385F">
      <w:pPr>
        <w:spacing w:line="278" w:lineRule="auto"/>
        <w:jc w:val="center"/>
        <w:rPr>
          <w:lang w:val="en-US"/>
        </w:rPr>
      </w:pPr>
      <w:r w:rsidRPr="00C2385F">
        <w:rPr>
          <w:b/>
          <w:bCs/>
          <w:lang w:val="en-US"/>
        </w:rPr>
        <w:t>Lecturer's Name:</w:t>
      </w:r>
      <w:r w:rsidRPr="00C2385F">
        <w:rPr>
          <w:lang w:val="en-US"/>
        </w:rPr>
        <w:t>Shengfeng Mei</w:t>
      </w:r>
    </w:p>
    <w:p w:rsidR="00C2385F" w:rsidRPr="00C2385F" w:rsidRDefault="00C2385F" w:rsidP="00C2385F">
      <w:pPr>
        <w:spacing w:line="278" w:lineRule="auto"/>
        <w:jc w:val="center"/>
        <w:rPr>
          <w:lang w:val="en-US"/>
        </w:rPr>
      </w:pPr>
      <w:r w:rsidRPr="00C2385F">
        <w:rPr>
          <w:b/>
          <w:bCs/>
          <w:lang w:val="en-US"/>
        </w:rPr>
        <w:t>Student Name:</w:t>
      </w:r>
      <w:r w:rsidR="001632AB">
        <w:rPr>
          <w:b/>
          <w:bCs/>
          <w:lang w:val="en-US"/>
        </w:rPr>
        <w:t xml:space="preserve"> </w:t>
      </w:r>
      <w:r w:rsidR="001632AB" w:rsidRPr="001B3016">
        <w:t>Faiyaz Faruk Malek</w:t>
      </w:r>
    </w:p>
    <w:p w:rsidR="00C2385F" w:rsidRDefault="00C2385F" w:rsidP="00C2385F">
      <w:pPr>
        <w:spacing w:line="278" w:lineRule="auto"/>
        <w:jc w:val="center"/>
      </w:pPr>
      <w:r w:rsidRPr="00C2385F">
        <w:rPr>
          <w:b/>
          <w:bCs/>
          <w:lang w:val="en-US"/>
        </w:rPr>
        <w:t>Student ID Number:</w:t>
      </w:r>
      <w:r w:rsidR="001632AB">
        <w:rPr>
          <w:b/>
          <w:bCs/>
          <w:lang w:val="en-US"/>
        </w:rPr>
        <w:t xml:space="preserve"> </w:t>
      </w:r>
      <w:r w:rsidR="001632AB" w:rsidRPr="001B3016">
        <w:t>2544436</w:t>
      </w:r>
    </w:p>
    <w:p w:rsidR="00FC15A1" w:rsidRPr="00FC15A1" w:rsidRDefault="00FC15A1" w:rsidP="00FC15A1">
      <w:pPr>
        <w:pStyle w:val="Heading2"/>
        <w:rPr>
          <w:rStyle w:val="Heading1Char"/>
        </w:rPr>
      </w:pPr>
      <w:r>
        <w:t xml:space="preserve">                                                     DATE :</w:t>
      </w:r>
      <w:r w:rsidRPr="00FC15A1">
        <w:rPr>
          <w:rStyle w:val="Heading1Char"/>
        </w:rPr>
        <w:t>13/8/2026</w:t>
      </w:r>
    </w:p>
    <w:p w:rsidR="00D317CB" w:rsidRPr="00400B0C" w:rsidRDefault="00D317CB">
      <w:pPr>
        <w:spacing w:line="278" w:lineRule="auto"/>
        <w:jc w:val="left"/>
      </w:pPr>
    </w:p>
    <w:sdt>
      <w:sdtPr>
        <w:rPr>
          <w:rFonts w:ascii="Arial" w:eastAsiaTheme="minorHAnsi" w:hAnsi="Arial" w:cstheme="minorBidi"/>
          <w:color w:val="auto"/>
          <w:kern w:val="2"/>
          <w:sz w:val="24"/>
          <w:szCs w:val="24"/>
        </w:rPr>
        <w:id w:val="-1427027049"/>
        <w:docPartObj>
          <w:docPartGallery w:val="Table of Contents"/>
          <w:docPartUnique/>
        </w:docPartObj>
      </w:sdtPr>
      <w:sdtEndPr>
        <w:rPr>
          <w:b/>
          <w:bCs/>
        </w:rPr>
      </w:sdtEndPr>
      <w:sdtContent>
        <w:p w:rsidR="00CE021A" w:rsidRPr="00400B0C" w:rsidRDefault="00CE021A">
          <w:pPr>
            <w:pStyle w:val="TOCHeading"/>
            <w:rPr>
              <w:sz w:val="28"/>
              <w:szCs w:val="28"/>
            </w:rPr>
          </w:pPr>
          <w:r w:rsidRPr="00400B0C">
            <w:rPr>
              <w:rFonts w:ascii="Arial" w:hAnsi="Arial" w:cs="Arial"/>
              <w:b/>
              <w:bCs/>
              <w:color w:val="auto"/>
              <w:sz w:val="28"/>
              <w:szCs w:val="28"/>
            </w:rPr>
            <w:t>Table of Contents</w:t>
          </w:r>
        </w:p>
        <w:p w:rsidR="00241229" w:rsidRPr="009E61AB" w:rsidRDefault="00112726">
          <w:pPr>
            <w:pStyle w:val="TOC1"/>
            <w:tabs>
              <w:tab w:val="right" w:leader="dot" w:pos="9350"/>
            </w:tabs>
            <w:rPr>
              <w:rFonts w:asciiTheme="minorHAnsi" w:eastAsiaTheme="minorEastAsia" w:hAnsiTheme="minorHAnsi"/>
              <w:noProof/>
              <w:sz w:val="22"/>
              <w:szCs w:val="22"/>
              <w:lang w:val="en-US"/>
            </w:rPr>
          </w:pPr>
          <w:r w:rsidRPr="00112726">
            <w:rPr>
              <w:sz w:val="20"/>
              <w:szCs w:val="20"/>
            </w:rPr>
            <w:fldChar w:fldCharType="begin"/>
          </w:r>
          <w:r w:rsidR="00CE021A" w:rsidRPr="009E61AB">
            <w:rPr>
              <w:sz w:val="20"/>
              <w:szCs w:val="20"/>
            </w:rPr>
            <w:instrText xml:space="preserve"> TOC \o "1-3" \h \z \u </w:instrText>
          </w:r>
          <w:r w:rsidRPr="00112726">
            <w:rPr>
              <w:sz w:val="20"/>
              <w:szCs w:val="20"/>
            </w:rPr>
            <w:fldChar w:fldCharType="separate"/>
          </w:r>
          <w:hyperlink w:anchor="_Toc237388816" w:history="1">
            <w:r w:rsidR="00241229" w:rsidRPr="009E61AB">
              <w:rPr>
                <w:rStyle w:val="Hyperlink"/>
                <w:noProof/>
                <w:sz w:val="22"/>
                <w:szCs w:val="22"/>
              </w:rPr>
              <w:t>1. Introduction</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_Toc237388816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4</w:t>
            </w:r>
            <w:r w:rsidRPr="009E61AB">
              <w:rPr>
                <w:noProof/>
                <w:webHidden/>
                <w:sz w:val="22"/>
                <w:szCs w:val="22"/>
              </w:rPr>
              <w:fldChar w:fldCharType="end"/>
            </w:r>
          </w:hyperlink>
        </w:p>
        <w:p w:rsidR="00241229" w:rsidRPr="009E61AB" w:rsidRDefault="00112726">
          <w:pPr>
            <w:pStyle w:val="TOC1"/>
            <w:tabs>
              <w:tab w:val="right" w:leader="dot" w:pos="9350"/>
            </w:tabs>
            <w:rPr>
              <w:rFonts w:asciiTheme="minorHAnsi" w:eastAsiaTheme="minorEastAsia" w:hAnsiTheme="minorHAnsi"/>
              <w:noProof/>
              <w:sz w:val="22"/>
              <w:szCs w:val="22"/>
              <w:lang w:val="en-US"/>
            </w:rPr>
          </w:pPr>
          <w:hyperlink w:anchor="_Toc237388817" w:history="1">
            <w:r w:rsidR="00241229" w:rsidRPr="009E61AB">
              <w:rPr>
                <w:rStyle w:val="Hyperlink"/>
                <w:noProof/>
                <w:sz w:val="22"/>
                <w:szCs w:val="22"/>
              </w:rPr>
              <w:t>2. Task 1: Financial Health Check</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_Toc237388817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4</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18" w:history="1">
            <w:r w:rsidR="00241229" w:rsidRPr="009E61AB">
              <w:rPr>
                <w:rStyle w:val="Hyperlink"/>
                <w:noProof/>
                <w:sz w:val="22"/>
                <w:szCs w:val="22"/>
              </w:rPr>
              <w:t>2.1. RevenueGrowth and Profitability Analysis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_Toc237388818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4</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19" w:history="1">
            <w:r w:rsidR="00241229" w:rsidRPr="009E61AB">
              <w:rPr>
                <w:rStyle w:val="Hyperlink"/>
                <w:noProof/>
                <w:sz w:val="22"/>
                <w:szCs w:val="22"/>
              </w:rPr>
              <w:t>2.2 Liquidity, Efficiency, and Cash Flow Evaluation</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_Toc237388819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5</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20" w:history="1">
            <w:r w:rsidR="00241229" w:rsidRPr="009E61AB">
              <w:rPr>
                <w:rStyle w:val="Hyperlink"/>
                <w:noProof/>
                <w:sz w:val="22"/>
                <w:szCs w:val="22"/>
              </w:rPr>
              <w:t>2.3 Gearing (Leverage) and Solvency</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_Toc237388820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6</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21" w:history="1">
            <w:r w:rsidR="00241229" w:rsidRPr="009E61AB">
              <w:rPr>
                <w:rStyle w:val="Hyperlink"/>
                <w:noProof/>
                <w:sz w:val="22"/>
                <w:szCs w:val="22"/>
              </w:rPr>
              <w:t>2.4 Key Strengths, Threats, and Industry Benchmarking</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_Toc237388821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7</w:t>
            </w:r>
            <w:r w:rsidRPr="009E61AB">
              <w:rPr>
                <w:noProof/>
                <w:webHidden/>
                <w:sz w:val="22"/>
                <w:szCs w:val="22"/>
              </w:rPr>
              <w:fldChar w:fldCharType="end"/>
            </w:r>
          </w:hyperlink>
        </w:p>
        <w:p w:rsidR="00241229" w:rsidRPr="009E61AB" w:rsidRDefault="00112726">
          <w:pPr>
            <w:pStyle w:val="TOC1"/>
            <w:tabs>
              <w:tab w:val="right" w:leader="dot" w:pos="9350"/>
            </w:tabs>
            <w:rPr>
              <w:rFonts w:asciiTheme="minorHAnsi" w:eastAsiaTheme="minorEastAsia" w:hAnsiTheme="minorHAnsi"/>
              <w:noProof/>
              <w:sz w:val="22"/>
              <w:szCs w:val="22"/>
              <w:lang w:val="en-US"/>
            </w:rPr>
          </w:pPr>
          <w:hyperlink w:anchor="_Toc237388822" w:history="1">
            <w:r w:rsidR="00241229" w:rsidRPr="009E61AB">
              <w:rPr>
                <w:rStyle w:val="Hyperlink"/>
                <w:noProof/>
                <w:sz w:val="22"/>
                <w:szCs w:val="22"/>
              </w:rPr>
              <w:t>3. Task 2: Working Capital Management Analysis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_Toc237388822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8</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23" w:history="1">
            <w:r w:rsidR="00241229" w:rsidRPr="009E61AB">
              <w:rPr>
                <w:rStyle w:val="Hyperlink"/>
                <w:noProof/>
                <w:sz w:val="22"/>
                <w:szCs w:val="22"/>
              </w:rPr>
              <w:t>3.1 Assessment of the Cash Operating Cycle</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_Toc237388823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8</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24" w:history="1">
            <w:r w:rsidR="00241229" w:rsidRPr="009E61AB">
              <w:rPr>
                <w:rStyle w:val="Hyperlink"/>
                <w:noProof/>
                <w:sz w:val="22"/>
                <w:szCs w:val="22"/>
              </w:rPr>
              <w:t>3.2 Strategies to Improve Liquidity &amp; Financing Options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_Toc237388824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9</w:t>
            </w:r>
            <w:r w:rsidRPr="009E61AB">
              <w:rPr>
                <w:noProof/>
                <w:webHidden/>
                <w:sz w:val="22"/>
                <w:szCs w:val="22"/>
              </w:rPr>
              <w:fldChar w:fldCharType="end"/>
            </w:r>
          </w:hyperlink>
        </w:p>
        <w:p w:rsidR="00241229" w:rsidRPr="009E61AB" w:rsidRDefault="00112726">
          <w:pPr>
            <w:pStyle w:val="TOC1"/>
            <w:tabs>
              <w:tab w:val="right" w:leader="dot" w:pos="9350"/>
            </w:tabs>
            <w:rPr>
              <w:rFonts w:asciiTheme="minorHAnsi" w:eastAsiaTheme="minorEastAsia" w:hAnsiTheme="minorHAnsi"/>
              <w:noProof/>
              <w:sz w:val="22"/>
              <w:szCs w:val="22"/>
              <w:lang w:val="en-US"/>
            </w:rPr>
          </w:pPr>
          <w:hyperlink w:anchor="_Toc237388825" w:history="1">
            <w:r w:rsidR="00241229" w:rsidRPr="009E61AB">
              <w:rPr>
                <w:rStyle w:val="Hyperlink"/>
                <w:noProof/>
                <w:sz w:val="22"/>
                <w:szCs w:val="22"/>
              </w:rPr>
              <w:t>4. Task 3: Strategic Financial Restructuring Plan</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_Toc237388825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11</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26" w:history="1">
            <w:r w:rsidR="00241229" w:rsidRPr="009E61AB">
              <w:rPr>
                <w:rStyle w:val="Hyperlink"/>
                <w:noProof/>
                <w:sz w:val="22"/>
                <w:szCs w:val="22"/>
              </w:rPr>
              <w:t>4.1 Proposed Restructuring Options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_Toc237388826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11</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27" w:history="1">
            <w:r w:rsidR="00241229" w:rsidRPr="009E61AB">
              <w:rPr>
                <w:rStyle w:val="Hyperlink"/>
                <w:noProof/>
                <w:sz w:val="22"/>
                <w:szCs w:val="22"/>
              </w:rPr>
              <w:t>4.2 Impact on Value, Debt, and Operational Flexibility</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_Toc237388827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12</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28" w:history="1">
            <w:r w:rsidR="00241229" w:rsidRPr="009E61AB">
              <w:rPr>
                <w:rStyle w:val="Hyperlink"/>
                <w:noProof/>
                <w:sz w:val="22"/>
                <w:szCs w:val="22"/>
              </w:rPr>
              <w:t>4.3 International and Ethical (ESG) Considerations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_Toc237388828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13</w:t>
            </w:r>
            <w:r w:rsidRPr="009E61AB">
              <w:rPr>
                <w:noProof/>
                <w:webHidden/>
                <w:sz w:val="22"/>
                <w:szCs w:val="22"/>
              </w:rPr>
              <w:fldChar w:fldCharType="end"/>
            </w:r>
          </w:hyperlink>
        </w:p>
        <w:p w:rsidR="00241229" w:rsidRPr="009E61AB" w:rsidRDefault="00112726">
          <w:pPr>
            <w:pStyle w:val="TOC1"/>
            <w:tabs>
              <w:tab w:val="right" w:leader="dot" w:pos="9350"/>
            </w:tabs>
            <w:rPr>
              <w:rFonts w:asciiTheme="minorHAnsi" w:eastAsiaTheme="minorEastAsia" w:hAnsiTheme="minorHAnsi"/>
              <w:noProof/>
              <w:sz w:val="22"/>
              <w:szCs w:val="22"/>
              <w:lang w:val="en-US"/>
            </w:rPr>
          </w:pPr>
          <w:hyperlink w:anchor="_Toc237388829" w:history="1">
            <w:r w:rsidR="00241229" w:rsidRPr="009E61AB">
              <w:rPr>
                <w:rStyle w:val="Hyperlink"/>
                <w:noProof/>
                <w:sz w:val="22"/>
                <w:szCs w:val="22"/>
              </w:rPr>
              <w:t>5. Task 4: Investment Appraisal and Capital Budgeting</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_Toc237388829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13</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30" w:history="1">
            <w:r w:rsidR="00241229" w:rsidRPr="009E61AB">
              <w:rPr>
                <w:rStyle w:val="Hyperlink"/>
                <w:noProof/>
                <w:sz w:val="22"/>
                <w:szCs w:val="22"/>
              </w:rPr>
              <w:t>5.1 Evaluation of Projects A, B, and C</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_Toc237388830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13</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31" w:history="1">
            <w:r w:rsidR="00241229" w:rsidRPr="009E61AB">
              <w:rPr>
                <w:rStyle w:val="Hyperlink"/>
                <w:noProof/>
                <w:sz w:val="22"/>
                <w:szCs w:val="22"/>
              </w:rPr>
              <w:t>5.2 Strategic Recommendation &amp; Non-Financial Risks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_Toc237388831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15</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32" w:history="1">
            <w:r w:rsidR="00241229" w:rsidRPr="009E61AB">
              <w:rPr>
                <w:rStyle w:val="Hyperlink"/>
                <w:noProof/>
                <w:sz w:val="22"/>
                <w:szCs w:val="22"/>
              </w:rPr>
              <w:t>5.3 Capital Rationing Decision</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_Toc237388832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16</w:t>
            </w:r>
            <w:r w:rsidRPr="009E61AB">
              <w:rPr>
                <w:noProof/>
                <w:webHidden/>
                <w:sz w:val="22"/>
                <w:szCs w:val="22"/>
              </w:rPr>
              <w:fldChar w:fldCharType="end"/>
            </w:r>
          </w:hyperlink>
        </w:p>
        <w:p w:rsidR="00241229" w:rsidRPr="009E61AB" w:rsidRDefault="00112726">
          <w:pPr>
            <w:pStyle w:val="TOC1"/>
            <w:tabs>
              <w:tab w:val="right" w:leader="dot" w:pos="9350"/>
            </w:tabs>
            <w:rPr>
              <w:rFonts w:asciiTheme="minorHAnsi" w:eastAsiaTheme="minorEastAsia" w:hAnsiTheme="minorHAnsi"/>
              <w:noProof/>
              <w:sz w:val="22"/>
              <w:szCs w:val="22"/>
              <w:lang w:val="en-US"/>
            </w:rPr>
          </w:pPr>
          <w:hyperlink w:anchor="_Toc237388833" w:history="1">
            <w:r w:rsidR="00241229" w:rsidRPr="009E61AB">
              <w:rPr>
                <w:rStyle w:val="Hyperlink"/>
                <w:noProof/>
                <w:sz w:val="22"/>
                <w:szCs w:val="22"/>
              </w:rPr>
              <w:t>6. Task 5: Critical Reflection on AI Usage</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_Toc237388833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17</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34" w:history="1">
            <w:r w:rsidR="00241229" w:rsidRPr="009E61AB">
              <w:rPr>
                <w:rStyle w:val="Hyperlink"/>
                <w:noProof/>
                <w:sz w:val="22"/>
                <w:szCs w:val="22"/>
              </w:rPr>
              <w:t>6.1 Tool Disclosure and Functionality</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_Toc237388834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17</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35" w:history="1">
            <w:r w:rsidR="00241229" w:rsidRPr="009E61AB">
              <w:rPr>
                <w:rStyle w:val="Hyperlink"/>
                <w:noProof/>
                <w:sz w:val="22"/>
                <w:szCs w:val="22"/>
              </w:rPr>
              <w:t>6.2 Critical Evaluation and Hallucination Correction</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_Toc237388835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17</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36" w:history="1">
            <w:r w:rsidR="00241229" w:rsidRPr="009E61AB">
              <w:rPr>
                <w:rStyle w:val="Hyperlink"/>
                <w:noProof/>
                <w:sz w:val="22"/>
                <w:szCs w:val="22"/>
              </w:rPr>
              <w:t>6.3 Contribution Analysis: AI versus Original Synthesis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_Toc237388836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18</w:t>
            </w:r>
            <w:r w:rsidRPr="009E61AB">
              <w:rPr>
                <w:noProof/>
                <w:webHidden/>
                <w:sz w:val="22"/>
                <w:szCs w:val="22"/>
              </w:rPr>
              <w:fldChar w:fldCharType="end"/>
            </w:r>
          </w:hyperlink>
        </w:p>
        <w:p w:rsidR="00241229" w:rsidRPr="009E61AB" w:rsidRDefault="00112726">
          <w:pPr>
            <w:pStyle w:val="TOC2"/>
            <w:tabs>
              <w:tab w:val="right" w:leader="dot" w:pos="9350"/>
            </w:tabs>
            <w:rPr>
              <w:rFonts w:asciiTheme="minorHAnsi" w:eastAsiaTheme="minorEastAsia" w:hAnsiTheme="minorHAnsi"/>
              <w:noProof/>
              <w:sz w:val="22"/>
              <w:szCs w:val="22"/>
              <w:lang w:val="en-US"/>
            </w:rPr>
          </w:pPr>
          <w:hyperlink w:anchor="_Toc237388837" w:history="1">
            <w:r w:rsidR="00241229" w:rsidRPr="009E61AB">
              <w:rPr>
                <w:rStyle w:val="Hyperlink"/>
                <w:noProof/>
                <w:sz w:val="22"/>
                <w:szCs w:val="22"/>
              </w:rPr>
              <w:t>6.4 Ethical and Professional Reflection</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_Toc237388837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18</w:t>
            </w:r>
            <w:r w:rsidRPr="009E61AB">
              <w:rPr>
                <w:noProof/>
                <w:webHidden/>
                <w:sz w:val="22"/>
                <w:szCs w:val="22"/>
              </w:rPr>
              <w:fldChar w:fldCharType="end"/>
            </w:r>
          </w:hyperlink>
        </w:p>
        <w:p w:rsidR="00241229" w:rsidRPr="009E61AB" w:rsidRDefault="00112726">
          <w:pPr>
            <w:pStyle w:val="TOC1"/>
            <w:tabs>
              <w:tab w:val="right" w:leader="dot" w:pos="9350"/>
            </w:tabs>
            <w:rPr>
              <w:rFonts w:asciiTheme="minorHAnsi" w:eastAsiaTheme="minorEastAsia" w:hAnsiTheme="minorHAnsi"/>
              <w:noProof/>
              <w:sz w:val="22"/>
              <w:szCs w:val="22"/>
              <w:lang w:val="en-US"/>
            </w:rPr>
          </w:pPr>
          <w:hyperlink w:anchor="_Toc237388838" w:history="1">
            <w:r w:rsidR="00241229" w:rsidRPr="009E61AB">
              <w:rPr>
                <w:rStyle w:val="Hyperlink"/>
                <w:noProof/>
                <w:sz w:val="22"/>
                <w:szCs w:val="22"/>
              </w:rPr>
              <w:t>7. Conclusion</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_Toc237388838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19</w:t>
            </w:r>
            <w:r w:rsidRPr="009E61AB">
              <w:rPr>
                <w:noProof/>
                <w:webHidden/>
                <w:sz w:val="22"/>
                <w:szCs w:val="22"/>
              </w:rPr>
              <w:fldChar w:fldCharType="end"/>
            </w:r>
          </w:hyperlink>
        </w:p>
        <w:p w:rsidR="00241229" w:rsidRPr="009E61AB" w:rsidRDefault="00112726">
          <w:pPr>
            <w:pStyle w:val="TOC1"/>
            <w:tabs>
              <w:tab w:val="right" w:leader="dot" w:pos="9350"/>
            </w:tabs>
            <w:rPr>
              <w:rFonts w:asciiTheme="minorHAnsi" w:eastAsiaTheme="minorEastAsia" w:hAnsiTheme="minorHAnsi"/>
              <w:noProof/>
              <w:sz w:val="22"/>
              <w:szCs w:val="22"/>
              <w:lang w:val="en-US"/>
            </w:rPr>
          </w:pPr>
          <w:hyperlink w:anchor="_Toc237388839" w:history="1">
            <w:r w:rsidR="00241229" w:rsidRPr="009E61AB">
              <w:rPr>
                <w:rStyle w:val="Hyperlink"/>
                <w:noProof/>
                <w:sz w:val="22"/>
                <w:szCs w:val="22"/>
              </w:rPr>
              <w:t>8. References</w:t>
            </w:r>
            <w:r w:rsidR="00241229" w:rsidRPr="009E61AB">
              <w:rPr>
                <w:noProof/>
                <w:webHidden/>
                <w:sz w:val="22"/>
                <w:szCs w:val="22"/>
              </w:rPr>
              <w:tab/>
            </w:r>
            <w:r w:rsidRPr="009E61AB">
              <w:rPr>
                <w:noProof/>
                <w:webHidden/>
                <w:sz w:val="22"/>
                <w:szCs w:val="22"/>
              </w:rPr>
              <w:fldChar w:fldCharType="begin"/>
            </w:r>
            <w:r w:rsidR="00241229" w:rsidRPr="009E61AB">
              <w:rPr>
                <w:noProof/>
                <w:webHidden/>
                <w:sz w:val="22"/>
                <w:szCs w:val="22"/>
              </w:rPr>
              <w:instrText xml:space="preserve"> PAGEREF _Toc237388839 \h </w:instrText>
            </w:r>
            <w:r w:rsidRPr="009E61AB">
              <w:rPr>
                <w:noProof/>
                <w:webHidden/>
                <w:sz w:val="22"/>
                <w:szCs w:val="22"/>
              </w:rPr>
            </w:r>
            <w:r w:rsidRPr="009E61AB">
              <w:rPr>
                <w:noProof/>
                <w:webHidden/>
                <w:sz w:val="22"/>
                <w:szCs w:val="22"/>
              </w:rPr>
              <w:fldChar w:fldCharType="separate"/>
            </w:r>
            <w:r w:rsidR="00241229" w:rsidRPr="009E61AB">
              <w:rPr>
                <w:noProof/>
                <w:webHidden/>
                <w:sz w:val="22"/>
                <w:szCs w:val="22"/>
              </w:rPr>
              <w:t>21</w:t>
            </w:r>
            <w:r w:rsidRPr="009E61AB">
              <w:rPr>
                <w:noProof/>
                <w:webHidden/>
                <w:sz w:val="22"/>
                <w:szCs w:val="22"/>
              </w:rPr>
              <w:fldChar w:fldCharType="end"/>
            </w:r>
          </w:hyperlink>
        </w:p>
        <w:p w:rsidR="00CE021A" w:rsidRPr="00400B0C" w:rsidRDefault="00112726">
          <w:r w:rsidRPr="009E61AB">
            <w:rPr>
              <w:b/>
              <w:bCs/>
              <w:sz w:val="20"/>
              <w:szCs w:val="20"/>
            </w:rPr>
            <w:fldChar w:fldCharType="end"/>
          </w:r>
        </w:p>
      </w:sdtContent>
    </w:sdt>
    <w:p w:rsidR="00D317CB" w:rsidRPr="00400B0C" w:rsidRDefault="00D317CB">
      <w:pPr>
        <w:spacing w:line="278" w:lineRule="auto"/>
        <w:jc w:val="left"/>
      </w:pPr>
      <w:r w:rsidRPr="00400B0C">
        <w:br w:type="page"/>
      </w:r>
    </w:p>
    <w:p w:rsidR="00D317CB" w:rsidRPr="00400B0C" w:rsidRDefault="00D317CB" w:rsidP="005A4577">
      <w:pPr>
        <w:pStyle w:val="Heading1"/>
      </w:pPr>
      <w:bookmarkStart w:id="0" w:name="_Toc237388816"/>
      <w:r w:rsidRPr="00400B0C">
        <w:lastRenderedPageBreak/>
        <w:t>1. Introduction</w:t>
      </w:r>
      <w:bookmarkEnd w:id="0"/>
    </w:p>
    <w:p w:rsidR="00D317CB" w:rsidRPr="009E6F8E" w:rsidRDefault="002247BC" w:rsidP="00D317CB">
      <w:pPr>
        <w:rPr>
          <w:lang w:val="en-US"/>
        </w:rPr>
      </w:pPr>
      <w:r w:rsidRPr="00400B0C">
        <w:t xml:space="preserve">The report assumes the perspective and role of the Chief Financial Officer (CFO) of Whitbread PLC and critically analyses the financial performance of the Group over the five financial years from FY22 to FY26. The era encompasses Whitbread's recovery from the pandemic and its subsequent repositioning around the UK's largest hotel company Premier Inn as well as ongoing expansion in Germany </w:t>
      </w:r>
      <w:r w:rsidR="009E6F8E" w:rsidRPr="009E6F8E">
        <w:rPr>
          <w:lang w:val="en-US"/>
        </w:rPr>
        <w:t>(Whitbread PLC, 2026a)</w:t>
      </w:r>
      <w:r w:rsidRPr="00400B0C">
        <w:t xml:space="preserve">. Recent studies in hospitality suggest that the capacity of budget hotels to recover post-pandemic is greater in comparison, further highlighting the significance of Whitbread's value (or cost) focused accommodation strategy </w:t>
      </w:r>
      <w:r w:rsidR="00D80C3F" w:rsidRPr="00D80C3F">
        <w:t>(Wang, MaghsoodiTilaki and Rahim, 2025)</w:t>
      </w:r>
      <w:r w:rsidRPr="00400B0C">
        <w:t xml:space="preserve">. The report then measures the success of this strategic shift to increased profitability, liquidity, efficiency and solvency and shareholder returns. It makes a thorough ratio analysis and scrutinizes working capital efficiency and cash operating cycle, before coming up with a strategic restructuring plan. It also critically evaluates three different schemes of investment for £50 million on the use of these techniques of investment appraisal. This analysis is important because Whitbread is continuing to close or sell restaurants with lower profitability in favor of other food and beverage business units and more hotel rooms as part of its Accelerating Growth Plan </w:t>
      </w:r>
      <w:r w:rsidR="00315AB0" w:rsidRPr="00315AB0">
        <w:t>(Whitbread PLC, 2026b)</w:t>
      </w:r>
      <w:r w:rsidRPr="00400B0C">
        <w:t>.</w:t>
      </w:r>
    </w:p>
    <w:p w:rsidR="00331F66" w:rsidRPr="00400B0C" w:rsidRDefault="00331F66"/>
    <w:p w:rsidR="00D37841" w:rsidRPr="00400B0C" w:rsidRDefault="00D37841" w:rsidP="00D37841">
      <w:pPr>
        <w:pStyle w:val="Heading1"/>
      </w:pPr>
      <w:bookmarkStart w:id="1" w:name="_Toc237388817"/>
      <w:r w:rsidRPr="00400B0C">
        <w:t>2. Task 1: Financial Health Check</w:t>
      </w:r>
      <w:bookmarkEnd w:id="1"/>
    </w:p>
    <w:p w:rsidR="00D317CB" w:rsidRPr="00400B0C" w:rsidRDefault="00D317CB" w:rsidP="005A4577">
      <w:pPr>
        <w:pStyle w:val="Heading2"/>
      </w:pPr>
      <w:bookmarkStart w:id="2" w:name="_Toc237388818"/>
      <w:r w:rsidRPr="00400B0C">
        <w:t>2.1. Revenue Growth and Profitability Analysis</w:t>
      </w:r>
      <w:bookmarkEnd w:id="2"/>
    </w:p>
    <w:p w:rsidR="004B76EB" w:rsidRDefault="004B76EB" w:rsidP="004B76EB">
      <w:r>
        <w:t xml:space="preserve">Whitbread PLC's revenue graph indicates a significant recovery and stabilisation phase after the pandemic. Statutory revenue is expected to grow from £1,703.4 million in FY22 to £2,920.2 million in FY26 with a compound annual rate of change of around 14.4%. The largest net growth was on re-opening when in FY23 revenue was £2,625.2m and in FY24 it was £2,959.9m and in FY25 and FY26 it was broadly level. This trend would signify that the first recovery effect is now normal, moving the focus of recovery from Sales development to maintaining profitable sales growth. The FY26 reporting by </w:t>
      </w:r>
      <w:r>
        <w:lastRenderedPageBreak/>
        <w:t>Whitbread also focuses on value creation via margin improvement, cost efficiencies, and new hotel investment that generates higher returns (Whitbread PLC, 2026</w:t>
      </w:r>
      <w:r w:rsidR="008223D5">
        <w:t>a</w:t>
      </w:r>
      <w:r>
        <w:t>).</w:t>
      </w:r>
    </w:p>
    <w:p w:rsidR="004B76EB" w:rsidRDefault="004B76EB" w:rsidP="004B76EB">
      <w:r>
        <w:t>Profitability ratios are otherwise a sign of how resilient the business is to operate. The gross profit margin based on the model was very consistent at 91.4% for FY22 compared to 92.6% in FY26. The amount of money generated, but also consumed by writing down inventories (at expense), decreased to £215.1 million in FY26 from £225.7 million in FY25. Operating margin improved significantly, from 9.0% to 22.2% over the period. The improvement indicates that there has been significant operating leverage as a higher proportion of revenue has been translated into operating profit, trading normalised. According to Whitbread PLC (2026</w:t>
      </w:r>
      <w:r w:rsidR="00DB0C32">
        <w:t>a</w:t>
      </w:r>
      <w:r>
        <w:t xml:space="preserve">), this is due to their vertically integrated model, commercial programme and cost efficiencies, leading to £83 million efficiencies in FY26. This aligns with </w:t>
      </w:r>
      <w:r w:rsidR="00DB0C32" w:rsidRPr="00DB0C32">
        <w:t>Toker (2024)</w:t>
      </w:r>
      <w:r>
        <w:t xml:space="preserve"> who suggests that the profitability of hospitality industry can be judged by how efficiently additional revenue is translated to operating profit.</w:t>
      </w:r>
    </w:p>
    <w:p w:rsidR="00D317CB" w:rsidRPr="00400B0C" w:rsidRDefault="004B76EB" w:rsidP="004B76EB">
      <w:r>
        <w:t>ROICs also increased. The assessment model reveals that ROCE improves from 1.73% in FY22 to 7.48% in FY26, beating the analytical threshold of 7% which was used in workbook creation. ROE also increased from 1.03% to 6.79% representing a higher level of profitability in the business of shareholders' capital. The apparent trend is offset, however, by the rising ROE that has been recorded in recent years which can be attributed to a rise in impairments and a reduction in equity. In addition, there may not be a direct comparison between the model's definition of ROCE and the ROCE targets reported by management, as the model uses a different definition of ROCE. Overall ratios suggest the profitability and capital productivity level is recovering well, though increasing future performance is being more dependent on efficiency based growth as opposed to a rebound in revenues due to the pandemic.</w:t>
      </w:r>
    </w:p>
    <w:p w:rsidR="00D317CB" w:rsidRDefault="00D317CB"/>
    <w:p w:rsidR="00364EA5" w:rsidRDefault="00364EA5" w:rsidP="00364EA5">
      <w:pPr>
        <w:pStyle w:val="Caption"/>
        <w:keepNext/>
      </w:pPr>
      <w:r>
        <w:t xml:space="preserve">Table </w:t>
      </w:r>
      <w:r w:rsidR="00112726">
        <w:fldChar w:fldCharType="begin"/>
      </w:r>
      <w:r>
        <w:instrText xml:space="preserve"> SEQ Table \* ARABIC </w:instrText>
      </w:r>
      <w:r w:rsidR="00112726">
        <w:fldChar w:fldCharType="separate"/>
      </w:r>
      <w:r w:rsidR="002B7AC5">
        <w:rPr>
          <w:noProof/>
        </w:rPr>
        <w:t>1</w:t>
      </w:r>
      <w:r w:rsidR="00112726">
        <w:fldChar w:fldCharType="end"/>
      </w:r>
      <w:r>
        <w:t>: Financial Statement</w:t>
      </w:r>
    </w:p>
    <w:tbl>
      <w:tblPr>
        <w:tblW w:w="5000" w:type="pct"/>
        <w:tblLook w:val="04A0"/>
      </w:tblPr>
      <w:tblGrid>
        <w:gridCol w:w="3515"/>
        <w:gridCol w:w="1053"/>
        <w:gridCol w:w="1054"/>
        <w:gridCol w:w="1054"/>
        <w:gridCol w:w="1054"/>
        <w:gridCol w:w="1054"/>
        <w:gridCol w:w="792"/>
      </w:tblGrid>
      <w:tr w:rsidR="00E60E82" w:rsidRPr="00E60E82" w:rsidTr="00E60E82">
        <w:trPr>
          <w:trHeight w:val="870"/>
        </w:trPr>
        <w:tc>
          <w:tcPr>
            <w:tcW w:w="2181" w:type="pct"/>
            <w:tcBorders>
              <w:top w:val="single" w:sz="4" w:space="0" w:color="D9D9D9"/>
              <w:left w:val="single" w:sz="4" w:space="0" w:color="D9D9D9"/>
              <w:bottom w:val="single" w:sz="4" w:space="0" w:color="D9D9D9"/>
              <w:right w:val="single" w:sz="4" w:space="0" w:color="D9D9D9"/>
            </w:tcBorders>
            <w:shd w:val="clear" w:color="000000" w:fill="F79646"/>
            <w:vAlign w:val="center"/>
            <w:hideMark/>
          </w:tcPr>
          <w:p w:rsidR="00E60E82" w:rsidRPr="00E60E82" w:rsidRDefault="00E60E82" w:rsidP="00E60E82">
            <w:pPr>
              <w:spacing w:after="0" w:line="240" w:lineRule="auto"/>
              <w:jc w:val="left"/>
              <w:rPr>
                <w:rFonts w:eastAsia="Times New Roman" w:cs="Arial"/>
                <w:b/>
                <w:bCs/>
                <w:color w:val="FFFFFF"/>
                <w:kern w:val="0"/>
                <w:sz w:val="32"/>
                <w:szCs w:val="32"/>
                <w:lang w:val="en-US"/>
              </w:rPr>
            </w:pPr>
            <w:r w:rsidRPr="00E60E82">
              <w:rPr>
                <w:rFonts w:eastAsia="Times New Roman" w:cs="Arial"/>
                <w:b/>
                <w:bCs/>
                <w:color w:val="FFFFFF"/>
                <w:kern w:val="0"/>
                <w:sz w:val="32"/>
                <w:szCs w:val="32"/>
                <w:lang w:val="en-US"/>
              </w:rPr>
              <w:t>Financial Statement Item (£m)</w:t>
            </w:r>
          </w:p>
        </w:tc>
        <w:tc>
          <w:tcPr>
            <w:tcW w:w="416" w:type="pct"/>
            <w:tcBorders>
              <w:top w:val="single" w:sz="4" w:space="0" w:color="D9D9D9"/>
              <w:left w:val="nil"/>
              <w:bottom w:val="single" w:sz="4" w:space="0" w:color="D9D9D9"/>
              <w:right w:val="single" w:sz="4" w:space="0" w:color="D9D9D9"/>
            </w:tcBorders>
            <w:shd w:val="clear" w:color="000000" w:fill="F79646"/>
            <w:vAlign w:val="center"/>
            <w:hideMark/>
          </w:tcPr>
          <w:p w:rsidR="00E60E82" w:rsidRPr="00E60E82" w:rsidRDefault="00E60E82" w:rsidP="00E60E82">
            <w:pPr>
              <w:spacing w:after="0" w:line="240" w:lineRule="auto"/>
              <w:jc w:val="center"/>
              <w:rPr>
                <w:rFonts w:eastAsia="Times New Roman" w:cs="Arial"/>
                <w:b/>
                <w:bCs/>
                <w:color w:val="FFFFFF"/>
                <w:kern w:val="0"/>
                <w:sz w:val="32"/>
                <w:szCs w:val="32"/>
                <w:lang w:val="en-US"/>
              </w:rPr>
            </w:pPr>
            <w:r w:rsidRPr="00E60E82">
              <w:rPr>
                <w:rFonts w:eastAsia="Times New Roman" w:cs="Arial"/>
                <w:b/>
                <w:bCs/>
                <w:color w:val="FFFFFF"/>
                <w:kern w:val="0"/>
                <w:sz w:val="32"/>
                <w:szCs w:val="32"/>
                <w:lang w:val="en-US"/>
              </w:rPr>
              <w:t>FY22</w:t>
            </w:r>
            <w:r w:rsidRPr="00E60E82">
              <w:rPr>
                <w:rFonts w:eastAsia="Times New Roman" w:cs="Arial"/>
                <w:b/>
                <w:bCs/>
                <w:color w:val="FFFFFF"/>
                <w:kern w:val="0"/>
                <w:sz w:val="32"/>
                <w:szCs w:val="32"/>
                <w:lang w:val="en-US"/>
              </w:rPr>
              <w:br/>
              <w:t>(2021/22)</w:t>
            </w:r>
          </w:p>
        </w:tc>
        <w:tc>
          <w:tcPr>
            <w:tcW w:w="416" w:type="pct"/>
            <w:tcBorders>
              <w:top w:val="single" w:sz="4" w:space="0" w:color="D9D9D9"/>
              <w:left w:val="nil"/>
              <w:bottom w:val="single" w:sz="4" w:space="0" w:color="D9D9D9"/>
              <w:right w:val="single" w:sz="4" w:space="0" w:color="D9D9D9"/>
            </w:tcBorders>
            <w:shd w:val="clear" w:color="000000" w:fill="F79646"/>
            <w:vAlign w:val="center"/>
            <w:hideMark/>
          </w:tcPr>
          <w:p w:rsidR="00E60E82" w:rsidRPr="00E60E82" w:rsidRDefault="00E60E82" w:rsidP="00E60E82">
            <w:pPr>
              <w:spacing w:after="0" w:line="240" w:lineRule="auto"/>
              <w:jc w:val="center"/>
              <w:rPr>
                <w:rFonts w:eastAsia="Times New Roman" w:cs="Arial"/>
                <w:b/>
                <w:bCs/>
                <w:color w:val="FFFFFF"/>
                <w:kern w:val="0"/>
                <w:sz w:val="32"/>
                <w:szCs w:val="32"/>
                <w:lang w:val="en-US"/>
              </w:rPr>
            </w:pPr>
            <w:r w:rsidRPr="00E60E82">
              <w:rPr>
                <w:rFonts w:eastAsia="Times New Roman" w:cs="Arial"/>
                <w:b/>
                <w:bCs/>
                <w:color w:val="FFFFFF"/>
                <w:kern w:val="0"/>
                <w:sz w:val="32"/>
                <w:szCs w:val="32"/>
                <w:lang w:val="en-US"/>
              </w:rPr>
              <w:t>FY23</w:t>
            </w:r>
            <w:r w:rsidRPr="00E60E82">
              <w:rPr>
                <w:rFonts w:eastAsia="Times New Roman" w:cs="Arial"/>
                <w:b/>
                <w:bCs/>
                <w:color w:val="FFFFFF"/>
                <w:kern w:val="0"/>
                <w:sz w:val="32"/>
                <w:szCs w:val="32"/>
                <w:lang w:val="en-US"/>
              </w:rPr>
              <w:br/>
              <w:t>(2022/23)</w:t>
            </w:r>
          </w:p>
        </w:tc>
        <w:tc>
          <w:tcPr>
            <w:tcW w:w="416" w:type="pct"/>
            <w:tcBorders>
              <w:top w:val="single" w:sz="4" w:space="0" w:color="D9D9D9"/>
              <w:left w:val="nil"/>
              <w:bottom w:val="single" w:sz="4" w:space="0" w:color="D9D9D9"/>
              <w:right w:val="single" w:sz="4" w:space="0" w:color="D9D9D9"/>
            </w:tcBorders>
            <w:shd w:val="clear" w:color="000000" w:fill="F79646"/>
            <w:vAlign w:val="center"/>
            <w:hideMark/>
          </w:tcPr>
          <w:p w:rsidR="00E60E82" w:rsidRPr="00E60E82" w:rsidRDefault="00E60E82" w:rsidP="00E60E82">
            <w:pPr>
              <w:spacing w:after="0" w:line="240" w:lineRule="auto"/>
              <w:jc w:val="center"/>
              <w:rPr>
                <w:rFonts w:eastAsia="Times New Roman" w:cs="Arial"/>
                <w:b/>
                <w:bCs/>
                <w:color w:val="FFFFFF"/>
                <w:kern w:val="0"/>
                <w:sz w:val="32"/>
                <w:szCs w:val="32"/>
                <w:lang w:val="en-US"/>
              </w:rPr>
            </w:pPr>
            <w:r w:rsidRPr="00E60E82">
              <w:rPr>
                <w:rFonts w:eastAsia="Times New Roman" w:cs="Arial"/>
                <w:b/>
                <w:bCs/>
                <w:color w:val="FFFFFF"/>
                <w:kern w:val="0"/>
                <w:sz w:val="32"/>
                <w:szCs w:val="32"/>
                <w:lang w:val="en-US"/>
              </w:rPr>
              <w:t>FY24</w:t>
            </w:r>
            <w:r w:rsidRPr="00E60E82">
              <w:rPr>
                <w:rFonts w:eastAsia="Times New Roman" w:cs="Arial"/>
                <w:b/>
                <w:bCs/>
                <w:color w:val="FFFFFF"/>
                <w:kern w:val="0"/>
                <w:sz w:val="32"/>
                <w:szCs w:val="32"/>
                <w:lang w:val="en-US"/>
              </w:rPr>
              <w:br/>
              <w:t>(2023/24)</w:t>
            </w:r>
          </w:p>
        </w:tc>
        <w:tc>
          <w:tcPr>
            <w:tcW w:w="416" w:type="pct"/>
            <w:tcBorders>
              <w:top w:val="single" w:sz="4" w:space="0" w:color="D9D9D9"/>
              <w:left w:val="nil"/>
              <w:bottom w:val="single" w:sz="4" w:space="0" w:color="D9D9D9"/>
              <w:right w:val="single" w:sz="4" w:space="0" w:color="D9D9D9"/>
            </w:tcBorders>
            <w:shd w:val="clear" w:color="000000" w:fill="F79646"/>
            <w:vAlign w:val="center"/>
            <w:hideMark/>
          </w:tcPr>
          <w:p w:rsidR="00E60E82" w:rsidRPr="00E60E82" w:rsidRDefault="00E60E82" w:rsidP="00E60E82">
            <w:pPr>
              <w:spacing w:after="0" w:line="240" w:lineRule="auto"/>
              <w:jc w:val="center"/>
              <w:rPr>
                <w:rFonts w:eastAsia="Times New Roman" w:cs="Arial"/>
                <w:b/>
                <w:bCs/>
                <w:color w:val="FFFFFF"/>
                <w:kern w:val="0"/>
                <w:sz w:val="32"/>
                <w:szCs w:val="32"/>
                <w:lang w:val="en-US"/>
              </w:rPr>
            </w:pPr>
            <w:r w:rsidRPr="00E60E82">
              <w:rPr>
                <w:rFonts w:eastAsia="Times New Roman" w:cs="Arial"/>
                <w:b/>
                <w:bCs/>
                <w:color w:val="FFFFFF"/>
                <w:kern w:val="0"/>
                <w:sz w:val="32"/>
                <w:szCs w:val="32"/>
                <w:lang w:val="en-US"/>
              </w:rPr>
              <w:t>FY25</w:t>
            </w:r>
            <w:r w:rsidRPr="00E60E82">
              <w:rPr>
                <w:rFonts w:eastAsia="Times New Roman" w:cs="Arial"/>
                <w:b/>
                <w:bCs/>
                <w:color w:val="FFFFFF"/>
                <w:kern w:val="0"/>
                <w:sz w:val="32"/>
                <w:szCs w:val="32"/>
                <w:lang w:val="en-US"/>
              </w:rPr>
              <w:br/>
              <w:t>(2024/25)</w:t>
            </w:r>
          </w:p>
        </w:tc>
        <w:tc>
          <w:tcPr>
            <w:tcW w:w="416" w:type="pct"/>
            <w:tcBorders>
              <w:top w:val="single" w:sz="4" w:space="0" w:color="D9D9D9"/>
              <w:left w:val="nil"/>
              <w:bottom w:val="single" w:sz="4" w:space="0" w:color="D9D9D9"/>
              <w:right w:val="single" w:sz="4" w:space="0" w:color="D9D9D9"/>
            </w:tcBorders>
            <w:shd w:val="clear" w:color="000000" w:fill="F79646"/>
            <w:vAlign w:val="center"/>
            <w:hideMark/>
          </w:tcPr>
          <w:p w:rsidR="00E60E82" w:rsidRPr="00E60E82" w:rsidRDefault="00E60E82" w:rsidP="00E60E82">
            <w:pPr>
              <w:spacing w:after="0" w:line="240" w:lineRule="auto"/>
              <w:jc w:val="center"/>
              <w:rPr>
                <w:rFonts w:eastAsia="Times New Roman" w:cs="Arial"/>
                <w:b/>
                <w:bCs/>
                <w:color w:val="FFFFFF"/>
                <w:kern w:val="0"/>
                <w:sz w:val="32"/>
                <w:szCs w:val="32"/>
                <w:lang w:val="en-US"/>
              </w:rPr>
            </w:pPr>
            <w:r w:rsidRPr="00E60E82">
              <w:rPr>
                <w:rFonts w:eastAsia="Times New Roman" w:cs="Arial"/>
                <w:b/>
                <w:bCs/>
                <w:color w:val="FFFFFF"/>
                <w:kern w:val="0"/>
                <w:sz w:val="32"/>
                <w:szCs w:val="32"/>
                <w:lang w:val="en-US"/>
              </w:rPr>
              <w:t>FY26</w:t>
            </w:r>
            <w:r w:rsidRPr="00E60E82">
              <w:rPr>
                <w:rFonts w:eastAsia="Times New Roman" w:cs="Arial"/>
                <w:b/>
                <w:bCs/>
                <w:color w:val="FFFFFF"/>
                <w:kern w:val="0"/>
                <w:sz w:val="32"/>
                <w:szCs w:val="32"/>
                <w:lang w:val="en-US"/>
              </w:rPr>
              <w:br/>
              <w:t>(2025/26)</w:t>
            </w:r>
          </w:p>
        </w:tc>
        <w:tc>
          <w:tcPr>
            <w:tcW w:w="739" w:type="pct"/>
            <w:tcBorders>
              <w:top w:val="single" w:sz="4" w:space="0" w:color="D9D9D9"/>
              <w:left w:val="nil"/>
              <w:bottom w:val="single" w:sz="4" w:space="0" w:color="D9D9D9"/>
              <w:right w:val="single" w:sz="4" w:space="0" w:color="D9D9D9"/>
            </w:tcBorders>
            <w:shd w:val="clear" w:color="000000" w:fill="F79646"/>
            <w:vAlign w:val="center"/>
            <w:hideMark/>
          </w:tcPr>
          <w:p w:rsidR="00E60E82" w:rsidRPr="00E60E82" w:rsidRDefault="00E60E82" w:rsidP="00E60E82">
            <w:pPr>
              <w:spacing w:after="0" w:line="240" w:lineRule="auto"/>
              <w:jc w:val="center"/>
              <w:rPr>
                <w:rFonts w:eastAsia="Times New Roman" w:cs="Arial"/>
                <w:b/>
                <w:bCs/>
                <w:color w:val="FFFFFF"/>
                <w:kern w:val="0"/>
                <w:sz w:val="32"/>
                <w:szCs w:val="32"/>
                <w:lang w:val="en-US"/>
              </w:rPr>
            </w:pPr>
            <w:r w:rsidRPr="00E60E82">
              <w:rPr>
                <w:rFonts w:eastAsia="Times New Roman" w:cs="Arial"/>
                <w:b/>
                <w:bCs/>
                <w:color w:val="FFFFFF"/>
                <w:kern w:val="0"/>
                <w:sz w:val="32"/>
                <w:szCs w:val="32"/>
                <w:lang w:val="en-US"/>
              </w:rPr>
              <w:t>5-Yr CA</w:t>
            </w:r>
            <w:r w:rsidRPr="00E60E82">
              <w:rPr>
                <w:rFonts w:eastAsia="Times New Roman" w:cs="Arial"/>
                <w:b/>
                <w:bCs/>
                <w:color w:val="FFFFFF"/>
                <w:kern w:val="0"/>
                <w:sz w:val="32"/>
                <w:szCs w:val="32"/>
                <w:lang w:val="en-US"/>
              </w:rPr>
              <w:lastRenderedPageBreak/>
              <w:t>GR / trend</w:t>
            </w:r>
          </w:p>
        </w:tc>
      </w:tr>
      <w:tr w:rsidR="00E60E82" w:rsidRPr="00E60E82" w:rsidTr="00E60E82">
        <w:trPr>
          <w:trHeight w:val="402"/>
        </w:trPr>
        <w:tc>
          <w:tcPr>
            <w:tcW w:w="2181"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sz w:val="28"/>
                <w:szCs w:val="28"/>
                <w:lang w:val="en-US"/>
              </w:rPr>
            </w:pPr>
            <w:r w:rsidRPr="00E60E82">
              <w:rPr>
                <w:rFonts w:eastAsia="Times New Roman" w:cs="Arial"/>
                <w:b/>
                <w:bCs/>
                <w:color w:val="C0504D"/>
                <w:kern w:val="0"/>
                <w:sz w:val="28"/>
                <w:szCs w:val="28"/>
                <w:lang w:val="en-US"/>
              </w:rPr>
              <w:lastRenderedPageBreak/>
              <w:t>1. INCOME STATEMENT ITEMS (£m)</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000000"/>
                <w:kern w:val="0"/>
                <w:sz w:val="22"/>
                <w:szCs w:val="22"/>
                <w:lang w:val="en-US"/>
              </w:rPr>
            </w:pPr>
            <w:r w:rsidRPr="00E60E82">
              <w:rPr>
                <w:rFonts w:eastAsia="Times New Roman" w:cs="Arial"/>
                <w:b/>
                <w:bCs/>
                <w:color w:val="000000"/>
                <w:kern w:val="0"/>
                <w:sz w:val="22"/>
                <w:szCs w:val="22"/>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000000"/>
                <w:kern w:val="0"/>
                <w:sz w:val="22"/>
                <w:szCs w:val="22"/>
                <w:lang w:val="en-US"/>
              </w:rPr>
            </w:pPr>
            <w:r w:rsidRPr="00E60E82">
              <w:rPr>
                <w:rFonts w:eastAsia="Times New Roman" w:cs="Arial"/>
                <w:b/>
                <w:bCs/>
                <w:color w:val="000000"/>
                <w:kern w:val="0"/>
                <w:sz w:val="22"/>
                <w:szCs w:val="22"/>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000000"/>
                <w:kern w:val="0"/>
                <w:sz w:val="22"/>
                <w:szCs w:val="22"/>
                <w:lang w:val="en-US"/>
              </w:rPr>
            </w:pPr>
            <w:r w:rsidRPr="00E60E82">
              <w:rPr>
                <w:rFonts w:eastAsia="Times New Roman" w:cs="Arial"/>
                <w:b/>
                <w:bCs/>
                <w:color w:val="000000"/>
                <w:kern w:val="0"/>
                <w:sz w:val="22"/>
                <w:szCs w:val="22"/>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000000"/>
                <w:kern w:val="0"/>
                <w:sz w:val="22"/>
                <w:szCs w:val="22"/>
                <w:lang w:val="en-US"/>
              </w:rPr>
            </w:pPr>
            <w:r w:rsidRPr="00E60E82">
              <w:rPr>
                <w:rFonts w:eastAsia="Times New Roman" w:cs="Arial"/>
                <w:b/>
                <w:bCs/>
                <w:color w:val="000000"/>
                <w:kern w:val="0"/>
                <w:sz w:val="22"/>
                <w:szCs w:val="22"/>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000000"/>
                <w:kern w:val="0"/>
                <w:sz w:val="22"/>
                <w:szCs w:val="22"/>
                <w:lang w:val="en-US"/>
              </w:rPr>
            </w:pPr>
            <w:r w:rsidRPr="00E60E82">
              <w:rPr>
                <w:rFonts w:eastAsia="Times New Roman" w:cs="Arial"/>
                <w:b/>
                <w:bCs/>
                <w:color w:val="000000"/>
                <w:kern w:val="0"/>
                <w:sz w:val="22"/>
                <w:szCs w:val="22"/>
                <w:lang w:val="en-US"/>
              </w:rPr>
              <w:t> </w:t>
            </w:r>
          </w:p>
        </w:tc>
        <w:tc>
          <w:tcPr>
            <w:tcW w:w="739"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000000"/>
                <w:kern w:val="0"/>
                <w:sz w:val="22"/>
                <w:szCs w:val="22"/>
                <w:lang w:val="en-US"/>
              </w:rPr>
            </w:pPr>
            <w:r w:rsidRPr="00E60E82">
              <w:rPr>
                <w:rFonts w:eastAsia="Times New Roman" w:cs="Arial"/>
                <w:b/>
                <w:bCs/>
                <w:color w:val="000000"/>
                <w:kern w:val="0"/>
                <w:sz w:val="22"/>
                <w:szCs w:val="22"/>
                <w:lang w:val="en-US"/>
              </w:rPr>
              <w:t> </w:t>
            </w:r>
          </w:p>
        </w:tc>
      </w:tr>
      <w:tr w:rsidR="00E60E82" w:rsidRPr="00E60E82" w:rsidTr="00E60E82">
        <w:trPr>
          <w:trHeight w:val="300"/>
        </w:trPr>
        <w:tc>
          <w:tcPr>
            <w:tcW w:w="2181" w:type="pct"/>
            <w:tcBorders>
              <w:top w:val="single" w:sz="4" w:space="0" w:color="D9D9D9"/>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Statutory Revenue</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1,703.4</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2,625.2</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2,959.9</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2,921.9</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2,920.2</w:t>
            </w:r>
          </w:p>
        </w:tc>
        <w:tc>
          <w:tcPr>
            <w:tcW w:w="739"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14.4%</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Cost of Inventories (F&amp;B Cost of Sales)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-146.6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-229.0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-255.1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-225.7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-215.1</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-46.7%</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Operating Costs (before D&amp;A and Adjusting Items)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-1,344.2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-1,745.0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-1,913.1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-1,901.7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-1,856.4</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-38.1%</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Depreciation &amp;Amortisation (D&amp;A)</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-326.9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-345.5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-383.4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-401.8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-426.2</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-30.4%</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Statutory Operating Profit (EBIT)</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227.3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505.0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564.8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514.0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464.2</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19.5%</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Adjusted Operating Profit (Adjusted EBIT)</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153.3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543.5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674.2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629.6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648.9</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43.4%</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Adjusted EBITDAR</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472.6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888.0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1,057.2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1,029.9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1,073.9</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22.8%</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Finance Costs (Total)</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-173.6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-166.9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-179.3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-188.5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-200.3</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-15.4%</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Lease Liability Interest (Interest paid on leases)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-133.2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-138.7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-154.9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-166.7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-177.0</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-32.9%</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Statutory Profit Before Tax (PBT)</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58.2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374.9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451.7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367.8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298.4</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50.5%</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Adjusted Profit Before Tax (Adjusted PBT)</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-15.8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413.4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561.1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483.4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483.1</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3157.6%</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Tax Expense</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-15.7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-96.1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-139.6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-114.1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-85.5</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-444.6%</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Statutory Profit After Tax (PAT)</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42.5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278.8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312.1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253.7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212.9</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49.6%</w:t>
            </w:r>
          </w:p>
        </w:tc>
      </w:tr>
      <w:tr w:rsidR="00E60E82" w:rsidRPr="00E60E82" w:rsidTr="00E60E82">
        <w:trPr>
          <w:trHeight w:val="402"/>
        </w:trPr>
        <w:tc>
          <w:tcPr>
            <w:tcW w:w="2181"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sz w:val="28"/>
                <w:szCs w:val="28"/>
                <w:lang w:val="en-US"/>
              </w:rPr>
            </w:pPr>
            <w:r w:rsidRPr="00E60E82">
              <w:rPr>
                <w:rFonts w:eastAsia="Times New Roman" w:cs="Arial"/>
                <w:b/>
                <w:bCs/>
                <w:color w:val="C0504D"/>
                <w:kern w:val="0"/>
                <w:sz w:val="28"/>
                <w:szCs w:val="28"/>
                <w:lang w:val="en-US"/>
              </w:rPr>
              <w:t>2. BALANCE SHEET ITEMS (£m)</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739"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r>
      <w:tr w:rsidR="00E60E82" w:rsidRPr="00E60E82" w:rsidTr="00E60E82">
        <w:trPr>
          <w:trHeight w:val="300"/>
        </w:trPr>
        <w:tc>
          <w:tcPr>
            <w:tcW w:w="2181" w:type="pct"/>
            <w:tcBorders>
              <w:top w:val="single" w:sz="4" w:space="0" w:color="D9D9D9"/>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Inventories</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19.4</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21.7</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21.2</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17.1</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11.0</w:t>
            </w:r>
          </w:p>
        </w:tc>
        <w:tc>
          <w:tcPr>
            <w:tcW w:w="739"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-13.2%</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Trade &amp; Other Receivables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116.4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141.8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119.3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127.1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136.7</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4.1%</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Cash &amp; Cash Equivalents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1,132.4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1,164.8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696.7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909.0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233.7</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-32.6%</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Other Current Assets (incl. Derivative/Tax/Held for Sale)</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64.8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54.4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148.1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114.7</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15.3%</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Total Current Assets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1,333.0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1,331.5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891.6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1,201.3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496.1</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-21.9%</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Trade &amp; Other Payables (Current)</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570.7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676.7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670.5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660.8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689.7</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4.8%</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Short-term Lease Liabilities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129.3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144.1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155.6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167.0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175.6</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8.0%</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Short-term Borrowings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0.0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0.0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0.0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450.0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0.0</w:t>
            </w:r>
          </w:p>
        </w:tc>
        <w:tc>
          <w:tcPr>
            <w:tcW w:w="739" w:type="pct"/>
            <w:tcBorders>
              <w:top w:val="nil"/>
              <w:left w:val="nil"/>
              <w:bottom w:val="single" w:sz="4" w:space="0" w:color="D9D9D9"/>
              <w:right w:val="single" w:sz="4" w:space="0" w:color="D9D9D9"/>
            </w:tcBorders>
            <w:noWrap/>
            <w:vAlign w:val="bottom"/>
            <w:hideMark/>
          </w:tcPr>
          <w:p w:rsidR="00E60E82" w:rsidRPr="00E60E82" w:rsidRDefault="00DD6D61" w:rsidP="00E60E82">
            <w:pPr>
              <w:spacing w:after="0" w:line="240" w:lineRule="auto"/>
              <w:jc w:val="right"/>
              <w:rPr>
                <w:rFonts w:eastAsia="Times New Roman" w:cs="Arial"/>
                <w:i/>
                <w:iCs/>
                <w:kern w:val="0"/>
                <w:sz w:val="18"/>
                <w:szCs w:val="18"/>
                <w:lang w:val="en-US"/>
              </w:rPr>
            </w:pPr>
            <w:r w:rsidRPr="00DD6D61">
              <w:rPr>
                <w:rFonts w:eastAsia="Times New Roman" w:cs="Arial"/>
                <w:i/>
                <w:iCs/>
                <w:kern w:val="0"/>
                <w:sz w:val="18"/>
                <w:szCs w:val="18"/>
                <w:lang w:val="en-US"/>
              </w:rPr>
              <w:t>-</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Other Current Liabilities (Tax &amp; Provisions)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19.6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24.8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44.3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41.2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24.1</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5.3%</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Total Current Liabilities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719.6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845.6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870.4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1,319.0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889.4</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5.4%</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Property, Plant and Equipment (PPE)</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4,227.1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4,554.2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4,627.9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4,677.4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4,884.4</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3.7%</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Right-of-Use Assets (ROU)</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3,267.6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3,504.6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3,597.0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3,662.7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3,838.1</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4.1%</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Other Non-Current Assets (Intangibles, Pension, JVs)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738.8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552.5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404.8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363.3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350.0</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-17.0%</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Total Non-Current Assets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8,233.5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8,611.3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8,629.7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8,703.4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9,072.5</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2.5%</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lastRenderedPageBreak/>
              <w:t>Long-term Borrowings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991.9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993.4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994.9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942.4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943.0</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-1.3%</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Long-term Lease Liabilities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3,572.5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3,814.3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3,942.8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4,066.8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4,347.5</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5.0%</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Other Non-Current Liabilities (Deferred Tax &amp; Provisions)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163.5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178.1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193.8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242.0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252.3</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11.5%</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Total Non-Current Liabilities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4,727.9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4,985.8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5,131.5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5,251.2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5,542.8</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4.1%</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Total Equity (Net Assets)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4,119.0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4,111.4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3,519.4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3,334.5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3,136.4</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-6.6%</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b/>
                <w:bCs/>
                <w:kern w:val="0"/>
                <w:sz w:val="20"/>
                <w:szCs w:val="20"/>
                <w:lang w:val="en-US"/>
              </w:rPr>
            </w:pPr>
            <w:r w:rsidRPr="00E60E82">
              <w:rPr>
                <w:rFonts w:eastAsia="Times New Roman" w:cs="Arial"/>
                <w:b/>
                <w:bCs/>
                <w:kern w:val="0"/>
                <w:sz w:val="20"/>
                <w:szCs w:val="20"/>
                <w:lang w:val="en-US"/>
              </w:rPr>
              <w:t>Total Debt (Borrowings + Lease Liabilities)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4,693.7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4,951.8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5,093.3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5,626.2</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b/>
                <w:bCs/>
                <w:kern w:val="0"/>
                <w:sz w:val="20"/>
                <w:szCs w:val="20"/>
                <w:lang w:val="en-US"/>
              </w:rPr>
            </w:pPr>
            <w:r w:rsidRPr="00E60E82">
              <w:rPr>
                <w:rFonts w:eastAsia="Times New Roman" w:cs="Arial"/>
                <w:b/>
                <w:bCs/>
                <w:kern w:val="0"/>
                <w:sz w:val="20"/>
                <w:szCs w:val="20"/>
                <w:lang w:val="en-US"/>
              </w:rPr>
              <w:t>5,466.1</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3.9%</w:t>
            </w:r>
          </w:p>
        </w:tc>
      </w:tr>
      <w:tr w:rsidR="00E60E82" w:rsidRPr="00E60E82" w:rsidTr="00E60E82">
        <w:trPr>
          <w:trHeight w:val="402"/>
        </w:trPr>
        <w:tc>
          <w:tcPr>
            <w:tcW w:w="2181"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sz w:val="28"/>
                <w:szCs w:val="28"/>
                <w:lang w:val="en-US"/>
              </w:rPr>
            </w:pPr>
            <w:r w:rsidRPr="00E60E82">
              <w:rPr>
                <w:rFonts w:eastAsia="Times New Roman" w:cs="Arial"/>
                <w:b/>
                <w:bCs/>
                <w:color w:val="C0504D"/>
                <w:kern w:val="0"/>
                <w:sz w:val="28"/>
                <w:szCs w:val="28"/>
                <w:lang w:val="en-US"/>
              </w:rPr>
              <w:t>3. CASH FLOW STATEMENT ITEMS (£m)</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416"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c>
          <w:tcPr>
            <w:tcW w:w="739" w:type="pct"/>
            <w:tcBorders>
              <w:top w:val="nil"/>
              <w:left w:val="nil"/>
              <w:bottom w:val="nil"/>
              <w:right w:val="nil"/>
            </w:tcBorders>
            <w:shd w:val="clear" w:color="000000" w:fill="FDE9D9"/>
            <w:noWrap/>
            <w:vAlign w:val="bottom"/>
            <w:hideMark/>
          </w:tcPr>
          <w:p w:rsidR="00E60E82" w:rsidRPr="00E60E82" w:rsidRDefault="00E60E82" w:rsidP="00E60E82">
            <w:pPr>
              <w:spacing w:after="0" w:line="240" w:lineRule="auto"/>
              <w:jc w:val="left"/>
              <w:rPr>
                <w:rFonts w:eastAsia="Times New Roman" w:cs="Arial"/>
                <w:b/>
                <w:bCs/>
                <w:color w:val="C0504D"/>
                <w:kern w:val="0"/>
                <w:lang w:val="en-US"/>
              </w:rPr>
            </w:pPr>
            <w:r w:rsidRPr="00E60E82">
              <w:rPr>
                <w:rFonts w:eastAsia="Times New Roman" w:cs="Arial"/>
                <w:b/>
                <w:bCs/>
                <w:color w:val="C0504D"/>
                <w:kern w:val="0"/>
                <w:lang w:val="en-US"/>
              </w:rPr>
              <w:t> </w:t>
            </w:r>
          </w:p>
        </w:tc>
      </w:tr>
      <w:tr w:rsidR="00E60E82" w:rsidRPr="00E60E82" w:rsidTr="00E60E82">
        <w:trPr>
          <w:trHeight w:val="300"/>
        </w:trPr>
        <w:tc>
          <w:tcPr>
            <w:tcW w:w="2181" w:type="pct"/>
            <w:tcBorders>
              <w:top w:val="single" w:sz="4" w:space="0" w:color="D9D9D9"/>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Operating Cash Flow (Statutory Net)</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508.7</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799.9</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877.9</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761.7</w:t>
            </w:r>
          </w:p>
        </w:tc>
        <w:tc>
          <w:tcPr>
            <w:tcW w:w="416"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752.8</w:t>
            </w:r>
          </w:p>
        </w:tc>
        <w:tc>
          <w:tcPr>
            <w:tcW w:w="739" w:type="pct"/>
            <w:tcBorders>
              <w:top w:val="single" w:sz="4" w:space="0" w:color="D9D9D9"/>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10.3%</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Adjusted Operating Cash Flow</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404.0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719.0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787.0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723.0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713.0</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15.3%</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Capital Expenditure (PPE + Intangibles)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221.5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518.8</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508.5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486.0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675.4</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32.1%</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Proceeds from Disposals &amp; Sale-Leasebacks</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56.4</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59.6</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56.9</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136.5</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312.9</w:t>
            </w:r>
          </w:p>
        </w:tc>
        <w:tc>
          <w:tcPr>
            <w:tcW w:w="739"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i/>
                <w:iCs/>
                <w:kern w:val="0"/>
                <w:sz w:val="18"/>
                <w:szCs w:val="18"/>
                <w:lang w:val="en-US"/>
              </w:rPr>
            </w:pPr>
            <w:r w:rsidRPr="00E60E82">
              <w:rPr>
                <w:rFonts w:eastAsia="Times New Roman" w:cs="Arial"/>
                <w:i/>
                <w:iCs/>
                <w:kern w:val="0"/>
                <w:sz w:val="18"/>
                <w:szCs w:val="18"/>
                <w:lang w:val="en-US"/>
              </w:rPr>
              <w:t>53.5%</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Dividends Paid</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0.0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119.1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164.7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178.1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168.8</w:t>
            </w:r>
          </w:p>
        </w:tc>
        <w:tc>
          <w:tcPr>
            <w:tcW w:w="739" w:type="pct"/>
            <w:tcBorders>
              <w:top w:val="nil"/>
              <w:left w:val="nil"/>
              <w:bottom w:val="single" w:sz="4" w:space="0" w:color="D9D9D9"/>
              <w:right w:val="single" w:sz="4" w:space="0" w:color="D9D9D9"/>
            </w:tcBorders>
            <w:noWrap/>
            <w:vAlign w:val="bottom"/>
            <w:hideMark/>
          </w:tcPr>
          <w:p w:rsidR="00E60E82" w:rsidRPr="00E60E82" w:rsidRDefault="00DD6D61" w:rsidP="00E60E82">
            <w:pPr>
              <w:spacing w:after="0" w:line="240" w:lineRule="auto"/>
              <w:jc w:val="right"/>
              <w:rPr>
                <w:rFonts w:eastAsia="Times New Roman" w:cs="Arial"/>
                <w:i/>
                <w:iCs/>
                <w:kern w:val="0"/>
                <w:sz w:val="18"/>
                <w:szCs w:val="18"/>
                <w:lang w:val="en-US"/>
              </w:rPr>
            </w:pPr>
            <w:r w:rsidRPr="00DD6D61">
              <w:rPr>
                <w:rFonts w:eastAsia="Times New Roman" w:cs="Arial"/>
                <w:i/>
                <w:iCs/>
                <w:kern w:val="0"/>
                <w:sz w:val="18"/>
                <w:szCs w:val="18"/>
                <w:lang w:val="en-US"/>
              </w:rPr>
              <w:t>-</w:t>
            </w:r>
          </w:p>
        </w:tc>
      </w:tr>
      <w:tr w:rsidR="00E60E82" w:rsidRPr="00E60E82" w:rsidTr="00E60E82">
        <w:trPr>
          <w:trHeight w:val="300"/>
        </w:trPr>
        <w:tc>
          <w:tcPr>
            <w:tcW w:w="2181" w:type="pct"/>
            <w:tcBorders>
              <w:top w:val="nil"/>
              <w:left w:val="single" w:sz="4" w:space="0" w:color="D9D9D9"/>
              <w:bottom w:val="single" w:sz="4" w:space="0" w:color="D9D9D9"/>
              <w:right w:val="single" w:sz="4" w:space="0" w:color="D9D9D9"/>
            </w:tcBorders>
            <w:noWrap/>
            <w:vAlign w:val="bottom"/>
            <w:hideMark/>
          </w:tcPr>
          <w:p w:rsidR="00E60E82" w:rsidRPr="00E60E82" w:rsidRDefault="00E60E82" w:rsidP="00E60E82">
            <w:pPr>
              <w:spacing w:after="0" w:line="240" w:lineRule="auto"/>
              <w:jc w:val="left"/>
              <w:rPr>
                <w:rFonts w:eastAsia="Times New Roman" w:cs="Arial"/>
                <w:kern w:val="0"/>
                <w:sz w:val="20"/>
                <w:szCs w:val="20"/>
                <w:lang w:val="en-US"/>
              </w:rPr>
            </w:pPr>
            <w:r w:rsidRPr="00E60E82">
              <w:rPr>
                <w:rFonts w:eastAsia="Times New Roman" w:cs="Arial"/>
                <w:kern w:val="0"/>
                <w:sz w:val="20"/>
                <w:szCs w:val="20"/>
                <w:lang w:val="en-US"/>
              </w:rPr>
              <w:t>Share Buy-backs (Share cancellation &amp; ESOT)</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0.0</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31.7</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591.1</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264.3</w:t>
            </w:r>
          </w:p>
        </w:tc>
        <w:tc>
          <w:tcPr>
            <w:tcW w:w="416" w:type="pct"/>
            <w:tcBorders>
              <w:top w:val="nil"/>
              <w:left w:val="nil"/>
              <w:bottom w:val="single" w:sz="4" w:space="0" w:color="D9D9D9"/>
              <w:right w:val="single" w:sz="4" w:space="0" w:color="D9D9D9"/>
            </w:tcBorders>
            <w:noWrap/>
            <w:vAlign w:val="bottom"/>
            <w:hideMark/>
          </w:tcPr>
          <w:p w:rsidR="00E60E82" w:rsidRPr="00E60E82" w:rsidRDefault="00E60E82" w:rsidP="00E60E82">
            <w:pPr>
              <w:spacing w:after="0" w:line="240" w:lineRule="auto"/>
              <w:jc w:val="right"/>
              <w:rPr>
                <w:rFonts w:eastAsia="Times New Roman" w:cs="Arial"/>
                <w:kern w:val="0"/>
                <w:sz w:val="20"/>
                <w:szCs w:val="20"/>
                <w:lang w:val="en-US"/>
              </w:rPr>
            </w:pPr>
            <w:r w:rsidRPr="00E60E82">
              <w:rPr>
                <w:rFonts w:eastAsia="Times New Roman" w:cs="Arial"/>
                <w:kern w:val="0"/>
                <w:sz w:val="20"/>
                <w:szCs w:val="20"/>
                <w:lang w:val="en-US"/>
              </w:rPr>
              <w:t>261.7</w:t>
            </w:r>
          </w:p>
        </w:tc>
        <w:tc>
          <w:tcPr>
            <w:tcW w:w="739" w:type="pct"/>
            <w:tcBorders>
              <w:top w:val="nil"/>
              <w:left w:val="nil"/>
              <w:bottom w:val="single" w:sz="4" w:space="0" w:color="D9D9D9"/>
              <w:right w:val="single" w:sz="4" w:space="0" w:color="D9D9D9"/>
            </w:tcBorders>
            <w:noWrap/>
            <w:vAlign w:val="bottom"/>
            <w:hideMark/>
          </w:tcPr>
          <w:p w:rsidR="00E60E82" w:rsidRPr="00E60E82" w:rsidRDefault="00DD6D61" w:rsidP="00E60E82">
            <w:pPr>
              <w:spacing w:after="0" w:line="240" w:lineRule="auto"/>
              <w:jc w:val="right"/>
              <w:rPr>
                <w:rFonts w:eastAsia="Times New Roman" w:cs="Arial"/>
                <w:i/>
                <w:iCs/>
                <w:kern w:val="0"/>
                <w:sz w:val="18"/>
                <w:szCs w:val="18"/>
                <w:lang w:val="en-US"/>
              </w:rPr>
            </w:pPr>
            <w:r w:rsidRPr="00DD6D61">
              <w:rPr>
                <w:rFonts w:eastAsia="Times New Roman" w:cs="Arial"/>
                <w:i/>
                <w:iCs/>
                <w:kern w:val="0"/>
                <w:sz w:val="18"/>
                <w:szCs w:val="18"/>
                <w:lang w:val="en-US"/>
              </w:rPr>
              <w:t>-</w:t>
            </w:r>
          </w:p>
        </w:tc>
      </w:tr>
    </w:tbl>
    <w:p w:rsidR="00E60E82" w:rsidRDefault="00E60E82"/>
    <w:p w:rsidR="00E60E82" w:rsidRPr="00400B0C" w:rsidRDefault="00E60E82"/>
    <w:p w:rsidR="00D20F74" w:rsidRPr="00400B0C" w:rsidRDefault="00D20F74" w:rsidP="005A4577">
      <w:pPr>
        <w:pStyle w:val="Heading2"/>
      </w:pPr>
      <w:bookmarkStart w:id="3" w:name="_Toc237388819"/>
      <w:r w:rsidRPr="00400B0C">
        <w:t>2.2 Liquidity, Efficiency, and Cash Flow Evaluation</w:t>
      </w:r>
      <w:bookmarkEnd w:id="3"/>
    </w:p>
    <w:p w:rsidR="00450FC9" w:rsidRDefault="00450FC9" w:rsidP="00450FC9">
      <w:r>
        <w:t>The liquidity position of Whitbread needs to be considered in the context of its cash-generating operating model and not just balance sheet-based ratios. Statutory operating cash flow grew from £508.7m in FY22 to £752.8m in FY26 and adjusted operating cash flow rose from £404m to £713m. The cash generated from operations amounted to £1,072.6 million in FY26, which is a testament to the continued operating profitability providing a significant source of cash generation (Whitbread PLC, 2026</w:t>
      </w:r>
      <w:r w:rsidR="002E1ABA">
        <w:t>a</w:t>
      </w:r>
      <w:r>
        <w:t xml:space="preserve">). Structural negative working capital contributes to this resiliency. The model's cash conversion cycle was negative during FY22–FY26, rising from -81.6 days to -99.8 days, due to quick collection of cash from customers and delayed cash payment to suppliers. Recent study in hospitality industry also emphasizes that these working capital needs vary across industry and the focus should not be on elevating liquidity but in balancing liquidity and profitability </w:t>
      </w:r>
      <w:r w:rsidR="00263E5B" w:rsidRPr="00263E5B">
        <w:t>(Sharma et al., 2025)</w:t>
      </w:r>
      <w:r w:rsidR="00263E5B">
        <w:t>.</w:t>
      </w:r>
    </w:p>
    <w:p w:rsidR="00450FC9" w:rsidRDefault="00450FC9" w:rsidP="00450FC9">
      <w:r>
        <w:t xml:space="preserve">However, the liquidity ratios, but used traditional, have suffered a significant decline. Current ratio (with assets held for sale) decreased from 1.85 times in FY22 to 0.56 </w:t>
      </w:r>
      <w:r>
        <w:lastRenderedPageBreak/>
        <w:t xml:space="preserve">times in FY26 while the same ratio without assets held for sale went down from 1.76 times to 0.44 times. The position of the Quick ratio is also deteriorated from 1.74x to 0.42x. These movements are isolated, suggesting a material reduction in the liquidity buffer portfolio has in the short-term. But most accommodations have relatively low liquidity as they need only a small inventory and customers pay their bills quickly. Manufacturing-type ratios above 1.0x might be misguiding because a dataset from the current industry shows an average current ratio of about 0.78x for lodging companies. </w:t>
      </w:r>
    </w:p>
    <w:p w:rsidR="00D20F74" w:rsidRPr="00400B0C" w:rsidRDefault="00450FC9" w:rsidP="00450FC9">
      <w:r>
        <w:t>FY26 should not automatically be seen as a red flag for financial trouble at Whitbread though, as the current ratio is at 0.56x, below the lodging industry’s level, there is a need to watch. The impact of this was that inventories were only £11.0 million while the FY26 net operating cash flow was £752.8 million. Thus, despite having relatively poor static liquidity ratios, the recurring cash generation and high inventory intensity are offset by the continued negative cash conversion cycle, which means that there is less need to hold current assets to meet short-term obligations.</w:t>
      </w:r>
    </w:p>
    <w:p w:rsidR="005A4577" w:rsidRPr="00400B0C" w:rsidRDefault="005A4577" w:rsidP="00D20F74">
      <w:pPr>
        <w:rPr>
          <w:b/>
          <w:bCs/>
        </w:rPr>
      </w:pPr>
    </w:p>
    <w:p w:rsidR="00D20F74" w:rsidRPr="00400B0C" w:rsidRDefault="00D20F74" w:rsidP="005A4577">
      <w:pPr>
        <w:pStyle w:val="Heading2"/>
      </w:pPr>
      <w:bookmarkStart w:id="4" w:name="_Toc237388820"/>
      <w:r w:rsidRPr="00400B0C">
        <w:t>2.3 Gearing (Leverage) and Solvency</w:t>
      </w:r>
      <w:bookmarkEnd w:id="4"/>
    </w:p>
    <w:p w:rsidR="00D734FE" w:rsidRDefault="00D734FE" w:rsidP="00D734FE">
      <w:r>
        <w:t xml:space="preserve">Whitbread's solvency profile is based on conventional financial debt being moderate, but leverage from leasing. The total </w:t>
      </w:r>
      <w:r w:rsidR="00CF6A09">
        <w:t>d</w:t>
      </w:r>
      <w:r>
        <w:t>ebt</w:t>
      </w:r>
      <w:r w:rsidR="00CF6A09">
        <w:t>-</w:t>
      </w:r>
      <w:r>
        <w:t>to</w:t>
      </w:r>
      <w:r w:rsidR="00CF6A09">
        <w:t>-e</w:t>
      </w:r>
      <w:r>
        <w:t xml:space="preserve">quity of the assessment model, which includes lease liabilities, rose from 113.95% in FY22 to 174.28% in FY26, as a result of a decline in equity due to shareholder distributions and buy-backs. On the other hand, financial debt to equity (excluding leases) stayed low as it grew from 24.08% to 30.07%. The interest coverage increased from FY22, which was 0.88x to FY26 at 3.24x and the statutory coverage was 2.32x with an earnings margin over finance costs. New hospitality studies focus on the relationship between capital structure and ownership structure, asset usage, and financial flexibility, rather than just the amount of debt </w:t>
      </w:r>
      <w:r w:rsidR="00C02F48" w:rsidRPr="00C02F48">
        <w:t>(Ashraf et al., 2025)</w:t>
      </w:r>
      <w:r w:rsidR="00C02F48">
        <w:t>.</w:t>
      </w:r>
    </w:p>
    <w:p w:rsidR="00D20F74" w:rsidRPr="00400B0C" w:rsidRDefault="00D734FE" w:rsidP="00D734FE">
      <w:r>
        <w:t xml:space="preserve">This makes Whitbread's property-based balance sheet a good asset. Citing asset control, sale-and-leaseback flexibility and favourable financing terms, its 2025 bond prospectus said that the 52% of its rooms that were open and committed were on </w:t>
      </w:r>
      <w:r>
        <w:lastRenderedPageBreak/>
        <w:t xml:space="preserve">freehold properties. As stated in the latest FY26 disclosure, the Group's total estate is 49% freehold and 53% of their open estate in the UK is freehold </w:t>
      </w:r>
      <w:r w:rsidR="00BD297A" w:rsidRPr="00BD297A">
        <w:t>(Whitbread PLC, 2025b)</w:t>
      </w:r>
      <w:r>
        <w:t>. This asset backing underpinned access to the capital market with high quality asset-backed Green Notes, worth £300 million and £250 million respectively. In May 2026, Fitch also kept Whitbread's ratings at investment grade (BBB-) with a stable outlook</w:t>
      </w:r>
      <w:r w:rsidR="008F18E9" w:rsidRPr="008F18E9">
        <w:t>(Whitbread PLC, 2025c)</w:t>
      </w:r>
      <w:r>
        <w:t>. This meant that if the Group required access to external funding, then it could afford to invest £697m in FY26. But as costs on leases increase, leverage management discipline is still critical going forward.</w:t>
      </w:r>
    </w:p>
    <w:p w:rsidR="00D20F74" w:rsidRPr="00400B0C" w:rsidRDefault="00D20F74"/>
    <w:p w:rsidR="00D12754" w:rsidRPr="00400B0C" w:rsidRDefault="00D12754" w:rsidP="005A4577">
      <w:pPr>
        <w:pStyle w:val="Heading2"/>
      </w:pPr>
      <w:bookmarkStart w:id="5" w:name="_Toc237388821"/>
      <w:r w:rsidRPr="00400B0C">
        <w:t>2.4 Key Strengths, Threats, and Industry Benchmarking</w:t>
      </w:r>
      <w:bookmarkEnd w:id="5"/>
    </w:p>
    <w:p w:rsidR="007274AC" w:rsidRDefault="007274AC" w:rsidP="007274AC">
      <w:r>
        <w:t>Premier Inn is Whitbread's biggest asset, both in terms of scale and economics. The Group brand has around a 12% share of the UK hotel market, which is nearly double that of its closest competitor (Whitbread PLC, 2026</w:t>
      </w:r>
      <w:r w:rsidR="00120078">
        <w:t>a</w:t>
      </w:r>
      <w:r>
        <w:t xml:space="preserve">). Average room rates in the UK still rose in FY26 (3% to £81.95) and there was an increase in RevPAR (up 1%) despite a decline in occupancy. As part of this performance and the £83m cost efficiencies, Whitbread's vertically integrated operating model proved itself to be resilient. </w:t>
      </w:r>
    </w:p>
    <w:p w:rsidR="007274AC" w:rsidRDefault="007274AC" w:rsidP="007274AC">
      <w:r>
        <w:t>But, it is exposed to external and Portfolio threats. Whilst gross cost inflation in the UK is anticipated to be between 6.5% to 7.5%, this is due to wage, National Insurance, food and utility and business rate increases. Less asset recycling or lower disinvestment valuations in a muted commercial property market could also dampen asset recycling and negatively impact the Group's capital strategy as property transactions represent a component of it. The biggest weakness is the clear one in the food and beverage business</w:t>
      </w:r>
      <w:r w:rsidR="00C003CA" w:rsidRPr="00C003CA">
        <w:t>(Boettcher et al., 2026)</w:t>
      </w:r>
      <w:r>
        <w:t xml:space="preserve">. In FY26, UK F&amp;B revenue dropped 8% while the rest of the 197 branded restaurants earned £284 million, but a pre-tax loss of £13 million, contributing to the evolution of integrated hotel restaurants. </w:t>
      </w:r>
    </w:p>
    <w:p w:rsidR="00D12754" w:rsidRDefault="007274AC" w:rsidP="007274AC">
      <w:r>
        <w:t>These cautions apply to industry benchmarking, due to the variations of business models among competitors. Travelodge's EBITDA margin was less than Whitbread's modelled adjusted operating margin of 22.2% in FY26, on £1,044.3 million revenue and generating 2025 EBITDA of £176.7m</w:t>
      </w:r>
      <w:r w:rsidR="00037F86" w:rsidRPr="00037F86">
        <w:t>(Travelodge Group, 2025)</w:t>
      </w:r>
      <w:r>
        <w:t xml:space="preserve">. The IHG had an </w:t>
      </w:r>
      <w:r>
        <w:lastRenderedPageBreak/>
        <w:t>operating margin of 23.1% in line with the statutory margin of 2025 while Whitbread had a current ratio of 0.56x</w:t>
      </w:r>
      <w:r w:rsidR="00617C21" w:rsidRPr="00617C21">
        <w:t>(IHG, 2025a; b)</w:t>
      </w:r>
      <w:r>
        <w:t>. But IHG is mainly asset-light, with less than 1% of rooms owned/leased</w:t>
      </w:r>
      <w:r w:rsidR="00E5497F" w:rsidRPr="00E5497F">
        <w:t>(IHG, 2026)</w:t>
      </w:r>
      <w:r>
        <w:t xml:space="preserve">. In fact Whitbread's ownership-based approach compromises some of the liquidity of the balance sheet for more control over pricing, refurbishment, redevelopment and location. However, the latest hospitality research also indicates that ownership strategies can provide a boost to the performance of the operations at a significantly higher cost of capital </w:t>
      </w:r>
      <w:r w:rsidR="00435ADF" w:rsidRPr="00435ADF">
        <w:t>(Mulet-Forteza et al., 2024)</w:t>
      </w:r>
      <w:r>
        <w:t>.</w:t>
      </w:r>
    </w:p>
    <w:p w:rsidR="002B7AC5" w:rsidRDefault="002B7AC5" w:rsidP="007274AC"/>
    <w:p w:rsidR="002B7AC5" w:rsidRDefault="002B7AC5" w:rsidP="002B7AC5">
      <w:pPr>
        <w:pStyle w:val="Caption"/>
        <w:keepNext/>
      </w:pPr>
      <w:r>
        <w:t xml:space="preserve">Table </w:t>
      </w:r>
      <w:r w:rsidR="00112726">
        <w:fldChar w:fldCharType="begin"/>
      </w:r>
      <w:r>
        <w:instrText xml:space="preserve"> SEQ Table \* ARABIC </w:instrText>
      </w:r>
      <w:r w:rsidR="00112726">
        <w:fldChar w:fldCharType="separate"/>
      </w:r>
      <w:r>
        <w:rPr>
          <w:noProof/>
        </w:rPr>
        <w:t>2</w:t>
      </w:r>
      <w:r w:rsidR="00112726">
        <w:fldChar w:fldCharType="end"/>
      </w:r>
      <w:r>
        <w:t xml:space="preserve">: </w:t>
      </w:r>
      <w:r w:rsidRPr="004F2F0D">
        <w:t>COMPREHENSIVE 5-YEAR RATIO ANALYSIS (FY22 - FY26)</w:t>
      </w:r>
    </w:p>
    <w:tbl>
      <w:tblPr>
        <w:tblW w:w="5000" w:type="pct"/>
        <w:tblLook w:val="04A0"/>
      </w:tblPr>
      <w:tblGrid>
        <w:gridCol w:w="3380"/>
        <w:gridCol w:w="2516"/>
        <w:gridCol w:w="736"/>
        <w:gridCol w:w="736"/>
        <w:gridCol w:w="736"/>
        <w:gridCol w:w="736"/>
        <w:gridCol w:w="736"/>
      </w:tblGrid>
      <w:tr w:rsidR="002B7AC5" w:rsidRPr="002B7AC5" w:rsidTr="00106272">
        <w:trPr>
          <w:trHeight w:val="559"/>
        </w:trPr>
        <w:tc>
          <w:tcPr>
            <w:tcW w:w="1369" w:type="pct"/>
            <w:tcBorders>
              <w:top w:val="single" w:sz="4" w:space="0" w:color="D9D9D9"/>
              <w:left w:val="single" w:sz="4" w:space="0" w:color="D9D9D9"/>
              <w:bottom w:val="single" w:sz="4" w:space="0" w:color="D9D9D9"/>
              <w:right w:val="single" w:sz="4" w:space="0" w:color="D9D9D9"/>
            </w:tcBorders>
            <w:shd w:val="clear" w:color="000000" w:fill="F79646"/>
            <w:vAlign w:val="center"/>
            <w:hideMark/>
          </w:tcPr>
          <w:p w:rsidR="002B7AC5" w:rsidRPr="002B7AC5" w:rsidRDefault="002B7AC5" w:rsidP="002B7AC5">
            <w:pPr>
              <w:spacing w:after="0" w:line="240" w:lineRule="auto"/>
              <w:jc w:val="left"/>
              <w:rPr>
                <w:rFonts w:eastAsia="Times New Roman" w:cs="Arial"/>
                <w:b/>
                <w:bCs/>
                <w:color w:val="FFFFFF"/>
                <w:kern w:val="0"/>
                <w:sz w:val="32"/>
                <w:szCs w:val="32"/>
                <w:lang w:val="en-US"/>
              </w:rPr>
            </w:pPr>
            <w:r w:rsidRPr="002B7AC5">
              <w:rPr>
                <w:rFonts w:eastAsia="Times New Roman" w:cs="Arial"/>
                <w:b/>
                <w:bCs/>
                <w:color w:val="FFFFFF"/>
                <w:kern w:val="0"/>
                <w:sz w:val="32"/>
                <w:szCs w:val="32"/>
                <w:lang w:val="en-US"/>
              </w:rPr>
              <w:t>Ratio Category &amp; Specific Ratio</w:t>
            </w:r>
          </w:p>
        </w:tc>
        <w:tc>
          <w:tcPr>
            <w:tcW w:w="1397" w:type="pct"/>
            <w:tcBorders>
              <w:top w:val="single" w:sz="4" w:space="0" w:color="D9D9D9"/>
              <w:left w:val="nil"/>
              <w:bottom w:val="single" w:sz="4" w:space="0" w:color="D9D9D9"/>
              <w:right w:val="single" w:sz="4" w:space="0" w:color="D9D9D9"/>
            </w:tcBorders>
            <w:shd w:val="clear" w:color="000000" w:fill="F79646"/>
            <w:vAlign w:val="center"/>
            <w:hideMark/>
          </w:tcPr>
          <w:p w:rsidR="002B7AC5" w:rsidRPr="002B7AC5" w:rsidRDefault="002B7AC5" w:rsidP="002B7AC5">
            <w:pPr>
              <w:spacing w:after="0" w:line="240" w:lineRule="auto"/>
              <w:jc w:val="left"/>
              <w:rPr>
                <w:rFonts w:eastAsia="Times New Roman" w:cs="Arial"/>
                <w:b/>
                <w:bCs/>
                <w:color w:val="FFFFFF"/>
                <w:kern w:val="0"/>
                <w:sz w:val="32"/>
                <w:szCs w:val="32"/>
                <w:lang w:val="en-US"/>
              </w:rPr>
            </w:pPr>
            <w:r w:rsidRPr="002B7AC5">
              <w:rPr>
                <w:rFonts w:eastAsia="Times New Roman" w:cs="Arial"/>
                <w:b/>
                <w:bCs/>
                <w:color w:val="FFFFFF"/>
                <w:kern w:val="0"/>
                <w:sz w:val="32"/>
                <w:szCs w:val="32"/>
                <w:lang w:val="en-US"/>
              </w:rPr>
              <w:t>Formula / Definition</w:t>
            </w:r>
          </w:p>
        </w:tc>
        <w:tc>
          <w:tcPr>
            <w:tcW w:w="447" w:type="pct"/>
            <w:tcBorders>
              <w:top w:val="single" w:sz="4" w:space="0" w:color="D9D9D9"/>
              <w:left w:val="nil"/>
              <w:bottom w:val="single" w:sz="4" w:space="0" w:color="D9D9D9"/>
              <w:right w:val="single" w:sz="4" w:space="0" w:color="D9D9D9"/>
            </w:tcBorders>
            <w:shd w:val="clear" w:color="000000" w:fill="F79646"/>
            <w:vAlign w:val="center"/>
            <w:hideMark/>
          </w:tcPr>
          <w:p w:rsidR="002B7AC5" w:rsidRPr="002B7AC5" w:rsidRDefault="002B7AC5" w:rsidP="002B7AC5">
            <w:pPr>
              <w:spacing w:after="0" w:line="240" w:lineRule="auto"/>
              <w:jc w:val="center"/>
              <w:rPr>
                <w:rFonts w:eastAsia="Times New Roman" w:cs="Arial"/>
                <w:b/>
                <w:bCs/>
                <w:color w:val="FFFFFF"/>
                <w:kern w:val="0"/>
                <w:sz w:val="32"/>
                <w:szCs w:val="32"/>
                <w:lang w:val="en-US"/>
              </w:rPr>
            </w:pPr>
            <w:r w:rsidRPr="002B7AC5">
              <w:rPr>
                <w:rFonts w:eastAsia="Times New Roman" w:cs="Arial"/>
                <w:b/>
                <w:bCs/>
                <w:color w:val="FFFFFF"/>
                <w:kern w:val="0"/>
                <w:sz w:val="32"/>
                <w:szCs w:val="32"/>
                <w:lang w:val="en-US"/>
              </w:rPr>
              <w:t>FY22</w:t>
            </w:r>
          </w:p>
        </w:tc>
        <w:tc>
          <w:tcPr>
            <w:tcW w:w="447" w:type="pct"/>
            <w:tcBorders>
              <w:top w:val="single" w:sz="4" w:space="0" w:color="D9D9D9"/>
              <w:left w:val="nil"/>
              <w:bottom w:val="single" w:sz="4" w:space="0" w:color="D9D9D9"/>
              <w:right w:val="single" w:sz="4" w:space="0" w:color="D9D9D9"/>
            </w:tcBorders>
            <w:shd w:val="clear" w:color="000000" w:fill="F79646"/>
            <w:vAlign w:val="center"/>
            <w:hideMark/>
          </w:tcPr>
          <w:p w:rsidR="002B7AC5" w:rsidRPr="002B7AC5" w:rsidRDefault="002B7AC5" w:rsidP="002B7AC5">
            <w:pPr>
              <w:spacing w:after="0" w:line="240" w:lineRule="auto"/>
              <w:jc w:val="center"/>
              <w:rPr>
                <w:rFonts w:eastAsia="Times New Roman" w:cs="Arial"/>
                <w:b/>
                <w:bCs/>
                <w:color w:val="FFFFFF"/>
                <w:kern w:val="0"/>
                <w:sz w:val="32"/>
                <w:szCs w:val="32"/>
                <w:lang w:val="en-US"/>
              </w:rPr>
            </w:pPr>
            <w:r w:rsidRPr="002B7AC5">
              <w:rPr>
                <w:rFonts w:eastAsia="Times New Roman" w:cs="Arial"/>
                <w:b/>
                <w:bCs/>
                <w:color w:val="FFFFFF"/>
                <w:kern w:val="0"/>
                <w:sz w:val="32"/>
                <w:szCs w:val="32"/>
                <w:lang w:val="en-US"/>
              </w:rPr>
              <w:t>FY23</w:t>
            </w:r>
          </w:p>
        </w:tc>
        <w:tc>
          <w:tcPr>
            <w:tcW w:w="447" w:type="pct"/>
            <w:tcBorders>
              <w:top w:val="single" w:sz="4" w:space="0" w:color="D9D9D9"/>
              <w:left w:val="nil"/>
              <w:bottom w:val="single" w:sz="4" w:space="0" w:color="D9D9D9"/>
              <w:right w:val="single" w:sz="4" w:space="0" w:color="D9D9D9"/>
            </w:tcBorders>
            <w:shd w:val="clear" w:color="000000" w:fill="F79646"/>
            <w:vAlign w:val="center"/>
            <w:hideMark/>
          </w:tcPr>
          <w:p w:rsidR="002B7AC5" w:rsidRPr="002B7AC5" w:rsidRDefault="002B7AC5" w:rsidP="002B7AC5">
            <w:pPr>
              <w:spacing w:after="0" w:line="240" w:lineRule="auto"/>
              <w:jc w:val="center"/>
              <w:rPr>
                <w:rFonts w:eastAsia="Times New Roman" w:cs="Arial"/>
                <w:b/>
                <w:bCs/>
                <w:color w:val="FFFFFF"/>
                <w:kern w:val="0"/>
                <w:sz w:val="32"/>
                <w:szCs w:val="32"/>
                <w:lang w:val="en-US"/>
              </w:rPr>
            </w:pPr>
            <w:r w:rsidRPr="002B7AC5">
              <w:rPr>
                <w:rFonts w:eastAsia="Times New Roman" w:cs="Arial"/>
                <w:b/>
                <w:bCs/>
                <w:color w:val="FFFFFF"/>
                <w:kern w:val="0"/>
                <w:sz w:val="32"/>
                <w:szCs w:val="32"/>
                <w:lang w:val="en-US"/>
              </w:rPr>
              <w:t>FY24</w:t>
            </w:r>
          </w:p>
        </w:tc>
        <w:tc>
          <w:tcPr>
            <w:tcW w:w="447" w:type="pct"/>
            <w:tcBorders>
              <w:top w:val="single" w:sz="4" w:space="0" w:color="D9D9D9"/>
              <w:left w:val="nil"/>
              <w:bottom w:val="single" w:sz="4" w:space="0" w:color="D9D9D9"/>
              <w:right w:val="single" w:sz="4" w:space="0" w:color="D9D9D9"/>
            </w:tcBorders>
            <w:shd w:val="clear" w:color="000000" w:fill="F79646"/>
            <w:vAlign w:val="center"/>
            <w:hideMark/>
          </w:tcPr>
          <w:p w:rsidR="002B7AC5" w:rsidRPr="002B7AC5" w:rsidRDefault="002B7AC5" w:rsidP="002B7AC5">
            <w:pPr>
              <w:spacing w:after="0" w:line="240" w:lineRule="auto"/>
              <w:jc w:val="center"/>
              <w:rPr>
                <w:rFonts w:eastAsia="Times New Roman" w:cs="Arial"/>
                <w:b/>
                <w:bCs/>
                <w:color w:val="FFFFFF"/>
                <w:kern w:val="0"/>
                <w:sz w:val="32"/>
                <w:szCs w:val="32"/>
                <w:lang w:val="en-US"/>
              </w:rPr>
            </w:pPr>
            <w:r w:rsidRPr="002B7AC5">
              <w:rPr>
                <w:rFonts w:eastAsia="Times New Roman" w:cs="Arial"/>
                <w:b/>
                <w:bCs/>
                <w:color w:val="FFFFFF"/>
                <w:kern w:val="0"/>
                <w:sz w:val="32"/>
                <w:szCs w:val="32"/>
                <w:lang w:val="en-US"/>
              </w:rPr>
              <w:t>FY25</w:t>
            </w:r>
          </w:p>
        </w:tc>
        <w:tc>
          <w:tcPr>
            <w:tcW w:w="447" w:type="pct"/>
            <w:tcBorders>
              <w:top w:val="single" w:sz="4" w:space="0" w:color="D9D9D9"/>
              <w:left w:val="nil"/>
              <w:bottom w:val="single" w:sz="4" w:space="0" w:color="D9D9D9"/>
              <w:right w:val="single" w:sz="4" w:space="0" w:color="D9D9D9"/>
            </w:tcBorders>
            <w:shd w:val="clear" w:color="000000" w:fill="F79646"/>
            <w:vAlign w:val="center"/>
            <w:hideMark/>
          </w:tcPr>
          <w:p w:rsidR="002B7AC5" w:rsidRPr="002B7AC5" w:rsidRDefault="002B7AC5" w:rsidP="002B7AC5">
            <w:pPr>
              <w:spacing w:after="0" w:line="240" w:lineRule="auto"/>
              <w:jc w:val="center"/>
              <w:rPr>
                <w:rFonts w:eastAsia="Times New Roman" w:cs="Arial"/>
                <w:b/>
                <w:bCs/>
                <w:color w:val="FFFFFF"/>
                <w:kern w:val="0"/>
                <w:sz w:val="32"/>
                <w:szCs w:val="32"/>
                <w:lang w:val="en-US"/>
              </w:rPr>
            </w:pPr>
            <w:r w:rsidRPr="002B7AC5">
              <w:rPr>
                <w:rFonts w:eastAsia="Times New Roman" w:cs="Arial"/>
                <w:b/>
                <w:bCs/>
                <w:color w:val="FFFFFF"/>
                <w:kern w:val="0"/>
                <w:sz w:val="32"/>
                <w:szCs w:val="32"/>
                <w:lang w:val="en-US"/>
              </w:rPr>
              <w:t>FY26</w:t>
            </w:r>
          </w:p>
        </w:tc>
      </w:tr>
      <w:tr w:rsidR="002B7AC5" w:rsidRPr="002B7AC5" w:rsidTr="00106272">
        <w:trPr>
          <w:trHeight w:val="402"/>
        </w:trPr>
        <w:tc>
          <w:tcPr>
            <w:tcW w:w="1369"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1. PROFITABILITY RATIOS</w:t>
            </w:r>
          </w:p>
        </w:tc>
        <w:tc>
          <w:tcPr>
            <w:tcW w:w="139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r>
      <w:tr w:rsidR="002B7AC5" w:rsidRPr="002B7AC5" w:rsidTr="00106272">
        <w:trPr>
          <w:trHeight w:val="300"/>
        </w:trPr>
        <w:tc>
          <w:tcPr>
            <w:tcW w:w="1369" w:type="pct"/>
            <w:tcBorders>
              <w:top w:val="single" w:sz="4" w:space="0" w:color="D9D9D9"/>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Gross Profit Margin (%)</w:t>
            </w:r>
          </w:p>
        </w:tc>
        <w:tc>
          <w:tcPr>
            <w:tcW w:w="139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(Revenue - F&amp;B Cost) / Revenue</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91.4%</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91.3%</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91.4%</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92.3%</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92.6%</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Statutory Operating Margin (%)</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Statutory EBIT / Revenue</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13.3%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19.2%</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19.1%</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17.6%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15.9%</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Adjusted Operating Margin (%)</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Adjusted EBIT / Revenue</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9.0%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20.7%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22.8%</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21.6%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22.2%</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Return on Capital Employed (ROCE) (%)</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Adjusted EBIT / (Total Assets - Curr Liab)</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6.0%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7.8%</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7.3%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7.5%</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Return on Equity (ROE) (%)</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Statutory Net Profit / Total Equity</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6.8%</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8.9%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7.6%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6.8%</w:t>
            </w:r>
          </w:p>
        </w:tc>
      </w:tr>
      <w:tr w:rsidR="002B7AC5" w:rsidRPr="002B7AC5" w:rsidTr="00106272">
        <w:trPr>
          <w:trHeight w:val="402"/>
        </w:trPr>
        <w:tc>
          <w:tcPr>
            <w:tcW w:w="1369"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2. LIQUIDITY RATIOS</w:t>
            </w:r>
          </w:p>
        </w:tc>
        <w:tc>
          <w:tcPr>
            <w:tcW w:w="139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r>
      <w:tr w:rsidR="002B7AC5" w:rsidRPr="002B7AC5" w:rsidTr="00106272">
        <w:trPr>
          <w:trHeight w:val="300"/>
        </w:trPr>
        <w:tc>
          <w:tcPr>
            <w:tcW w:w="1369" w:type="pct"/>
            <w:tcBorders>
              <w:top w:val="single" w:sz="4" w:space="0" w:color="D9D9D9"/>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Current Ratio (incl. Assets Held for Sale)</w:t>
            </w:r>
          </w:p>
        </w:tc>
        <w:tc>
          <w:tcPr>
            <w:tcW w:w="139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Total Current Assets / Current Liabilities</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1.85</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1.57</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1.02</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0.91</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0.56</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Current Ratio (excl. Assets Held for Sale)</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Current Assets ex HFS / Current Liabilities</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1.76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1.57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0.96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0.81</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0.44</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Quick Ratio (Acid Test)</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(Cash + Receivables) / Current Liabilities</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1.74</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1.55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0.94</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0.80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0.42</w:t>
            </w:r>
          </w:p>
        </w:tc>
      </w:tr>
      <w:tr w:rsidR="002B7AC5" w:rsidRPr="002B7AC5" w:rsidTr="00106272">
        <w:trPr>
          <w:trHeight w:val="402"/>
        </w:trPr>
        <w:tc>
          <w:tcPr>
            <w:tcW w:w="1369"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3. EFFICIENCY RATIOS</w:t>
            </w:r>
          </w:p>
        </w:tc>
        <w:tc>
          <w:tcPr>
            <w:tcW w:w="139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lang w:val="en-US"/>
              </w:rPr>
            </w:pPr>
            <w:r w:rsidRPr="002B7AC5">
              <w:rPr>
                <w:rFonts w:eastAsia="Times New Roman" w:cs="Arial"/>
                <w:b/>
                <w:bCs/>
                <w:color w:val="C0504D"/>
                <w:kern w:val="0"/>
                <w:lang w:val="en-US"/>
              </w:rPr>
              <w:t> </w:t>
            </w:r>
          </w:p>
        </w:tc>
      </w:tr>
      <w:tr w:rsidR="002B7AC5" w:rsidRPr="002B7AC5" w:rsidTr="00106272">
        <w:trPr>
          <w:trHeight w:val="300"/>
        </w:trPr>
        <w:tc>
          <w:tcPr>
            <w:tcW w:w="1369" w:type="pct"/>
            <w:tcBorders>
              <w:top w:val="single" w:sz="4" w:space="0" w:color="D9D9D9"/>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Asset Turnover Ratio (x)</w:t>
            </w:r>
          </w:p>
        </w:tc>
        <w:tc>
          <w:tcPr>
            <w:tcW w:w="139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Revenue / Total Assets</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0.18</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0.26</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0.31</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0.29</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0.31</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Inventory Turnover (Times)</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Cost of Inventories / Inventories</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7.56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10.55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12.03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13.20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19.55</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Inventory Holding Period (Days)</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(Inventories / Cost of Sales) * 365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48.3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34.6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30.3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27.7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18.7</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Trade Receivables Collection (Days)</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(Receivables / Revenue) * 365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25.0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19.7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14.7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15.9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17.1</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Trade Payables Payment Period (Days)</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(Payables / Op Costs ex D&amp;A) * 365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154.9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141.5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127.9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126.8</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135.6</w:t>
            </w:r>
          </w:p>
        </w:tc>
      </w:tr>
      <w:tr w:rsidR="002B7AC5" w:rsidRPr="002B7AC5" w:rsidTr="00106272">
        <w:trPr>
          <w:trHeight w:val="402"/>
        </w:trPr>
        <w:tc>
          <w:tcPr>
            <w:tcW w:w="1369"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4. GEARING &amp; SOLVENCY RATIOS</w:t>
            </w:r>
          </w:p>
        </w:tc>
        <w:tc>
          <w:tcPr>
            <w:tcW w:w="139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ascii="Calibri" w:eastAsia="Times New Roman" w:hAnsi="Calibri" w:cs="Calibri"/>
                <w:b/>
                <w:bCs/>
                <w:color w:val="C0504D"/>
                <w:kern w:val="0"/>
                <w:sz w:val="28"/>
                <w:szCs w:val="28"/>
                <w:lang w:val="en-US"/>
              </w:rPr>
            </w:pPr>
            <w:r w:rsidRPr="002B7AC5">
              <w:rPr>
                <w:rFonts w:ascii="Calibri" w:eastAsia="Times New Roman" w:hAnsi="Calibri" w:cs="Calibri"/>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ascii="Calibri" w:eastAsia="Times New Roman" w:hAnsi="Calibri" w:cs="Calibri"/>
                <w:b/>
                <w:bCs/>
                <w:color w:val="C0504D"/>
                <w:kern w:val="0"/>
                <w:sz w:val="28"/>
                <w:szCs w:val="28"/>
                <w:lang w:val="en-US"/>
              </w:rPr>
            </w:pPr>
            <w:r w:rsidRPr="002B7AC5">
              <w:rPr>
                <w:rFonts w:ascii="Calibri" w:eastAsia="Times New Roman" w:hAnsi="Calibri" w:cs="Calibri"/>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ascii="Calibri" w:eastAsia="Times New Roman" w:hAnsi="Calibri" w:cs="Calibri"/>
                <w:b/>
                <w:bCs/>
                <w:color w:val="C0504D"/>
                <w:kern w:val="0"/>
                <w:sz w:val="28"/>
                <w:szCs w:val="28"/>
                <w:lang w:val="en-US"/>
              </w:rPr>
            </w:pPr>
            <w:r w:rsidRPr="002B7AC5">
              <w:rPr>
                <w:rFonts w:ascii="Calibri" w:eastAsia="Times New Roman" w:hAnsi="Calibri" w:cs="Calibri"/>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ascii="Calibri" w:eastAsia="Times New Roman" w:hAnsi="Calibri" w:cs="Calibri"/>
                <w:b/>
                <w:bCs/>
                <w:color w:val="C0504D"/>
                <w:kern w:val="0"/>
                <w:sz w:val="28"/>
                <w:szCs w:val="28"/>
                <w:lang w:val="en-US"/>
              </w:rPr>
            </w:pPr>
            <w:r w:rsidRPr="002B7AC5">
              <w:rPr>
                <w:rFonts w:ascii="Calibri" w:eastAsia="Times New Roman" w:hAnsi="Calibri" w:cs="Calibri"/>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ascii="Calibri" w:eastAsia="Times New Roman" w:hAnsi="Calibri" w:cs="Calibri"/>
                <w:b/>
                <w:bCs/>
                <w:color w:val="C0504D"/>
                <w:kern w:val="0"/>
                <w:sz w:val="28"/>
                <w:szCs w:val="28"/>
                <w:lang w:val="en-US"/>
              </w:rPr>
            </w:pPr>
            <w:r w:rsidRPr="002B7AC5">
              <w:rPr>
                <w:rFonts w:ascii="Calibri" w:eastAsia="Times New Roman" w:hAnsi="Calibri" w:cs="Calibri"/>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ascii="Calibri" w:eastAsia="Times New Roman" w:hAnsi="Calibri" w:cs="Calibri"/>
                <w:b/>
                <w:bCs/>
                <w:color w:val="C0504D"/>
                <w:kern w:val="0"/>
                <w:sz w:val="28"/>
                <w:szCs w:val="28"/>
                <w:lang w:val="en-US"/>
              </w:rPr>
            </w:pPr>
            <w:r w:rsidRPr="002B7AC5">
              <w:rPr>
                <w:rFonts w:ascii="Calibri" w:eastAsia="Times New Roman" w:hAnsi="Calibri" w:cs="Calibri"/>
                <w:b/>
                <w:bCs/>
                <w:color w:val="C0504D"/>
                <w:kern w:val="0"/>
                <w:sz w:val="28"/>
                <w:szCs w:val="28"/>
                <w:lang w:val="en-US"/>
              </w:rPr>
              <w:t> </w:t>
            </w:r>
          </w:p>
        </w:tc>
      </w:tr>
      <w:tr w:rsidR="002B7AC5" w:rsidRPr="002B7AC5" w:rsidTr="00106272">
        <w:trPr>
          <w:trHeight w:val="300"/>
        </w:trPr>
        <w:tc>
          <w:tcPr>
            <w:tcW w:w="1369" w:type="pct"/>
            <w:tcBorders>
              <w:top w:val="single" w:sz="4" w:space="0" w:color="D9D9D9"/>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lastRenderedPageBreak/>
              <w:t>Debt-to-Equity Ratio (Total Debt) (%)</w:t>
            </w:r>
          </w:p>
        </w:tc>
        <w:tc>
          <w:tcPr>
            <w:tcW w:w="139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(Borrowings + Lease Liab) / Total Equity</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114.0%</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120.4%</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144.7%</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168.7%</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174.3%</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Debt-to-Equity Ratio (Financial Debt) (%)</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Borrowings ex Leases / Total Equity</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24.1%</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24.2%</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28.3%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41.8%</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30.1%</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Interest Coverage Ratio (Statutory EBIT)</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Statutory EBIT / Total Finance Costs</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1.31</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3.03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3.15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2.73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2.32</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b/>
                <w:bCs/>
                <w:kern w:val="0"/>
                <w:sz w:val="20"/>
                <w:szCs w:val="20"/>
                <w:lang w:val="en-US"/>
              </w:rPr>
            </w:pPr>
            <w:r w:rsidRPr="002B7AC5">
              <w:rPr>
                <w:rFonts w:eastAsia="Times New Roman" w:cs="Arial"/>
                <w:b/>
                <w:bCs/>
                <w:kern w:val="0"/>
                <w:sz w:val="20"/>
                <w:szCs w:val="20"/>
                <w:lang w:val="en-US"/>
              </w:rPr>
              <w:t>Interest Coverage Ratio (Adjusted EBIT)</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Adjusted EBIT / Total Finance Costs</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0.88</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3.26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3.76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3.34</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b/>
                <w:bCs/>
                <w:kern w:val="0"/>
                <w:sz w:val="20"/>
                <w:szCs w:val="20"/>
                <w:lang w:val="en-US"/>
              </w:rPr>
            </w:pPr>
            <w:r w:rsidRPr="002B7AC5">
              <w:rPr>
                <w:rFonts w:eastAsia="Times New Roman" w:cs="Arial"/>
                <w:b/>
                <w:bCs/>
                <w:kern w:val="0"/>
                <w:sz w:val="20"/>
                <w:szCs w:val="20"/>
                <w:lang w:val="en-US"/>
              </w:rPr>
              <w:t>3.24</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Lease-adjusted Net Debt / EBITDAR (x)</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Lease-adj Net Debt / Adjusted EBITDAR</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7.54</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4.26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4.16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4.58</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4.87</w:t>
            </w:r>
          </w:p>
        </w:tc>
      </w:tr>
      <w:tr w:rsidR="002B7AC5" w:rsidRPr="002B7AC5" w:rsidTr="00106272">
        <w:trPr>
          <w:trHeight w:val="402"/>
        </w:trPr>
        <w:tc>
          <w:tcPr>
            <w:tcW w:w="2766" w:type="pct"/>
            <w:gridSpan w:val="2"/>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5. INVESTMENT / MARKET RATIOS</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color w:val="000000"/>
                <w:kern w:val="0"/>
                <w:sz w:val="22"/>
                <w:szCs w:val="22"/>
                <w:lang w:val="en-US"/>
              </w:rPr>
            </w:pPr>
            <w:r w:rsidRPr="002B7AC5">
              <w:rPr>
                <w:rFonts w:eastAsia="Times New Roman" w:cs="Arial"/>
                <w:color w:val="000000"/>
                <w:kern w:val="0"/>
                <w:sz w:val="22"/>
                <w:szCs w:val="22"/>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color w:val="000000"/>
                <w:kern w:val="0"/>
                <w:sz w:val="22"/>
                <w:szCs w:val="22"/>
                <w:lang w:val="en-US"/>
              </w:rPr>
            </w:pPr>
            <w:r w:rsidRPr="002B7AC5">
              <w:rPr>
                <w:rFonts w:eastAsia="Times New Roman" w:cs="Arial"/>
                <w:color w:val="000000"/>
                <w:kern w:val="0"/>
                <w:sz w:val="22"/>
                <w:szCs w:val="22"/>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color w:val="000000"/>
                <w:kern w:val="0"/>
                <w:sz w:val="22"/>
                <w:szCs w:val="22"/>
                <w:lang w:val="en-US"/>
              </w:rPr>
            </w:pPr>
            <w:r w:rsidRPr="002B7AC5">
              <w:rPr>
                <w:rFonts w:eastAsia="Times New Roman" w:cs="Arial"/>
                <w:color w:val="000000"/>
                <w:kern w:val="0"/>
                <w:sz w:val="22"/>
                <w:szCs w:val="22"/>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color w:val="000000"/>
                <w:kern w:val="0"/>
                <w:sz w:val="22"/>
                <w:szCs w:val="22"/>
                <w:lang w:val="en-US"/>
              </w:rPr>
            </w:pPr>
            <w:r w:rsidRPr="002B7AC5">
              <w:rPr>
                <w:rFonts w:eastAsia="Times New Roman" w:cs="Arial"/>
                <w:color w:val="000000"/>
                <w:kern w:val="0"/>
                <w:sz w:val="22"/>
                <w:szCs w:val="22"/>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color w:val="000000"/>
                <w:kern w:val="0"/>
                <w:sz w:val="22"/>
                <w:szCs w:val="22"/>
                <w:lang w:val="en-US"/>
              </w:rPr>
            </w:pPr>
            <w:r w:rsidRPr="002B7AC5">
              <w:rPr>
                <w:rFonts w:eastAsia="Times New Roman" w:cs="Arial"/>
                <w:color w:val="000000"/>
                <w:kern w:val="0"/>
                <w:sz w:val="22"/>
                <w:szCs w:val="22"/>
                <w:lang w:val="en-US"/>
              </w:rPr>
              <w:t> </w:t>
            </w:r>
          </w:p>
        </w:tc>
      </w:tr>
      <w:tr w:rsidR="002B7AC5" w:rsidRPr="002B7AC5" w:rsidTr="00106272">
        <w:trPr>
          <w:trHeight w:val="300"/>
        </w:trPr>
        <w:tc>
          <w:tcPr>
            <w:tcW w:w="1369" w:type="pct"/>
            <w:tcBorders>
              <w:top w:val="single" w:sz="4" w:space="0" w:color="D9D9D9"/>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Basic Earnings Per Share (Statutory) (p)</w:t>
            </w:r>
          </w:p>
        </w:tc>
        <w:tc>
          <w:tcPr>
            <w:tcW w:w="139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Statutory PAT / Shares</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21.1</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138.4</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161.0</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141.5</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123.3</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Basic Earnings Per Share (Adjusted) (p)</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Adjusted PAT / Shares</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-2.5</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162.9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206.9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194.6</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208.5</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Dividend Per Share (p)</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Dividends paid / declared per share</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0.0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82.7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97.0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100.0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101.5</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Dividend Cover (Times)</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Statutory PAT / Dividend Payments</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0.00</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2.34</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1.89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1.42</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1.26</w:t>
            </w:r>
          </w:p>
        </w:tc>
      </w:tr>
      <w:tr w:rsidR="002B7AC5" w:rsidRPr="002B7AC5" w:rsidTr="00106272">
        <w:trPr>
          <w:trHeight w:val="402"/>
        </w:trPr>
        <w:tc>
          <w:tcPr>
            <w:tcW w:w="1369"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6. CASH FLOW RATIOS</w:t>
            </w:r>
          </w:p>
        </w:tc>
        <w:tc>
          <w:tcPr>
            <w:tcW w:w="139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 </w:t>
            </w:r>
          </w:p>
        </w:tc>
        <w:tc>
          <w:tcPr>
            <w:tcW w:w="447" w:type="pct"/>
            <w:tcBorders>
              <w:top w:val="nil"/>
              <w:left w:val="nil"/>
              <w:bottom w:val="nil"/>
              <w:right w:val="nil"/>
            </w:tcBorders>
            <w:shd w:val="clear" w:color="000000" w:fill="FDE9D9"/>
            <w:noWrap/>
            <w:vAlign w:val="bottom"/>
            <w:hideMark/>
          </w:tcPr>
          <w:p w:rsidR="002B7AC5" w:rsidRPr="002B7AC5" w:rsidRDefault="002B7AC5" w:rsidP="002B7AC5">
            <w:pPr>
              <w:spacing w:after="0" w:line="240" w:lineRule="auto"/>
              <w:jc w:val="left"/>
              <w:rPr>
                <w:rFonts w:eastAsia="Times New Roman" w:cs="Arial"/>
                <w:b/>
                <w:bCs/>
                <w:color w:val="C0504D"/>
                <w:kern w:val="0"/>
                <w:sz w:val="28"/>
                <w:szCs w:val="28"/>
                <w:lang w:val="en-US"/>
              </w:rPr>
            </w:pPr>
            <w:r w:rsidRPr="002B7AC5">
              <w:rPr>
                <w:rFonts w:eastAsia="Times New Roman" w:cs="Arial"/>
                <w:b/>
                <w:bCs/>
                <w:color w:val="C0504D"/>
                <w:kern w:val="0"/>
                <w:sz w:val="28"/>
                <w:szCs w:val="28"/>
                <w:lang w:val="en-US"/>
              </w:rPr>
              <w:t> </w:t>
            </w:r>
          </w:p>
        </w:tc>
      </w:tr>
      <w:tr w:rsidR="002B7AC5" w:rsidRPr="002B7AC5" w:rsidTr="00106272">
        <w:trPr>
          <w:trHeight w:val="300"/>
        </w:trPr>
        <w:tc>
          <w:tcPr>
            <w:tcW w:w="1369" w:type="pct"/>
            <w:tcBorders>
              <w:top w:val="single" w:sz="4" w:space="0" w:color="D9D9D9"/>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Operating Cash Flow to Current Liabilities (x)</w:t>
            </w:r>
          </w:p>
        </w:tc>
        <w:tc>
          <w:tcPr>
            <w:tcW w:w="139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Statutory Operating Cash Flow / Curr Liab</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0.71</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0.95</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1.01</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0.58</w:t>
            </w:r>
          </w:p>
        </w:tc>
        <w:tc>
          <w:tcPr>
            <w:tcW w:w="447" w:type="pct"/>
            <w:tcBorders>
              <w:top w:val="single" w:sz="4" w:space="0" w:color="D9D9D9"/>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0.85</w:t>
            </w:r>
          </w:p>
        </w:tc>
      </w:tr>
      <w:tr w:rsidR="002B7AC5" w:rsidRPr="002B7AC5" w:rsidTr="00106272">
        <w:trPr>
          <w:trHeight w:val="300"/>
        </w:trPr>
        <w:tc>
          <w:tcPr>
            <w:tcW w:w="1369" w:type="pct"/>
            <w:tcBorders>
              <w:top w:val="nil"/>
              <w:left w:val="single" w:sz="4" w:space="0" w:color="D9D9D9"/>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kern w:val="0"/>
                <w:sz w:val="20"/>
                <w:szCs w:val="20"/>
                <w:lang w:val="en-US"/>
              </w:rPr>
            </w:pPr>
            <w:r w:rsidRPr="002B7AC5">
              <w:rPr>
                <w:rFonts w:eastAsia="Times New Roman" w:cs="Arial"/>
                <w:kern w:val="0"/>
                <w:sz w:val="20"/>
                <w:szCs w:val="20"/>
                <w:lang w:val="en-US"/>
              </w:rPr>
              <w:t>Free Cash Flow to Total Debt (%)</w:t>
            </w:r>
          </w:p>
        </w:tc>
        <w:tc>
          <w:tcPr>
            <w:tcW w:w="139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left"/>
              <w:rPr>
                <w:rFonts w:eastAsia="Times New Roman" w:cs="Arial"/>
                <w:i/>
                <w:iCs/>
                <w:kern w:val="0"/>
                <w:sz w:val="18"/>
                <w:szCs w:val="18"/>
                <w:lang w:val="en-US"/>
              </w:rPr>
            </w:pPr>
            <w:r w:rsidRPr="002B7AC5">
              <w:rPr>
                <w:rFonts w:eastAsia="Times New Roman" w:cs="Arial"/>
                <w:i/>
                <w:iCs/>
                <w:kern w:val="0"/>
                <w:sz w:val="18"/>
                <w:szCs w:val="18"/>
                <w:lang w:val="en-US"/>
              </w:rPr>
              <w:t>(Op Cash - CapEx) / Total Debt</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6.1%</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5.7%</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7.3%</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4.9%</w:t>
            </w:r>
          </w:p>
        </w:tc>
        <w:tc>
          <w:tcPr>
            <w:tcW w:w="447" w:type="pct"/>
            <w:tcBorders>
              <w:top w:val="nil"/>
              <w:left w:val="nil"/>
              <w:bottom w:val="single" w:sz="4" w:space="0" w:color="D9D9D9"/>
              <w:right w:val="single" w:sz="4" w:space="0" w:color="D9D9D9"/>
            </w:tcBorders>
            <w:noWrap/>
            <w:vAlign w:val="bottom"/>
            <w:hideMark/>
          </w:tcPr>
          <w:p w:rsidR="002B7AC5" w:rsidRPr="002B7AC5" w:rsidRDefault="002B7AC5" w:rsidP="002B7AC5">
            <w:pPr>
              <w:spacing w:after="0" w:line="240" w:lineRule="auto"/>
              <w:jc w:val="right"/>
              <w:rPr>
                <w:rFonts w:eastAsia="Times New Roman" w:cs="Arial"/>
                <w:kern w:val="0"/>
                <w:sz w:val="20"/>
                <w:szCs w:val="20"/>
                <w:lang w:val="en-US"/>
              </w:rPr>
            </w:pPr>
            <w:r w:rsidRPr="002B7AC5">
              <w:rPr>
                <w:rFonts w:eastAsia="Times New Roman" w:cs="Arial"/>
                <w:kern w:val="0"/>
                <w:sz w:val="20"/>
                <w:szCs w:val="20"/>
                <w:lang w:val="en-US"/>
              </w:rPr>
              <w:t>1.4%</w:t>
            </w:r>
          </w:p>
        </w:tc>
      </w:tr>
    </w:tbl>
    <w:p w:rsidR="00D12754" w:rsidRPr="00400B0C" w:rsidRDefault="00D12754" w:rsidP="00D12754">
      <w:pPr>
        <w:rPr>
          <w:b/>
          <w:bCs/>
        </w:rPr>
      </w:pPr>
    </w:p>
    <w:p w:rsidR="00257F89" w:rsidRPr="00400B0C" w:rsidRDefault="00257F89" w:rsidP="00257F89">
      <w:pPr>
        <w:pStyle w:val="Heading1"/>
      </w:pPr>
      <w:bookmarkStart w:id="6" w:name="_Toc237388822"/>
      <w:r w:rsidRPr="00400B0C">
        <w:t>3. Task 2: Working Capital Management Analysis</w:t>
      </w:r>
      <w:bookmarkEnd w:id="6"/>
    </w:p>
    <w:p w:rsidR="00D12754" w:rsidRPr="00400B0C" w:rsidRDefault="00D12754" w:rsidP="005A4577">
      <w:pPr>
        <w:pStyle w:val="Heading2"/>
      </w:pPr>
      <w:bookmarkStart w:id="7" w:name="_Toc237388823"/>
      <w:r w:rsidRPr="00400B0C">
        <w:t>3.1 Assessment of the Cash Operating Cycle</w:t>
      </w:r>
      <w:bookmarkEnd w:id="7"/>
    </w:p>
    <w:p w:rsidR="002979D5" w:rsidRDefault="002979D5" w:rsidP="002979D5">
      <w:r>
        <w:t>The ratio of cash operating cycle for Whitbread shows a significant improvement in the working-capital efficiency from FY22 to FY26. Days Inventory Outstanding (DIO) was reduced from 48.3 to 18.7 days, enabling inventory to turn into consumption/sales much quicker. As perishability can turn slow moving stock into waste and margin erosion, this is especially critical in the food and beverage business of Whitbread. The FY26 results report 40% less food waste than FY18 baseline, with a greater understanding of food waste and a move towards wholesalers for the majority of food and consumable purchases for the UK (Whitbread PLC, 2026</w:t>
      </w:r>
      <w:r w:rsidR="000A086C">
        <w:t>b</w:t>
      </w:r>
      <w:r>
        <w:t>). The simulated DIO reduction is thus a likely result of more stringent procurement, less menu variety and supply chain improvement.</w:t>
      </w:r>
    </w:p>
    <w:p w:rsidR="002979D5" w:rsidRDefault="002979D5" w:rsidP="002979D5">
      <w:r>
        <w:t xml:space="preserve">Days Sales Outstanding (DSO) also stood better in FY26 as compared to FY22 with a drop from 25.0 days to 17.1 days. This is a reflection on Premier Inn's distribution </w:t>
      </w:r>
      <w:r>
        <w:lastRenderedPageBreak/>
        <w:t>method where the major proportion of rooms are booked and paid for direct to the hotel and not via a middleman. In the bond prospectus published by Whitbread for 2025, it said that only less than 1% of the FY24 bookings in the UK came in via online travel agents, with the majority of bookings coming in through their direct channels. The latest reporting (FY26) validates the direct channel as the primary channel and total number of active customers growing to 7.3 million. Receivables are therefore comparatively low in relation to annual turnover which permits a quick turnover of the receivables.</w:t>
      </w:r>
    </w:p>
    <w:p w:rsidR="002979D5" w:rsidRDefault="002979D5" w:rsidP="002979D5">
      <w:r>
        <w:t xml:space="preserve">Days Payables Outstanding (DPO) continued to be highly elevated at 126 days to 154 days over the five-year period with the current level at 135.6 days in FY26. Longer supplier credit creates cash flow delays and significantly improves operating liquidity. That said, care needs to be taken with this ratio as Whitbread indicates the trade payables are likely to fall due within 60 days. The DPO in the model does not directly reflect contractual payment terms with suppliers but rather the accounting balances in relation to inventory-related costs. </w:t>
      </w:r>
    </w:p>
    <w:p w:rsidR="00D12754" w:rsidRDefault="002979D5" w:rsidP="002979D5">
      <w:r>
        <w:t xml:space="preserve">The mix of these together creates a very positive CCC of -99.8 days in FY26. Whereas a negative CCC suggests that Whitbread tends to receive cash during the operating process ahead of the supplier's cash claims, thus using trade credit to cover a portion of the daily operating cycle. </w:t>
      </w:r>
      <w:r w:rsidR="00E45E10" w:rsidRPr="00E45E10">
        <w:t>Stavropoulos and Zounta</w:t>
      </w:r>
      <w:r>
        <w:t xml:space="preserve"> (2025) also note negative CCC in the hotel industry as a case of unique dynamics in the liquidity of services. This sets up a convenient operating "funding cushion" in the form of interest-free loans that isn't drawn from a bank, thereby decreasing the reliance on short-term loans. But maintaining supplier relationships is key as more than extending payment dates could lead to liquidity pressure being shifted to suppliers, ultimately harming the supply-chain's resilience.</w:t>
      </w:r>
    </w:p>
    <w:p w:rsidR="008B08A3" w:rsidRDefault="008B08A3" w:rsidP="002979D5"/>
    <w:p w:rsidR="008B08A3" w:rsidRDefault="008B08A3" w:rsidP="008B08A3">
      <w:pPr>
        <w:pStyle w:val="Caption"/>
        <w:keepNext/>
      </w:pPr>
      <w:r>
        <w:t xml:space="preserve">Table </w:t>
      </w:r>
      <w:r w:rsidR="00112726">
        <w:fldChar w:fldCharType="begin"/>
      </w:r>
      <w:r>
        <w:instrText xml:space="preserve"> SEQ Table \* ARABIC </w:instrText>
      </w:r>
      <w:r w:rsidR="00112726">
        <w:fldChar w:fldCharType="separate"/>
      </w:r>
      <w:r w:rsidR="002B7AC5">
        <w:rPr>
          <w:noProof/>
        </w:rPr>
        <w:t>3</w:t>
      </w:r>
      <w:r w:rsidR="00112726">
        <w:fldChar w:fldCharType="end"/>
      </w:r>
      <w:r>
        <w:t xml:space="preserve">: </w:t>
      </w:r>
      <w:r w:rsidRPr="004445D3">
        <w:t>Working Capital &amp; CCC Component</w:t>
      </w:r>
    </w:p>
    <w:tbl>
      <w:tblPr>
        <w:tblW w:w="5000" w:type="pct"/>
        <w:tblLook w:val="04A0"/>
      </w:tblPr>
      <w:tblGrid>
        <w:gridCol w:w="2754"/>
        <w:gridCol w:w="2737"/>
        <w:gridCol w:w="817"/>
        <w:gridCol w:w="817"/>
        <w:gridCol w:w="817"/>
        <w:gridCol w:w="817"/>
        <w:gridCol w:w="817"/>
      </w:tblGrid>
      <w:tr w:rsidR="008B08A3" w:rsidRPr="008B08A3" w:rsidTr="008B08A3">
        <w:trPr>
          <w:trHeight w:val="559"/>
        </w:trPr>
        <w:tc>
          <w:tcPr>
            <w:tcW w:w="1577" w:type="pct"/>
            <w:tcBorders>
              <w:top w:val="single" w:sz="4" w:space="0" w:color="D9D9D9"/>
              <w:left w:val="single" w:sz="4" w:space="0" w:color="D9D9D9"/>
              <w:bottom w:val="single" w:sz="4" w:space="0" w:color="D9D9D9"/>
              <w:right w:val="single" w:sz="4" w:space="0" w:color="D9D9D9"/>
            </w:tcBorders>
            <w:shd w:val="clear" w:color="000000" w:fill="F79646"/>
            <w:vAlign w:val="center"/>
            <w:hideMark/>
          </w:tcPr>
          <w:p w:rsidR="008B08A3" w:rsidRPr="008B08A3" w:rsidRDefault="008B08A3" w:rsidP="008B08A3">
            <w:pPr>
              <w:spacing w:after="0" w:line="240" w:lineRule="auto"/>
              <w:jc w:val="left"/>
              <w:rPr>
                <w:rFonts w:eastAsia="Times New Roman" w:cs="Arial"/>
                <w:b/>
                <w:bCs/>
                <w:color w:val="FFFFFF"/>
                <w:kern w:val="0"/>
                <w:sz w:val="32"/>
                <w:szCs w:val="32"/>
                <w:lang w:val="en-US"/>
              </w:rPr>
            </w:pPr>
            <w:r w:rsidRPr="008B08A3">
              <w:rPr>
                <w:rFonts w:eastAsia="Times New Roman" w:cs="Arial"/>
                <w:b/>
                <w:bCs/>
                <w:color w:val="FFFFFF"/>
                <w:kern w:val="0"/>
                <w:sz w:val="32"/>
                <w:szCs w:val="32"/>
                <w:lang w:val="en-US"/>
              </w:rPr>
              <w:t>Working Capital &amp; CCC Component</w:t>
            </w:r>
          </w:p>
        </w:tc>
        <w:tc>
          <w:tcPr>
            <w:tcW w:w="1246" w:type="pct"/>
            <w:tcBorders>
              <w:top w:val="single" w:sz="4" w:space="0" w:color="D9D9D9"/>
              <w:left w:val="nil"/>
              <w:bottom w:val="single" w:sz="4" w:space="0" w:color="D9D9D9"/>
              <w:right w:val="single" w:sz="4" w:space="0" w:color="D9D9D9"/>
            </w:tcBorders>
            <w:shd w:val="clear" w:color="000000" w:fill="F79646"/>
            <w:vAlign w:val="center"/>
            <w:hideMark/>
          </w:tcPr>
          <w:p w:rsidR="008B08A3" w:rsidRPr="008B08A3" w:rsidRDefault="008B08A3" w:rsidP="008B08A3">
            <w:pPr>
              <w:spacing w:after="0" w:line="240" w:lineRule="auto"/>
              <w:jc w:val="left"/>
              <w:rPr>
                <w:rFonts w:eastAsia="Times New Roman" w:cs="Arial"/>
                <w:b/>
                <w:bCs/>
                <w:color w:val="FFFFFF"/>
                <w:kern w:val="0"/>
                <w:sz w:val="32"/>
                <w:szCs w:val="32"/>
                <w:lang w:val="en-US"/>
              </w:rPr>
            </w:pPr>
            <w:r w:rsidRPr="008B08A3">
              <w:rPr>
                <w:rFonts w:eastAsia="Times New Roman" w:cs="Arial"/>
                <w:b/>
                <w:bCs/>
                <w:color w:val="FFFFFF"/>
                <w:kern w:val="0"/>
                <w:sz w:val="32"/>
                <w:szCs w:val="32"/>
                <w:lang w:val="en-US"/>
              </w:rPr>
              <w:t>Formula</w:t>
            </w:r>
          </w:p>
        </w:tc>
        <w:tc>
          <w:tcPr>
            <w:tcW w:w="436" w:type="pct"/>
            <w:tcBorders>
              <w:top w:val="single" w:sz="4" w:space="0" w:color="D9D9D9"/>
              <w:left w:val="nil"/>
              <w:bottom w:val="single" w:sz="4" w:space="0" w:color="D9D9D9"/>
              <w:right w:val="single" w:sz="4" w:space="0" w:color="D9D9D9"/>
            </w:tcBorders>
            <w:shd w:val="clear" w:color="000000" w:fill="F79646"/>
            <w:vAlign w:val="center"/>
            <w:hideMark/>
          </w:tcPr>
          <w:p w:rsidR="008B08A3" w:rsidRPr="008B08A3" w:rsidRDefault="008B08A3" w:rsidP="008B08A3">
            <w:pPr>
              <w:spacing w:after="0" w:line="240" w:lineRule="auto"/>
              <w:jc w:val="center"/>
              <w:rPr>
                <w:rFonts w:eastAsia="Times New Roman" w:cs="Arial"/>
                <w:b/>
                <w:bCs/>
                <w:color w:val="FFFFFF"/>
                <w:kern w:val="0"/>
                <w:sz w:val="32"/>
                <w:szCs w:val="32"/>
                <w:lang w:val="en-US"/>
              </w:rPr>
            </w:pPr>
            <w:r w:rsidRPr="008B08A3">
              <w:rPr>
                <w:rFonts w:eastAsia="Times New Roman" w:cs="Arial"/>
                <w:b/>
                <w:bCs/>
                <w:color w:val="FFFFFF"/>
                <w:kern w:val="0"/>
                <w:sz w:val="32"/>
                <w:szCs w:val="32"/>
                <w:lang w:val="en-US"/>
              </w:rPr>
              <w:t>FY22</w:t>
            </w:r>
          </w:p>
        </w:tc>
        <w:tc>
          <w:tcPr>
            <w:tcW w:w="436" w:type="pct"/>
            <w:tcBorders>
              <w:top w:val="single" w:sz="4" w:space="0" w:color="D9D9D9"/>
              <w:left w:val="nil"/>
              <w:bottom w:val="single" w:sz="4" w:space="0" w:color="D9D9D9"/>
              <w:right w:val="single" w:sz="4" w:space="0" w:color="D9D9D9"/>
            </w:tcBorders>
            <w:shd w:val="clear" w:color="000000" w:fill="F79646"/>
            <w:vAlign w:val="center"/>
            <w:hideMark/>
          </w:tcPr>
          <w:p w:rsidR="008B08A3" w:rsidRPr="008B08A3" w:rsidRDefault="008B08A3" w:rsidP="008B08A3">
            <w:pPr>
              <w:spacing w:after="0" w:line="240" w:lineRule="auto"/>
              <w:jc w:val="center"/>
              <w:rPr>
                <w:rFonts w:eastAsia="Times New Roman" w:cs="Arial"/>
                <w:b/>
                <w:bCs/>
                <w:color w:val="FFFFFF"/>
                <w:kern w:val="0"/>
                <w:sz w:val="32"/>
                <w:szCs w:val="32"/>
                <w:lang w:val="en-US"/>
              </w:rPr>
            </w:pPr>
            <w:r w:rsidRPr="008B08A3">
              <w:rPr>
                <w:rFonts w:eastAsia="Times New Roman" w:cs="Arial"/>
                <w:b/>
                <w:bCs/>
                <w:color w:val="FFFFFF"/>
                <w:kern w:val="0"/>
                <w:sz w:val="32"/>
                <w:szCs w:val="32"/>
                <w:lang w:val="en-US"/>
              </w:rPr>
              <w:t>FY23</w:t>
            </w:r>
          </w:p>
        </w:tc>
        <w:tc>
          <w:tcPr>
            <w:tcW w:w="436" w:type="pct"/>
            <w:tcBorders>
              <w:top w:val="single" w:sz="4" w:space="0" w:color="D9D9D9"/>
              <w:left w:val="nil"/>
              <w:bottom w:val="single" w:sz="4" w:space="0" w:color="D9D9D9"/>
              <w:right w:val="single" w:sz="4" w:space="0" w:color="D9D9D9"/>
            </w:tcBorders>
            <w:shd w:val="clear" w:color="000000" w:fill="F79646"/>
            <w:vAlign w:val="center"/>
            <w:hideMark/>
          </w:tcPr>
          <w:p w:rsidR="008B08A3" w:rsidRPr="008B08A3" w:rsidRDefault="008B08A3" w:rsidP="008B08A3">
            <w:pPr>
              <w:spacing w:after="0" w:line="240" w:lineRule="auto"/>
              <w:jc w:val="center"/>
              <w:rPr>
                <w:rFonts w:eastAsia="Times New Roman" w:cs="Arial"/>
                <w:b/>
                <w:bCs/>
                <w:color w:val="FFFFFF"/>
                <w:kern w:val="0"/>
                <w:sz w:val="32"/>
                <w:szCs w:val="32"/>
                <w:lang w:val="en-US"/>
              </w:rPr>
            </w:pPr>
            <w:r w:rsidRPr="008B08A3">
              <w:rPr>
                <w:rFonts w:eastAsia="Times New Roman" w:cs="Arial"/>
                <w:b/>
                <w:bCs/>
                <w:color w:val="FFFFFF"/>
                <w:kern w:val="0"/>
                <w:sz w:val="32"/>
                <w:szCs w:val="32"/>
                <w:lang w:val="en-US"/>
              </w:rPr>
              <w:t>FY24</w:t>
            </w:r>
          </w:p>
        </w:tc>
        <w:tc>
          <w:tcPr>
            <w:tcW w:w="436" w:type="pct"/>
            <w:tcBorders>
              <w:top w:val="single" w:sz="4" w:space="0" w:color="D9D9D9"/>
              <w:left w:val="nil"/>
              <w:bottom w:val="single" w:sz="4" w:space="0" w:color="D9D9D9"/>
              <w:right w:val="single" w:sz="4" w:space="0" w:color="D9D9D9"/>
            </w:tcBorders>
            <w:shd w:val="clear" w:color="000000" w:fill="F79646"/>
            <w:vAlign w:val="center"/>
            <w:hideMark/>
          </w:tcPr>
          <w:p w:rsidR="008B08A3" w:rsidRPr="008B08A3" w:rsidRDefault="008B08A3" w:rsidP="008B08A3">
            <w:pPr>
              <w:spacing w:after="0" w:line="240" w:lineRule="auto"/>
              <w:jc w:val="center"/>
              <w:rPr>
                <w:rFonts w:eastAsia="Times New Roman" w:cs="Arial"/>
                <w:b/>
                <w:bCs/>
                <w:color w:val="FFFFFF"/>
                <w:kern w:val="0"/>
                <w:sz w:val="32"/>
                <w:szCs w:val="32"/>
                <w:lang w:val="en-US"/>
              </w:rPr>
            </w:pPr>
            <w:r w:rsidRPr="008B08A3">
              <w:rPr>
                <w:rFonts w:eastAsia="Times New Roman" w:cs="Arial"/>
                <w:b/>
                <w:bCs/>
                <w:color w:val="FFFFFF"/>
                <w:kern w:val="0"/>
                <w:sz w:val="32"/>
                <w:szCs w:val="32"/>
                <w:lang w:val="en-US"/>
              </w:rPr>
              <w:t>FY25</w:t>
            </w:r>
          </w:p>
        </w:tc>
        <w:tc>
          <w:tcPr>
            <w:tcW w:w="436" w:type="pct"/>
            <w:tcBorders>
              <w:top w:val="single" w:sz="4" w:space="0" w:color="D9D9D9"/>
              <w:left w:val="nil"/>
              <w:bottom w:val="single" w:sz="4" w:space="0" w:color="D9D9D9"/>
              <w:right w:val="single" w:sz="4" w:space="0" w:color="D9D9D9"/>
            </w:tcBorders>
            <w:shd w:val="clear" w:color="000000" w:fill="F79646"/>
            <w:vAlign w:val="center"/>
            <w:hideMark/>
          </w:tcPr>
          <w:p w:rsidR="008B08A3" w:rsidRPr="008B08A3" w:rsidRDefault="008B08A3" w:rsidP="008B08A3">
            <w:pPr>
              <w:spacing w:after="0" w:line="240" w:lineRule="auto"/>
              <w:jc w:val="center"/>
              <w:rPr>
                <w:rFonts w:eastAsia="Times New Roman" w:cs="Arial"/>
                <w:b/>
                <w:bCs/>
                <w:color w:val="FFFFFF"/>
                <w:kern w:val="0"/>
                <w:sz w:val="32"/>
                <w:szCs w:val="32"/>
                <w:lang w:val="en-US"/>
              </w:rPr>
            </w:pPr>
            <w:r w:rsidRPr="008B08A3">
              <w:rPr>
                <w:rFonts w:eastAsia="Times New Roman" w:cs="Arial"/>
                <w:b/>
                <w:bCs/>
                <w:color w:val="FFFFFF"/>
                <w:kern w:val="0"/>
                <w:sz w:val="32"/>
                <w:szCs w:val="32"/>
                <w:lang w:val="en-US"/>
              </w:rPr>
              <w:t>FY26</w:t>
            </w:r>
          </w:p>
        </w:tc>
      </w:tr>
      <w:tr w:rsidR="008B08A3" w:rsidRPr="008B08A3" w:rsidTr="008B08A3">
        <w:trPr>
          <w:trHeight w:val="300"/>
        </w:trPr>
        <w:tc>
          <w:tcPr>
            <w:tcW w:w="1577" w:type="pct"/>
            <w:tcBorders>
              <w:top w:val="nil"/>
              <w:left w:val="single" w:sz="4" w:space="0" w:color="D9D9D9"/>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b/>
                <w:bCs/>
                <w:kern w:val="0"/>
                <w:sz w:val="20"/>
                <w:szCs w:val="20"/>
                <w:lang w:val="en-US"/>
              </w:rPr>
            </w:pPr>
            <w:r w:rsidRPr="008B08A3">
              <w:rPr>
                <w:rFonts w:eastAsia="Times New Roman" w:cs="Arial"/>
                <w:b/>
                <w:bCs/>
                <w:kern w:val="0"/>
                <w:sz w:val="20"/>
                <w:szCs w:val="20"/>
                <w:lang w:val="en-US"/>
              </w:rPr>
              <w:t>Inventory Days (DIO)</w:t>
            </w:r>
          </w:p>
        </w:tc>
        <w:tc>
          <w:tcPr>
            <w:tcW w:w="124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i/>
                <w:iCs/>
                <w:kern w:val="0"/>
                <w:sz w:val="18"/>
                <w:szCs w:val="18"/>
                <w:lang w:val="en-US"/>
              </w:rPr>
            </w:pPr>
            <w:r w:rsidRPr="008B08A3">
              <w:rPr>
                <w:rFonts w:eastAsia="Times New Roman" w:cs="Arial"/>
                <w:i/>
                <w:iCs/>
                <w:kern w:val="0"/>
                <w:sz w:val="18"/>
                <w:szCs w:val="18"/>
                <w:lang w:val="en-US"/>
              </w:rPr>
              <w:t>(Inventories / Cost of Sales) * 365</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48.3</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34.6</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30.3</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27.7</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18.7</w:t>
            </w:r>
          </w:p>
        </w:tc>
      </w:tr>
      <w:tr w:rsidR="008B08A3" w:rsidRPr="008B08A3" w:rsidTr="008B08A3">
        <w:trPr>
          <w:trHeight w:val="300"/>
        </w:trPr>
        <w:tc>
          <w:tcPr>
            <w:tcW w:w="1577" w:type="pct"/>
            <w:tcBorders>
              <w:top w:val="nil"/>
              <w:left w:val="single" w:sz="4" w:space="0" w:color="D9D9D9"/>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b/>
                <w:bCs/>
                <w:kern w:val="0"/>
                <w:sz w:val="20"/>
                <w:szCs w:val="20"/>
                <w:lang w:val="en-US"/>
              </w:rPr>
            </w:pPr>
            <w:r w:rsidRPr="008B08A3">
              <w:rPr>
                <w:rFonts w:eastAsia="Times New Roman" w:cs="Arial"/>
                <w:b/>
                <w:bCs/>
                <w:kern w:val="0"/>
                <w:sz w:val="20"/>
                <w:szCs w:val="20"/>
                <w:lang w:val="en-US"/>
              </w:rPr>
              <w:lastRenderedPageBreak/>
              <w:t>Receivables Days (DSO)</w:t>
            </w:r>
          </w:p>
        </w:tc>
        <w:tc>
          <w:tcPr>
            <w:tcW w:w="124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i/>
                <w:iCs/>
                <w:kern w:val="0"/>
                <w:sz w:val="18"/>
                <w:szCs w:val="18"/>
                <w:lang w:val="en-US"/>
              </w:rPr>
            </w:pPr>
            <w:r w:rsidRPr="008B08A3">
              <w:rPr>
                <w:rFonts w:eastAsia="Times New Roman" w:cs="Arial"/>
                <w:i/>
                <w:iCs/>
                <w:kern w:val="0"/>
                <w:sz w:val="18"/>
                <w:szCs w:val="18"/>
                <w:lang w:val="en-US"/>
              </w:rPr>
              <w:t>(Receivables / Statutory Revenue) * 365</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25.0</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19.7</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14.7</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15.9</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17.1</w:t>
            </w:r>
          </w:p>
        </w:tc>
      </w:tr>
      <w:tr w:rsidR="008B08A3" w:rsidRPr="008B08A3" w:rsidTr="008B08A3">
        <w:trPr>
          <w:trHeight w:val="300"/>
        </w:trPr>
        <w:tc>
          <w:tcPr>
            <w:tcW w:w="1577" w:type="pct"/>
            <w:tcBorders>
              <w:top w:val="nil"/>
              <w:left w:val="single" w:sz="4" w:space="0" w:color="D9D9D9"/>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b/>
                <w:bCs/>
                <w:kern w:val="0"/>
                <w:sz w:val="20"/>
                <w:szCs w:val="20"/>
                <w:lang w:val="en-US"/>
              </w:rPr>
            </w:pPr>
            <w:r w:rsidRPr="008B08A3">
              <w:rPr>
                <w:rFonts w:eastAsia="Times New Roman" w:cs="Arial"/>
                <w:b/>
                <w:bCs/>
                <w:kern w:val="0"/>
                <w:sz w:val="20"/>
                <w:szCs w:val="20"/>
                <w:lang w:val="en-US"/>
              </w:rPr>
              <w:t>Payables Days (DPO)</w:t>
            </w:r>
          </w:p>
        </w:tc>
        <w:tc>
          <w:tcPr>
            <w:tcW w:w="124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i/>
                <w:iCs/>
                <w:kern w:val="0"/>
                <w:sz w:val="18"/>
                <w:szCs w:val="18"/>
                <w:lang w:val="en-US"/>
              </w:rPr>
            </w:pPr>
            <w:r w:rsidRPr="008B08A3">
              <w:rPr>
                <w:rFonts w:eastAsia="Times New Roman" w:cs="Arial"/>
                <w:i/>
                <w:iCs/>
                <w:kern w:val="0"/>
                <w:sz w:val="18"/>
                <w:szCs w:val="18"/>
                <w:lang w:val="en-US"/>
              </w:rPr>
              <w:t>(Payables / Op Costs ex D&amp;A) * 365</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154.9</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141.5</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127.9</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126.8</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135.6</w:t>
            </w:r>
          </w:p>
        </w:tc>
      </w:tr>
      <w:tr w:rsidR="008B08A3" w:rsidRPr="008B08A3" w:rsidTr="008B08A3">
        <w:trPr>
          <w:trHeight w:val="300"/>
        </w:trPr>
        <w:tc>
          <w:tcPr>
            <w:tcW w:w="1577" w:type="pct"/>
            <w:tcBorders>
              <w:top w:val="nil"/>
              <w:left w:val="single" w:sz="4" w:space="0" w:color="D9D9D9"/>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b/>
                <w:bCs/>
                <w:kern w:val="0"/>
                <w:sz w:val="20"/>
                <w:szCs w:val="20"/>
                <w:lang w:val="en-US"/>
              </w:rPr>
            </w:pPr>
            <w:r w:rsidRPr="008B08A3">
              <w:rPr>
                <w:rFonts w:eastAsia="Times New Roman" w:cs="Arial"/>
                <w:b/>
                <w:bCs/>
                <w:kern w:val="0"/>
                <w:sz w:val="20"/>
                <w:szCs w:val="20"/>
                <w:lang w:val="en-US"/>
              </w:rPr>
              <w:t>Net Cash Conversion Cycle (CCC)</w:t>
            </w:r>
          </w:p>
        </w:tc>
        <w:tc>
          <w:tcPr>
            <w:tcW w:w="124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left"/>
              <w:rPr>
                <w:rFonts w:eastAsia="Times New Roman" w:cs="Arial"/>
                <w:i/>
                <w:iCs/>
                <w:kern w:val="0"/>
                <w:sz w:val="18"/>
                <w:szCs w:val="18"/>
                <w:lang w:val="en-US"/>
              </w:rPr>
            </w:pPr>
            <w:r w:rsidRPr="008B08A3">
              <w:rPr>
                <w:rFonts w:eastAsia="Times New Roman" w:cs="Arial"/>
                <w:i/>
                <w:iCs/>
                <w:kern w:val="0"/>
                <w:sz w:val="18"/>
                <w:szCs w:val="18"/>
                <w:lang w:val="en-US"/>
              </w:rPr>
              <w:t>DIO + DSO - DPO</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-81.6</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-87.2</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-82.9</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-83.2</w:t>
            </w:r>
          </w:p>
        </w:tc>
        <w:tc>
          <w:tcPr>
            <w:tcW w:w="436" w:type="pct"/>
            <w:tcBorders>
              <w:top w:val="nil"/>
              <w:left w:val="nil"/>
              <w:bottom w:val="single" w:sz="4" w:space="0" w:color="D9D9D9"/>
              <w:right w:val="single" w:sz="4" w:space="0" w:color="D9D9D9"/>
            </w:tcBorders>
            <w:noWrap/>
            <w:vAlign w:val="bottom"/>
            <w:hideMark/>
          </w:tcPr>
          <w:p w:rsidR="008B08A3" w:rsidRPr="008B08A3" w:rsidRDefault="008B08A3" w:rsidP="008B08A3">
            <w:pPr>
              <w:spacing w:after="0" w:line="240" w:lineRule="auto"/>
              <w:jc w:val="right"/>
              <w:rPr>
                <w:rFonts w:eastAsia="Times New Roman" w:cs="Arial"/>
                <w:b/>
                <w:bCs/>
                <w:kern w:val="0"/>
                <w:sz w:val="20"/>
                <w:szCs w:val="20"/>
                <w:lang w:val="en-US"/>
              </w:rPr>
            </w:pPr>
            <w:r w:rsidRPr="008B08A3">
              <w:rPr>
                <w:rFonts w:eastAsia="Times New Roman" w:cs="Arial"/>
                <w:b/>
                <w:bCs/>
                <w:kern w:val="0"/>
                <w:sz w:val="20"/>
                <w:szCs w:val="20"/>
                <w:lang w:val="en-US"/>
              </w:rPr>
              <w:t>-99.8</w:t>
            </w:r>
          </w:p>
        </w:tc>
      </w:tr>
    </w:tbl>
    <w:p w:rsidR="008B08A3" w:rsidRPr="00400B0C" w:rsidRDefault="008B08A3" w:rsidP="002979D5"/>
    <w:p w:rsidR="00D12754" w:rsidRPr="00400B0C" w:rsidRDefault="00D12754"/>
    <w:p w:rsidR="008A54A5" w:rsidRPr="00400B0C" w:rsidRDefault="008A54A5" w:rsidP="005A4577">
      <w:pPr>
        <w:pStyle w:val="Heading2"/>
      </w:pPr>
      <w:bookmarkStart w:id="8" w:name="_Toc237388824"/>
      <w:r w:rsidRPr="00400B0C">
        <w:t>3.2 Strategies to Improve Liquidity &amp; Financing Options</w:t>
      </w:r>
      <w:bookmarkEnd w:id="8"/>
    </w:p>
    <w:p w:rsidR="004B6425" w:rsidRDefault="004B6425" w:rsidP="004B6425">
      <w:r>
        <w:t xml:space="preserve">The strategy of Whitbread's liquidity will have to be aimed at maintaining the working capitalist position and minimising inessential liquidity losses. The first step is to boost food &amp; beverage inventory forecasting with AI-driven demand forecasting and waste analytics. AI-driven waste tracking can significantly lower food waste through identifying waste patterns and overproduction </w:t>
      </w:r>
      <w:r w:rsidR="0041426F" w:rsidRPr="0041426F">
        <w:t>(Bentson et al., 2024; Sigala et al., 2025)</w:t>
      </w:r>
      <w:r>
        <w:t xml:space="preserve"> as seen in the case of HORECA. By integrating booking information, occupancy predictions, menu choices, and a history of waste, Whitbread may then be able to manage their purchases and production more efficiently. This will help to minimize excess or leftover inventory and not affect the level of service. It is suggested that supplier-term renegotiation should not be aggressive or indiscriminate. Liquidity could be improved if payment periods are extended but too long of payment terms can be a burden on suppliers and a threat to resilience. Whitbread's responsible-sourcing policy places a strong emphasis on fair supplier relations and human rights due diligence, and its Board has also reported on actions to ensure suppliers are paid in a timely fashion (Whitbread PLC, 2025</w:t>
      </w:r>
      <w:r w:rsidR="007454B5">
        <w:t>a</w:t>
      </w:r>
      <w:r>
        <w:t xml:space="preserve">). In general, the smaller the supplier the more proportionate the terms that have to be offered, not used as a finance for involuntary working capital. </w:t>
      </w:r>
    </w:p>
    <w:p w:rsidR="004B6425" w:rsidRDefault="004B6425" w:rsidP="004B6425">
      <w:r>
        <w:t xml:space="preserve">There should also be asset matching of financing. Long-duration properties should be financed with long-term fixed-rate debt. Whitbread currently has £550 million of Green Bonds issued, which include £300 million to be paid in 2027, £250 million due in 2031 and a £400 million bond due in 2032. This will help to mitigate the risk of short term rate volatility to major capital programmes and decrease the frequency of refinancing. The multicurrency revolving credit facility, in comparison, is more appropriate for short-term liquidity needs, at £775 million. In FY26, RCF utilisation only reached a maximum of £50 million with the facility fully repaid before year end which is 26th February 2026, </w:t>
      </w:r>
      <w:r>
        <w:lastRenderedPageBreak/>
        <w:t xml:space="preserve">(Whitbread PLC, 2026). The facility is therefore more of a liquidity insurance facility, than one of long-term financing. </w:t>
      </w:r>
    </w:p>
    <w:p w:rsidR="008A54A5" w:rsidRPr="00400B0C" w:rsidRDefault="004B6425" w:rsidP="004B6425">
      <w:r>
        <w:t>A sensible strategy would be to keep some cash, ultra-short term deposits, and keep some unused headroom of the RCF. Whitbread is already keeping more liquidity in interest-bearing deposits with maturities of one year or less. At July 2026, the Bank Rate of 3.75% meant that there was still a significant opportunity cost to short-term borrowing (Bank of England, 2026). Liquidity should thus be safeguarded before implementing variable-rate facilities by forecasting and carefully managing capital expenditure and cash reserves. In summary, long-term fixed-rate funding should be used to fund structural growth, with cash equivalents and the RCF used to provide a layered cushion against seasonal or unexpected cash needs in the Group.</w:t>
      </w:r>
    </w:p>
    <w:p w:rsidR="00446409" w:rsidRPr="00400B0C" w:rsidRDefault="00446409" w:rsidP="008A54A5"/>
    <w:p w:rsidR="00A443D3" w:rsidRPr="00400B0C" w:rsidRDefault="007111AF" w:rsidP="007111AF">
      <w:pPr>
        <w:pStyle w:val="Heading1"/>
      </w:pPr>
      <w:bookmarkStart w:id="9" w:name="_Toc237388825"/>
      <w:r w:rsidRPr="00400B0C">
        <w:t>4. Task 3: Strategic Financial Restructuring Plan</w:t>
      </w:r>
      <w:bookmarkEnd w:id="9"/>
    </w:p>
    <w:p w:rsidR="008A54A5" w:rsidRPr="00400B0C" w:rsidRDefault="008A54A5" w:rsidP="005A4577">
      <w:pPr>
        <w:pStyle w:val="Heading2"/>
      </w:pPr>
      <w:bookmarkStart w:id="10" w:name="_Toc237388826"/>
      <w:r w:rsidRPr="00400B0C">
        <w:t>4.1 Proposed Restructuring Options</w:t>
      </w:r>
      <w:bookmarkEnd w:id="10"/>
    </w:p>
    <w:p w:rsidR="000E31FE" w:rsidRDefault="000E31FE" w:rsidP="000E31FE">
      <w:r>
        <w:t xml:space="preserve">The restructuring should be based onWhitbread's Accelerating Growth Plan (AGP), which has focused on shifting capital from less successful independent food and beverage outlets to its Premier Inn capacity. The initial AGP outlined in FY24 contained 126 loss-making branded restaurants to be sold and 112 restaurants to be turned into hotel extensions. The programme was thought to create a new 3,500 rooms at Premier Inn, alongside the elimination of stand-alone restaurant models in favour of a food and beverage offer, created by the programme (Whitbread PLC, 2024). The edge of this move lies in its strategic rationale; that they made less money than the attached restaurants, and that the supply side for hotels in the UK was tight and allowed new rooms to be brought on to existing sites with existing demand. </w:t>
      </w:r>
    </w:p>
    <w:p w:rsidR="000E31FE" w:rsidRDefault="000E31FE" w:rsidP="000E31FE">
      <w:r>
        <w:t xml:space="preserve">Unwind should continue to be the first priority of restructuring. The restaurant units in question are easier to sell, free up cash, eliminate operating losses and provide less management focus on low-performing restaurants. This is being backed by Progress: By FY26, Whitbread has sold 51 branded restaurants for £50m and signed conditional </w:t>
      </w:r>
      <w:r>
        <w:lastRenderedPageBreak/>
        <w:t>sales on another 60 restaurants (Whitbread PLC, 2026</w:t>
      </w:r>
      <w:r w:rsidR="005872DE">
        <w:t>a</w:t>
      </w:r>
      <w:r>
        <w:t xml:space="preserve">). Proceeds must be selectively reinvested in converting appropriate sites to integrated hotel restaurants and in the building of extension rooms for which planning approval and occupancy and likely ROCE is warranted. This recycling strategy focuses capital on assets that further Premier Inn's competitive position. </w:t>
      </w:r>
    </w:p>
    <w:p w:rsidR="008A54A5" w:rsidRPr="00400B0C" w:rsidRDefault="000E31FE" w:rsidP="000E31FE">
      <w:r>
        <w:t>Share buy-backs should be secondary and contingent to the restructuring. Through FY26, Whitbread's buy-back of £250m shows they have the ability to return capital when leverage and investment needs allow. The £250m to £300m a year plan could allow for improved earnings per share and liberation of too much cash for the shareholders, providing funds are spent on more profitable projects and safeguarding investment grades ratios. This is significant because the new Five-Year Plan which Whitbread has recently published stops buy-backs in FY27 as the enlarged AGP is funded, and aims to generate £2bn of free cash flow for dividends and future buy-backs by FY31 (Whitbread PLC, 2026</w:t>
      </w:r>
      <w:r w:rsidR="00B87665">
        <w:t>a</w:t>
      </w:r>
      <w:r>
        <w:t>). The suggested restructuring is therefore orchestrated: selling out weak assets, investing in generating additional hotel revenue, leaving leverage headroom untouched and only applying buy-backs when surplus cash is generated on the balance sheet.</w:t>
      </w:r>
    </w:p>
    <w:p w:rsidR="008A54A5" w:rsidRPr="00400B0C" w:rsidRDefault="008A54A5"/>
    <w:p w:rsidR="009700CF" w:rsidRPr="00400B0C" w:rsidRDefault="009700CF" w:rsidP="005A4577">
      <w:pPr>
        <w:pStyle w:val="Heading2"/>
      </w:pPr>
      <w:bookmarkStart w:id="11" w:name="_Toc237388827"/>
      <w:r w:rsidRPr="00400B0C">
        <w:t>4.2 Impact on Value, Debt, and Operational Flexibility</w:t>
      </w:r>
      <w:bookmarkEnd w:id="11"/>
    </w:p>
    <w:p w:rsidR="00B90F2F" w:rsidRDefault="00B90F2F" w:rsidP="00B90F2F">
      <w:r>
        <w:t>Whitbread's restructuring could generate shareholder value by utilising more of its high-charge hotel capacity and less of its low-returning restaurant business. The FY26 business review aims for a 500 basis-point improvement over the FY26 Group ROCE of 11.1% by FY31, which is approximately 16.1% on the basis of the planned assumptions. The extended Accelerating Growth Plan should see returns on capital of 15-20% (Whitbread PLC, 2026</w:t>
      </w:r>
      <w:r w:rsidR="00A11FAE">
        <w:t>a</w:t>
      </w:r>
      <w:r>
        <w:t xml:space="preserve">). The improvement will benefit earnings per share on the back of improving operating profit and through focused share repurchases. FY26 adjusted EPS increased by 7% to 208.5p, with adjusted profit before tax staying level, thanks to buy-backs, which lowered the number of weighted average shares. But buy-backs only generate value when there is excess cash left over from financing better investments, and maintaining the capacity to keep leverage. </w:t>
      </w:r>
    </w:p>
    <w:p w:rsidR="009700CF" w:rsidRPr="00400B0C" w:rsidRDefault="00B90F2F" w:rsidP="00B90F2F">
      <w:r>
        <w:lastRenderedPageBreak/>
        <w:t>Mature freehold hotels can be used to enhance operational flexibility by selectively selling and leasing back. In FY26, Whitbread had sales of £282 million from these types of transactions and will recycle £1.5 billion in freeholds with an investment grade capital structure (Whitbread PLC, 2026</w:t>
      </w:r>
      <w:r w:rsidR="006A2A44">
        <w:t>b</w:t>
      </w:r>
      <w:r>
        <w:t>). Capital can be unlocked from these mature assets while still investing in UK extensions or German expansions with higher yielding debt which can be raised at a lower cost. It also offers the opportunity to lower net debt as leverage gets closer to Group's 3.5x leverage threshold defined by leases. However, contracts for sale and leasebacks take the place of ownership, so transactions should not take place if the incremental lease cost is greater than expected reinvestment returns which include any property appreciation. This will allow funding flexibility in macroeconomic fluctuations and diversifications.</w:t>
      </w:r>
    </w:p>
    <w:p w:rsidR="009700CF" w:rsidRPr="00400B0C" w:rsidRDefault="009700CF" w:rsidP="009700CF">
      <w:pPr>
        <w:rPr>
          <w:b/>
          <w:bCs/>
        </w:rPr>
      </w:pPr>
    </w:p>
    <w:p w:rsidR="009700CF" w:rsidRPr="00400B0C" w:rsidRDefault="009700CF" w:rsidP="005A4577">
      <w:pPr>
        <w:pStyle w:val="Heading2"/>
      </w:pPr>
      <w:bookmarkStart w:id="12" w:name="_Toc237388828"/>
      <w:r w:rsidRPr="00400B0C">
        <w:t>4.3 International and Ethical (ESG) Considerations</w:t>
      </w:r>
      <w:bookmarkEnd w:id="12"/>
    </w:p>
    <w:p w:rsidR="002937F9" w:rsidRDefault="002937F9" w:rsidP="002937F9">
      <w:r>
        <w:t>ESG should be a part of Whitbread's restructuring and capital allocation. With Force for Good, the new sustainability framework comes with a 99.6% target for Scope 1 and 2 emissions to be reduced as of 2040 and a net zero target of 2050 in total. Decarbonisation involves the installation of air-source heat pumps on top of ageing gas boilers and electrification of kitchens with solar PV extending to 221 hotels in FY26. For FY26, all four UK hotels that opened were all electric (Whitbread PLC 202</w:t>
      </w:r>
      <w:r w:rsidR="006566B9">
        <w:t>5d</w:t>
      </w:r>
      <w:r>
        <w:t>). These can help to minimise transition risk and improve asset efficiency.</w:t>
      </w:r>
    </w:p>
    <w:p w:rsidR="002937F9" w:rsidRDefault="002937F9" w:rsidP="002937F9">
      <w:r>
        <w:t>The social impacts are as real. The job cutbacks in Whitbread's long-term plan will total some 3,800 jobs, subject to consultation, but where feasible, management will be looking to redeploy affected staff (Whitbread PLC, 2026</w:t>
      </w:r>
      <w:r w:rsidR="005743B9">
        <w:t>a</w:t>
      </w:r>
      <w:r>
        <w:t xml:space="preserve">). The CFO should focus on retraining, redeploying employees to the hotel, communicating with them and compensating fairly if they are let go. Research on responsible restructuring in recent years shows that there are ways to square the circle between financial goals and employee welfare: redeployment and upskilling </w:t>
      </w:r>
      <w:r w:rsidR="002D74A2" w:rsidRPr="002D74A2">
        <w:t>(Kar and Yadav, 2026)</w:t>
      </w:r>
      <w:r>
        <w:t>.</w:t>
      </w:r>
    </w:p>
    <w:p w:rsidR="009700CF" w:rsidRPr="00400B0C" w:rsidRDefault="002937F9" w:rsidP="002937F9">
      <w:r>
        <w:t xml:space="preserve">German expansion also leads to an increased exposure to the euro. Hurdle rates should include wage and energy inflation to mitigate for exchange rate volatility and at </w:t>
      </w:r>
      <w:r>
        <w:lastRenderedPageBreak/>
        <w:t>the same time Whitbread should stick to net investment hedges, cross currency and natural matching of euro revenues and costs and financing.</w:t>
      </w:r>
    </w:p>
    <w:p w:rsidR="004327E5" w:rsidRPr="00400B0C" w:rsidRDefault="004327E5" w:rsidP="009700CF">
      <w:pPr>
        <w:rPr>
          <w:b/>
          <w:bCs/>
        </w:rPr>
      </w:pPr>
    </w:p>
    <w:p w:rsidR="007111AF" w:rsidRPr="00400B0C" w:rsidRDefault="007111AF" w:rsidP="007111AF">
      <w:pPr>
        <w:pStyle w:val="Heading1"/>
      </w:pPr>
      <w:bookmarkStart w:id="13" w:name="_Toc237388829"/>
      <w:r w:rsidRPr="00400B0C">
        <w:t>5. Task 4: Investment Appraisal and Capital Budgeting</w:t>
      </w:r>
      <w:bookmarkEnd w:id="13"/>
    </w:p>
    <w:p w:rsidR="009700CF" w:rsidRPr="00400B0C" w:rsidRDefault="009700CF" w:rsidP="005A4577">
      <w:pPr>
        <w:pStyle w:val="Heading2"/>
      </w:pPr>
      <w:bookmarkStart w:id="14" w:name="_Toc237388830"/>
      <w:r w:rsidRPr="00400B0C">
        <w:t>5.1 Evaluation of Projects A, B, and C</w:t>
      </w:r>
      <w:bookmarkEnd w:id="14"/>
    </w:p>
    <w:p w:rsidR="00610B86" w:rsidRDefault="00610B86" w:rsidP="00610B86">
      <w:r>
        <w:t>The three £50 million projects were evaluated in aggregate together with the following discount rates and depreciation schedules: payback period, ARR, NPV, PI and IRR, with a specified discount rate of 8% and straight-line depreciation to zero. Multi-method assessment is suitable as each method has unique aspects of measuring investment performance. But discounted cash-flow (DCF) measures should be given more weight in decision-making due to the fact that they explicitly make use of the time value of money. Also, recent studies in finance show that the NPV is the most generally sound profitability criterion, and IRR, PI and payback can be less informative in certain project structures (Sokolov, 2024).</w:t>
      </w:r>
    </w:p>
    <w:p w:rsidR="00610B86" w:rsidRDefault="00610B86" w:rsidP="00610B86">
      <w:r>
        <w:t>The PBP for project A is 4.50 years and the average ARR is 3.20%. Most significantly, it has a negative NPV of £6.54 million, a PI of 0.869 and an IRR of 2.72%. The results obtained are consistent with each other. If the IRR is well under 8% required return, this means that the discounted value of future benefits is less than £50 million. The first year's cash inflows are £10 million which increase to £14 million in Year 3, but then decrease to £10 million and £8 million. This degradation that occurs only after the project is up and running reduces present value and makes the project unfeasible. On the assumption given, it would, therefore, lead to a loss of £6.54 million to shareholders if accepted. This 4.50-year payback also puts little cushion in the 5 years of project duration.</w:t>
      </w:r>
    </w:p>
    <w:p w:rsidR="00610B86" w:rsidRDefault="00610B86" w:rsidP="00610B86">
      <w:r>
        <w:t xml:space="preserve">Project B is slightly better, but is still not acceptable. With an annual cash inflow of £11m its stability and simplicity of forecasting make its payback period an attractive 4.55 years and average ARR is at 4.00%. However, NPV is still £6.08 million and PI is at 0.878 while IRR is 3.26%. The periodic nature of cash flows does not make up for the weak </w:t>
      </w:r>
      <w:r>
        <w:lastRenderedPageBreak/>
        <w:t xml:space="preserve">cash flows. The project is not providing economic return at an opportunity cost of capital of 8%. The case demonstrates the importance of accounting profitability and cash-flow consistency not to come before discounted measures of value. Similarly, </w:t>
      </w:r>
      <w:r w:rsidR="00F9103E" w:rsidRPr="00F9103E">
        <w:t>Purnamasari (2024)</w:t>
      </w:r>
      <w:r>
        <w:t xml:space="preserve"> highlight the value of using NPV and IRR methods in tying up the discipline of capital budgeting with financial performance. Hence, project B is to be rejected.</w:t>
      </w:r>
    </w:p>
    <w:p w:rsidR="00610B86" w:rsidRDefault="00610B86" w:rsidP="00610B86">
      <w:r>
        <w:t>Project C is definitely better than the other Projects on all five measures. Its payback period is 3.60 years, which is nearly a year quicker than those of Projects A and B, whereas its average ARR is 12.00%. NPV is positive at £0.86 million, PI is 1.017 and IRR is 8.59%. There are large increases in cash inflows at £5 million in year 1, £10 million in year 2, £20 million in year 3 and £25 million in year 4, then a decrease in Year 5 to £5 million. There is a high middle period inflows which enable the project to realize the initial investment faster and after discounting, economic value. A greater than 1.0 value for the PI indicates that present value of inflows are greater than initial investment, and that the IRR is greater than 8%.</w:t>
      </w:r>
    </w:p>
    <w:p w:rsidR="009700CF" w:rsidRPr="00400B0C" w:rsidRDefault="00610B86" w:rsidP="00610B86">
      <w:r>
        <w:t>However, Project C should be accepted, while Projects A and B should be rejected. However, it is not enough to say that it is the more financially superior. The NPV of the £0.86m is just 1.7% of the original capital invested, and the IRR just beat the hurdle rate by 0.59%. Any minor cost or cash flow fluctuations for the construction project, operating period, inflation or project timing could make it unprofitable. The CFO should so supplement the base case appraisal with sensitivity and scenario analysis prior to final approval. Considering these risk tests, the best mix of liquidity recovery and accounting return and creation of shareholder value is for Project C.</w:t>
      </w:r>
    </w:p>
    <w:p w:rsidR="009700CF" w:rsidRPr="00400B0C" w:rsidRDefault="009700CF"/>
    <w:p w:rsidR="00EF64D2" w:rsidRPr="00400B0C" w:rsidRDefault="00EF64D2" w:rsidP="00EF64D2">
      <w:pPr>
        <w:pStyle w:val="Heading2"/>
      </w:pPr>
      <w:bookmarkStart w:id="15" w:name="_Toc237388831"/>
      <w:r w:rsidRPr="00400B0C">
        <w:t>5.2 Strategic Recommendation &amp; Non-Financial Risks</w:t>
      </w:r>
      <w:bookmarkEnd w:id="15"/>
    </w:p>
    <w:p w:rsidR="00731383" w:rsidRDefault="00731383" w:rsidP="00731383">
      <w:r>
        <w:t xml:space="preserve">Project C is the only project with a positive NPV of £0.86 million, a positive profitability index of 1.017 and an IRR of 8.59% which is within the specified discount rate of 8% and should therefore be approved by the Board; Projects A and B should be rejected. Projects A and B have NPVs and IRRs of –2.72% and –3.26%, respectively. This is in line with capital-budgeting evidence, in which NPV’s is more suitable in making decision </w:t>
      </w:r>
      <w:r>
        <w:lastRenderedPageBreak/>
        <w:t xml:space="preserve">to accept a project as it measures the absolute contribution of an investment to the firm value </w:t>
      </w:r>
      <w:r w:rsidR="00B72831" w:rsidRPr="00B72831">
        <w:t>(Purnamasari, 2024; Sokolov, 2024)</w:t>
      </w:r>
      <w:r>
        <w:t>.</w:t>
      </w:r>
    </w:p>
    <w:p w:rsidR="00731383" w:rsidRDefault="00731383" w:rsidP="00731383">
      <w:r>
        <w:t>Project C is also the most similar to Whitbread's capital allocation strategy. Whitbread's new Five-Year Plan aims to boost its Group ROCE by 500bps to 2030/31, and reallocates capital to higher return growth opportunities (Whitbread PLC, 2026</w:t>
      </w:r>
      <w:r w:rsidR="004644CA">
        <w:t>a</w:t>
      </w:r>
      <w:r>
        <w:t>). Project C, however, must not be represented as a risk freeendeavor. The 12.0% ARR falls short of the medium term Group ROCE target to achieve from Whitbread and the NPV and IRR give moderate margins over the 8% hurdle rate. Therefore approval should only be granted following sensitivity testing and good project controls.</w:t>
      </w:r>
    </w:p>
    <w:p w:rsidR="00731383" w:rsidRDefault="00731383" w:rsidP="00731383">
      <w:r>
        <w:t>Political and Regulatory risk: Material as Whitbread is present in UK and Germany. The Group anticipates that rising fiscal, employment and regulatory demands will lead to an escalation in costs, as will its growth in Germany, where its planning, labour, accessibility and environmental standards are likely to be higher (Whitbread PLC, 2026</w:t>
      </w:r>
      <w:r w:rsidR="0066755F">
        <w:t>a</w:t>
      </w:r>
      <w:r>
        <w:t xml:space="preserve">). Inflation for construction costs represents a risk as well. </w:t>
      </w:r>
      <w:r w:rsidR="002E7F82" w:rsidRPr="002E7F82">
        <w:t>Amca, Yorucu and Kırıkkaleli</w:t>
      </w:r>
      <w:r>
        <w:t xml:space="preserve"> (2025) also observes inflation and political uncertainty as significant factors in construction cost indices, and Turner &amp; Townsend (2025) observes that material and labour cost volatility continues to be an issue globally. Therefore, a fixed-price procurement, contingency allowances and phased contracting should be taken into consideration.</w:t>
      </w:r>
    </w:p>
    <w:p w:rsidR="00EF64D2" w:rsidRPr="00400B0C" w:rsidRDefault="00731383" w:rsidP="00731383">
      <w:r>
        <w:t>Customer loyalty needs to be safeguarded as well when it comes to implementation. Whitbread states that having a consistent guest experience and service standards are key to the Premier Inn offer. The noise from the construction, the closure or the temporary absence of F&amp;B may lead to customers' lower satisfaction and repeat demand. Works to be phased around occupancy patterns to be supported by communication and alternative services/complaint resolution. Under this regulation, the best investment case for Project C is the strongest.</w:t>
      </w:r>
    </w:p>
    <w:p w:rsidR="006C6A64" w:rsidRDefault="006C6A64" w:rsidP="006C6A64">
      <w:pPr>
        <w:pStyle w:val="Caption"/>
        <w:keepNext/>
      </w:pPr>
      <w:r>
        <w:t xml:space="preserve">Table </w:t>
      </w:r>
      <w:r w:rsidR="00112726">
        <w:fldChar w:fldCharType="begin"/>
      </w:r>
      <w:r>
        <w:instrText xml:space="preserve"> SEQ Table \* ARABIC </w:instrText>
      </w:r>
      <w:r w:rsidR="00112726">
        <w:fldChar w:fldCharType="separate"/>
      </w:r>
      <w:r w:rsidR="002B7AC5">
        <w:rPr>
          <w:noProof/>
        </w:rPr>
        <w:t>4</w:t>
      </w:r>
      <w:r w:rsidR="00112726">
        <w:fldChar w:fldCharType="end"/>
      </w:r>
      <w:r>
        <w:t xml:space="preserve">: </w:t>
      </w:r>
      <w:r w:rsidRPr="00550C0F">
        <w:t>CAPITAL RATIONING COMBINATION MATRIX (Budget Constraint = £100m)</w:t>
      </w:r>
    </w:p>
    <w:tbl>
      <w:tblPr>
        <w:tblW w:w="5000" w:type="pct"/>
        <w:tblLook w:val="04A0"/>
      </w:tblPr>
      <w:tblGrid>
        <w:gridCol w:w="2917"/>
        <w:gridCol w:w="1099"/>
        <w:gridCol w:w="1604"/>
        <w:gridCol w:w="1604"/>
        <w:gridCol w:w="2352"/>
      </w:tblGrid>
      <w:tr w:rsidR="00007E4C" w:rsidRPr="00007E4C" w:rsidTr="00007E4C">
        <w:trPr>
          <w:trHeight w:val="810"/>
        </w:trPr>
        <w:tc>
          <w:tcPr>
            <w:tcW w:w="1895" w:type="pct"/>
            <w:tcBorders>
              <w:top w:val="single" w:sz="4" w:space="0" w:color="D9D9D9"/>
              <w:left w:val="single" w:sz="4" w:space="0" w:color="D9D9D9"/>
              <w:bottom w:val="single" w:sz="4" w:space="0" w:color="D9D9D9"/>
              <w:right w:val="single" w:sz="4" w:space="0" w:color="D9D9D9"/>
            </w:tcBorders>
            <w:shd w:val="clear" w:color="000000" w:fill="F79646"/>
            <w:vAlign w:val="center"/>
            <w:hideMark/>
          </w:tcPr>
          <w:p w:rsidR="00007E4C" w:rsidRPr="00007E4C" w:rsidRDefault="00007E4C" w:rsidP="00007E4C">
            <w:pPr>
              <w:spacing w:after="0" w:line="240" w:lineRule="auto"/>
              <w:jc w:val="left"/>
              <w:rPr>
                <w:rFonts w:eastAsia="Times New Roman" w:cs="Arial"/>
                <w:b/>
                <w:bCs/>
                <w:color w:val="FFFFFF"/>
                <w:kern w:val="0"/>
                <w:sz w:val="32"/>
                <w:szCs w:val="32"/>
                <w:lang w:val="en-US"/>
              </w:rPr>
            </w:pPr>
            <w:r w:rsidRPr="00007E4C">
              <w:rPr>
                <w:rFonts w:eastAsia="Times New Roman" w:cs="Arial"/>
                <w:b/>
                <w:bCs/>
                <w:color w:val="FFFFFF"/>
                <w:kern w:val="0"/>
                <w:sz w:val="32"/>
                <w:szCs w:val="32"/>
                <w:lang w:val="en-US"/>
              </w:rPr>
              <w:t>Project Combination</w:t>
            </w:r>
          </w:p>
        </w:tc>
        <w:tc>
          <w:tcPr>
            <w:tcW w:w="1162" w:type="pct"/>
            <w:tcBorders>
              <w:top w:val="single" w:sz="4" w:space="0" w:color="D9D9D9"/>
              <w:left w:val="nil"/>
              <w:bottom w:val="single" w:sz="4" w:space="0" w:color="D9D9D9"/>
              <w:right w:val="single" w:sz="4" w:space="0" w:color="D9D9D9"/>
            </w:tcBorders>
            <w:shd w:val="clear" w:color="000000" w:fill="F79646"/>
            <w:vAlign w:val="center"/>
            <w:hideMark/>
          </w:tcPr>
          <w:p w:rsidR="00007E4C" w:rsidRPr="00007E4C" w:rsidRDefault="00007E4C" w:rsidP="00007E4C">
            <w:pPr>
              <w:spacing w:after="0" w:line="240" w:lineRule="auto"/>
              <w:jc w:val="center"/>
              <w:rPr>
                <w:rFonts w:eastAsia="Times New Roman" w:cs="Arial"/>
                <w:b/>
                <w:bCs/>
                <w:color w:val="FFFFFF"/>
                <w:kern w:val="0"/>
                <w:sz w:val="32"/>
                <w:szCs w:val="32"/>
                <w:lang w:val="en-US"/>
              </w:rPr>
            </w:pPr>
            <w:r w:rsidRPr="00007E4C">
              <w:rPr>
                <w:rFonts w:eastAsia="Times New Roman" w:cs="Arial"/>
                <w:b/>
                <w:bCs/>
                <w:color w:val="FFFFFF"/>
                <w:kern w:val="0"/>
                <w:sz w:val="32"/>
                <w:szCs w:val="32"/>
                <w:lang w:val="en-US"/>
              </w:rPr>
              <w:t xml:space="preserve">Total Outlay </w:t>
            </w:r>
            <w:r w:rsidRPr="00007E4C">
              <w:rPr>
                <w:rFonts w:eastAsia="Times New Roman" w:cs="Arial"/>
                <w:b/>
                <w:bCs/>
                <w:color w:val="FFFFFF"/>
                <w:kern w:val="0"/>
                <w:sz w:val="32"/>
                <w:szCs w:val="32"/>
                <w:lang w:val="en-US"/>
              </w:rPr>
              <w:lastRenderedPageBreak/>
              <w:t>(£m)</w:t>
            </w:r>
          </w:p>
        </w:tc>
        <w:tc>
          <w:tcPr>
            <w:tcW w:w="531" w:type="pct"/>
            <w:tcBorders>
              <w:top w:val="single" w:sz="4" w:space="0" w:color="D9D9D9"/>
              <w:left w:val="nil"/>
              <w:bottom w:val="single" w:sz="4" w:space="0" w:color="D9D9D9"/>
              <w:right w:val="single" w:sz="4" w:space="0" w:color="D9D9D9"/>
            </w:tcBorders>
            <w:shd w:val="clear" w:color="000000" w:fill="F79646"/>
            <w:vAlign w:val="center"/>
            <w:hideMark/>
          </w:tcPr>
          <w:p w:rsidR="00007E4C" w:rsidRPr="00007E4C" w:rsidRDefault="00007E4C" w:rsidP="00007E4C">
            <w:pPr>
              <w:spacing w:after="0" w:line="240" w:lineRule="auto"/>
              <w:jc w:val="center"/>
              <w:rPr>
                <w:rFonts w:eastAsia="Times New Roman" w:cs="Arial"/>
                <w:b/>
                <w:bCs/>
                <w:color w:val="FFFFFF"/>
                <w:kern w:val="0"/>
                <w:sz w:val="32"/>
                <w:szCs w:val="32"/>
                <w:lang w:val="en-US"/>
              </w:rPr>
            </w:pPr>
            <w:r w:rsidRPr="00007E4C">
              <w:rPr>
                <w:rFonts w:eastAsia="Times New Roman" w:cs="Arial"/>
                <w:b/>
                <w:bCs/>
                <w:color w:val="FFFFFF"/>
                <w:kern w:val="0"/>
                <w:sz w:val="32"/>
                <w:szCs w:val="32"/>
                <w:lang w:val="en-US"/>
              </w:rPr>
              <w:lastRenderedPageBreak/>
              <w:t>Combined NPV (£m)</w:t>
            </w:r>
          </w:p>
        </w:tc>
        <w:tc>
          <w:tcPr>
            <w:tcW w:w="566" w:type="pct"/>
            <w:tcBorders>
              <w:top w:val="single" w:sz="4" w:space="0" w:color="D9D9D9"/>
              <w:left w:val="nil"/>
              <w:bottom w:val="single" w:sz="4" w:space="0" w:color="D9D9D9"/>
              <w:right w:val="single" w:sz="4" w:space="0" w:color="D9D9D9"/>
            </w:tcBorders>
            <w:shd w:val="clear" w:color="000000" w:fill="F79646"/>
            <w:vAlign w:val="center"/>
            <w:hideMark/>
          </w:tcPr>
          <w:p w:rsidR="00007E4C" w:rsidRPr="00007E4C" w:rsidRDefault="00007E4C" w:rsidP="00007E4C">
            <w:pPr>
              <w:spacing w:after="0" w:line="240" w:lineRule="auto"/>
              <w:jc w:val="center"/>
              <w:rPr>
                <w:rFonts w:eastAsia="Times New Roman" w:cs="Arial"/>
                <w:b/>
                <w:bCs/>
                <w:color w:val="FFFFFF"/>
                <w:kern w:val="0"/>
                <w:sz w:val="32"/>
                <w:szCs w:val="32"/>
                <w:lang w:val="en-US"/>
              </w:rPr>
            </w:pPr>
            <w:r w:rsidRPr="00007E4C">
              <w:rPr>
                <w:rFonts w:eastAsia="Times New Roman" w:cs="Arial"/>
                <w:b/>
                <w:bCs/>
                <w:color w:val="FFFFFF"/>
                <w:kern w:val="0"/>
                <w:sz w:val="32"/>
                <w:szCs w:val="32"/>
                <w:lang w:val="en-US"/>
              </w:rPr>
              <w:t>Combined PI</w:t>
            </w:r>
          </w:p>
        </w:tc>
        <w:tc>
          <w:tcPr>
            <w:tcW w:w="846" w:type="pct"/>
            <w:tcBorders>
              <w:top w:val="single" w:sz="4" w:space="0" w:color="D9D9D9"/>
              <w:left w:val="nil"/>
              <w:bottom w:val="single" w:sz="4" w:space="0" w:color="D9D9D9"/>
              <w:right w:val="single" w:sz="4" w:space="0" w:color="D9D9D9"/>
            </w:tcBorders>
            <w:shd w:val="clear" w:color="000000" w:fill="F79646"/>
            <w:vAlign w:val="center"/>
            <w:hideMark/>
          </w:tcPr>
          <w:p w:rsidR="00007E4C" w:rsidRPr="00007E4C" w:rsidRDefault="00007E4C" w:rsidP="00007E4C">
            <w:pPr>
              <w:spacing w:after="0" w:line="240" w:lineRule="auto"/>
              <w:jc w:val="center"/>
              <w:rPr>
                <w:rFonts w:eastAsia="Times New Roman" w:cs="Arial"/>
                <w:b/>
                <w:bCs/>
                <w:color w:val="FFFFFF"/>
                <w:kern w:val="0"/>
                <w:sz w:val="32"/>
                <w:szCs w:val="32"/>
                <w:lang w:val="en-US"/>
              </w:rPr>
            </w:pPr>
            <w:r w:rsidRPr="00007E4C">
              <w:rPr>
                <w:rFonts w:eastAsia="Times New Roman" w:cs="Arial"/>
                <w:b/>
                <w:bCs/>
                <w:color w:val="FFFFFF"/>
                <w:kern w:val="0"/>
                <w:sz w:val="32"/>
                <w:szCs w:val="32"/>
                <w:lang w:val="en-US"/>
              </w:rPr>
              <w:t>Budget Feasibility</w:t>
            </w:r>
          </w:p>
        </w:tc>
      </w:tr>
      <w:tr w:rsidR="00007E4C" w:rsidRPr="00007E4C" w:rsidTr="00007E4C">
        <w:trPr>
          <w:trHeight w:val="300"/>
        </w:trPr>
        <w:tc>
          <w:tcPr>
            <w:tcW w:w="1895" w:type="pct"/>
            <w:tcBorders>
              <w:top w:val="nil"/>
              <w:left w:val="single" w:sz="4" w:space="0" w:color="D9D9D9"/>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b/>
                <w:bCs/>
                <w:kern w:val="0"/>
                <w:sz w:val="20"/>
                <w:szCs w:val="20"/>
                <w:lang w:val="en-US"/>
              </w:rPr>
            </w:pPr>
            <w:r w:rsidRPr="00007E4C">
              <w:rPr>
                <w:rFonts w:eastAsia="Times New Roman" w:cs="Arial"/>
                <w:b/>
                <w:bCs/>
                <w:kern w:val="0"/>
                <w:sz w:val="20"/>
                <w:szCs w:val="20"/>
                <w:lang w:val="en-US"/>
              </w:rPr>
              <w:lastRenderedPageBreak/>
              <w:t>Project A + Project B</w:t>
            </w:r>
          </w:p>
        </w:tc>
        <w:tc>
          <w:tcPr>
            <w:tcW w:w="1162"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100.0</w:t>
            </w:r>
          </w:p>
        </w:tc>
        <w:tc>
          <w:tcPr>
            <w:tcW w:w="531"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-12.62</w:t>
            </w:r>
          </w:p>
        </w:tc>
        <w:tc>
          <w:tcPr>
            <w:tcW w:w="56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0.874x</w:t>
            </w:r>
          </w:p>
        </w:tc>
        <w:tc>
          <w:tcPr>
            <w:tcW w:w="84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color w:val="000000"/>
                <w:kern w:val="0"/>
                <w:sz w:val="22"/>
                <w:szCs w:val="22"/>
                <w:lang w:val="en-US"/>
              </w:rPr>
            </w:pPr>
            <w:r w:rsidRPr="00007E4C">
              <w:rPr>
                <w:rFonts w:eastAsia="Times New Roman" w:cs="Arial"/>
                <w:color w:val="000000"/>
                <w:kern w:val="0"/>
                <w:sz w:val="22"/>
                <w:szCs w:val="22"/>
                <w:lang w:val="en-US"/>
              </w:rPr>
              <w:t>Feasible (Outlay £100m)</w:t>
            </w:r>
          </w:p>
        </w:tc>
      </w:tr>
      <w:tr w:rsidR="00007E4C" w:rsidRPr="00007E4C" w:rsidTr="00007E4C">
        <w:trPr>
          <w:trHeight w:val="300"/>
        </w:trPr>
        <w:tc>
          <w:tcPr>
            <w:tcW w:w="1895" w:type="pct"/>
            <w:tcBorders>
              <w:top w:val="nil"/>
              <w:left w:val="single" w:sz="4" w:space="0" w:color="D9D9D9"/>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b/>
                <w:bCs/>
                <w:kern w:val="0"/>
                <w:sz w:val="20"/>
                <w:szCs w:val="20"/>
                <w:lang w:val="en-US"/>
              </w:rPr>
            </w:pPr>
            <w:r w:rsidRPr="00007E4C">
              <w:rPr>
                <w:rFonts w:eastAsia="Times New Roman" w:cs="Arial"/>
                <w:b/>
                <w:bCs/>
                <w:kern w:val="0"/>
                <w:sz w:val="20"/>
                <w:szCs w:val="20"/>
                <w:lang w:val="en-US"/>
              </w:rPr>
              <w:t>Project A + Project C</w:t>
            </w:r>
          </w:p>
        </w:tc>
        <w:tc>
          <w:tcPr>
            <w:tcW w:w="1162"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100.0</w:t>
            </w:r>
          </w:p>
        </w:tc>
        <w:tc>
          <w:tcPr>
            <w:tcW w:w="531"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-5.69</w:t>
            </w:r>
          </w:p>
        </w:tc>
        <w:tc>
          <w:tcPr>
            <w:tcW w:w="56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0.943x</w:t>
            </w:r>
          </w:p>
        </w:tc>
        <w:tc>
          <w:tcPr>
            <w:tcW w:w="84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color w:val="000000"/>
                <w:kern w:val="0"/>
                <w:sz w:val="22"/>
                <w:szCs w:val="22"/>
                <w:lang w:val="en-US"/>
              </w:rPr>
            </w:pPr>
            <w:r w:rsidRPr="00007E4C">
              <w:rPr>
                <w:rFonts w:eastAsia="Times New Roman" w:cs="Arial"/>
                <w:color w:val="000000"/>
                <w:kern w:val="0"/>
                <w:sz w:val="22"/>
                <w:szCs w:val="22"/>
                <w:lang w:val="en-US"/>
              </w:rPr>
              <w:t>Feasible (Outlay £100m)</w:t>
            </w:r>
          </w:p>
        </w:tc>
      </w:tr>
      <w:tr w:rsidR="00007E4C" w:rsidRPr="00007E4C" w:rsidTr="00007E4C">
        <w:trPr>
          <w:trHeight w:val="300"/>
        </w:trPr>
        <w:tc>
          <w:tcPr>
            <w:tcW w:w="1895" w:type="pct"/>
            <w:tcBorders>
              <w:top w:val="nil"/>
              <w:left w:val="single" w:sz="4" w:space="0" w:color="D9D9D9"/>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b/>
                <w:bCs/>
                <w:kern w:val="0"/>
                <w:sz w:val="20"/>
                <w:szCs w:val="20"/>
                <w:lang w:val="en-US"/>
              </w:rPr>
            </w:pPr>
            <w:r w:rsidRPr="00007E4C">
              <w:rPr>
                <w:rFonts w:eastAsia="Times New Roman" w:cs="Arial"/>
                <w:b/>
                <w:bCs/>
                <w:kern w:val="0"/>
                <w:sz w:val="20"/>
                <w:szCs w:val="20"/>
                <w:lang w:val="en-US"/>
              </w:rPr>
              <w:t>Project B + Project C</w:t>
            </w:r>
          </w:p>
        </w:tc>
        <w:tc>
          <w:tcPr>
            <w:tcW w:w="1162"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100.0</w:t>
            </w:r>
          </w:p>
        </w:tc>
        <w:tc>
          <w:tcPr>
            <w:tcW w:w="531"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-5.22</w:t>
            </w:r>
          </w:p>
        </w:tc>
        <w:tc>
          <w:tcPr>
            <w:tcW w:w="56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0.948x</w:t>
            </w:r>
          </w:p>
        </w:tc>
        <w:tc>
          <w:tcPr>
            <w:tcW w:w="84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color w:val="000000"/>
                <w:kern w:val="0"/>
                <w:sz w:val="22"/>
                <w:szCs w:val="22"/>
                <w:lang w:val="en-US"/>
              </w:rPr>
            </w:pPr>
            <w:r w:rsidRPr="00007E4C">
              <w:rPr>
                <w:rFonts w:eastAsia="Times New Roman" w:cs="Arial"/>
                <w:color w:val="000000"/>
                <w:kern w:val="0"/>
                <w:sz w:val="22"/>
                <w:szCs w:val="22"/>
                <w:lang w:val="en-US"/>
              </w:rPr>
              <w:t>Feasible (Outlay £100m)</w:t>
            </w:r>
          </w:p>
        </w:tc>
      </w:tr>
      <w:tr w:rsidR="00007E4C" w:rsidRPr="00007E4C" w:rsidTr="00007E4C">
        <w:trPr>
          <w:trHeight w:val="300"/>
        </w:trPr>
        <w:tc>
          <w:tcPr>
            <w:tcW w:w="1895" w:type="pct"/>
            <w:tcBorders>
              <w:top w:val="nil"/>
              <w:left w:val="single" w:sz="4" w:space="0" w:color="D9D9D9"/>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b/>
                <w:bCs/>
                <w:kern w:val="0"/>
                <w:sz w:val="20"/>
                <w:szCs w:val="20"/>
                <w:lang w:val="en-US"/>
              </w:rPr>
            </w:pPr>
            <w:r w:rsidRPr="00007E4C">
              <w:rPr>
                <w:rFonts w:eastAsia="Times New Roman" w:cs="Arial"/>
                <w:b/>
                <w:bCs/>
                <w:kern w:val="0"/>
                <w:sz w:val="20"/>
                <w:szCs w:val="20"/>
                <w:lang w:val="en-US"/>
              </w:rPr>
              <w:t>Project C Alone (Unspent £50m)</w:t>
            </w:r>
          </w:p>
        </w:tc>
        <w:tc>
          <w:tcPr>
            <w:tcW w:w="1162"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50.0</w:t>
            </w:r>
          </w:p>
        </w:tc>
        <w:tc>
          <w:tcPr>
            <w:tcW w:w="531"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0.86</w:t>
            </w:r>
          </w:p>
        </w:tc>
        <w:tc>
          <w:tcPr>
            <w:tcW w:w="56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right"/>
              <w:rPr>
                <w:rFonts w:eastAsia="Times New Roman" w:cs="Arial"/>
                <w:color w:val="000000"/>
                <w:kern w:val="0"/>
                <w:sz w:val="22"/>
                <w:szCs w:val="22"/>
                <w:lang w:val="en-US"/>
              </w:rPr>
            </w:pPr>
            <w:r w:rsidRPr="00007E4C">
              <w:rPr>
                <w:rFonts w:eastAsia="Times New Roman" w:cs="Arial"/>
                <w:color w:val="000000"/>
                <w:kern w:val="0"/>
                <w:sz w:val="22"/>
                <w:szCs w:val="22"/>
                <w:lang w:val="en-US"/>
              </w:rPr>
              <w:t>1.017x</w:t>
            </w:r>
          </w:p>
        </w:tc>
        <w:tc>
          <w:tcPr>
            <w:tcW w:w="846" w:type="pct"/>
            <w:tcBorders>
              <w:top w:val="nil"/>
              <w:left w:val="nil"/>
              <w:bottom w:val="single" w:sz="4" w:space="0" w:color="D9D9D9"/>
              <w:right w:val="single" w:sz="4" w:space="0" w:color="D9D9D9"/>
            </w:tcBorders>
            <w:noWrap/>
            <w:vAlign w:val="bottom"/>
            <w:hideMark/>
          </w:tcPr>
          <w:p w:rsidR="00007E4C" w:rsidRPr="00007E4C" w:rsidRDefault="00007E4C" w:rsidP="00007E4C">
            <w:pPr>
              <w:spacing w:after="0" w:line="240" w:lineRule="auto"/>
              <w:jc w:val="left"/>
              <w:rPr>
                <w:rFonts w:eastAsia="Times New Roman" w:cs="Arial"/>
                <w:color w:val="000000"/>
                <w:kern w:val="0"/>
                <w:sz w:val="22"/>
                <w:szCs w:val="22"/>
                <w:lang w:val="en-US"/>
              </w:rPr>
            </w:pPr>
            <w:r w:rsidRPr="00007E4C">
              <w:rPr>
                <w:rFonts w:eastAsia="Times New Roman" w:cs="Arial"/>
                <w:color w:val="000000"/>
                <w:kern w:val="0"/>
                <w:sz w:val="22"/>
                <w:szCs w:val="22"/>
                <w:lang w:val="en-US"/>
              </w:rPr>
              <w:t>Feasible (Outlay £50m)</w:t>
            </w:r>
          </w:p>
        </w:tc>
      </w:tr>
    </w:tbl>
    <w:p w:rsidR="00EF64D2" w:rsidRPr="00400B0C" w:rsidRDefault="00EF64D2" w:rsidP="00EF64D2">
      <w:pPr>
        <w:rPr>
          <w:b/>
          <w:bCs/>
        </w:rPr>
      </w:pPr>
    </w:p>
    <w:p w:rsidR="00EF64D2" w:rsidRPr="00400B0C" w:rsidRDefault="00EF64D2" w:rsidP="00EF64D2">
      <w:pPr>
        <w:pStyle w:val="Heading2"/>
      </w:pPr>
      <w:bookmarkStart w:id="16" w:name="_Toc237388832"/>
      <w:r w:rsidRPr="00400B0C">
        <w:t>5.3 Capital Rationing Decision</w:t>
      </w:r>
      <w:bookmarkEnd w:id="16"/>
    </w:p>
    <w:p w:rsidR="00B27EB8" w:rsidRDefault="00B27EB8" w:rsidP="00B27EB8">
      <w:r>
        <w:t>With a £100 million capital limit, the goal is to use the capital to create value, not to spend it all. The projects A, B, and C have an investment of £50m, £5.79 million and £10.42 million respectively, with an NPV of -£6.54m, -£6.08m and £0.86m. If either alternative is used in combination with Project C the portfolio value will be reduced. Based on recent capital budgeting studies, NPV is a suitable approach because it determines the economic value of the investment (Purnamasari</w:t>
      </w:r>
      <w:r w:rsidR="00206F25">
        <w:t>,</w:t>
      </w:r>
      <w:r>
        <w:t xml:space="preserve"> 2024; Sokolov, 2023). </w:t>
      </w:r>
    </w:p>
    <w:p w:rsidR="00B27EB8" w:rsidRDefault="00B27EB8" w:rsidP="00B27EB8">
      <w:r>
        <w:t>The recommended allocation is £50 million to Project C and there should be no allocation to Projects A or B. A budget is NOT a spending goal, it is a maximum amount that can be spent. The remaining £50m of negative NPV work would surely be a loss of shareholder value, and would be contrary to stewardship of company resources.</w:t>
      </w:r>
    </w:p>
    <w:p w:rsidR="00EF64D2" w:rsidRPr="00400B0C" w:rsidRDefault="00B27EB8" w:rsidP="00B27EB8">
      <w:r>
        <w:t>There should be no restriction on the remaining £50m. It could be held as an interest-bearing cash equivalent or deposit that would give it liquidity and lessen the need for borrowing at fluctuating interest rates. Whitbread currently has short term deposits to provide liquidity, and has an undrawn revolving credit facility for protection. Another option would be funding for ESG retrofits of independently appraised projects with the potential for positive risk-adjusted returns, such as low carbon hotel upgrades. Whitbread PLC (2026</w:t>
      </w:r>
      <w:r w:rsidR="0006493E">
        <w:t>a</w:t>
      </w:r>
      <w:r>
        <w:t>) has 2,300 Low Carbon rooms and is building on the estate-efficiency investment program, Force for Good. Where leverage and investment requirements allow, another way is to have a share buy-back in the future. This way there is some optionality, but at the same time no capital is tied up if there is no expected positive economic value.</w:t>
      </w:r>
    </w:p>
    <w:p w:rsidR="0042496E" w:rsidRPr="00400B0C" w:rsidRDefault="0042496E" w:rsidP="00EF64D2"/>
    <w:p w:rsidR="0042496E" w:rsidRPr="00400B0C" w:rsidRDefault="0042496E" w:rsidP="0042496E">
      <w:pPr>
        <w:pStyle w:val="Heading1"/>
      </w:pPr>
      <w:bookmarkStart w:id="17" w:name="_Toc237388833"/>
      <w:r w:rsidRPr="00400B0C">
        <w:t>6. Task 5: Critical Reflection on AI Usage</w:t>
      </w:r>
      <w:bookmarkEnd w:id="17"/>
    </w:p>
    <w:p w:rsidR="0042496E" w:rsidRPr="00400B0C" w:rsidRDefault="0042496E" w:rsidP="0042496E">
      <w:pPr>
        <w:pStyle w:val="Heading2"/>
      </w:pPr>
      <w:bookmarkStart w:id="18" w:name="_Toc237388834"/>
      <w:r w:rsidRPr="00400B0C">
        <w:t>6.1 Tool Disclosure and Functionality</w:t>
      </w:r>
      <w:bookmarkEnd w:id="18"/>
    </w:p>
    <w:p w:rsidR="0042496E" w:rsidRPr="00400B0C" w:rsidRDefault="004F1587" w:rsidP="0042496E">
      <w:r w:rsidRPr="004F1587">
        <w:t xml:space="preserve">This financial assessment was prepared using generative AI, which was primarily done with ChatGPT. It was used to find information in Whitbread's annual reports, to make and organize financial data, to correct calculations against original documents, to help locate literature, to help with structural planning and writing, and to improve the grammar and syntax. This disclosure depicts an actual workflow. So stating that AI didn't get involved in the actual arrangement or writing of the report is incorrect. The final submission should accurately and transparently describe that use and conform to the assessment rules of the University. In 2024, the Bank of England and the FCA reported that 75% of financial-services firms they surveyed had already been using AI </w:t>
      </w:r>
      <w:r w:rsidR="000A0C64">
        <w:t>-</w:t>
      </w:r>
      <w:r w:rsidRPr="004F1587">
        <w:t xml:space="preserve"> thus making the governance of AI-assisted work a normal part of everyday business</w:t>
      </w:r>
      <w:r w:rsidR="00F41C62" w:rsidRPr="00F41C62">
        <w:t>(Bank of England, 2024)</w:t>
      </w:r>
      <w:r w:rsidRPr="004F1587">
        <w:t>.</w:t>
      </w:r>
    </w:p>
    <w:p w:rsidR="00831514" w:rsidRPr="00400B0C" w:rsidRDefault="00831514" w:rsidP="0042496E"/>
    <w:p w:rsidR="0042496E" w:rsidRPr="00400B0C" w:rsidRDefault="0042496E" w:rsidP="00086DF1">
      <w:pPr>
        <w:pStyle w:val="Heading2"/>
      </w:pPr>
      <w:bookmarkStart w:id="19" w:name="_Toc237388835"/>
      <w:r w:rsidRPr="00400B0C">
        <w:t>6.2 Critical Evaluation and Hallucination Correction</w:t>
      </w:r>
      <w:bookmarkEnd w:id="19"/>
    </w:p>
    <w:p w:rsidR="0042496E" w:rsidRPr="00400B0C" w:rsidRDefault="00E84154" w:rsidP="0042496E">
      <w:r w:rsidRPr="00E84154">
        <w:t xml:space="preserve">AI results were not considered final and conclusive financial evidence. Before each figure was interpreted, it was checked against Whitbread's consolidated financial statements, and the assessment model that was built in Excel. For instance, any AI calculated ROCE has been manually re-calculated with the definitions of operating-profit and capital-employed, and then re-reconciled to the income statement and balance sheet. This was required as the results of Whitbread alternative performance measures can be different to traditional academic ratios. Only those AI suggestions that were backed up with the accounts were accepted, when dealing with depreciation, leases or adjusting items. Hallucinations and omissions are still regarded as material in complex extraction and synthesis problems by </w:t>
      </w:r>
      <w:r w:rsidR="0012618E" w:rsidRPr="0012618E">
        <w:t>Adel and Alani (2025)</w:t>
      </w:r>
      <w:r w:rsidRPr="00E84154">
        <w:t>, and NIST (2024) considers information integrity, privacy and human-AI configuration as prominent generative-AI risks. Thus, before conclusions, the sources were triangulated, checked according to the formulas, and manually recalculated and verified.</w:t>
      </w:r>
    </w:p>
    <w:p w:rsidR="00831514" w:rsidRPr="00400B0C" w:rsidRDefault="00831514" w:rsidP="0042496E"/>
    <w:p w:rsidR="0042496E" w:rsidRPr="00400B0C" w:rsidRDefault="0042496E" w:rsidP="00086DF1">
      <w:pPr>
        <w:pStyle w:val="Heading2"/>
      </w:pPr>
      <w:bookmarkStart w:id="20" w:name="_Toc237388836"/>
      <w:r w:rsidRPr="00400B0C">
        <w:t>6.3 Contribution Analysis: AI versus Original Synthesis</w:t>
      </w:r>
      <w:bookmarkEnd w:id="20"/>
    </w:p>
    <w:p w:rsidR="0042496E" w:rsidRPr="00400B0C" w:rsidRDefault="006A6857" w:rsidP="0042496E">
      <w:r w:rsidRPr="006A6857">
        <w:t xml:space="preserve">AI-powered information retrieval, aggregation, calculation verification, and language enhancement. But the economic prudence needed involved more than just a computerized answer. To make decisions that rejected Projects A and B (both with negative NPVs) because they do not create value under capital rationing, recommended Project C as it just barely exceeded the capital rationing hurdle, and related negative DIO and DSO to the cash cycle of the hospitality industry, it was necessary to synthesize the financial model with annual reports and the hospitality context. Also the conclusion that unused capital should not be spent simply when there is a budget of £100m to do so is a judgement on capital allocation and is not a mechanical AI outcome. However, all work with AI cannot be solely credited to the independent work of the authors and all work assisted by AI should be noted as such. In strategic decisions where more stakes are on the line, </w:t>
      </w:r>
      <w:r w:rsidR="00F96640" w:rsidRPr="00F96640">
        <w:t>Page and Kallapur (2025)</w:t>
      </w:r>
      <w:r w:rsidRPr="006A6857">
        <w:t xml:space="preserve"> suggests that human and AI collaboration will be best, with human decision making having the final say.</w:t>
      </w:r>
    </w:p>
    <w:p w:rsidR="00831514" w:rsidRPr="00400B0C" w:rsidRDefault="00831514" w:rsidP="0042496E"/>
    <w:p w:rsidR="0042496E" w:rsidRPr="00400B0C" w:rsidRDefault="0042496E" w:rsidP="00831514">
      <w:pPr>
        <w:pStyle w:val="Heading2"/>
      </w:pPr>
      <w:bookmarkStart w:id="21" w:name="_Toc237388837"/>
      <w:r w:rsidRPr="00400B0C">
        <w:t>6.4 Ethical and Professional Reflection</w:t>
      </w:r>
      <w:bookmarkEnd w:id="21"/>
    </w:p>
    <w:p w:rsidR="00D11094" w:rsidRDefault="00D11094" w:rsidP="00D11094">
      <w:r>
        <w:t xml:space="preserve">This efficiency is possible using generative AI within executive finance but so are the governance risks. Either over-reliance might accept plausible calculations without having an understanding of assumptions, or they might ignore breaks in structure or use historical relationships when geopolitical, energy and/or sudden inflation conditions have occurred. According to </w:t>
      </w:r>
      <w:r w:rsidR="00737496" w:rsidRPr="00737496">
        <w:t>Zhai, Wibowo and Li (2024)</w:t>
      </w:r>
      <w:r>
        <w:t>, overreliance on an AI dialogue system can be linked with the issues of hallucination, bias, privacy, and diminished critical decision-making. In no case, then, can human responsibility be dispensed with. With AI conducting analyses, financial executives still need to be responsible for assumptions and the selection of scenarios, how to interpret risks, and ultimate investment decisions.</w:t>
      </w:r>
    </w:p>
    <w:p w:rsidR="0042496E" w:rsidRPr="00400B0C" w:rsidRDefault="00D11094" w:rsidP="00D11094">
      <w:r>
        <w:lastRenderedPageBreak/>
        <w:t>Data Privacy is a crucial issue as well. Where applicable, non-public forecasts, employee data, transaction data, acquisition plans as well as commercially sensitive pricing should not be passed into external systems from the data sources based on generative-AI without approved controls. NIST's Generative AI Profile calls out data privacy and information security as cross-cutting risks, and the UK Information Commissioner's Office (ICO) is mandating data protection duties on organisations using AI and conducting risk assessments on its potential risk to individuals' rights</w:t>
      </w:r>
      <w:r w:rsidR="00B522F8" w:rsidRPr="00B522F8">
        <w:t>(ICO, 2025)</w:t>
      </w:r>
      <w:r>
        <w:t>. AI must hence be used as an analysis assistance and not as a stand-alone financial decision-maker. The best foundation for responsible use by the CFO is transparent disclosure, limited availability of information, independent verification, use of documented assumptions, and review by senior humans.</w:t>
      </w:r>
    </w:p>
    <w:p w:rsidR="00897658" w:rsidRPr="00400B0C" w:rsidRDefault="00897658" w:rsidP="0042496E">
      <w:pPr>
        <w:rPr>
          <w:b/>
          <w:bCs/>
        </w:rPr>
      </w:pPr>
    </w:p>
    <w:p w:rsidR="0042496E" w:rsidRPr="00400B0C" w:rsidRDefault="0042496E" w:rsidP="00897658">
      <w:pPr>
        <w:pStyle w:val="Heading1"/>
      </w:pPr>
      <w:bookmarkStart w:id="22" w:name="_Toc237388838"/>
      <w:r w:rsidRPr="00400B0C">
        <w:t>7. Conclusion</w:t>
      </w:r>
      <w:bookmarkEnd w:id="22"/>
    </w:p>
    <w:p w:rsidR="0042496E" w:rsidRPr="00400B0C" w:rsidRDefault="003D7DB2" w:rsidP="0042496E">
      <w:r w:rsidRPr="003D7DB2">
        <w:t>Whitbread arrives FY27 with solid financial and business health as indicated by their resilient margins, operating cash generation and negative cash conversion cycle. Its business is very strong, backed by its predominant presence in Premier Inn. The goal should be to carry out the Accelerating Growth Plan – including the restructuring of low-returning restaurants and the investment of additional hotel capacity. Capital should be invested only in Project C and Projects A and B should be turned down. This, coupled with German growth and financial optimisation and stability, will help reinforce Whitbread in European budget hospitality.</w:t>
      </w:r>
    </w:p>
    <w:p w:rsidR="0042496E" w:rsidRPr="00400B0C" w:rsidRDefault="0042496E" w:rsidP="00EF64D2"/>
    <w:p w:rsidR="003F621D" w:rsidRPr="00400B0C" w:rsidRDefault="003F621D">
      <w:pPr>
        <w:spacing w:line="278" w:lineRule="auto"/>
        <w:jc w:val="left"/>
      </w:pPr>
      <w:r w:rsidRPr="00400B0C">
        <w:br w:type="page"/>
      </w:r>
    </w:p>
    <w:p w:rsidR="00EF64D2" w:rsidRPr="00400B0C" w:rsidRDefault="003F621D" w:rsidP="003F621D">
      <w:pPr>
        <w:pStyle w:val="Heading1"/>
      </w:pPr>
      <w:bookmarkStart w:id="23" w:name="_Toc237388839"/>
      <w:r w:rsidRPr="00400B0C">
        <w:lastRenderedPageBreak/>
        <w:t>8. References</w:t>
      </w:r>
      <w:bookmarkEnd w:id="23"/>
    </w:p>
    <w:p w:rsidR="00514886" w:rsidRPr="00514886" w:rsidRDefault="00514886" w:rsidP="00514886">
      <w:pPr>
        <w:rPr>
          <w:lang w:val="en-US"/>
        </w:rPr>
      </w:pPr>
      <w:r w:rsidRPr="00514886">
        <w:rPr>
          <w:lang w:val="en-US"/>
        </w:rPr>
        <w:t xml:space="preserve">Adel, A. and Alani, N. (2025). Can generative AI reliably synthesise literature? Exploring hallucination issues in ChatGPT. </w:t>
      </w:r>
      <w:r w:rsidRPr="00514886">
        <w:rPr>
          <w:i/>
          <w:iCs/>
          <w:lang w:val="en-US"/>
        </w:rPr>
        <w:t>AI &amp; SOCIETY</w:t>
      </w:r>
      <w:r w:rsidRPr="00514886">
        <w:rPr>
          <w:lang w:val="en-US"/>
        </w:rPr>
        <w:t>. doi:10.1007/s00146-025-02406-7.</w:t>
      </w:r>
    </w:p>
    <w:p w:rsidR="00514886" w:rsidRPr="00514886" w:rsidRDefault="00514886" w:rsidP="00514886">
      <w:pPr>
        <w:rPr>
          <w:lang w:val="en-US"/>
        </w:rPr>
      </w:pPr>
      <w:r w:rsidRPr="00514886">
        <w:rPr>
          <w:lang w:val="en-US"/>
        </w:rPr>
        <w:t xml:space="preserve">Amca, Y., Yorucu, V. and Kırıkkaleli, D. (2025). Construction cost index: Political, economic, and financial risk indices within the European continent. </w:t>
      </w:r>
      <w:r w:rsidRPr="00514886">
        <w:rPr>
          <w:i/>
          <w:iCs/>
          <w:lang w:val="en-US"/>
        </w:rPr>
        <w:t>Sustainability</w:t>
      </w:r>
      <w:r w:rsidRPr="00514886">
        <w:rPr>
          <w:lang w:val="en-US"/>
        </w:rPr>
        <w:t>, 17(3), p.917. doi:10.3390/su17030917.</w:t>
      </w:r>
    </w:p>
    <w:p w:rsidR="00514886" w:rsidRPr="00514886" w:rsidRDefault="00514886" w:rsidP="00514886">
      <w:pPr>
        <w:rPr>
          <w:lang w:val="en-US"/>
        </w:rPr>
      </w:pPr>
      <w:r w:rsidRPr="00514886">
        <w:rPr>
          <w:lang w:val="en-US"/>
        </w:rPr>
        <w:t xml:space="preserve">Ashraf, S., Sarhan, A.A., Almeida, A.M.M. de and Teles, S. (2025). Capital structure of hospitality and tourism-related firms: Unveiling the impact of COVID-19 pandemic on European firms with different size and ownership structure. </w:t>
      </w:r>
      <w:r w:rsidRPr="00514886">
        <w:rPr>
          <w:i/>
          <w:iCs/>
          <w:lang w:val="en-US"/>
        </w:rPr>
        <w:t>International Journal of Hospitality Management</w:t>
      </w:r>
      <w:r w:rsidRPr="00514886">
        <w:rPr>
          <w:lang w:val="en-US"/>
        </w:rPr>
        <w:t>, 126, p.104067. doi:10.1016/j.ijhm.2024.104067.</w:t>
      </w:r>
    </w:p>
    <w:p w:rsidR="00514886" w:rsidRPr="00514886" w:rsidRDefault="00514886" w:rsidP="00514886">
      <w:pPr>
        <w:rPr>
          <w:lang w:val="en-US"/>
        </w:rPr>
      </w:pPr>
      <w:r w:rsidRPr="00514886">
        <w:rPr>
          <w:lang w:val="en-US"/>
        </w:rPr>
        <w:t xml:space="preserve">Bank of England (2024). </w:t>
      </w:r>
      <w:r w:rsidRPr="00514886">
        <w:rPr>
          <w:i/>
          <w:iCs/>
          <w:lang w:val="en-US"/>
        </w:rPr>
        <w:t>Artificial intelligence in UK financial services - 2024</w:t>
      </w:r>
      <w:r w:rsidRPr="00514886">
        <w:rPr>
          <w:lang w:val="en-US"/>
        </w:rPr>
        <w:t xml:space="preserve">. [online] </w:t>
      </w:r>
      <w:r w:rsidRPr="00514886">
        <w:rPr>
          <w:i/>
          <w:iCs/>
          <w:lang w:val="en-US"/>
        </w:rPr>
        <w:t>Bankofengland.co.uk</w:t>
      </w:r>
      <w:r w:rsidRPr="00514886">
        <w:rPr>
          <w:lang w:val="en-US"/>
        </w:rPr>
        <w:t>. Available at: https://www.bankofengland.co.uk/report/2024/artificial-intelligence-in-uk-financial-services-2024.</w:t>
      </w:r>
    </w:p>
    <w:p w:rsidR="00514886" w:rsidRPr="00514886" w:rsidRDefault="00514886" w:rsidP="00514886">
      <w:pPr>
        <w:rPr>
          <w:lang w:val="en-US"/>
        </w:rPr>
      </w:pPr>
      <w:r w:rsidRPr="00514886">
        <w:rPr>
          <w:lang w:val="en-US"/>
        </w:rPr>
        <w:t xml:space="preserve">Bank of England (2026). </w:t>
      </w:r>
      <w:r w:rsidRPr="00514886">
        <w:rPr>
          <w:i/>
          <w:iCs/>
          <w:lang w:val="en-US"/>
        </w:rPr>
        <w:t>Monetary Policy Report - July 2026</w:t>
      </w:r>
      <w:r w:rsidRPr="00514886">
        <w:rPr>
          <w:lang w:val="en-US"/>
        </w:rPr>
        <w:t>. [online] Available at: https://www.bankofengland.co.uk/monetary-policy-report/2026/july-2026.</w:t>
      </w:r>
    </w:p>
    <w:p w:rsidR="00514886" w:rsidRPr="00514886" w:rsidRDefault="00514886" w:rsidP="00514886">
      <w:pPr>
        <w:rPr>
          <w:lang w:val="en-US"/>
        </w:rPr>
      </w:pPr>
      <w:r w:rsidRPr="00514886">
        <w:rPr>
          <w:lang w:val="en-US"/>
        </w:rPr>
        <w:t xml:space="preserve">Bentson, M., Kay, J., Rapp, T., Young, C. and Haenisch, N. (2024). </w:t>
      </w:r>
      <w:r w:rsidRPr="00514886">
        <w:rPr>
          <w:i/>
          <w:iCs/>
          <w:lang w:val="en-US"/>
        </w:rPr>
        <w:t>Avoid the hidden costs of extending supplier payment terms</w:t>
      </w:r>
      <w:r w:rsidRPr="00514886">
        <w:rPr>
          <w:lang w:val="en-US"/>
        </w:rPr>
        <w:t>. [online] BCG Global. Available at: https://www.bcg.com/publications/2024/avoid-hidden-costs-of-extending-supplier-payment-terms.</w:t>
      </w:r>
    </w:p>
    <w:p w:rsidR="00514886" w:rsidRPr="00514886" w:rsidRDefault="00514886" w:rsidP="00514886">
      <w:pPr>
        <w:rPr>
          <w:lang w:val="en-US"/>
        </w:rPr>
      </w:pPr>
      <w:r w:rsidRPr="00514886">
        <w:rPr>
          <w:lang w:val="en-US"/>
        </w:rPr>
        <w:t xml:space="preserve">Boettcher, W., Kolodseike, O., Knowles, J. and Holroyd, N. (2026). </w:t>
      </w:r>
      <w:r w:rsidRPr="00514886">
        <w:rPr>
          <w:i/>
          <w:iCs/>
          <w:lang w:val="en-US"/>
        </w:rPr>
        <w:t>UK Real Estate Investment Forecasts Q2 2026</w:t>
      </w:r>
      <w:r w:rsidRPr="00514886">
        <w:rPr>
          <w:lang w:val="en-US"/>
        </w:rPr>
        <w:t>. [online] Colliers.com. Available at: https://www.colliers.com/en-gb/research/reif-q2-2026.</w:t>
      </w:r>
    </w:p>
    <w:p w:rsidR="00514886" w:rsidRPr="00514886" w:rsidRDefault="00514886" w:rsidP="00514886">
      <w:pPr>
        <w:rPr>
          <w:lang w:val="en-US"/>
        </w:rPr>
      </w:pPr>
      <w:r w:rsidRPr="00514886">
        <w:rPr>
          <w:lang w:val="en-US"/>
        </w:rPr>
        <w:t xml:space="preserve">ICO (2025). </w:t>
      </w:r>
      <w:r w:rsidRPr="00514886">
        <w:rPr>
          <w:i/>
          <w:iCs/>
          <w:lang w:val="en-US"/>
        </w:rPr>
        <w:t>ICO consultation series on generative AI and data protection</w:t>
      </w:r>
      <w:r w:rsidRPr="00514886">
        <w:rPr>
          <w:lang w:val="en-US"/>
        </w:rPr>
        <w:t xml:space="preserve">. [online] </w:t>
      </w:r>
      <w:r w:rsidRPr="00514886">
        <w:rPr>
          <w:i/>
          <w:iCs/>
          <w:lang w:val="en-US"/>
        </w:rPr>
        <w:t>Ico.org.uk</w:t>
      </w:r>
      <w:r w:rsidRPr="00514886">
        <w:rPr>
          <w:lang w:val="en-US"/>
        </w:rPr>
        <w:t>. ICO. Available at: https://ico.org.uk/about-the-ico/ico-and-stakeholder-consultations/2024/09/ico-consultation-series-on-generative-ai-and-data-protection.</w:t>
      </w:r>
    </w:p>
    <w:p w:rsidR="00514886" w:rsidRPr="00514886" w:rsidRDefault="00514886" w:rsidP="00514886">
      <w:pPr>
        <w:rPr>
          <w:lang w:val="en-US"/>
        </w:rPr>
      </w:pPr>
      <w:r w:rsidRPr="00514886">
        <w:rPr>
          <w:lang w:val="en-US"/>
        </w:rPr>
        <w:lastRenderedPageBreak/>
        <w:t xml:space="preserve">IHG (2025a). </w:t>
      </w:r>
      <w:r w:rsidRPr="00514886">
        <w:rPr>
          <w:i/>
          <w:iCs/>
          <w:lang w:val="en-US"/>
        </w:rPr>
        <w:t>Group income statement</w:t>
      </w:r>
      <w:r w:rsidRPr="00514886">
        <w:rPr>
          <w:lang w:val="en-US"/>
        </w:rPr>
        <w:t>. [online] Available at: https://www.ihgplc.com/~/media/Files/I/Ihg-Plc/investors/annual-report/2025/downloads/group-income-statement_p176.pdf.</w:t>
      </w:r>
    </w:p>
    <w:p w:rsidR="00514886" w:rsidRPr="00514886" w:rsidRDefault="00514886" w:rsidP="00514886">
      <w:pPr>
        <w:rPr>
          <w:lang w:val="en-US"/>
        </w:rPr>
      </w:pPr>
      <w:r w:rsidRPr="00514886">
        <w:rPr>
          <w:lang w:val="en-US"/>
        </w:rPr>
        <w:t xml:space="preserve">IHG (2025b). </w:t>
      </w:r>
      <w:r w:rsidRPr="00514886">
        <w:rPr>
          <w:i/>
          <w:iCs/>
          <w:lang w:val="en-US"/>
        </w:rPr>
        <w:t>Group statement of financial position</w:t>
      </w:r>
      <w:r w:rsidRPr="00514886">
        <w:rPr>
          <w:lang w:val="en-US"/>
        </w:rPr>
        <w:t>. [online] IHG. Available at: https://www.ihgplc.com/~/media/Files/I/Ihg-Plc/investors/annual-report/2025/downloads/group-statement-of-financial-position_p181.pdf.</w:t>
      </w:r>
    </w:p>
    <w:p w:rsidR="00514886" w:rsidRPr="00514886" w:rsidRDefault="00514886" w:rsidP="00514886">
      <w:pPr>
        <w:rPr>
          <w:lang w:val="en-US"/>
        </w:rPr>
      </w:pPr>
      <w:r w:rsidRPr="00514886">
        <w:rPr>
          <w:lang w:val="en-US"/>
        </w:rPr>
        <w:t xml:space="preserve">IHG (2026). </w:t>
      </w:r>
      <w:r w:rsidRPr="00514886">
        <w:rPr>
          <w:i/>
          <w:iCs/>
          <w:lang w:val="en-US"/>
        </w:rPr>
        <w:t>How our business works</w:t>
      </w:r>
      <w:r w:rsidRPr="00514886">
        <w:rPr>
          <w:lang w:val="en-US"/>
        </w:rPr>
        <w:t xml:space="preserve">. [online] </w:t>
      </w:r>
      <w:r w:rsidRPr="00514886">
        <w:rPr>
          <w:i/>
          <w:iCs/>
          <w:lang w:val="en-US"/>
        </w:rPr>
        <w:t>InterContinental Hotels Group PLC</w:t>
      </w:r>
      <w:r w:rsidRPr="00514886">
        <w:rPr>
          <w:lang w:val="en-US"/>
        </w:rPr>
        <w:t>. Available at: https://www.ihgplc.com/en/about-us/how-our-business-works.</w:t>
      </w:r>
    </w:p>
    <w:p w:rsidR="00514886" w:rsidRPr="00514886" w:rsidRDefault="00514886" w:rsidP="00514886">
      <w:pPr>
        <w:rPr>
          <w:lang w:val="en-US"/>
        </w:rPr>
      </w:pPr>
      <w:r w:rsidRPr="00514886">
        <w:rPr>
          <w:lang w:val="en-US"/>
        </w:rPr>
        <w:t xml:space="preserve">Kar, S. and Yadav, M. (2026). Responsible restructuring: A comparative analysis of employment practices from crisis to stable business conditions. </w:t>
      </w:r>
      <w:r w:rsidRPr="00514886">
        <w:rPr>
          <w:i/>
          <w:iCs/>
          <w:lang w:val="en-US"/>
        </w:rPr>
        <w:t>Employee Relations</w:t>
      </w:r>
      <w:r w:rsidRPr="00514886">
        <w:rPr>
          <w:lang w:val="en-US"/>
        </w:rPr>
        <w:t>, pp.1–21. doi:10.1108/er-05-2025-0364.</w:t>
      </w:r>
    </w:p>
    <w:p w:rsidR="00514886" w:rsidRPr="00514886" w:rsidRDefault="00514886" w:rsidP="00514886">
      <w:pPr>
        <w:rPr>
          <w:lang w:val="en-US"/>
        </w:rPr>
      </w:pPr>
      <w:r w:rsidRPr="00514886">
        <w:rPr>
          <w:lang w:val="en-US"/>
        </w:rPr>
        <w:t xml:space="preserve">Mulet-Forteza, C., Ferrer-Rosell, B., Cunill, O.M. and Linares-Mustarós, S. (2024). </w:t>
      </w:r>
      <w:r w:rsidRPr="00514886">
        <w:rPr>
          <w:i/>
          <w:iCs/>
          <w:lang w:val="en-US"/>
        </w:rPr>
        <w:t>The role of expansion strategies and operational attributes on hotel performance: A compositional approach</w:t>
      </w:r>
      <w:r w:rsidRPr="00514886">
        <w:rPr>
          <w:lang w:val="en-US"/>
        </w:rPr>
        <w:t xml:space="preserve">. [online] </w:t>
      </w:r>
      <w:r w:rsidRPr="00514886">
        <w:rPr>
          <w:i/>
          <w:iCs/>
          <w:lang w:val="en-US"/>
        </w:rPr>
        <w:t>arXiv.org</w:t>
      </w:r>
      <w:r w:rsidRPr="00514886">
        <w:rPr>
          <w:lang w:val="en-US"/>
        </w:rPr>
        <w:t>. Available at: https://arxiv.org/abs/2411.04640.</w:t>
      </w:r>
    </w:p>
    <w:p w:rsidR="00514886" w:rsidRPr="00514886" w:rsidRDefault="00514886" w:rsidP="00514886">
      <w:pPr>
        <w:rPr>
          <w:lang w:val="en-US"/>
        </w:rPr>
      </w:pPr>
      <w:r w:rsidRPr="00514886">
        <w:rPr>
          <w:lang w:val="en-US"/>
        </w:rPr>
        <w:t xml:space="preserve">NIST (2024). Artificial intelligence risk management framework: Generative artificial intelligence profile. </w:t>
      </w:r>
      <w:r w:rsidRPr="00514886">
        <w:rPr>
          <w:i/>
          <w:iCs/>
          <w:lang w:val="en-US"/>
        </w:rPr>
        <w:t>Artificial Intelligence Risk Management Framework: Generative Artificial Intelligence Profile</w:t>
      </w:r>
      <w:r w:rsidRPr="00514886">
        <w:rPr>
          <w:lang w:val="en-US"/>
        </w:rPr>
        <w:t>. [online] doi:10.6028/nist.ai.600-1.</w:t>
      </w:r>
    </w:p>
    <w:p w:rsidR="00514886" w:rsidRPr="00514886" w:rsidRDefault="00514886" w:rsidP="00514886">
      <w:pPr>
        <w:rPr>
          <w:lang w:val="en-US"/>
        </w:rPr>
      </w:pPr>
      <w:r w:rsidRPr="00514886">
        <w:rPr>
          <w:lang w:val="en-US"/>
        </w:rPr>
        <w:t xml:space="preserve">Page, S.E. and Kallapur, A. (2025). Replace, augment, disrupt: AI &amp;amp; organizational decision-making. </w:t>
      </w:r>
      <w:r w:rsidRPr="00514886">
        <w:rPr>
          <w:i/>
          <w:iCs/>
          <w:lang w:val="en-US"/>
        </w:rPr>
        <w:t>Journal of Organization Design</w:t>
      </w:r>
      <w:r w:rsidRPr="00514886">
        <w:rPr>
          <w:lang w:val="en-US"/>
        </w:rPr>
        <w:t>. doi:10.1007/s41469-025-00194-4.</w:t>
      </w:r>
    </w:p>
    <w:p w:rsidR="00514886" w:rsidRPr="00514886" w:rsidRDefault="00514886" w:rsidP="00514886">
      <w:pPr>
        <w:rPr>
          <w:lang w:val="en-US"/>
        </w:rPr>
      </w:pPr>
      <w:r w:rsidRPr="00514886">
        <w:rPr>
          <w:lang w:val="en-US"/>
        </w:rPr>
        <w:t xml:space="preserve">Purnamasari, P. (2024). Capital budgeting techniques and financial performance: A comparison between SMEs and large listed firms. </w:t>
      </w:r>
      <w:r w:rsidRPr="00514886">
        <w:rPr>
          <w:i/>
          <w:iCs/>
          <w:lang w:val="en-US"/>
        </w:rPr>
        <w:t>Cogent Economics &amp; Finance</w:t>
      </w:r>
      <w:r w:rsidRPr="00514886">
        <w:rPr>
          <w:lang w:val="en-US"/>
        </w:rPr>
        <w:t>, 12(1). doi:10.1080/23322039.2024.2404707.</w:t>
      </w:r>
    </w:p>
    <w:p w:rsidR="00514886" w:rsidRPr="00514886" w:rsidRDefault="00514886" w:rsidP="00514886">
      <w:pPr>
        <w:rPr>
          <w:lang w:val="en-US"/>
        </w:rPr>
      </w:pPr>
      <w:r w:rsidRPr="00514886">
        <w:rPr>
          <w:lang w:val="en-US"/>
        </w:rPr>
        <w:t xml:space="preserve">Sharma, P., Kumar Mehta, S., Dsouza, S. and AlKhawaja, A. (2025). Drivers of working capital efficiency in Indian hospitality sector. </w:t>
      </w:r>
      <w:r w:rsidRPr="00514886">
        <w:rPr>
          <w:i/>
          <w:iCs/>
          <w:lang w:val="en-US"/>
        </w:rPr>
        <w:t>Investment Management and Financial Innovations</w:t>
      </w:r>
      <w:r w:rsidRPr="00514886">
        <w:rPr>
          <w:lang w:val="en-US"/>
        </w:rPr>
        <w:t>, 22(2), pp.47–64. doi:10.21511/imfi.22(2).2025.05.</w:t>
      </w:r>
    </w:p>
    <w:p w:rsidR="00514886" w:rsidRPr="00514886" w:rsidRDefault="00514886" w:rsidP="00514886">
      <w:pPr>
        <w:rPr>
          <w:lang w:val="en-US"/>
        </w:rPr>
      </w:pPr>
      <w:r w:rsidRPr="00514886">
        <w:rPr>
          <w:lang w:val="en-US"/>
        </w:rPr>
        <w:lastRenderedPageBreak/>
        <w:t xml:space="preserve">Sigala, E.G., Gerwin, P., Chroni, C., Abeliotis, K., Strotmann, C. and Lasaridi, K. (2025). Reducing food waste in the HORECA sector using AI-based waste-tracking devices. </w:t>
      </w:r>
      <w:r w:rsidRPr="00514886">
        <w:rPr>
          <w:i/>
          <w:iCs/>
          <w:lang w:val="en-US"/>
        </w:rPr>
        <w:t>Waste Management</w:t>
      </w:r>
      <w:r w:rsidRPr="00514886">
        <w:rPr>
          <w:lang w:val="en-US"/>
        </w:rPr>
        <w:t>, [online] 198, pp.77–86. doi:10.1016/j.wasman.2025.02.044.</w:t>
      </w:r>
    </w:p>
    <w:p w:rsidR="00514886" w:rsidRPr="00514886" w:rsidRDefault="00514886" w:rsidP="00514886">
      <w:pPr>
        <w:rPr>
          <w:lang w:val="en-US"/>
        </w:rPr>
      </w:pPr>
      <w:r w:rsidRPr="00514886">
        <w:rPr>
          <w:lang w:val="en-US"/>
        </w:rPr>
        <w:t xml:space="preserve">Sokolov, M.V. (2024). NPV, IRR, pi, pp, and DPP: A unified view. </w:t>
      </w:r>
      <w:r w:rsidRPr="00514886">
        <w:rPr>
          <w:i/>
          <w:iCs/>
          <w:lang w:val="en-US"/>
        </w:rPr>
        <w:t>Journal of Mathematical Economics</w:t>
      </w:r>
      <w:r w:rsidRPr="00514886">
        <w:rPr>
          <w:lang w:val="en-US"/>
        </w:rPr>
        <w:t>, [online] 114, p.102992. doi:10.1016/j.jmateco.2024.102992.</w:t>
      </w:r>
    </w:p>
    <w:p w:rsidR="00514886" w:rsidRPr="00514886" w:rsidRDefault="00514886" w:rsidP="00514886">
      <w:pPr>
        <w:rPr>
          <w:lang w:val="en-US"/>
        </w:rPr>
      </w:pPr>
      <w:r w:rsidRPr="00514886">
        <w:rPr>
          <w:lang w:val="en-US"/>
        </w:rPr>
        <w:t xml:space="preserve">Stavropoulos, A.-S. and Zounta, S. (2025). Cash conversion cycle and profitability: Evidence from Greek service firms. </w:t>
      </w:r>
      <w:r w:rsidRPr="00514886">
        <w:rPr>
          <w:i/>
          <w:iCs/>
          <w:lang w:val="en-US"/>
        </w:rPr>
        <w:t>Journal of Risk and Financial Management</w:t>
      </w:r>
      <w:r w:rsidRPr="00514886">
        <w:rPr>
          <w:lang w:val="en-US"/>
        </w:rPr>
        <w:t>, [online] 18(4), p.208. doi:10.3390/jrfm18040208.</w:t>
      </w:r>
    </w:p>
    <w:p w:rsidR="00514886" w:rsidRPr="00514886" w:rsidRDefault="00514886" w:rsidP="00514886">
      <w:pPr>
        <w:rPr>
          <w:lang w:val="en-US"/>
        </w:rPr>
      </w:pPr>
      <w:r w:rsidRPr="00514886">
        <w:rPr>
          <w:lang w:val="en-US"/>
        </w:rPr>
        <w:t xml:space="preserve">Toker, T. (2024). The operating profit flow method as a profitability analysis tool for hospitality enterprises. </w:t>
      </w:r>
      <w:r w:rsidRPr="00514886">
        <w:rPr>
          <w:i/>
          <w:iCs/>
          <w:lang w:val="en-US"/>
        </w:rPr>
        <w:t>International Journal of Hospitality Management</w:t>
      </w:r>
      <w:r w:rsidRPr="00514886">
        <w:rPr>
          <w:lang w:val="en-US"/>
        </w:rPr>
        <w:t>, [online] 125, p.103997. doi:10.1016/j.ijhm.2024.103997.</w:t>
      </w:r>
    </w:p>
    <w:p w:rsidR="00514886" w:rsidRPr="00514886" w:rsidRDefault="00514886" w:rsidP="00514886">
      <w:pPr>
        <w:rPr>
          <w:lang w:val="en-US"/>
        </w:rPr>
      </w:pPr>
      <w:r w:rsidRPr="00514886">
        <w:rPr>
          <w:lang w:val="en-US"/>
        </w:rPr>
        <w:t xml:space="preserve">Travelodge Group (2025). </w:t>
      </w:r>
      <w:r w:rsidRPr="00514886">
        <w:rPr>
          <w:i/>
          <w:iCs/>
          <w:lang w:val="en-US"/>
        </w:rPr>
        <w:t>Travelodge group: Solid overall financial performance with strong H2 recovery; continued strategic progress and expansion - travelodge corporate website</w:t>
      </w:r>
      <w:r w:rsidRPr="00514886">
        <w:rPr>
          <w:lang w:val="en-US"/>
        </w:rPr>
        <w:t>. [online] Travelodge Corporate Website. Available at: https://www.travelodge.co.uk/our-business/media/press-release/travelodge-group-solid-overall-financial-performance-with-strong-h2-recovery-continued-strategic-progress-and-expansion/.</w:t>
      </w:r>
    </w:p>
    <w:p w:rsidR="00514886" w:rsidRPr="00514886" w:rsidRDefault="00514886" w:rsidP="00514886">
      <w:pPr>
        <w:rPr>
          <w:lang w:val="en-US"/>
        </w:rPr>
      </w:pPr>
      <w:r w:rsidRPr="00514886">
        <w:rPr>
          <w:lang w:val="en-US"/>
        </w:rPr>
        <w:t xml:space="preserve">Turner &amp; Townsend (2025). </w:t>
      </w:r>
      <w:r w:rsidRPr="00514886">
        <w:rPr>
          <w:i/>
          <w:iCs/>
          <w:lang w:val="en-US"/>
        </w:rPr>
        <w:t>Global construction cost trends - GCMI 2025</w:t>
      </w:r>
      <w:r w:rsidRPr="00514886">
        <w:rPr>
          <w:lang w:val="en-US"/>
        </w:rPr>
        <w:t xml:space="preserve">. [online] </w:t>
      </w:r>
      <w:r w:rsidRPr="00514886">
        <w:rPr>
          <w:i/>
          <w:iCs/>
          <w:lang w:val="en-US"/>
        </w:rPr>
        <w:t>Turnerandtownsend.com</w:t>
      </w:r>
      <w:r w:rsidRPr="00514886">
        <w:rPr>
          <w:lang w:val="en-US"/>
        </w:rPr>
        <w:t>. Available at: https://publications.turnerandtownsend.com/global-construction-market-intelligence-2025/global-construction-cost-trends.</w:t>
      </w:r>
    </w:p>
    <w:p w:rsidR="00514886" w:rsidRPr="00514886" w:rsidRDefault="00514886" w:rsidP="00514886">
      <w:pPr>
        <w:rPr>
          <w:lang w:val="en-US"/>
        </w:rPr>
      </w:pPr>
      <w:r w:rsidRPr="00514886">
        <w:rPr>
          <w:lang w:val="en-US"/>
        </w:rPr>
        <w:t xml:space="preserve">Wang, G., Maghsoodi Tilaki, M.J. and Rahim, A.A. (2025). Exploring spatial dynamics: Analyzing hotels’recovery performance amid the COVID-19 crisis. </w:t>
      </w:r>
      <w:r w:rsidRPr="00514886">
        <w:rPr>
          <w:i/>
          <w:iCs/>
          <w:lang w:val="en-US"/>
        </w:rPr>
        <w:t>Applied Spatial Analysis and Policy</w:t>
      </w:r>
      <w:r w:rsidRPr="00514886">
        <w:rPr>
          <w:lang w:val="en-US"/>
        </w:rPr>
        <w:t>, 18(2). doi:10.1007/s12061-025-09669-z.</w:t>
      </w:r>
    </w:p>
    <w:p w:rsidR="00514886" w:rsidRPr="00514886" w:rsidRDefault="00514886" w:rsidP="00514886">
      <w:pPr>
        <w:rPr>
          <w:lang w:val="en-US"/>
        </w:rPr>
      </w:pPr>
      <w:r w:rsidRPr="00514886">
        <w:rPr>
          <w:lang w:val="en-US"/>
        </w:rPr>
        <w:t xml:space="preserve">Whitbread PLC (2024). </w:t>
      </w:r>
      <w:r w:rsidRPr="00514886">
        <w:rPr>
          <w:i/>
          <w:iCs/>
          <w:lang w:val="en-US"/>
        </w:rPr>
        <w:t>Annual Report 2023/24</w:t>
      </w:r>
      <w:r w:rsidRPr="00514886">
        <w:rPr>
          <w:lang w:val="en-US"/>
        </w:rPr>
        <w:t>. [online] Whitbread PLC. Available at: https://cdn.whitbread.co.uk/media/2024/05/Whitbread-PLC-Annual-Report-and-Accounts-2023_Single_pages-1.pdf.</w:t>
      </w:r>
    </w:p>
    <w:p w:rsidR="00514886" w:rsidRPr="00514886" w:rsidRDefault="00514886" w:rsidP="00514886">
      <w:pPr>
        <w:rPr>
          <w:lang w:val="en-US"/>
        </w:rPr>
      </w:pPr>
      <w:r w:rsidRPr="00514886">
        <w:rPr>
          <w:lang w:val="en-US"/>
        </w:rPr>
        <w:lastRenderedPageBreak/>
        <w:t xml:space="preserve">Whitbread PLC (2025a). </w:t>
      </w:r>
      <w:r w:rsidRPr="00514886">
        <w:rPr>
          <w:i/>
          <w:iCs/>
          <w:lang w:val="en-US"/>
        </w:rPr>
        <w:t>Annual Report 2024/25</w:t>
      </w:r>
      <w:r w:rsidRPr="00514886">
        <w:rPr>
          <w:lang w:val="en-US"/>
        </w:rPr>
        <w:t>. [online] Whitbread PLC. Available at: https://cdn.whitbread.co.uk/media/2025/05/Whitbread-PLC-Annual-Report-and-Accounts-2024-25.pdf.</w:t>
      </w:r>
    </w:p>
    <w:p w:rsidR="00514886" w:rsidRPr="00514886" w:rsidRDefault="00514886" w:rsidP="00514886">
      <w:pPr>
        <w:rPr>
          <w:lang w:val="en-US"/>
        </w:rPr>
      </w:pPr>
      <w:r w:rsidRPr="00514886">
        <w:rPr>
          <w:lang w:val="en-US"/>
        </w:rPr>
        <w:t xml:space="preserve">Whitbread PLC (2025b). </w:t>
      </w:r>
      <w:r w:rsidRPr="00514886">
        <w:rPr>
          <w:i/>
          <w:iCs/>
          <w:lang w:val="en-US"/>
        </w:rPr>
        <w:t>Bond Issue</w:t>
      </w:r>
      <w:r w:rsidRPr="00514886">
        <w:rPr>
          <w:lang w:val="en-US"/>
        </w:rPr>
        <w:t>. [online] Whitbread PLC. Available at: https://cdn.whitbread.co.uk/media/2025/02/Bond-Issue-Feb-2025.pdf.</w:t>
      </w:r>
    </w:p>
    <w:p w:rsidR="00514886" w:rsidRPr="00514886" w:rsidRDefault="00514886" w:rsidP="00514886">
      <w:pPr>
        <w:rPr>
          <w:lang w:val="en-US"/>
        </w:rPr>
      </w:pPr>
      <w:r w:rsidRPr="00514886">
        <w:rPr>
          <w:lang w:val="en-US"/>
        </w:rPr>
        <w:t xml:space="preserve">Whitbread PLC (2025c). </w:t>
      </w:r>
      <w:r w:rsidRPr="00514886">
        <w:rPr>
          <w:i/>
          <w:iCs/>
          <w:lang w:val="en-US"/>
        </w:rPr>
        <w:t>Corporate debt</w:t>
      </w:r>
      <w:r w:rsidRPr="00514886">
        <w:rPr>
          <w:lang w:val="en-US"/>
        </w:rPr>
        <w:t>. [online] Whitbread PLC. Available at: https://www.whitbread.co.uk/investors/corporate-debt.</w:t>
      </w:r>
    </w:p>
    <w:p w:rsidR="00514886" w:rsidRPr="00514886" w:rsidRDefault="00514886" w:rsidP="00514886">
      <w:pPr>
        <w:rPr>
          <w:lang w:val="en-US"/>
        </w:rPr>
      </w:pPr>
      <w:r w:rsidRPr="00514886">
        <w:rPr>
          <w:lang w:val="en-US"/>
        </w:rPr>
        <w:t xml:space="preserve">Whitbread PLC (2025d). </w:t>
      </w:r>
      <w:r w:rsidRPr="00514886">
        <w:rPr>
          <w:i/>
          <w:iCs/>
          <w:lang w:val="en-US"/>
        </w:rPr>
        <w:t>Enabling people to live and work well</w:t>
      </w:r>
      <w:r w:rsidRPr="00514886">
        <w:rPr>
          <w:lang w:val="en-US"/>
        </w:rPr>
        <w:t>. [online] Available at: https://cdn.whitbread.co.uk/media/2026/05/Whitbread-PLC-Sustainability-Report-2025_26.pdf.</w:t>
      </w:r>
    </w:p>
    <w:p w:rsidR="00514886" w:rsidRPr="00514886" w:rsidRDefault="00514886" w:rsidP="00514886">
      <w:pPr>
        <w:rPr>
          <w:lang w:val="en-US"/>
        </w:rPr>
      </w:pPr>
      <w:r w:rsidRPr="00514886">
        <w:rPr>
          <w:lang w:val="en-US"/>
        </w:rPr>
        <w:t xml:space="preserve">Whitbread PLC (2026a). </w:t>
      </w:r>
      <w:r w:rsidRPr="00514886">
        <w:rPr>
          <w:i/>
          <w:iCs/>
          <w:lang w:val="en-US"/>
        </w:rPr>
        <w:t>Annual Report 2025/26</w:t>
      </w:r>
      <w:r w:rsidRPr="00514886">
        <w:rPr>
          <w:lang w:val="en-US"/>
        </w:rPr>
        <w:t>. [online] Whitbread PLC. Available at: https://cdn.whitbread.co.uk/media/2026/05/Whitbread-PLC-Annual-Report-and-Accounts-2025-26.pdf.</w:t>
      </w:r>
    </w:p>
    <w:p w:rsidR="00514886" w:rsidRPr="00514886" w:rsidRDefault="00514886" w:rsidP="00514886">
      <w:pPr>
        <w:rPr>
          <w:lang w:val="en-US"/>
        </w:rPr>
      </w:pPr>
      <w:r w:rsidRPr="00514886">
        <w:rPr>
          <w:lang w:val="en-US"/>
        </w:rPr>
        <w:t xml:space="preserve">Whitbread PLC (2026b). </w:t>
      </w:r>
      <w:r w:rsidRPr="00514886">
        <w:rPr>
          <w:i/>
          <w:iCs/>
          <w:lang w:val="en-US"/>
        </w:rPr>
        <w:t>FY26 Preliminary Result</w:t>
      </w:r>
      <w:r w:rsidRPr="00514886">
        <w:rPr>
          <w:lang w:val="en-US"/>
        </w:rPr>
        <w:t>. [online] Whitbread PLC. Available at: https://cdn.whitbread.co.uk/media/2026/04/FY26-Preliminary-Results.pdf.</w:t>
      </w:r>
    </w:p>
    <w:p w:rsidR="003F621D" w:rsidRPr="000C593E" w:rsidRDefault="00514886">
      <w:pPr>
        <w:rPr>
          <w:lang w:val="en-US"/>
        </w:rPr>
      </w:pPr>
      <w:r w:rsidRPr="00514886">
        <w:rPr>
          <w:lang w:val="en-US"/>
        </w:rPr>
        <w:t xml:space="preserve">Zhai, C., Wibowo, S. and Li, L. D (2024). The effects of over-reliance on AI dialogue systems on students” cognitive abilities: A systematic review. </w:t>
      </w:r>
      <w:r w:rsidRPr="00514886">
        <w:rPr>
          <w:i/>
          <w:iCs/>
          <w:lang w:val="en-US"/>
        </w:rPr>
        <w:t>Smart Learning Environments</w:t>
      </w:r>
      <w:r w:rsidRPr="00514886">
        <w:rPr>
          <w:lang w:val="en-US"/>
        </w:rPr>
        <w:t>, [online] 11(28), pp.1–37. doi:10.1186/s40561-024-00316-7.</w:t>
      </w:r>
    </w:p>
    <w:sectPr w:rsidR="003F621D" w:rsidRPr="000C593E" w:rsidSect="000E7DA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15C5" w:rsidRDefault="00FD15C5" w:rsidP="00CE2BCF">
      <w:pPr>
        <w:spacing w:after="0" w:line="240" w:lineRule="auto"/>
      </w:pPr>
      <w:r>
        <w:separator/>
      </w:r>
    </w:p>
  </w:endnote>
  <w:endnote w:type="continuationSeparator" w:id="1">
    <w:p w:rsidR="00FD15C5" w:rsidRDefault="00FD15C5" w:rsidP="00CE2B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Arial"/>
    <w:charset w:val="00"/>
    <w:family w:val="swiss"/>
    <w:pitch w:val="variable"/>
    <w:sig w:usb0="00000001"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15C5" w:rsidRDefault="00FD15C5" w:rsidP="00CE2BCF">
      <w:pPr>
        <w:spacing w:after="0" w:line="240" w:lineRule="auto"/>
      </w:pPr>
      <w:r>
        <w:separator/>
      </w:r>
    </w:p>
  </w:footnote>
  <w:footnote w:type="continuationSeparator" w:id="1">
    <w:p w:rsidR="00FD15C5" w:rsidRDefault="00FD15C5" w:rsidP="00CE2BC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D317CB"/>
    <w:rsid w:val="00007E4C"/>
    <w:rsid w:val="00037F86"/>
    <w:rsid w:val="0006493E"/>
    <w:rsid w:val="00086DF1"/>
    <w:rsid w:val="000A086C"/>
    <w:rsid w:val="000A0C64"/>
    <w:rsid w:val="000C593E"/>
    <w:rsid w:val="000E31FE"/>
    <w:rsid w:val="000E7DAE"/>
    <w:rsid w:val="00106272"/>
    <w:rsid w:val="00112726"/>
    <w:rsid w:val="00120078"/>
    <w:rsid w:val="0012618E"/>
    <w:rsid w:val="001632AB"/>
    <w:rsid w:val="00171059"/>
    <w:rsid w:val="001857D1"/>
    <w:rsid w:val="001B3016"/>
    <w:rsid w:val="00206F25"/>
    <w:rsid w:val="002247BC"/>
    <w:rsid w:val="00241229"/>
    <w:rsid w:val="0025760C"/>
    <w:rsid w:val="00257F89"/>
    <w:rsid w:val="00263E5B"/>
    <w:rsid w:val="0026514A"/>
    <w:rsid w:val="002937F9"/>
    <w:rsid w:val="002979D5"/>
    <w:rsid w:val="002B7AC5"/>
    <w:rsid w:val="002D74A2"/>
    <w:rsid w:val="002E1ABA"/>
    <w:rsid w:val="002E7F82"/>
    <w:rsid w:val="00315AB0"/>
    <w:rsid w:val="00331F66"/>
    <w:rsid w:val="003355A4"/>
    <w:rsid w:val="00364EA5"/>
    <w:rsid w:val="003A27BE"/>
    <w:rsid w:val="003A7B4D"/>
    <w:rsid w:val="003D09BD"/>
    <w:rsid w:val="003D7DB2"/>
    <w:rsid w:val="003F2D0B"/>
    <w:rsid w:val="003F621D"/>
    <w:rsid w:val="00400B0C"/>
    <w:rsid w:val="0041426F"/>
    <w:rsid w:val="0042496E"/>
    <w:rsid w:val="00425479"/>
    <w:rsid w:val="004327E5"/>
    <w:rsid w:val="00435ADF"/>
    <w:rsid w:val="00446409"/>
    <w:rsid w:val="00450FC9"/>
    <w:rsid w:val="004549AE"/>
    <w:rsid w:val="004644CA"/>
    <w:rsid w:val="00480FF4"/>
    <w:rsid w:val="004B6425"/>
    <w:rsid w:val="004B76EB"/>
    <w:rsid w:val="004C068F"/>
    <w:rsid w:val="004F1587"/>
    <w:rsid w:val="00514886"/>
    <w:rsid w:val="005743B9"/>
    <w:rsid w:val="005872DE"/>
    <w:rsid w:val="005A3602"/>
    <w:rsid w:val="005A4577"/>
    <w:rsid w:val="00610B86"/>
    <w:rsid w:val="006177DF"/>
    <w:rsid w:val="00617C21"/>
    <w:rsid w:val="006566B9"/>
    <w:rsid w:val="00657DDB"/>
    <w:rsid w:val="0066755F"/>
    <w:rsid w:val="006A2A44"/>
    <w:rsid w:val="006A6857"/>
    <w:rsid w:val="006C6A64"/>
    <w:rsid w:val="006F04ED"/>
    <w:rsid w:val="006F7A97"/>
    <w:rsid w:val="00705260"/>
    <w:rsid w:val="007111AF"/>
    <w:rsid w:val="007274AC"/>
    <w:rsid w:val="00731383"/>
    <w:rsid w:val="00737496"/>
    <w:rsid w:val="007454B5"/>
    <w:rsid w:val="00746942"/>
    <w:rsid w:val="008223D5"/>
    <w:rsid w:val="00831514"/>
    <w:rsid w:val="00854550"/>
    <w:rsid w:val="00897658"/>
    <w:rsid w:val="008A54A5"/>
    <w:rsid w:val="008B08A3"/>
    <w:rsid w:val="008C7777"/>
    <w:rsid w:val="008F18E9"/>
    <w:rsid w:val="00904FB2"/>
    <w:rsid w:val="00917D79"/>
    <w:rsid w:val="009223E0"/>
    <w:rsid w:val="009700CF"/>
    <w:rsid w:val="00976FB4"/>
    <w:rsid w:val="00982C14"/>
    <w:rsid w:val="009E61AB"/>
    <w:rsid w:val="009E6F8E"/>
    <w:rsid w:val="00A11FAE"/>
    <w:rsid w:val="00A4079A"/>
    <w:rsid w:val="00A443D3"/>
    <w:rsid w:val="00A5739E"/>
    <w:rsid w:val="00AF3C9A"/>
    <w:rsid w:val="00B27EB8"/>
    <w:rsid w:val="00B522F8"/>
    <w:rsid w:val="00B72831"/>
    <w:rsid w:val="00B73416"/>
    <w:rsid w:val="00B736C5"/>
    <w:rsid w:val="00B87665"/>
    <w:rsid w:val="00B90F2F"/>
    <w:rsid w:val="00BD297A"/>
    <w:rsid w:val="00C003CA"/>
    <w:rsid w:val="00C02F48"/>
    <w:rsid w:val="00C04FE6"/>
    <w:rsid w:val="00C2385F"/>
    <w:rsid w:val="00CE021A"/>
    <w:rsid w:val="00CE2BCF"/>
    <w:rsid w:val="00CE4E8B"/>
    <w:rsid w:val="00CF6A09"/>
    <w:rsid w:val="00D11094"/>
    <w:rsid w:val="00D12754"/>
    <w:rsid w:val="00D20F74"/>
    <w:rsid w:val="00D317CB"/>
    <w:rsid w:val="00D37841"/>
    <w:rsid w:val="00D60559"/>
    <w:rsid w:val="00D610F7"/>
    <w:rsid w:val="00D734FE"/>
    <w:rsid w:val="00D80C3F"/>
    <w:rsid w:val="00DB0C32"/>
    <w:rsid w:val="00DD6D61"/>
    <w:rsid w:val="00E16B38"/>
    <w:rsid w:val="00E17C22"/>
    <w:rsid w:val="00E45E10"/>
    <w:rsid w:val="00E5497F"/>
    <w:rsid w:val="00E60E82"/>
    <w:rsid w:val="00E84154"/>
    <w:rsid w:val="00EA1582"/>
    <w:rsid w:val="00EF1EDC"/>
    <w:rsid w:val="00EF64D2"/>
    <w:rsid w:val="00F04BC4"/>
    <w:rsid w:val="00F41C62"/>
    <w:rsid w:val="00F62159"/>
    <w:rsid w:val="00F74A3B"/>
    <w:rsid w:val="00F80A52"/>
    <w:rsid w:val="00F86058"/>
    <w:rsid w:val="00F9103E"/>
    <w:rsid w:val="00F96640"/>
    <w:rsid w:val="00FC15A1"/>
    <w:rsid w:val="00FD15C5"/>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50"/>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EA1582"/>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EA1582"/>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autoRedefine/>
    <w:uiPriority w:val="9"/>
    <w:unhideWhenUsed/>
    <w:qFormat/>
    <w:rsid w:val="00425479"/>
    <w:pPr>
      <w:keepNext/>
      <w:keepLines/>
      <w:spacing w:before="160" w:after="80"/>
      <w:outlineLvl w:val="2"/>
    </w:pPr>
    <w:rPr>
      <w:rFonts w:eastAsiaTheme="majorEastAsia" w:cstheme="majorBidi"/>
      <w:i/>
      <w:szCs w:val="28"/>
    </w:rPr>
  </w:style>
  <w:style w:type="paragraph" w:styleId="Heading4">
    <w:name w:val="heading 4"/>
    <w:basedOn w:val="Normal"/>
    <w:next w:val="Normal"/>
    <w:link w:val="Heading4Char"/>
    <w:uiPriority w:val="9"/>
    <w:semiHidden/>
    <w:unhideWhenUsed/>
    <w:qFormat/>
    <w:rsid w:val="00D317C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317C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317C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317C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317C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317C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582"/>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EA1582"/>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425479"/>
    <w:rPr>
      <w:rFonts w:ascii="Times New Roman" w:eastAsiaTheme="majorEastAsia" w:hAnsi="Times New Roman" w:cstheme="majorBidi"/>
      <w:i/>
      <w:szCs w:val="28"/>
    </w:rPr>
  </w:style>
  <w:style w:type="character" w:customStyle="1" w:styleId="Heading4Char">
    <w:name w:val="Heading 4 Char"/>
    <w:basedOn w:val="DefaultParagraphFont"/>
    <w:link w:val="Heading4"/>
    <w:uiPriority w:val="9"/>
    <w:semiHidden/>
    <w:rsid w:val="00D317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17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17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17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17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17CB"/>
    <w:rPr>
      <w:rFonts w:eastAsiaTheme="majorEastAsia" w:cstheme="majorBidi"/>
      <w:color w:val="272727" w:themeColor="text1" w:themeTint="D8"/>
    </w:rPr>
  </w:style>
  <w:style w:type="paragraph" w:styleId="Title">
    <w:name w:val="Title"/>
    <w:basedOn w:val="Normal"/>
    <w:next w:val="Normal"/>
    <w:link w:val="TitleChar"/>
    <w:uiPriority w:val="10"/>
    <w:qFormat/>
    <w:rsid w:val="00D317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17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17C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17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17CB"/>
    <w:pPr>
      <w:spacing w:before="160"/>
      <w:jc w:val="center"/>
    </w:pPr>
    <w:rPr>
      <w:i/>
      <w:iCs/>
      <w:color w:val="404040" w:themeColor="text1" w:themeTint="BF"/>
    </w:rPr>
  </w:style>
  <w:style w:type="character" w:customStyle="1" w:styleId="QuoteChar">
    <w:name w:val="Quote Char"/>
    <w:basedOn w:val="DefaultParagraphFont"/>
    <w:link w:val="Quote"/>
    <w:uiPriority w:val="29"/>
    <w:rsid w:val="00D317CB"/>
    <w:rPr>
      <w:rFonts w:ascii="Times New Roman" w:hAnsi="Times New Roman"/>
      <w:i/>
      <w:iCs/>
      <w:color w:val="404040" w:themeColor="text1" w:themeTint="BF"/>
    </w:rPr>
  </w:style>
  <w:style w:type="paragraph" w:styleId="ListParagraph">
    <w:name w:val="List Paragraph"/>
    <w:basedOn w:val="Normal"/>
    <w:uiPriority w:val="34"/>
    <w:qFormat/>
    <w:rsid w:val="00D317CB"/>
    <w:pPr>
      <w:ind w:left="720"/>
      <w:contextualSpacing/>
    </w:pPr>
  </w:style>
  <w:style w:type="character" w:styleId="IntenseEmphasis">
    <w:name w:val="Intense Emphasis"/>
    <w:basedOn w:val="DefaultParagraphFont"/>
    <w:uiPriority w:val="21"/>
    <w:qFormat/>
    <w:rsid w:val="00D317CB"/>
    <w:rPr>
      <w:i/>
      <w:iCs/>
      <w:color w:val="0F4761" w:themeColor="accent1" w:themeShade="BF"/>
    </w:rPr>
  </w:style>
  <w:style w:type="paragraph" w:styleId="IntenseQuote">
    <w:name w:val="Intense Quote"/>
    <w:basedOn w:val="Normal"/>
    <w:next w:val="Normal"/>
    <w:link w:val="IntenseQuoteChar"/>
    <w:uiPriority w:val="30"/>
    <w:qFormat/>
    <w:rsid w:val="00D317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17CB"/>
    <w:rPr>
      <w:rFonts w:ascii="Times New Roman" w:hAnsi="Times New Roman"/>
      <w:i/>
      <w:iCs/>
      <w:color w:val="0F4761" w:themeColor="accent1" w:themeShade="BF"/>
    </w:rPr>
  </w:style>
  <w:style w:type="character" w:styleId="IntenseReference">
    <w:name w:val="Intense Reference"/>
    <w:basedOn w:val="DefaultParagraphFont"/>
    <w:uiPriority w:val="32"/>
    <w:qFormat/>
    <w:rsid w:val="00D317CB"/>
    <w:rPr>
      <w:b/>
      <w:bCs/>
      <w:smallCaps/>
      <w:color w:val="0F4761" w:themeColor="accent1" w:themeShade="BF"/>
      <w:spacing w:val="5"/>
    </w:rPr>
  </w:style>
  <w:style w:type="paragraph" w:styleId="TOCHeading">
    <w:name w:val="TOC Heading"/>
    <w:basedOn w:val="Heading1"/>
    <w:next w:val="Normal"/>
    <w:uiPriority w:val="39"/>
    <w:unhideWhenUsed/>
    <w:qFormat/>
    <w:rsid w:val="00CE021A"/>
    <w:pPr>
      <w:spacing w:before="240" w:after="0" w:line="259" w:lineRule="auto"/>
      <w:jc w:val="left"/>
      <w:outlineLvl w:val="9"/>
    </w:pPr>
    <w:rPr>
      <w:rFonts w:asciiTheme="majorHAnsi" w:hAnsiTheme="majorHAnsi"/>
      <w:b w:val="0"/>
      <w:color w:val="0F4761" w:themeColor="accent1" w:themeShade="BF"/>
      <w:kern w:val="0"/>
      <w:sz w:val="32"/>
      <w:szCs w:val="32"/>
    </w:rPr>
  </w:style>
  <w:style w:type="paragraph" w:styleId="TOC1">
    <w:name w:val="toc 1"/>
    <w:basedOn w:val="Normal"/>
    <w:next w:val="Normal"/>
    <w:autoRedefine/>
    <w:uiPriority w:val="39"/>
    <w:unhideWhenUsed/>
    <w:rsid w:val="00CE021A"/>
    <w:pPr>
      <w:spacing w:after="100"/>
    </w:pPr>
  </w:style>
  <w:style w:type="paragraph" w:styleId="TOC2">
    <w:name w:val="toc 2"/>
    <w:basedOn w:val="Normal"/>
    <w:next w:val="Normal"/>
    <w:autoRedefine/>
    <w:uiPriority w:val="39"/>
    <w:unhideWhenUsed/>
    <w:rsid w:val="00CE021A"/>
    <w:pPr>
      <w:spacing w:after="100"/>
      <w:ind w:left="240"/>
    </w:pPr>
  </w:style>
  <w:style w:type="character" w:styleId="Hyperlink">
    <w:name w:val="Hyperlink"/>
    <w:basedOn w:val="DefaultParagraphFont"/>
    <w:uiPriority w:val="99"/>
    <w:unhideWhenUsed/>
    <w:rsid w:val="00CE021A"/>
    <w:rPr>
      <w:color w:val="467886" w:themeColor="hyperlink"/>
      <w:u w:val="single"/>
    </w:rPr>
  </w:style>
  <w:style w:type="paragraph" w:styleId="Caption">
    <w:name w:val="caption"/>
    <w:basedOn w:val="Normal"/>
    <w:next w:val="Normal"/>
    <w:uiPriority w:val="35"/>
    <w:unhideWhenUsed/>
    <w:qFormat/>
    <w:rsid w:val="006C6A64"/>
    <w:pPr>
      <w:spacing w:after="200" w:line="240" w:lineRule="auto"/>
    </w:pPr>
    <w:rPr>
      <w:i/>
      <w:iCs/>
      <w:color w:val="0E2841" w:themeColor="text2"/>
      <w:sz w:val="18"/>
      <w:szCs w:val="18"/>
    </w:rPr>
  </w:style>
  <w:style w:type="paragraph" w:styleId="Header">
    <w:name w:val="header"/>
    <w:basedOn w:val="Normal"/>
    <w:link w:val="HeaderChar"/>
    <w:uiPriority w:val="99"/>
    <w:unhideWhenUsed/>
    <w:rsid w:val="00CE2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2BCF"/>
    <w:rPr>
      <w:rFonts w:ascii="Arial" w:hAnsi="Arial"/>
      <w:lang w:val="en-GB"/>
    </w:rPr>
  </w:style>
  <w:style w:type="paragraph" w:styleId="Footer">
    <w:name w:val="footer"/>
    <w:basedOn w:val="Normal"/>
    <w:link w:val="FooterChar"/>
    <w:uiPriority w:val="99"/>
    <w:unhideWhenUsed/>
    <w:rsid w:val="00CE2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BCF"/>
    <w:rPr>
      <w:rFonts w:ascii="Arial" w:hAnsi="Arial"/>
      <w:lang w:val="en-GB"/>
    </w:rPr>
  </w:style>
  <w:style w:type="paragraph" w:styleId="BalloonText">
    <w:name w:val="Balloon Text"/>
    <w:basedOn w:val="Normal"/>
    <w:link w:val="BalloonTextChar"/>
    <w:uiPriority w:val="99"/>
    <w:semiHidden/>
    <w:unhideWhenUsed/>
    <w:rsid w:val="001632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32A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C5329-5D7B-40AF-8686-029F81AB8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7824</Words>
  <Characters>44603</Characters>
  <Application>Microsoft Office Word</Application>
  <DocSecurity>0</DocSecurity>
  <Lines>371</Lines>
  <Paragraphs>104</Paragraphs>
  <ScaleCrop>false</ScaleCrop>
  <LinksUpToDate>false</LinksUpToDate>
  <CharactersWithSpaces>52323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2026-08-12T14:28:00Z</dcterms:created>
  <dcterms:modified xsi:type="dcterms:W3CDTF">2026-08-13T12:04:00Z</dcterms:modified>
</cp:coreProperties>
</file>