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8757765" w14:textId="77777777" w:rsidR="004C49A6" w:rsidRPr="005E57D1" w:rsidRDefault="004C49A6" w:rsidP="004C49A6">
      <w:pPr>
        <w:rPr>
          <w:rFonts w:ascii="Arial" w:hAnsi="Arial" w:cs="Arial"/>
          <w:sz w:val="24"/>
        </w:rPr>
      </w:pPr>
      <w:bookmarkStart w:id="0" w:name="_Toc150346643"/>
      <w:r w:rsidRPr="005E57D1">
        <w:rPr>
          <w:rFonts w:ascii="Arial" w:hAnsi="Arial" w:cs="Arial"/>
          <w:noProof/>
          <w:sz w:val="24"/>
        </w:rPr>
        <w:drawing>
          <wp:anchor distT="0" distB="0" distL="114300" distR="114300" simplePos="0" relativeHeight="251659264" behindDoc="0" locked="0" layoutInCell="1" allowOverlap="1" wp14:anchorId="13A6E33D" wp14:editId="04684B0B">
            <wp:simplePos x="0" y="0"/>
            <wp:positionH relativeFrom="margin">
              <wp:align>center</wp:align>
            </wp:positionH>
            <wp:positionV relativeFrom="paragraph">
              <wp:posOffset>76200</wp:posOffset>
            </wp:positionV>
            <wp:extent cx="4160520" cy="1955800"/>
            <wp:effectExtent l="0" t="0" r="0" b="6350"/>
            <wp:wrapSquare wrapText="bothSides"/>
            <wp:docPr id="1806879853"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ext&#10;&#10;Description automatically generated"/>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4160520" cy="1955800"/>
                    </a:xfrm>
                    <a:prstGeom prst="rect">
                      <a:avLst/>
                    </a:prstGeom>
                    <a:noFill/>
                  </pic:spPr>
                </pic:pic>
              </a:graphicData>
            </a:graphic>
            <wp14:sizeRelH relativeFrom="page">
              <wp14:pctWidth>0</wp14:pctWidth>
            </wp14:sizeRelH>
            <wp14:sizeRelV relativeFrom="page">
              <wp14:pctHeight>0</wp14:pctHeight>
            </wp14:sizeRelV>
          </wp:anchor>
        </w:drawing>
      </w:r>
      <w:r w:rsidRPr="005E57D1">
        <w:rPr>
          <w:rFonts w:ascii="Arial" w:hAnsi="Arial" w:cs="Arial"/>
          <w:sz w:val="24"/>
        </w:rPr>
        <w:br w:type="textWrapping" w:clear="all"/>
      </w:r>
    </w:p>
    <w:p w14:paraId="0D72294C" w14:textId="5D8771FD" w:rsidR="004C49A6" w:rsidRPr="005E57D1" w:rsidRDefault="004C49A6" w:rsidP="004C49A6">
      <w:pPr>
        <w:jc w:val="center"/>
        <w:rPr>
          <w:rFonts w:ascii="Arial" w:hAnsi="Arial" w:cs="Arial"/>
          <w:sz w:val="24"/>
        </w:rPr>
      </w:pPr>
      <w:r w:rsidRPr="005E57D1">
        <w:rPr>
          <w:rFonts w:ascii="Arial" w:hAnsi="Arial" w:cs="Arial"/>
          <w:sz w:val="24"/>
        </w:rPr>
        <w:t xml:space="preserve">Title of report: Assessment </w:t>
      </w:r>
      <w:r w:rsidR="00E95C5C">
        <w:rPr>
          <w:rFonts w:ascii="Arial" w:hAnsi="Arial" w:cs="Arial"/>
          <w:sz w:val="24"/>
        </w:rPr>
        <w:t>2</w:t>
      </w:r>
    </w:p>
    <w:p w14:paraId="6FA706A6" w14:textId="77777777" w:rsidR="004C49A6" w:rsidRPr="005E57D1" w:rsidRDefault="004C49A6" w:rsidP="004C49A6">
      <w:pPr>
        <w:pStyle w:val="Default"/>
        <w:spacing w:line="360" w:lineRule="auto"/>
        <w:jc w:val="center"/>
      </w:pPr>
    </w:p>
    <w:p w14:paraId="75B6F76D" w14:textId="77777777" w:rsidR="004C49A6" w:rsidRPr="005E57D1" w:rsidRDefault="004C49A6" w:rsidP="004C49A6">
      <w:pPr>
        <w:pStyle w:val="Default"/>
        <w:spacing w:line="360" w:lineRule="auto"/>
        <w:jc w:val="center"/>
      </w:pPr>
      <w:r w:rsidRPr="005E57D1">
        <w:t>Course: BA Business Management</w:t>
      </w:r>
    </w:p>
    <w:p w14:paraId="073F0ACF" w14:textId="77777777" w:rsidR="004C49A6" w:rsidRPr="005E57D1" w:rsidRDefault="004C49A6" w:rsidP="004C49A6">
      <w:pPr>
        <w:pStyle w:val="Default"/>
        <w:spacing w:line="360" w:lineRule="auto"/>
        <w:jc w:val="center"/>
      </w:pPr>
    </w:p>
    <w:p w14:paraId="188E6491" w14:textId="77777777" w:rsidR="004C49A6" w:rsidRPr="005E57D1" w:rsidRDefault="004C49A6" w:rsidP="004C49A6">
      <w:pPr>
        <w:pStyle w:val="Default"/>
        <w:spacing w:line="360" w:lineRule="auto"/>
        <w:jc w:val="center"/>
      </w:pPr>
      <w:r w:rsidRPr="005E57D1">
        <w:t xml:space="preserve">Module name: </w:t>
      </w:r>
      <w:r w:rsidRPr="00992655">
        <w:t>Project Management</w:t>
      </w:r>
    </w:p>
    <w:p w14:paraId="29B4DF73" w14:textId="77777777" w:rsidR="004C49A6" w:rsidRPr="005E57D1" w:rsidRDefault="004C49A6" w:rsidP="004C49A6">
      <w:pPr>
        <w:pStyle w:val="Default"/>
        <w:spacing w:line="360" w:lineRule="auto"/>
        <w:jc w:val="center"/>
      </w:pPr>
    </w:p>
    <w:p w14:paraId="1AED1147" w14:textId="77777777" w:rsidR="004C49A6" w:rsidRPr="005E57D1" w:rsidRDefault="004C49A6" w:rsidP="004C49A6">
      <w:pPr>
        <w:pStyle w:val="Default"/>
        <w:spacing w:line="360" w:lineRule="auto"/>
        <w:jc w:val="center"/>
      </w:pPr>
      <w:r w:rsidRPr="005E57D1">
        <w:t>Module Code: LCBB500</w:t>
      </w:r>
      <w:r>
        <w:t>5</w:t>
      </w:r>
    </w:p>
    <w:p w14:paraId="13BC83BF" w14:textId="77777777" w:rsidR="004C49A6" w:rsidRPr="005E57D1" w:rsidRDefault="004C49A6" w:rsidP="004C49A6">
      <w:pPr>
        <w:pStyle w:val="Default"/>
        <w:spacing w:line="360" w:lineRule="auto"/>
        <w:jc w:val="center"/>
      </w:pPr>
    </w:p>
    <w:p w14:paraId="4216FDA5" w14:textId="77777777" w:rsidR="004C49A6" w:rsidRPr="005E57D1" w:rsidRDefault="004C49A6" w:rsidP="004C49A6">
      <w:pPr>
        <w:pStyle w:val="Default"/>
        <w:spacing w:line="360" w:lineRule="auto"/>
        <w:jc w:val="center"/>
      </w:pPr>
      <w:r w:rsidRPr="005E57D1">
        <w:t xml:space="preserve">Lecturer name: </w:t>
      </w:r>
      <w:r w:rsidRPr="00992655">
        <w:t>Sadeque Shaikh</w:t>
      </w:r>
    </w:p>
    <w:p w14:paraId="070D72D2" w14:textId="77777777" w:rsidR="004C49A6" w:rsidRPr="005E57D1" w:rsidRDefault="004C49A6" w:rsidP="004C49A6">
      <w:pPr>
        <w:pStyle w:val="Default"/>
        <w:spacing w:line="360" w:lineRule="auto"/>
      </w:pPr>
    </w:p>
    <w:p w14:paraId="29FA8788" w14:textId="77777777" w:rsidR="004C49A6" w:rsidRPr="005E57D1" w:rsidRDefault="004C49A6" w:rsidP="004C49A6">
      <w:pPr>
        <w:pStyle w:val="Default"/>
        <w:spacing w:line="360" w:lineRule="auto"/>
        <w:jc w:val="center"/>
      </w:pPr>
      <w:r w:rsidRPr="005E57D1">
        <w:t>Student name: Krasimir Iliev</w:t>
      </w:r>
    </w:p>
    <w:p w14:paraId="0B2E2A73" w14:textId="77777777" w:rsidR="004C49A6" w:rsidRPr="005E57D1" w:rsidRDefault="004C49A6" w:rsidP="004C49A6">
      <w:pPr>
        <w:pStyle w:val="Default"/>
        <w:spacing w:line="360" w:lineRule="auto"/>
        <w:jc w:val="center"/>
      </w:pPr>
    </w:p>
    <w:p w14:paraId="051F408B" w14:textId="77777777" w:rsidR="004C49A6" w:rsidRPr="005E57D1" w:rsidRDefault="004C49A6" w:rsidP="004C49A6">
      <w:pPr>
        <w:pStyle w:val="Default"/>
        <w:spacing w:line="360" w:lineRule="auto"/>
        <w:jc w:val="center"/>
      </w:pPr>
      <w:r w:rsidRPr="005E57D1">
        <w:t>Student ID: 2123464</w:t>
      </w:r>
    </w:p>
    <w:p w14:paraId="1AFBC1E8" w14:textId="77777777" w:rsidR="004C49A6" w:rsidRPr="005E57D1" w:rsidRDefault="004C49A6" w:rsidP="004C49A6">
      <w:pPr>
        <w:pStyle w:val="Default"/>
        <w:spacing w:line="360" w:lineRule="auto"/>
        <w:jc w:val="center"/>
      </w:pPr>
    </w:p>
    <w:p w14:paraId="474A979B" w14:textId="4A6A7B7F" w:rsidR="004C49A6" w:rsidRPr="005E57D1" w:rsidRDefault="004C49A6" w:rsidP="004C49A6">
      <w:pPr>
        <w:pStyle w:val="Default"/>
        <w:spacing w:line="360" w:lineRule="auto"/>
        <w:jc w:val="center"/>
      </w:pPr>
      <w:r w:rsidRPr="005E57D1">
        <w:t>Submission Date: 03/</w:t>
      </w:r>
      <w:r>
        <w:t>01</w:t>
      </w:r>
      <w:r w:rsidRPr="005E57D1">
        <w:t>/202</w:t>
      </w:r>
      <w:r>
        <w:t>4</w:t>
      </w:r>
    </w:p>
    <w:p w14:paraId="58AB2348" w14:textId="77777777" w:rsidR="004C49A6" w:rsidRDefault="004C49A6" w:rsidP="009C1E5C">
      <w:pPr>
        <w:pStyle w:val="Heading1"/>
        <w:spacing w:line="360" w:lineRule="auto"/>
        <w:jc w:val="both"/>
        <w:rPr>
          <w:rFonts w:ascii="Arial" w:hAnsi="Arial" w:cs="Arial"/>
          <w:color w:val="auto"/>
          <w:sz w:val="24"/>
          <w:szCs w:val="24"/>
        </w:rPr>
      </w:pPr>
    </w:p>
    <w:p w14:paraId="60D7B50F" w14:textId="77777777" w:rsidR="004C49A6" w:rsidRDefault="004C49A6" w:rsidP="004C49A6"/>
    <w:p w14:paraId="04B21EC1" w14:textId="77777777" w:rsidR="004C49A6" w:rsidRPr="004C49A6" w:rsidRDefault="004C49A6" w:rsidP="004C49A6"/>
    <w:p w14:paraId="59122DBB" w14:textId="55271DB2" w:rsidR="009C1E5C" w:rsidRPr="009C1E5C" w:rsidRDefault="009C1E5C" w:rsidP="009C1E5C">
      <w:pPr>
        <w:pStyle w:val="Heading1"/>
        <w:spacing w:line="360" w:lineRule="auto"/>
        <w:jc w:val="both"/>
        <w:rPr>
          <w:rFonts w:ascii="Arial" w:hAnsi="Arial" w:cs="Arial"/>
          <w:color w:val="auto"/>
          <w:sz w:val="24"/>
          <w:szCs w:val="24"/>
        </w:rPr>
      </w:pPr>
      <w:r w:rsidRPr="009C1E5C">
        <w:rPr>
          <w:rFonts w:ascii="Arial" w:hAnsi="Arial" w:cs="Arial"/>
          <w:color w:val="auto"/>
          <w:sz w:val="24"/>
          <w:szCs w:val="24"/>
        </w:rPr>
        <w:lastRenderedPageBreak/>
        <w:t>Introduction</w:t>
      </w:r>
      <w:bookmarkEnd w:id="0"/>
    </w:p>
    <w:p w14:paraId="297134F4" w14:textId="77777777" w:rsidR="009C1E5C" w:rsidRPr="009C1E5C" w:rsidRDefault="009C1E5C" w:rsidP="009C1E5C">
      <w:pPr>
        <w:spacing w:line="360" w:lineRule="auto"/>
        <w:jc w:val="both"/>
        <w:rPr>
          <w:rFonts w:ascii="Arial" w:hAnsi="Arial" w:cs="Arial"/>
          <w:sz w:val="24"/>
          <w:szCs w:val="24"/>
        </w:rPr>
      </w:pPr>
      <w:r w:rsidRPr="009C1E5C">
        <w:rPr>
          <w:rFonts w:ascii="Arial" w:hAnsi="Arial" w:cs="Arial"/>
          <w:sz w:val="24"/>
          <w:szCs w:val="24"/>
        </w:rPr>
        <w:t>Amidst a period marked by swift technical progress and an increasing focus on sustainability and community involvement, the Google KGX1 project located in King's Cross, London, represents a noteworthy achievement in the corporate realm. It captures Google's commitment to creativity, environmental awareness, and building strong ties with the neighbourhood (Willumsen et al., 2019). The goal of this analysis is to offer a thorough assessment of the project's possible influence on the development of the UK IT industry going forward.</w:t>
      </w:r>
    </w:p>
    <w:p w14:paraId="77093C32" w14:textId="77777777" w:rsidR="009C1E5C" w:rsidRPr="009C1E5C" w:rsidRDefault="009C1E5C" w:rsidP="009C1E5C">
      <w:pPr>
        <w:spacing w:line="360" w:lineRule="auto"/>
        <w:jc w:val="both"/>
        <w:rPr>
          <w:rFonts w:ascii="Arial" w:hAnsi="Arial" w:cs="Arial"/>
          <w:sz w:val="24"/>
          <w:szCs w:val="24"/>
        </w:rPr>
      </w:pPr>
      <w:r w:rsidRPr="009C1E5C">
        <w:rPr>
          <w:rFonts w:ascii="Arial" w:hAnsi="Arial" w:cs="Arial"/>
          <w:sz w:val="24"/>
          <w:szCs w:val="24"/>
        </w:rPr>
        <w:t>An organized methodology will be used for the assessment, starting with a critical evaluation of the KGX1 project's performance about several important criteria, such as innovation, economic effect, community involvement, timely completion, and regulatory compliance. The project's lessons will be examined, with an emphasis on stakeholder participation, budget transparency, risk management, sustainability, and community integration.</w:t>
      </w:r>
    </w:p>
    <w:p w14:paraId="385735E9" w14:textId="77777777" w:rsidR="009C1E5C" w:rsidRPr="009C1E5C" w:rsidRDefault="009C1E5C" w:rsidP="009C1E5C">
      <w:pPr>
        <w:spacing w:line="360" w:lineRule="auto"/>
        <w:jc w:val="both"/>
        <w:rPr>
          <w:rFonts w:ascii="Arial" w:hAnsi="Arial" w:cs="Arial"/>
          <w:sz w:val="24"/>
          <w:szCs w:val="24"/>
        </w:rPr>
      </w:pPr>
      <w:r w:rsidRPr="009C1E5C">
        <w:rPr>
          <w:rFonts w:ascii="Arial" w:hAnsi="Arial" w:cs="Arial"/>
          <w:sz w:val="24"/>
          <w:szCs w:val="24"/>
        </w:rPr>
        <w:t>Additionally, the evaluation will result in a collection of suggestions that are specifically designed for IT projects going forward as well as for any industry looking to imitate the successes and lessen the difficulties encountered by the KGX1 project. The aim is to provide actionable insights that can guide organizations in creating innovative, sustainable, and community-oriented projects, thereby contributing to the evolving landscape of the IT sector and the broader business world.</w:t>
      </w:r>
    </w:p>
    <w:p w14:paraId="04BC0D48" w14:textId="77777777" w:rsidR="009C1E5C" w:rsidRPr="009C1E5C" w:rsidRDefault="009C1E5C" w:rsidP="009C1E5C">
      <w:pPr>
        <w:pStyle w:val="Heading1"/>
        <w:spacing w:line="360" w:lineRule="auto"/>
        <w:jc w:val="both"/>
        <w:rPr>
          <w:rFonts w:ascii="Arial" w:hAnsi="Arial" w:cs="Arial"/>
          <w:color w:val="auto"/>
          <w:sz w:val="24"/>
          <w:szCs w:val="24"/>
        </w:rPr>
      </w:pPr>
      <w:bookmarkStart w:id="1" w:name="_Toc150346644"/>
      <w:r w:rsidRPr="009C1E5C">
        <w:rPr>
          <w:rFonts w:ascii="Arial" w:hAnsi="Arial" w:cs="Arial"/>
          <w:color w:val="auto"/>
          <w:sz w:val="24"/>
          <w:szCs w:val="24"/>
        </w:rPr>
        <w:t>The Body</w:t>
      </w:r>
      <w:bookmarkEnd w:id="1"/>
    </w:p>
    <w:p w14:paraId="3D562A45" w14:textId="77777777" w:rsidR="009C1E5C" w:rsidRPr="009C1E5C" w:rsidRDefault="009C1E5C" w:rsidP="009C1E5C">
      <w:pPr>
        <w:spacing w:line="360" w:lineRule="auto"/>
        <w:jc w:val="both"/>
        <w:rPr>
          <w:rFonts w:ascii="Arial" w:hAnsi="Arial" w:cs="Arial"/>
          <w:iCs/>
          <w:sz w:val="24"/>
          <w:szCs w:val="24"/>
        </w:rPr>
      </w:pPr>
      <w:r w:rsidRPr="009C1E5C">
        <w:rPr>
          <w:rFonts w:ascii="Arial" w:hAnsi="Arial" w:cs="Arial"/>
          <w:b/>
          <w:bCs/>
          <w:iCs/>
          <w:sz w:val="24"/>
          <w:szCs w:val="24"/>
        </w:rPr>
        <w:t>1. Project Success or Failure</w:t>
      </w:r>
    </w:p>
    <w:p w14:paraId="2DA06BDD" w14:textId="77777777" w:rsidR="009C1E5C" w:rsidRPr="009C1E5C" w:rsidRDefault="009C1E5C" w:rsidP="009C1E5C">
      <w:pPr>
        <w:spacing w:line="360" w:lineRule="auto"/>
        <w:jc w:val="both"/>
        <w:rPr>
          <w:rFonts w:ascii="Arial" w:hAnsi="Arial" w:cs="Arial"/>
          <w:iCs/>
          <w:sz w:val="24"/>
          <w:szCs w:val="24"/>
        </w:rPr>
      </w:pPr>
      <w:r w:rsidRPr="009C1E5C">
        <w:rPr>
          <w:rFonts w:ascii="Arial" w:hAnsi="Arial" w:cs="Arial"/>
          <w:iCs/>
          <w:sz w:val="24"/>
          <w:szCs w:val="24"/>
        </w:rPr>
        <w:t>The KGX1 project in King's Cross, London, serves as a significant investment in the creation of an innovative and sustainable headquarters for Google. The UK's IT industry's future may be significantly impacted by its success or failure. This section evaluates the project's potential impact in various critical areas:</w:t>
      </w:r>
    </w:p>
    <w:p w14:paraId="7E56CC1B" w14:textId="77777777" w:rsidR="009C1E5C" w:rsidRPr="009C1E5C" w:rsidRDefault="009C1E5C" w:rsidP="009C1E5C">
      <w:pPr>
        <w:spacing w:line="360" w:lineRule="auto"/>
        <w:jc w:val="both"/>
        <w:rPr>
          <w:rFonts w:ascii="Arial" w:hAnsi="Arial" w:cs="Arial"/>
          <w:iCs/>
          <w:sz w:val="24"/>
          <w:szCs w:val="24"/>
        </w:rPr>
      </w:pPr>
      <w:r w:rsidRPr="009C1E5C">
        <w:rPr>
          <w:rFonts w:ascii="Arial" w:hAnsi="Arial" w:cs="Arial"/>
          <w:b/>
          <w:bCs/>
          <w:iCs/>
          <w:sz w:val="24"/>
          <w:szCs w:val="24"/>
        </w:rPr>
        <w:t>a. Innovation and Sustainability</w:t>
      </w:r>
    </w:p>
    <w:p w14:paraId="62E12B4E" w14:textId="77777777" w:rsidR="009C1E5C" w:rsidRPr="009C1E5C" w:rsidRDefault="009C1E5C" w:rsidP="009C1E5C">
      <w:pPr>
        <w:spacing w:line="360" w:lineRule="auto"/>
        <w:jc w:val="both"/>
        <w:rPr>
          <w:rFonts w:ascii="Arial" w:hAnsi="Arial" w:cs="Arial"/>
          <w:iCs/>
          <w:sz w:val="24"/>
          <w:szCs w:val="24"/>
        </w:rPr>
      </w:pPr>
      <w:r w:rsidRPr="009C1E5C">
        <w:rPr>
          <w:rFonts w:ascii="Arial" w:hAnsi="Arial" w:cs="Arial"/>
          <w:b/>
          <w:iCs/>
          <w:sz w:val="24"/>
          <w:szCs w:val="24"/>
        </w:rPr>
        <w:lastRenderedPageBreak/>
        <w:t>Success:</w:t>
      </w:r>
      <w:r w:rsidRPr="009C1E5C">
        <w:rPr>
          <w:rFonts w:ascii="Arial" w:hAnsi="Arial" w:cs="Arial"/>
          <w:iCs/>
          <w:sz w:val="24"/>
          <w:szCs w:val="24"/>
        </w:rPr>
        <w:t xml:space="preserve"> The KGX1 project aligns perfectly with Google's commitment to innovation and environmental consciousness. With its distinctive wedge-shaped design and the utilization of timber, steel, and glass, the building itself is an innovation. The focus on eco-friendly design principles and the goal of achieving LEED 'Gold' and BREEAM 'Excellent' environmental certifications demonstrate a strong commitment to sustainability </w:t>
      </w:r>
      <w:r w:rsidRPr="009C1E5C">
        <w:rPr>
          <w:rFonts w:ascii="Arial" w:hAnsi="Arial" w:cs="Arial"/>
          <w:sz w:val="24"/>
          <w:szCs w:val="24"/>
        </w:rPr>
        <w:t>(Taws, 2019)</w:t>
      </w:r>
      <w:r w:rsidRPr="009C1E5C">
        <w:rPr>
          <w:rFonts w:ascii="Arial" w:hAnsi="Arial" w:cs="Arial"/>
          <w:iCs/>
          <w:sz w:val="24"/>
          <w:szCs w:val="24"/>
        </w:rPr>
        <w:t>.</w:t>
      </w:r>
    </w:p>
    <w:p w14:paraId="73474725" w14:textId="77777777" w:rsidR="009C1E5C" w:rsidRPr="009C1E5C" w:rsidRDefault="009C1E5C" w:rsidP="009C1E5C">
      <w:pPr>
        <w:spacing w:line="360" w:lineRule="auto"/>
        <w:jc w:val="both"/>
        <w:rPr>
          <w:rFonts w:ascii="Arial" w:hAnsi="Arial" w:cs="Arial"/>
          <w:iCs/>
          <w:sz w:val="24"/>
          <w:szCs w:val="24"/>
        </w:rPr>
      </w:pPr>
      <w:r w:rsidRPr="009C1E5C">
        <w:rPr>
          <w:rFonts w:ascii="Arial" w:hAnsi="Arial" w:cs="Arial"/>
          <w:iCs/>
          <w:sz w:val="24"/>
          <w:szCs w:val="24"/>
        </w:rPr>
        <w:t>In the context of the IT sector, KGX1 sets a high standard for eco-conscious workplace design. This project can serve as an inspiring example for other IT companies looking to create environmentally friendly and forward-thinking workspaces. The industry's carbon footprint can be decreased and sustainable practices can be encouraged by using eco-friendly materials, energy-efficient technologies, and ethical material sourcing. The future of the IT industry in the UK depends on KGX1's performance in this area, as environmental responsibility gains importance (Silvius and Schipper, 2019).</w:t>
      </w:r>
    </w:p>
    <w:p w14:paraId="1081414B" w14:textId="77777777" w:rsidR="009C1E5C" w:rsidRPr="009C1E5C" w:rsidRDefault="009C1E5C" w:rsidP="009C1E5C">
      <w:pPr>
        <w:spacing w:line="360" w:lineRule="auto"/>
        <w:jc w:val="both"/>
        <w:rPr>
          <w:rFonts w:ascii="Arial" w:hAnsi="Arial" w:cs="Arial"/>
          <w:iCs/>
          <w:sz w:val="24"/>
          <w:szCs w:val="24"/>
        </w:rPr>
      </w:pPr>
      <w:r w:rsidRPr="009C1E5C">
        <w:rPr>
          <w:rFonts w:ascii="Arial" w:hAnsi="Arial" w:cs="Arial"/>
          <w:b/>
          <w:bCs/>
          <w:iCs/>
          <w:sz w:val="24"/>
          <w:szCs w:val="24"/>
        </w:rPr>
        <w:t>b. Economic Impact</w:t>
      </w:r>
    </w:p>
    <w:p w14:paraId="49B28E9F" w14:textId="77777777" w:rsidR="009C1E5C" w:rsidRPr="009C1E5C" w:rsidRDefault="009C1E5C" w:rsidP="009C1E5C">
      <w:pPr>
        <w:spacing w:line="360" w:lineRule="auto"/>
        <w:jc w:val="both"/>
        <w:rPr>
          <w:rFonts w:ascii="Arial" w:hAnsi="Arial" w:cs="Arial"/>
          <w:iCs/>
          <w:sz w:val="24"/>
          <w:szCs w:val="24"/>
        </w:rPr>
      </w:pPr>
      <w:r w:rsidRPr="009C1E5C">
        <w:rPr>
          <w:rFonts w:ascii="Arial" w:hAnsi="Arial" w:cs="Arial"/>
          <w:b/>
          <w:iCs/>
          <w:sz w:val="24"/>
          <w:szCs w:val="24"/>
        </w:rPr>
        <w:t>Potential Success:</w:t>
      </w:r>
      <w:r w:rsidRPr="009C1E5C">
        <w:rPr>
          <w:rFonts w:ascii="Arial" w:hAnsi="Arial" w:cs="Arial"/>
          <w:iCs/>
          <w:sz w:val="24"/>
          <w:szCs w:val="24"/>
        </w:rPr>
        <w:t xml:space="preserve"> Supporting King's Cross's knowledge-based economy's growth is one of the project's main goals. If KGX1 successfully achieves this goal by creating jobs, attracting talent, and contributing to the local economy, it will be a significant success for the IT sector in the UK.</w:t>
      </w:r>
    </w:p>
    <w:p w14:paraId="62164253" w14:textId="77777777" w:rsidR="009C1E5C" w:rsidRPr="009C1E5C" w:rsidRDefault="009C1E5C" w:rsidP="009C1E5C">
      <w:pPr>
        <w:spacing w:line="360" w:lineRule="auto"/>
        <w:jc w:val="both"/>
        <w:rPr>
          <w:rFonts w:ascii="Arial" w:hAnsi="Arial" w:cs="Arial"/>
          <w:iCs/>
          <w:sz w:val="24"/>
          <w:szCs w:val="24"/>
        </w:rPr>
      </w:pPr>
      <w:r w:rsidRPr="009C1E5C">
        <w:rPr>
          <w:rFonts w:ascii="Arial" w:hAnsi="Arial" w:cs="Arial"/>
          <w:iCs/>
          <w:sz w:val="24"/>
          <w:szCs w:val="24"/>
        </w:rPr>
        <w:t xml:space="preserve">Similar to many other nations, the UK's IT industry plays a major role in boosting economic expansion. Governments have made the growth of innovation hubs and technology clusters a strategic priority, and initiatives like KGX1 can be essential to achieving this goal. The economic impact of KGX1 can resonate beyond Google itself, potentially creating a ripple effect by attracting other tech companies to the area. A thriving technology ecosystem can lead to job creation, knowledge sharing, and economic growth, positioning the IT sector for a prosperous future </w:t>
      </w:r>
      <w:r w:rsidRPr="009C1E5C">
        <w:rPr>
          <w:rFonts w:ascii="Arial" w:hAnsi="Arial" w:cs="Arial"/>
          <w:sz w:val="24"/>
          <w:szCs w:val="24"/>
        </w:rPr>
        <w:t>(Ojo and Fauzi, 2020)</w:t>
      </w:r>
      <w:r w:rsidRPr="009C1E5C">
        <w:rPr>
          <w:rFonts w:ascii="Arial" w:hAnsi="Arial" w:cs="Arial"/>
          <w:iCs/>
          <w:sz w:val="24"/>
          <w:szCs w:val="24"/>
        </w:rPr>
        <w:t>.</w:t>
      </w:r>
    </w:p>
    <w:p w14:paraId="0AFB5ED2" w14:textId="77777777" w:rsidR="009C1E5C" w:rsidRPr="009C1E5C" w:rsidRDefault="009C1E5C" w:rsidP="009C1E5C">
      <w:pPr>
        <w:spacing w:line="360" w:lineRule="auto"/>
        <w:jc w:val="both"/>
        <w:rPr>
          <w:rFonts w:ascii="Arial" w:hAnsi="Arial" w:cs="Arial"/>
          <w:iCs/>
          <w:sz w:val="24"/>
          <w:szCs w:val="24"/>
        </w:rPr>
      </w:pPr>
      <w:r w:rsidRPr="009C1E5C">
        <w:rPr>
          <w:rFonts w:ascii="Arial" w:hAnsi="Arial" w:cs="Arial"/>
          <w:b/>
          <w:bCs/>
          <w:iCs/>
          <w:sz w:val="24"/>
          <w:szCs w:val="24"/>
        </w:rPr>
        <w:t>c. Community Engagement</w:t>
      </w:r>
    </w:p>
    <w:p w14:paraId="68714AA5" w14:textId="77777777" w:rsidR="009C1E5C" w:rsidRPr="009C1E5C" w:rsidRDefault="009C1E5C" w:rsidP="009C1E5C">
      <w:pPr>
        <w:spacing w:line="360" w:lineRule="auto"/>
        <w:jc w:val="both"/>
        <w:rPr>
          <w:rFonts w:ascii="Arial" w:hAnsi="Arial" w:cs="Arial"/>
          <w:iCs/>
          <w:sz w:val="24"/>
          <w:szCs w:val="24"/>
        </w:rPr>
      </w:pPr>
      <w:r w:rsidRPr="009C1E5C">
        <w:rPr>
          <w:rFonts w:ascii="Arial" w:hAnsi="Arial" w:cs="Arial"/>
          <w:b/>
          <w:iCs/>
          <w:sz w:val="24"/>
          <w:szCs w:val="24"/>
        </w:rPr>
        <w:t>Potential Success:</w:t>
      </w:r>
      <w:r w:rsidRPr="009C1E5C">
        <w:rPr>
          <w:rFonts w:ascii="Arial" w:hAnsi="Arial" w:cs="Arial"/>
          <w:iCs/>
          <w:sz w:val="24"/>
          <w:szCs w:val="24"/>
        </w:rPr>
        <w:t xml:space="preserve"> One of the main goals of the KGX1 project is community engagement. If it delivers on its promises and positively impacts the community, it can </w:t>
      </w:r>
      <w:r w:rsidRPr="009C1E5C">
        <w:rPr>
          <w:rFonts w:ascii="Arial" w:hAnsi="Arial" w:cs="Arial"/>
          <w:iCs/>
          <w:sz w:val="24"/>
          <w:szCs w:val="24"/>
        </w:rPr>
        <w:lastRenderedPageBreak/>
        <w:t>serve as a model for other IT companies looking to invest in a location and integrate with the local population.</w:t>
      </w:r>
    </w:p>
    <w:p w14:paraId="5D498A29" w14:textId="77777777" w:rsidR="009C1E5C" w:rsidRPr="009C1E5C" w:rsidRDefault="009C1E5C" w:rsidP="009C1E5C">
      <w:pPr>
        <w:spacing w:line="360" w:lineRule="auto"/>
        <w:jc w:val="both"/>
        <w:rPr>
          <w:rFonts w:ascii="Arial" w:hAnsi="Arial" w:cs="Arial"/>
          <w:iCs/>
          <w:sz w:val="24"/>
          <w:szCs w:val="24"/>
        </w:rPr>
      </w:pPr>
      <w:r w:rsidRPr="009C1E5C">
        <w:rPr>
          <w:rFonts w:ascii="Arial" w:hAnsi="Arial" w:cs="Arial"/>
          <w:iCs/>
          <w:sz w:val="24"/>
          <w:szCs w:val="24"/>
        </w:rPr>
        <w:t xml:space="preserve">The interaction between IT firms and the communities in which they operate is becoming more and more significant. The possible success of KGX1 in this area can create a favourable precedent. By providing job opportunities, enhancing infrastructure, and contributing to a more vibrant local economy, the project can foster goodwill and build a strong relationship with the community </w:t>
      </w:r>
      <w:r w:rsidRPr="009C1E5C">
        <w:rPr>
          <w:rFonts w:ascii="Arial" w:hAnsi="Arial" w:cs="Arial"/>
          <w:sz w:val="24"/>
          <w:szCs w:val="24"/>
        </w:rPr>
        <w:t>(Magassouba and Al Thunibat, 2020)</w:t>
      </w:r>
      <w:r w:rsidRPr="009C1E5C">
        <w:rPr>
          <w:rFonts w:ascii="Arial" w:hAnsi="Arial" w:cs="Arial"/>
          <w:iCs/>
          <w:sz w:val="24"/>
          <w:szCs w:val="24"/>
        </w:rPr>
        <w:t>.</w:t>
      </w:r>
    </w:p>
    <w:p w14:paraId="69462826" w14:textId="77777777" w:rsidR="009C1E5C" w:rsidRPr="009C1E5C" w:rsidRDefault="009C1E5C" w:rsidP="009C1E5C">
      <w:pPr>
        <w:spacing w:line="360" w:lineRule="auto"/>
        <w:jc w:val="both"/>
        <w:rPr>
          <w:rFonts w:ascii="Arial" w:hAnsi="Arial" w:cs="Arial"/>
          <w:iCs/>
          <w:sz w:val="24"/>
          <w:szCs w:val="24"/>
        </w:rPr>
      </w:pPr>
      <w:r w:rsidRPr="009C1E5C">
        <w:rPr>
          <w:rFonts w:ascii="Arial" w:hAnsi="Arial" w:cs="Arial"/>
          <w:iCs/>
          <w:sz w:val="24"/>
          <w:szCs w:val="24"/>
        </w:rPr>
        <w:t>For example, Amazon's headquarters in Seattle has significantly influenced the local community through job creation and economic stimulation. Local communities can benefit from the presence of large IT companies, and it's in the interest of both parties to foster a positive and harmonious relationship. An essential component of KGX1's success in the IT industry is its capacity to act as a model of community integration.</w:t>
      </w:r>
    </w:p>
    <w:p w14:paraId="437F312A" w14:textId="77777777" w:rsidR="009C1E5C" w:rsidRPr="009C1E5C" w:rsidRDefault="009C1E5C" w:rsidP="009C1E5C">
      <w:pPr>
        <w:spacing w:line="360" w:lineRule="auto"/>
        <w:jc w:val="both"/>
        <w:rPr>
          <w:rFonts w:ascii="Arial" w:hAnsi="Arial" w:cs="Arial"/>
          <w:iCs/>
          <w:sz w:val="24"/>
          <w:szCs w:val="24"/>
        </w:rPr>
      </w:pPr>
      <w:r w:rsidRPr="009C1E5C">
        <w:rPr>
          <w:rFonts w:ascii="Arial" w:hAnsi="Arial" w:cs="Arial"/>
          <w:b/>
          <w:bCs/>
          <w:iCs/>
          <w:sz w:val="24"/>
          <w:szCs w:val="24"/>
        </w:rPr>
        <w:t>d. Timely Completion</w:t>
      </w:r>
    </w:p>
    <w:p w14:paraId="018DFFAA" w14:textId="77777777" w:rsidR="009C1E5C" w:rsidRPr="009C1E5C" w:rsidRDefault="009C1E5C" w:rsidP="009C1E5C">
      <w:pPr>
        <w:spacing w:line="360" w:lineRule="auto"/>
        <w:jc w:val="both"/>
        <w:rPr>
          <w:rFonts w:ascii="Arial" w:hAnsi="Arial" w:cs="Arial"/>
          <w:iCs/>
          <w:sz w:val="24"/>
          <w:szCs w:val="24"/>
        </w:rPr>
      </w:pPr>
      <w:r w:rsidRPr="009C1E5C">
        <w:rPr>
          <w:rFonts w:ascii="Arial" w:hAnsi="Arial" w:cs="Arial"/>
          <w:b/>
          <w:iCs/>
          <w:sz w:val="24"/>
          <w:szCs w:val="24"/>
        </w:rPr>
        <w:t>Pending Assessment:</w:t>
      </w:r>
      <w:r w:rsidRPr="009C1E5C">
        <w:rPr>
          <w:rFonts w:ascii="Arial" w:hAnsi="Arial" w:cs="Arial"/>
          <w:iCs/>
          <w:sz w:val="24"/>
          <w:szCs w:val="24"/>
        </w:rPr>
        <w:t xml:space="preserve"> The schedule for the KGX1 project has been affected by the pandemic-related delays. A key component of the project's success will be its capacity to adjust to such unforeseen setbacks and finish it by 2024.</w:t>
      </w:r>
    </w:p>
    <w:p w14:paraId="3F95C359" w14:textId="77777777" w:rsidR="009C1E5C" w:rsidRPr="009C1E5C" w:rsidRDefault="009C1E5C" w:rsidP="009C1E5C">
      <w:pPr>
        <w:spacing w:line="360" w:lineRule="auto"/>
        <w:jc w:val="both"/>
        <w:rPr>
          <w:rFonts w:ascii="Arial" w:hAnsi="Arial" w:cs="Arial"/>
          <w:iCs/>
          <w:sz w:val="24"/>
          <w:szCs w:val="24"/>
        </w:rPr>
      </w:pPr>
      <w:r w:rsidRPr="009C1E5C">
        <w:rPr>
          <w:rFonts w:ascii="Arial" w:hAnsi="Arial" w:cs="Arial"/>
          <w:iCs/>
          <w:sz w:val="24"/>
          <w:szCs w:val="24"/>
        </w:rPr>
        <w:t>Large-scale projects must be completed on time, particularly in the IT industry where quick time to market can provide a competitive edge. The resilience and effectiveness of a project can be determined by its ability to adjust project timelines in response to unforeseen challenges, such as the delays caused by the pandemic. The successful completion of KGX1 in 2024 will be closely monitored, as it will demonstrate the undertaking's capacity to overcome these obstacles (Prakash, 2022).</w:t>
      </w:r>
    </w:p>
    <w:p w14:paraId="6F73F5B6" w14:textId="77777777" w:rsidR="009C1E5C" w:rsidRPr="009C1E5C" w:rsidRDefault="009C1E5C" w:rsidP="009C1E5C">
      <w:pPr>
        <w:spacing w:line="360" w:lineRule="auto"/>
        <w:jc w:val="both"/>
        <w:rPr>
          <w:rFonts w:ascii="Arial" w:hAnsi="Arial" w:cs="Arial"/>
          <w:iCs/>
          <w:sz w:val="24"/>
          <w:szCs w:val="24"/>
        </w:rPr>
      </w:pPr>
      <w:r w:rsidRPr="009C1E5C">
        <w:rPr>
          <w:rFonts w:ascii="Arial" w:hAnsi="Arial" w:cs="Arial"/>
          <w:iCs/>
          <w:sz w:val="24"/>
          <w:szCs w:val="24"/>
        </w:rPr>
        <w:t>For example, unexpected obstacles had to be overcome during the London Crossrail construction project, but the project's strong risk management and flexibility allowed it to move forward. KGX1's reaction to these obstacles will teach important lessons in the IT sector, where flexibility and the ability to adapt are critical (Thunibat and Magassouba, 2020).</w:t>
      </w:r>
    </w:p>
    <w:p w14:paraId="4EA63E41" w14:textId="77777777" w:rsidR="009C1E5C" w:rsidRPr="009C1E5C" w:rsidRDefault="009C1E5C" w:rsidP="009C1E5C">
      <w:pPr>
        <w:spacing w:line="360" w:lineRule="auto"/>
        <w:jc w:val="both"/>
        <w:rPr>
          <w:rFonts w:ascii="Arial" w:hAnsi="Arial" w:cs="Arial"/>
          <w:iCs/>
          <w:sz w:val="24"/>
          <w:szCs w:val="24"/>
        </w:rPr>
      </w:pPr>
      <w:r w:rsidRPr="009C1E5C">
        <w:rPr>
          <w:rFonts w:ascii="Arial" w:hAnsi="Arial" w:cs="Arial"/>
          <w:b/>
          <w:bCs/>
          <w:iCs/>
          <w:sz w:val="24"/>
          <w:szCs w:val="24"/>
        </w:rPr>
        <w:t>e. Regulatory Compliance</w:t>
      </w:r>
    </w:p>
    <w:p w14:paraId="5AAF1642" w14:textId="77777777" w:rsidR="009C1E5C" w:rsidRPr="009C1E5C" w:rsidRDefault="009C1E5C" w:rsidP="009C1E5C">
      <w:pPr>
        <w:spacing w:line="360" w:lineRule="auto"/>
        <w:jc w:val="both"/>
        <w:rPr>
          <w:rFonts w:ascii="Arial" w:hAnsi="Arial" w:cs="Arial"/>
          <w:iCs/>
          <w:sz w:val="24"/>
          <w:szCs w:val="24"/>
        </w:rPr>
      </w:pPr>
      <w:r w:rsidRPr="009C1E5C">
        <w:rPr>
          <w:rFonts w:ascii="Arial" w:hAnsi="Arial" w:cs="Arial"/>
          <w:b/>
          <w:iCs/>
          <w:sz w:val="24"/>
          <w:szCs w:val="24"/>
        </w:rPr>
        <w:lastRenderedPageBreak/>
        <w:t>Pending Assessment:</w:t>
      </w:r>
      <w:r w:rsidRPr="009C1E5C">
        <w:rPr>
          <w:rFonts w:ascii="Arial" w:hAnsi="Arial" w:cs="Arial"/>
          <w:iCs/>
          <w:sz w:val="24"/>
          <w:szCs w:val="24"/>
        </w:rPr>
        <w:t xml:space="preserve"> Due to the project's complexity, adhering to regulations is crucial. The success of the project could be impacted by any delays or problems in this area.</w:t>
      </w:r>
    </w:p>
    <w:p w14:paraId="09F5C93B" w14:textId="77777777" w:rsidR="009C1E5C" w:rsidRPr="009C1E5C" w:rsidRDefault="009C1E5C" w:rsidP="009C1E5C">
      <w:pPr>
        <w:spacing w:line="360" w:lineRule="auto"/>
        <w:jc w:val="both"/>
        <w:rPr>
          <w:rFonts w:ascii="Arial" w:hAnsi="Arial" w:cs="Arial"/>
          <w:iCs/>
          <w:sz w:val="24"/>
          <w:szCs w:val="24"/>
        </w:rPr>
      </w:pPr>
      <w:r w:rsidRPr="009C1E5C">
        <w:rPr>
          <w:rFonts w:ascii="Arial" w:hAnsi="Arial" w:cs="Arial"/>
          <w:iCs/>
          <w:sz w:val="24"/>
          <w:szCs w:val="24"/>
        </w:rPr>
        <w:t>One essential component of large-scale projects is regulatory compliance. A project's ability to successfully negotiate regulatory obstacles and guarantee compliance with local laws and requirements is essential. The project's budget and schedule may be severely impacted by any problems or delays in this area (Kumar, 2022).</w:t>
      </w:r>
    </w:p>
    <w:p w14:paraId="35359B73" w14:textId="77777777" w:rsidR="009C1E5C" w:rsidRPr="009C1E5C" w:rsidRDefault="009C1E5C" w:rsidP="009C1E5C">
      <w:pPr>
        <w:spacing w:line="360" w:lineRule="auto"/>
        <w:jc w:val="both"/>
        <w:rPr>
          <w:rFonts w:ascii="Arial" w:hAnsi="Arial" w:cs="Arial"/>
          <w:iCs/>
          <w:sz w:val="24"/>
          <w:szCs w:val="24"/>
        </w:rPr>
      </w:pPr>
      <w:r w:rsidRPr="009C1E5C">
        <w:rPr>
          <w:rFonts w:ascii="Arial" w:hAnsi="Arial" w:cs="Arial"/>
          <w:iCs/>
          <w:sz w:val="24"/>
          <w:szCs w:val="24"/>
        </w:rPr>
        <w:t xml:space="preserve">The lessons learned from KGX1's experience with regulatory compliance will be carefully examined, especially in the IT industry where regulations about data privacy and security are strict. Compliance with regulations is not merely a legal requirement; it's a business imperative. KGX1's ability to manage this aspect effectively will provide insights for other projects, especially in the IT sector </w:t>
      </w:r>
      <w:r w:rsidRPr="009C1E5C">
        <w:rPr>
          <w:rFonts w:ascii="Arial" w:hAnsi="Arial" w:cs="Arial"/>
          <w:sz w:val="24"/>
          <w:szCs w:val="24"/>
        </w:rPr>
        <w:t>(Goodman and Powles, 2019)</w:t>
      </w:r>
      <w:r w:rsidRPr="009C1E5C">
        <w:rPr>
          <w:rFonts w:ascii="Arial" w:hAnsi="Arial" w:cs="Arial"/>
          <w:iCs/>
          <w:sz w:val="24"/>
          <w:szCs w:val="24"/>
        </w:rPr>
        <w:t>.</w:t>
      </w:r>
    </w:p>
    <w:p w14:paraId="64995B66" w14:textId="77777777" w:rsidR="009C1E5C" w:rsidRPr="009C1E5C" w:rsidRDefault="009C1E5C" w:rsidP="009C1E5C">
      <w:pPr>
        <w:spacing w:line="360" w:lineRule="auto"/>
        <w:jc w:val="both"/>
        <w:rPr>
          <w:rFonts w:ascii="Arial" w:hAnsi="Arial" w:cs="Arial"/>
          <w:iCs/>
          <w:sz w:val="24"/>
          <w:szCs w:val="24"/>
        </w:rPr>
      </w:pPr>
      <w:r w:rsidRPr="009C1E5C">
        <w:rPr>
          <w:rFonts w:ascii="Arial" w:hAnsi="Arial" w:cs="Arial"/>
          <w:iCs/>
          <w:sz w:val="24"/>
          <w:szCs w:val="24"/>
        </w:rPr>
        <w:t>The KGX1 project in King's Cross, London, represents a substantial investment in an innovative and sustainable headquarters for Google. The UK IT industry's future is significantly affected by its success or failure. The project could serve as a model for other IT companies, as it is in line with Google's dedication to innovation, sustainability, and community involvement. Its success will be determined by its capacity to foster a knowledge-based economy, interact with the community, and overcome obstacles like delays caused by pandemics.</w:t>
      </w:r>
    </w:p>
    <w:p w14:paraId="6A5442FA" w14:textId="77777777" w:rsidR="009C1E5C" w:rsidRPr="009C1E5C" w:rsidRDefault="009C1E5C" w:rsidP="009C1E5C">
      <w:pPr>
        <w:spacing w:line="360" w:lineRule="auto"/>
        <w:jc w:val="both"/>
        <w:rPr>
          <w:rFonts w:ascii="Arial" w:hAnsi="Arial" w:cs="Arial"/>
          <w:iCs/>
          <w:sz w:val="24"/>
          <w:szCs w:val="24"/>
        </w:rPr>
      </w:pPr>
      <w:r w:rsidRPr="009C1E5C">
        <w:rPr>
          <w:rFonts w:ascii="Arial" w:hAnsi="Arial" w:cs="Arial"/>
          <w:b/>
          <w:bCs/>
          <w:iCs/>
          <w:sz w:val="24"/>
          <w:szCs w:val="24"/>
        </w:rPr>
        <w:t>2. Lessons Learned</w:t>
      </w:r>
    </w:p>
    <w:p w14:paraId="3D9A5261" w14:textId="77777777" w:rsidR="009C1E5C" w:rsidRPr="009C1E5C" w:rsidRDefault="009C1E5C" w:rsidP="009C1E5C">
      <w:pPr>
        <w:spacing w:line="360" w:lineRule="auto"/>
        <w:jc w:val="both"/>
        <w:rPr>
          <w:rFonts w:ascii="Arial" w:hAnsi="Arial" w:cs="Arial"/>
          <w:iCs/>
          <w:sz w:val="24"/>
          <w:szCs w:val="24"/>
        </w:rPr>
      </w:pPr>
      <w:r w:rsidRPr="009C1E5C">
        <w:rPr>
          <w:rFonts w:ascii="Arial" w:hAnsi="Arial" w:cs="Arial"/>
          <w:iCs/>
          <w:sz w:val="24"/>
          <w:szCs w:val="24"/>
        </w:rPr>
        <w:t>Several important lessons for future IT sector and related industry endeavours can be learned from the KGX1 project:</w:t>
      </w:r>
    </w:p>
    <w:p w14:paraId="645719BE" w14:textId="77777777" w:rsidR="009C1E5C" w:rsidRPr="009C1E5C" w:rsidRDefault="009C1E5C" w:rsidP="009C1E5C">
      <w:pPr>
        <w:spacing w:line="360" w:lineRule="auto"/>
        <w:jc w:val="both"/>
        <w:rPr>
          <w:rFonts w:ascii="Arial" w:hAnsi="Arial" w:cs="Arial"/>
          <w:iCs/>
          <w:sz w:val="24"/>
          <w:szCs w:val="24"/>
        </w:rPr>
      </w:pPr>
      <w:r w:rsidRPr="009C1E5C">
        <w:rPr>
          <w:rFonts w:ascii="Arial" w:hAnsi="Arial" w:cs="Arial"/>
          <w:b/>
          <w:bCs/>
          <w:iCs/>
          <w:sz w:val="24"/>
          <w:szCs w:val="24"/>
        </w:rPr>
        <w:t>a. Risk Management</w:t>
      </w:r>
    </w:p>
    <w:p w14:paraId="7C838B4D" w14:textId="77777777" w:rsidR="009C1E5C" w:rsidRPr="009C1E5C" w:rsidRDefault="009C1E5C" w:rsidP="009C1E5C">
      <w:pPr>
        <w:spacing w:line="360" w:lineRule="auto"/>
        <w:jc w:val="both"/>
        <w:rPr>
          <w:rFonts w:ascii="Arial" w:hAnsi="Arial" w:cs="Arial"/>
          <w:iCs/>
          <w:sz w:val="24"/>
          <w:szCs w:val="24"/>
        </w:rPr>
      </w:pPr>
      <w:r w:rsidRPr="009C1E5C">
        <w:rPr>
          <w:rFonts w:ascii="Arial" w:hAnsi="Arial" w:cs="Arial"/>
          <w:b/>
          <w:iCs/>
          <w:sz w:val="24"/>
          <w:szCs w:val="24"/>
        </w:rPr>
        <w:t>Lesson:</w:t>
      </w:r>
      <w:r w:rsidRPr="009C1E5C">
        <w:rPr>
          <w:rFonts w:ascii="Arial" w:hAnsi="Arial" w:cs="Arial"/>
          <w:iCs/>
          <w:sz w:val="24"/>
          <w:szCs w:val="24"/>
        </w:rPr>
        <w:t xml:space="preserve"> The delays caused by the pandemic emphasize how crucial it is to have effective risk management and backup plans. Timelines for upcoming projects should be flexible to accommodate unforeseen obstacles (Cooney, 2020).</w:t>
      </w:r>
    </w:p>
    <w:p w14:paraId="5D83FDC9" w14:textId="77777777" w:rsidR="009C1E5C" w:rsidRPr="009C1E5C" w:rsidRDefault="009C1E5C" w:rsidP="009C1E5C">
      <w:pPr>
        <w:spacing w:line="360" w:lineRule="auto"/>
        <w:jc w:val="both"/>
        <w:rPr>
          <w:rFonts w:ascii="Arial" w:hAnsi="Arial" w:cs="Arial"/>
          <w:iCs/>
          <w:sz w:val="24"/>
          <w:szCs w:val="24"/>
        </w:rPr>
      </w:pPr>
      <w:r w:rsidRPr="009C1E5C">
        <w:rPr>
          <w:rFonts w:ascii="Arial" w:hAnsi="Arial" w:cs="Arial"/>
          <w:iCs/>
          <w:sz w:val="24"/>
          <w:szCs w:val="24"/>
        </w:rPr>
        <w:t xml:space="preserve">An essential component of a project's successful completion is effective risk management. It is essential to be able to recognize possible risks, create mitigation plans, </w:t>
      </w:r>
      <w:r w:rsidRPr="009C1E5C">
        <w:rPr>
          <w:rFonts w:ascii="Arial" w:hAnsi="Arial" w:cs="Arial"/>
          <w:iCs/>
          <w:sz w:val="24"/>
          <w:szCs w:val="24"/>
        </w:rPr>
        <w:lastRenderedPageBreak/>
        <w:t>and establish backup plans. Despite its unpredictability, the pandemic emphasizes the importance of flexibility and readiness.</w:t>
      </w:r>
    </w:p>
    <w:p w14:paraId="2BABE8C1" w14:textId="77777777" w:rsidR="009C1E5C" w:rsidRPr="009C1E5C" w:rsidRDefault="009C1E5C" w:rsidP="009C1E5C">
      <w:pPr>
        <w:spacing w:line="360" w:lineRule="auto"/>
        <w:jc w:val="both"/>
        <w:rPr>
          <w:rFonts w:ascii="Arial" w:hAnsi="Arial" w:cs="Arial"/>
          <w:iCs/>
          <w:sz w:val="24"/>
          <w:szCs w:val="24"/>
        </w:rPr>
      </w:pPr>
      <w:r w:rsidRPr="009C1E5C">
        <w:rPr>
          <w:rFonts w:ascii="Arial" w:hAnsi="Arial" w:cs="Arial"/>
          <w:iCs/>
          <w:sz w:val="24"/>
          <w:szCs w:val="24"/>
        </w:rPr>
        <w:t xml:space="preserve">For example, there were many difficulties encountered during the intricate and famous project of building the Sydney Opera House. The project's resilience and ability to overcome unexpected difficulties provide a valuable lesson in risk management </w:t>
      </w:r>
      <w:r w:rsidRPr="009C1E5C">
        <w:rPr>
          <w:rFonts w:ascii="Arial" w:hAnsi="Arial" w:cs="Arial"/>
          <w:sz w:val="24"/>
          <w:szCs w:val="24"/>
        </w:rPr>
        <w:t>(Braumann, 2020)</w:t>
      </w:r>
      <w:r w:rsidRPr="009C1E5C">
        <w:rPr>
          <w:rFonts w:ascii="Arial" w:hAnsi="Arial" w:cs="Arial"/>
          <w:iCs/>
          <w:sz w:val="24"/>
          <w:szCs w:val="24"/>
        </w:rPr>
        <w:t>.</w:t>
      </w:r>
    </w:p>
    <w:p w14:paraId="7D0CFAB1" w14:textId="77777777" w:rsidR="009C1E5C" w:rsidRPr="009C1E5C" w:rsidRDefault="009C1E5C" w:rsidP="009C1E5C">
      <w:pPr>
        <w:spacing w:line="360" w:lineRule="auto"/>
        <w:jc w:val="both"/>
        <w:rPr>
          <w:rFonts w:ascii="Arial" w:hAnsi="Arial" w:cs="Arial"/>
          <w:iCs/>
          <w:sz w:val="24"/>
          <w:szCs w:val="24"/>
        </w:rPr>
      </w:pPr>
      <w:r w:rsidRPr="009C1E5C">
        <w:rPr>
          <w:rFonts w:ascii="Arial" w:hAnsi="Arial" w:cs="Arial"/>
          <w:b/>
          <w:bCs/>
          <w:iCs/>
          <w:sz w:val="24"/>
          <w:szCs w:val="24"/>
        </w:rPr>
        <w:t>b. Sustainability Commitment</w:t>
      </w:r>
    </w:p>
    <w:p w14:paraId="75FA5C8C" w14:textId="77777777" w:rsidR="009C1E5C" w:rsidRPr="009C1E5C" w:rsidRDefault="009C1E5C" w:rsidP="009C1E5C">
      <w:pPr>
        <w:spacing w:line="360" w:lineRule="auto"/>
        <w:jc w:val="both"/>
        <w:rPr>
          <w:rFonts w:ascii="Arial" w:hAnsi="Arial" w:cs="Arial"/>
          <w:iCs/>
          <w:sz w:val="24"/>
          <w:szCs w:val="24"/>
        </w:rPr>
      </w:pPr>
      <w:r w:rsidRPr="009C1E5C">
        <w:rPr>
          <w:rFonts w:ascii="Arial" w:hAnsi="Arial" w:cs="Arial"/>
          <w:b/>
          <w:iCs/>
          <w:sz w:val="24"/>
          <w:szCs w:val="24"/>
        </w:rPr>
        <w:t>Lesson:</w:t>
      </w:r>
      <w:r w:rsidRPr="009C1E5C">
        <w:rPr>
          <w:rFonts w:ascii="Arial" w:hAnsi="Arial" w:cs="Arial"/>
          <w:iCs/>
          <w:sz w:val="24"/>
          <w:szCs w:val="24"/>
        </w:rPr>
        <w:t xml:space="preserve"> KGX1's focus on environmental sustainability and eco-friendly design principles serves as a valuable lesson for other companies. It underscores the importance of considering the environmental impact of projects and striving for green certifications.</w:t>
      </w:r>
    </w:p>
    <w:p w14:paraId="20BD57A1" w14:textId="77777777" w:rsidR="009C1E5C" w:rsidRPr="009C1E5C" w:rsidRDefault="009C1E5C" w:rsidP="009C1E5C">
      <w:pPr>
        <w:spacing w:line="360" w:lineRule="auto"/>
        <w:jc w:val="both"/>
        <w:rPr>
          <w:rFonts w:ascii="Arial" w:hAnsi="Arial" w:cs="Arial"/>
          <w:iCs/>
          <w:sz w:val="24"/>
          <w:szCs w:val="24"/>
        </w:rPr>
      </w:pPr>
      <w:r w:rsidRPr="009C1E5C">
        <w:rPr>
          <w:rFonts w:ascii="Arial" w:hAnsi="Arial" w:cs="Arial"/>
          <w:iCs/>
          <w:sz w:val="24"/>
          <w:szCs w:val="24"/>
        </w:rPr>
        <w:t xml:space="preserve">Sustainability is not only a moral imperative but also a strategic advantage. Projects that prioritize sustainability are more likely to align with market trends and values. The IT sector, which is inherently energy-intensive, can benefit significantly from adopting eco-friendly practices. For instance, Google's data centers, powered by 100% renewable energy, showcase the sector's commitment to sustainability </w:t>
      </w:r>
      <w:r w:rsidRPr="009C1E5C">
        <w:rPr>
          <w:rFonts w:ascii="Arial" w:hAnsi="Arial" w:cs="Arial"/>
          <w:sz w:val="24"/>
          <w:szCs w:val="24"/>
        </w:rPr>
        <w:t>(Amiri et al., 2022)</w:t>
      </w:r>
      <w:r w:rsidRPr="009C1E5C">
        <w:rPr>
          <w:rFonts w:ascii="Arial" w:hAnsi="Arial" w:cs="Arial"/>
          <w:iCs/>
          <w:sz w:val="24"/>
          <w:szCs w:val="24"/>
        </w:rPr>
        <w:t>.</w:t>
      </w:r>
    </w:p>
    <w:p w14:paraId="1AD77D34" w14:textId="77777777" w:rsidR="009C1E5C" w:rsidRPr="009C1E5C" w:rsidRDefault="009C1E5C" w:rsidP="009C1E5C">
      <w:pPr>
        <w:spacing w:line="360" w:lineRule="auto"/>
        <w:jc w:val="both"/>
        <w:rPr>
          <w:rFonts w:ascii="Arial" w:hAnsi="Arial" w:cs="Arial"/>
          <w:iCs/>
          <w:sz w:val="24"/>
          <w:szCs w:val="24"/>
        </w:rPr>
      </w:pPr>
      <w:r w:rsidRPr="009C1E5C">
        <w:rPr>
          <w:rFonts w:ascii="Arial" w:hAnsi="Arial" w:cs="Arial"/>
          <w:b/>
          <w:bCs/>
          <w:iCs/>
          <w:sz w:val="24"/>
          <w:szCs w:val="24"/>
        </w:rPr>
        <w:t>c. Community Integration</w:t>
      </w:r>
    </w:p>
    <w:p w14:paraId="57EAF2D4" w14:textId="77777777" w:rsidR="009C1E5C" w:rsidRPr="009C1E5C" w:rsidRDefault="009C1E5C" w:rsidP="009C1E5C">
      <w:pPr>
        <w:spacing w:line="360" w:lineRule="auto"/>
        <w:jc w:val="both"/>
        <w:rPr>
          <w:rFonts w:ascii="Arial" w:hAnsi="Arial" w:cs="Arial"/>
          <w:iCs/>
          <w:sz w:val="24"/>
          <w:szCs w:val="24"/>
        </w:rPr>
      </w:pPr>
      <w:r w:rsidRPr="009C1E5C">
        <w:rPr>
          <w:rFonts w:ascii="Arial" w:hAnsi="Arial" w:cs="Arial"/>
          <w:b/>
          <w:iCs/>
          <w:sz w:val="24"/>
          <w:szCs w:val="24"/>
        </w:rPr>
        <w:t>Lesson:</w:t>
      </w:r>
      <w:r w:rsidRPr="009C1E5C">
        <w:rPr>
          <w:rFonts w:ascii="Arial" w:hAnsi="Arial" w:cs="Arial"/>
          <w:iCs/>
          <w:sz w:val="24"/>
          <w:szCs w:val="24"/>
        </w:rPr>
        <w:t xml:space="preserve"> The emphasis on community engagement showcases the significance of fostering positive relationships with the local population. Projects should consider how they can benefit the communities in which they operate.</w:t>
      </w:r>
    </w:p>
    <w:p w14:paraId="6B729F08" w14:textId="77777777" w:rsidR="009C1E5C" w:rsidRPr="009C1E5C" w:rsidRDefault="009C1E5C" w:rsidP="009C1E5C">
      <w:pPr>
        <w:spacing w:line="360" w:lineRule="auto"/>
        <w:jc w:val="both"/>
        <w:rPr>
          <w:rFonts w:ascii="Arial" w:hAnsi="Arial" w:cs="Arial"/>
          <w:iCs/>
          <w:sz w:val="24"/>
          <w:szCs w:val="24"/>
        </w:rPr>
      </w:pPr>
      <w:r w:rsidRPr="009C1E5C">
        <w:rPr>
          <w:rFonts w:ascii="Arial" w:hAnsi="Arial" w:cs="Arial"/>
          <w:iCs/>
          <w:sz w:val="24"/>
          <w:szCs w:val="24"/>
        </w:rPr>
        <w:t xml:space="preserve">Large companies often have a significant impact on the communities where they are located. The ability to engage with and positively influence the local community is a strategic imperative. Amazon's HQ2 project in Arlington, Virginia, promises to create a new urban campus with community benefits, demonstrating the importance of community integration </w:t>
      </w:r>
      <w:r w:rsidRPr="009C1E5C">
        <w:rPr>
          <w:rFonts w:ascii="Arial" w:hAnsi="Arial" w:cs="Arial"/>
          <w:sz w:val="24"/>
          <w:szCs w:val="24"/>
        </w:rPr>
        <w:t>(Allam and Akre, 2021, March)</w:t>
      </w:r>
      <w:r w:rsidRPr="009C1E5C">
        <w:rPr>
          <w:rFonts w:ascii="Arial" w:hAnsi="Arial" w:cs="Arial"/>
          <w:iCs/>
          <w:sz w:val="24"/>
          <w:szCs w:val="24"/>
        </w:rPr>
        <w:t>.</w:t>
      </w:r>
    </w:p>
    <w:p w14:paraId="274BE4F4" w14:textId="77777777" w:rsidR="009C1E5C" w:rsidRPr="009C1E5C" w:rsidRDefault="009C1E5C" w:rsidP="009C1E5C">
      <w:pPr>
        <w:spacing w:line="360" w:lineRule="auto"/>
        <w:jc w:val="both"/>
        <w:rPr>
          <w:rFonts w:ascii="Arial" w:hAnsi="Arial" w:cs="Arial"/>
          <w:iCs/>
          <w:sz w:val="24"/>
          <w:szCs w:val="24"/>
        </w:rPr>
      </w:pPr>
      <w:r w:rsidRPr="009C1E5C">
        <w:rPr>
          <w:rFonts w:ascii="Arial" w:hAnsi="Arial" w:cs="Arial"/>
          <w:b/>
          <w:bCs/>
          <w:iCs/>
          <w:sz w:val="24"/>
          <w:szCs w:val="24"/>
        </w:rPr>
        <w:t>d. Budget Management</w:t>
      </w:r>
    </w:p>
    <w:p w14:paraId="259B1F9C" w14:textId="77777777" w:rsidR="009C1E5C" w:rsidRPr="009C1E5C" w:rsidRDefault="009C1E5C" w:rsidP="009C1E5C">
      <w:pPr>
        <w:spacing w:line="360" w:lineRule="auto"/>
        <w:jc w:val="both"/>
        <w:rPr>
          <w:rFonts w:ascii="Arial" w:hAnsi="Arial" w:cs="Arial"/>
          <w:iCs/>
          <w:sz w:val="24"/>
          <w:szCs w:val="24"/>
        </w:rPr>
      </w:pPr>
      <w:r w:rsidRPr="009C1E5C">
        <w:rPr>
          <w:rFonts w:ascii="Arial" w:hAnsi="Arial" w:cs="Arial"/>
          <w:b/>
          <w:iCs/>
          <w:sz w:val="24"/>
          <w:szCs w:val="24"/>
        </w:rPr>
        <w:lastRenderedPageBreak/>
        <w:t>Lesson:</w:t>
      </w:r>
      <w:r w:rsidRPr="009C1E5C">
        <w:rPr>
          <w:rFonts w:ascii="Arial" w:hAnsi="Arial" w:cs="Arial"/>
          <w:iCs/>
          <w:sz w:val="24"/>
          <w:szCs w:val="24"/>
        </w:rPr>
        <w:t xml:space="preserve"> The thorough budget analysis of KGX1 offers guidance on effective resource allocation and financial management. Effective resource utilization and the avoidance of overspending are two benefits of transparent budgeting.</w:t>
      </w:r>
    </w:p>
    <w:p w14:paraId="4B187BA3" w14:textId="77777777" w:rsidR="009C1E5C" w:rsidRPr="009C1E5C" w:rsidRDefault="009C1E5C" w:rsidP="009C1E5C">
      <w:pPr>
        <w:spacing w:line="360" w:lineRule="auto"/>
        <w:jc w:val="both"/>
        <w:rPr>
          <w:rFonts w:ascii="Arial" w:hAnsi="Arial" w:cs="Arial"/>
          <w:iCs/>
          <w:sz w:val="24"/>
          <w:szCs w:val="24"/>
        </w:rPr>
      </w:pPr>
      <w:r w:rsidRPr="009C1E5C">
        <w:rPr>
          <w:rFonts w:ascii="Arial" w:hAnsi="Arial" w:cs="Arial"/>
          <w:iCs/>
          <w:sz w:val="24"/>
          <w:szCs w:val="24"/>
        </w:rPr>
        <w:t xml:space="preserve">Effective management of the project's budget is essential. To ensure cost-effective resource distribution and avoid overspending, transparent budgeting and the distribution of resources are crucial. The Burj Khalifa project in Dubai serves as an example of how crucial open budget management is for major undertakings (Kumar, 2022). </w:t>
      </w:r>
    </w:p>
    <w:p w14:paraId="054BFF80" w14:textId="77777777" w:rsidR="009C1E5C" w:rsidRPr="009C1E5C" w:rsidRDefault="009C1E5C" w:rsidP="009C1E5C">
      <w:pPr>
        <w:spacing w:line="360" w:lineRule="auto"/>
        <w:jc w:val="both"/>
        <w:rPr>
          <w:rFonts w:ascii="Arial" w:hAnsi="Arial" w:cs="Arial"/>
          <w:iCs/>
          <w:sz w:val="24"/>
          <w:szCs w:val="24"/>
        </w:rPr>
      </w:pPr>
      <w:r w:rsidRPr="009C1E5C">
        <w:rPr>
          <w:rFonts w:ascii="Arial" w:hAnsi="Arial" w:cs="Arial"/>
          <w:b/>
          <w:bCs/>
          <w:iCs/>
          <w:sz w:val="24"/>
          <w:szCs w:val="24"/>
        </w:rPr>
        <w:t>e. Stakeholder Engagement</w:t>
      </w:r>
    </w:p>
    <w:p w14:paraId="4F957876" w14:textId="77777777" w:rsidR="009C1E5C" w:rsidRPr="009C1E5C" w:rsidRDefault="009C1E5C" w:rsidP="009C1E5C">
      <w:pPr>
        <w:spacing w:line="360" w:lineRule="auto"/>
        <w:jc w:val="both"/>
        <w:rPr>
          <w:rFonts w:ascii="Arial" w:hAnsi="Arial" w:cs="Arial"/>
          <w:iCs/>
          <w:sz w:val="24"/>
          <w:szCs w:val="24"/>
        </w:rPr>
      </w:pPr>
      <w:r w:rsidRPr="009C1E5C">
        <w:rPr>
          <w:rFonts w:ascii="Arial" w:hAnsi="Arial" w:cs="Arial"/>
          <w:b/>
          <w:iCs/>
          <w:sz w:val="24"/>
          <w:szCs w:val="24"/>
        </w:rPr>
        <w:t>Lesson:</w:t>
      </w:r>
      <w:r w:rsidRPr="009C1E5C">
        <w:rPr>
          <w:rFonts w:ascii="Arial" w:hAnsi="Arial" w:cs="Arial"/>
          <w:iCs/>
          <w:sz w:val="24"/>
          <w:szCs w:val="24"/>
        </w:rPr>
        <w:t xml:space="preserve"> Stakeholder management done well is essential to execution success. Success depends on having clear communication and attending to the needs of stakeholders.</w:t>
      </w:r>
    </w:p>
    <w:p w14:paraId="343B3217" w14:textId="77777777" w:rsidR="009C1E5C" w:rsidRPr="009C1E5C" w:rsidRDefault="009C1E5C" w:rsidP="009C1E5C">
      <w:pPr>
        <w:spacing w:line="360" w:lineRule="auto"/>
        <w:jc w:val="both"/>
        <w:rPr>
          <w:rFonts w:ascii="Arial" w:hAnsi="Arial" w:cs="Arial"/>
          <w:iCs/>
          <w:sz w:val="24"/>
          <w:szCs w:val="24"/>
        </w:rPr>
      </w:pPr>
      <w:r w:rsidRPr="009C1E5C">
        <w:rPr>
          <w:rFonts w:ascii="Arial" w:hAnsi="Arial" w:cs="Arial"/>
          <w:iCs/>
          <w:sz w:val="24"/>
          <w:szCs w:val="24"/>
        </w:rPr>
        <w:t>A wide range of parties are included in stakeholder engagement, such as government agencies, local communities, contractors, suppliers, and employees in addition to project owners. Meeting the needs of stakeholders and maintaining effective communication are essential for a project's successful completion. The importance of stakeholder engagement in complex endeavours is underscored by the lessons learned from the London Olympics 2012 project (Magassouba and Al Thunibat, 2020).</w:t>
      </w:r>
    </w:p>
    <w:p w14:paraId="5DFD736C" w14:textId="302CDCE4" w:rsidR="009C1E5C" w:rsidRPr="009C1E5C" w:rsidRDefault="009C1E5C" w:rsidP="009C1E5C">
      <w:pPr>
        <w:spacing w:line="360" w:lineRule="auto"/>
        <w:jc w:val="both"/>
        <w:rPr>
          <w:rFonts w:ascii="Arial" w:hAnsi="Arial" w:cs="Arial"/>
          <w:iCs/>
          <w:sz w:val="24"/>
          <w:szCs w:val="24"/>
        </w:rPr>
      </w:pPr>
      <w:r w:rsidRPr="009C1E5C">
        <w:rPr>
          <w:rFonts w:ascii="Arial" w:hAnsi="Arial" w:cs="Arial"/>
          <w:iCs/>
          <w:sz w:val="24"/>
          <w:szCs w:val="24"/>
        </w:rPr>
        <w:t>Lessons from KGX1 include stakeholder engagement, budget transparency, risk management, sustainability commitment, and community integration. These lessons can guide future projects in the IT sector and similar industries, ensuring their success and positive impact on the environment, communities, and economies.</w:t>
      </w:r>
    </w:p>
    <w:p w14:paraId="5F41D29F" w14:textId="77777777" w:rsidR="009C1E5C" w:rsidRPr="009C1E5C" w:rsidRDefault="009C1E5C" w:rsidP="009C1E5C">
      <w:pPr>
        <w:spacing w:line="360" w:lineRule="auto"/>
        <w:jc w:val="both"/>
        <w:rPr>
          <w:rFonts w:ascii="Arial" w:hAnsi="Arial" w:cs="Arial"/>
          <w:iCs/>
          <w:sz w:val="24"/>
          <w:szCs w:val="24"/>
        </w:rPr>
      </w:pPr>
      <w:r w:rsidRPr="009C1E5C">
        <w:rPr>
          <w:rFonts w:ascii="Arial" w:hAnsi="Arial" w:cs="Arial"/>
          <w:b/>
          <w:bCs/>
          <w:iCs/>
          <w:sz w:val="24"/>
          <w:szCs w:val="24"/>
        </w:rPr>
        <w:t>3. Recommendations</w:t>
      </w:r>
    </w:p>
    <w:p w14:paraId="7B39F62C" w14:textId="77777777" w:rsidR="009C1E5C" w:rsidRPr="009C1E5C" w:rsidRDefault="009C1E5C" w:rsidP="009C1E5C">
      <w:pPr>
        <w:spacing w:line="360" w:lineRule="auto"/>
        <w:jc w:val="both"/>
        <w:rPr>
          <w:rFonts w:ascii="Arial" w:hAnsi="Arial" w:cs="Arial"/>
          <w:iCs/>
          <w:sz w:val="24"/>
          <w:szCs w:val="24"/>
        </w:rPr>
      </w:pPr>
      <w:r w:rsidRPr="009C1E5C">
        <w:rPr>
          <w:rFonts w:ascii="Arial" w:hAnsi="Arial" w:cs="Arial"/>
          <w:iCs/>
          <w:sz w:val="24"/>
          <w:szCs w:val="24"/>
        </w:rPr>
        <w:t>Based on the analysis, here are recommendations for future projects in the IT sector or similar industries:</w:t>
      </w:r>
    </w:p>
    <w:p w14:paraId="79A60312" w14:textId="77777777" w:rsidR="009C1E5C" w:rsidRPr="009C1E5C" w:rsidRDefault="009C1E5C" w:rsidP="009C1E5C">
      <w:pPr>
        <w:spacing w:line="360" w:lineRule="auto"/>
        <w:jc w:val="both"/>
        <w:rPr>
          <w:rFonts w:ascii="Arial" w:hAnsi="Arial" w:cs="Arial"/>
          <w:iCs/>
          <w:sz w:val="24"/>
          <w:szCs w:val="24"/>
        </w:rPr>
      </w:pPr>
      <w:r w:rsidRPr="009C1E5C">
        <w:rPr>
          <w:rFonts w:ascii="Arial" w:hAnsi="Arial" w:cs="Arial"/>
          <w:b/>
          <w:bCs/>
          <w:iCs/>
          <w:sz w:val="24"/>
          <w:szCs w:val="24"/>
        </w:rPr>
        <w:t>a. Sustainability Commitment</w:t>
      </w:r>
    </w:p>
    <w:p w14:paraId="70D0CAF0" w14:textId="77777777" w:rsidR="009C1E5C" w:rsidRPr="009C1E5C" w:rsidRDefault="009C1E5C" w:rsidP="009C1E5C">
      <w:pPr>
        <w:spacing w:line="360" w:lineRule="auto"/>
        <w:jc w:val="both"/>
        <w:rPr>
          <w:rFonts w:ascii="Arial" w:hAnsi="Arial" w:cs="Arial"/>
          <w:iCs/>
          <w:sz w:val="24"/>
          <w:szCs w:val="24"/>
        </w:rPr>
      </w:pPr>
      <w:r w:rsidRPr="009C1E5C">
        <w:rPr>
          <w:rFonts w:ascii="Arial" w:hAnsi="Arial" w:cs="Arial"/>
          <w:b/>
          <w:iCs/>
          <w:sz w:val="24"/>
          <w:szCs w:val="24"/>
        </w:rPr>
        <w:t>Recommendation:</w:t>
      </w:r>
      <w:r w:rsidRPr="009C1E5C">
        <w:rPr>
          <w:rFonts w:ascii="Arial" w:hAnsi="Arial" w:cs="Arial"/>
          <w:iCs/>
          <w:sz w:val="24"/>
          <w:szCs w:val="24"/>
        </w:rPr>
        <w:t xml:space="preserve"> Embrace environmental sustainability by incorporating eco-friendly design principles and striving for green certifications. This not only benefits the environment but also aligns with current market trends and values.</w:t>
      </w:r>
    </w:p>
    <w:p w14:paraId="15064DB4" w14:textId="77777777" w:rsidR="009C1E5C" w:rsidRPr="009C1E5C" w:rsidRDefault="009C1E5C" w:rsidP="009C1E5C">
      <w:pPr>
        <w:spacing w:line="360" w:lineRule="auto"/>
        <w:jc w:val="both"/>
        <w:rPr>
          <w:rFonts w:ascii="Arial" w:hAnsi="Arial" w:cs="Arial"/>
          <w:iCs/>
          <w:sz w:val="24"/>
          <w:szCs w:val="24"/>
        </w:rPr>
      </w:pPr>
      <w:r w:rsidRPr="009C1E5C">
        <w:rPr>
          <w:rFonts w:ascii="Arial" w:hAnsi="Arial" w:cs="Arial"/>
          <w:iCs/>
          <w:sz w:val="24"/>
          <w:szCs w:val="24"/>
        </w:rPr>
        <w:lastRenderedPageBreak/>
        <w:t xml:space="preserve">Companies in the IT sector should prioritize sustainability by adopting eco-friendly practices, using renewable energy sources, and striving for environmental certifications. Initiatives like Apple's commitment to 100% carbon-neutral products and Google's renewable energy purchasing are examples of the sector's dedication to sustainability </w:t>
      </w:r>
      <w:r w:rsidRPr="009C1E5C">
        <w:rPr>
          <w:rFonts w:ascii="Arial" w:hAnsi="Arial" w:cs="Arial"/>
          <w:sz w:val="24"/>
          <w:szCs w:val="24"/>
        </w:rPr>
        <w:t>(Cooney, 2020)</w:t>
      </w:r>
      <w:r w:rsidRPr="009C1E5C">
        <w:rPr>
          <w:rFonts w:ascii="Arial" w:hAnsi="Arial" w:cs="Arial"/>
          <w:iCs/>
          <w:sz w:val="24"/>
          <w:szCs w:val="24"/>
        </w:rPr>
        <w:t>.</w:t>
      </w:r>
    </w:p>
    <w:p w14:paraId="2DDFB740" w14:textId="77777777" w:rsidR="009C1E5C" w:rsidRPr="009C1E5C" w:rsidRDefault="009C1E5C" w:rsidP="009C1E5C">
      <w:pPr>
        <w:spacing w:line="360" w:lineRule="auto"/>
        <w:jc w:val="both"/>
        <w:rPr>
          <w:rFonts w:ascii="Arial" w:hAnsi="Arial" w:cs="Arial"/>
          <w:iCs/>
          <w:sz w:val="24"/>
          <w:szCs w:val="24"/>
        </w:rPr>
      </w:pPr>
      <w:r w:rsidRPr="009C1E5C">
        <w:rPr>
          <w:rFonts w:ascii="Arial" w:hAnsi="Arial" w:cs="Arial"/>
          <w:b/>
          <w:bCs/>
          <w:iCs/>
          <w:sz w:val="24"/>
          <w:szCs w:val="24"/>
        </w:rPr>
        <w:t>b. Community Integration:</w:t>
      </w:r>
    </w:p>
    <w:p w14:paraId="7A85E950" w14:textId="77777777" w:rsidR="009C1E5C" w:rsidRPr="009C1E5C" w:rsidRDefault="009C1E5C" w:rsidP="009C1E5C">
      <w:pPr>
        <w:spacing w:line="360" w:lineRule="auto"/>
        <w:jc w:val="both"/>
        <w:rPr>
          <w:rFonts w:ascii="Arial" w:hAnsi="Arial" w:cs="Arial"/>
          <w:iCs/>
          <w:sz w:val="24"/>
          <w:szCs w:val="24"/>
        </w:rPr>
      </w:pPr>
      <w:r w:rsidRPr="009C1E5C">
        <w:rPr>
          <w:rFonts w:ascii="Arial" w:hAnsi="Arial" w:cs="Arial"/>
          <w:b/>
          <w:iCs/>
          <w:sz w:val="24"/>
          <w:szCs w:val="24"/>
        </w:rPr>
        <w:t>Recommendation:</w:t>
      </w:r>
      <w:r w:rsidRPr="009C1E5C">
        <w:rPr>
          <w:rFonts w:ascii="Arial" w:hAnsi="Arial" w:cs="Arial"/>
          <w:iCs/>
          <w:sz w:val="24"/>
          <w:szCs w:val="24"/>
        </w:rPr>
        <w:t xml:space="preserve"> Actively engage with the local community and ensure that the project brings tangible benefits. This can include job opportunities, infrastructure improvements, or support for local businesses </w:t>
      </w:r>
      <w:r w:rsidRPr="009C1E5C">
        <w:rPr>
          <w:rFonts w:ascii="Arial" w:hAnsi="Arial" w:cs="Arial"/>
          <w:sz w:val="24"/>
          <w:szCs w:val="24"/>
        </w:rPr>
        <w:t>(Taws, 2019)</w:t>
      </w:r>
      <w:r w:rsidRPr="009C1E5C">
        <w:rPr>
          <w:rFonts w:ascii="Arial" w:hAnsi="Arial" w:cs="Arial"/>
          <w:iCs/>
          <w:sz w:val="24"/>
          <w:szCs w:val="24"/>
        </w:rPr>
        <w:t>.</w:t>
      </w:r>
    </w:p>
    <w:p w14:paraId="7E54A4CF" w14:textId="77777777" w:rsidR="009C1E5C" w:rsidRPr="009C1E5C" w:rsidRDefault="009C1E5C" w:rsidP="009C1E5C">
      <w:pPr>
        <w:spacing w:line="360" w:lineRule="auto"/>
        <w:jc w:val="both"/>
        <w:rPr>
          <w:rFonts w:ascii="Arial" w:hAnsi="Arial" w:cs="Arial"/>
          <w:iCs/>
          <w:sz w:val="24"/>
          <w:szCs w:val="24"/>
        </w:rPr>
      </w:pPr>
      <w:r w:rsidRPr="009C1E5C">
        <w:rPr>
          <w:rFonts w:ascii="Arial" w:hAnsi="Arial" w:cs="Arial"/>
          <w:iCs/>
          <w:sz w:val="24"/>
          <w:szCs w:val="24"/>
        </w:rPr>
        <w:t xml:space="preserve">Projects should actively seek ways to integrate with the local community, creating a win-win situation. Initiatives like Microsoft's Datacenter Community Development Agreement in Ireland highlight the positive impact of community integration </w:t>
      </w:r>
      <w:r w:rsidRPr="009C1E5C">
        <w:rPr>
          <w:rFonts w:ascii="Arial" w:hAnsi="Arial" w:cs="Arial"/>
          <w:sz w:val="24"/>
          <w:szCs w:val="24"/>
        </w:rPr>
        <w:t>(Braumann, 2020)</w:t>
      </w:r>
      <w:r w:rsidRPr="009C1E5C">
        <w:rPr>
          <w:rFonts w:ascii="Arial" w:hAnsi="Arial" w:cs="Arial"/>
          <w:iCs/>
          <w:sz w:val="24"/>
          <w:szCs w:val="24"/>
        </w:rPr>
        <w:t>.</w:t>
      </w:r>
    </w:p>
    <w:p w14:paraId="1043980E" w14:textId="77777777" w:rsidR="009C1E5C" w:rsidRPr="009C1E5C" w:rsidRDefault="009C1E5C" w:rsidP="009C1E5C">
      <w:pPr>
        <w:spacing w:line="360" w:lineRule="auto"/>
        <w:jc w:val="both"/>
        <w:rPr>
          <w:rFonts w:ascii="Arial" w:hAnsi="Arial" w:cs="Arial"/>
          <w:iCs/>
          <w:sz w:val="24"/>
          <w:szCs w:val="24"/>
        </w:rPr>
      </w:pPr>
      <w:r w:rsidRPr="009C1E5C">
        <w:rPr>
          <w:rFonts w:ascii="Arial" w:hAnsi="Arial" w:cs="Arial"/>
          <w:b/>
          <w:bCs/>
          <w:iCs/>
          <w:sz w:val="24"/>
          <w:szCs w:val="24"/>
        </w:rPr>
        <w:t>c. Risk Management</w:t>
      </w:r>
    </w:p>
    <w:p w14:paraId="0C2D187F" w14:textId="77777777" w:rsidR="009C1E5C" w:rsidRPr="009C1E5C" w:rsidRDefault="009C1E5C" w:rsidP="009C1E5C">
      <w:pPr>
        <w:spacing w:line="360" w:lineRule="auto"/>
        <w:jc w:val="both"/>
        <w:rPr>
          <w:rFonts w:ascii="Arial" w:hAnsi="Arial" w:cs="Arial"/>
          <w:iCs/>
          <w:sz w:val="24"/>
          <w:szCs w:val="24"/>
        </w:rPr>
      </w:pPr>
      <w:r w:rsidRPr="009C1E5C">
        <w:rPr>
          <w:rFonts w:ascii="Arial" w:hAnsi="Arial" w:cs="Arial"/>
          <w:b/>
          <w:iCs/>
          <w:sz w:val="24"/>
          <w:szCs w:val="24"/>
        </w:rPr>
        <w:t>Recommendation:</w:t>
      </w:r>
      <w:r w:rsidRPr="009C1E5C">
        <w:rPr>
          <w:rFonts w:ascii="Arial" w:hAnsi="Arial" w:cs="Arial"/>
          <w:iCs/>
          <w:sz w:val="24"/>
          <w:szCs w:val="24"/>
        </w:rPr>
        <w:t xml:space="preserve"> Develop comprehensive risk mitigation plans and flexible timelines to address unforeseen disruptions effectively. Proactive risk management is essential for project success.</w:t>
      </w:r>
    </w:p>
    <w:p w14:paraId="39117796" w14:textId="77777777" w:rsidR="009C1E5C" w:rsidRPr="009C1E5C" w:rsidRDefault="009C1E5C" w:rsidP="009C1E5C">
      <w:pPr>
        <w:spacing w:line="360" w:lineRule="auto"/>
        <w:jc w:val="both"/>
        <w:rPr>
          <w:rFonts w:ascii="Arial" w:hAnsi="Arial" w:cs="Arial"/>
          <w:iCs/>
          <w:sz w:val="24"/>
          <w:szCs w:val="24"/>
        </w:rPr>
      </w:pPr>
      <w:r w:rsidRPr="009C1E5C">
        <w:rPr>
          <w:rFonts w:ascii="Arial" w:hAnsi="Arial" w:cs="Arial"/>
          <w:iCs/>
          <w:sz w:val="24"/>
          <w:szCs w:val="24"/>
        </w:rPr>
        <w:t>Robust risk management should be a cornerstone of project planning. Preparing for unforeseen disruptions and having contingency plans in place is essential. The London Heathrow Terminal 5 project demonstrates the importance of proactive risk management.</w:t>
      </w:r>
    </w:p>
    <w:p w14:paraId="6E2578DA" w14:textId="77777777" w:rsidR="009C1E5C" w:rsidRPr="009C1E5C" w:rsidRDefault="009C1E5C" w:rsidP="009C1E5C">
      <w:pPr>
        <w:spacing w:line="360" w:lineRule="auto"/>
        <w:jc w:val="both"/>
        <w:rPr>
          <w:rFonts w:ascii="Arial" w:hAnsi="Arial" w:cs="Arial"/>
          <w:iCs/>
          <w:sz w:val="24"/>
          <w:szCs w:val="24"/>
        </w:rPr>
      </w:pPr>
      <w:r w:rsidRPr="009C1E5C">
        <w:rPr>
          <w:rFonts w:ascii="Arial" w:hAnsi="Arial" w:cs="Arial"/>
          <w:b/>
          <w:bCs/>
          <w:iCs/>
          <w:sz w:val="24"/>
          <w:szCs w:val="24"/>
        </w:rPr>
        <w:t>d. Budget Transparency</w:t>
      </w:r>
    </w:p>
    <w:p w14:paraId="2E9A285A" w14:textId="77777777" w:rsidR="009C1E5C" w:rsidRPr="009C1E5C" w:rsidRDefault="009C1E5C" w:rsidP="009C1E5C">
      <w:pPr>
        <w:spacing w:line="360" w:lineRule="auto"/>
        <w:jc w:val="both"/>
        <w:rPr>
          <w:rFonts w:ascii="Arial" w:hAnsi="Arial" w:cs="Arial"/>
          <w:iCs/>
          <w:sz w:val="24"/>
          <w:szCs w:val="24"/>
        </w:rPr>
      </w:pPr>
      <w:r w:rsidRPr="009C1E5C">
        <w:rPr>
          <w:rFonts w:ascii="Arial" w:hAnsi="Arial" w:cs="Arial"/>
          <w:b/>
          <w:iCs/>
          <w:sz w:val="24"/>
          <w:szCs w:val="24"/>
        </w:rPr>
        <w:t>Recommendation:</w:t>
      </w:r>
      <w:r w:rsidRPr="009C1E5C">
        <w:rPr>
          <w:rFonts w:ascii="Arial" w:hAnsi="Arial" w:cs="Arial"/>
          <w:iCs/>
          <w:sz w:val="24"/>
          <w:szCs w:val="24"/>
        </w:rPr>
        <w:t xml:space="preserve"> Provide detailed budget breakdowns and allocation to enable efficient resource planning and financial control. This transparency can prevent overspending and ensure cost-effective resource distribution </w:t>
      </w:r>
      <w:r w:rsidRPr="009C1E5C">
        <w:rPr>
          <w:rFonts w:ascii="Arial" w:hAnsi="Arial" w:cs="Arial"/>
          <w:sz w:val="24"/>
          <w:szCs w:val="24"/>
        </w:rPr>
        <w:t>(Amiri et al., 2022)</w:t>
      </w:r>
      <w:r w:rsidRPr="009C1E5C">
        <w:rPr>
          <w:rFonts w:ascii="Arial" w:hAnsi="Arial" w:cs="Arial"/>
          <w:iCs/>
          <w:sz w:val="24"/>
          <w:szCs w:val="24"/>
        </w:rPr>
        <w:t>.</w:t>
      </w:r>
    </w:p>
    <w:p w14:paraId="6B0AC090" w14:textId="77777777" w:rsidR="009C1E5C" w:rsidRPr="009C1E5C" w:rsidRDefault="009C1E5C" w:rsidP="009C1E5C">
      <w:pPr>
        <w:spacing w:line="360" w:lineRule="auto"/>
        <w:jc w:val="both"/>
        <w:rPr>
          <w:rFonts w:ascii="Arial" w:hAnsi="Arial" w:cs="Arial"/>
          <w:iCs/>
          <w:sz w:val="24"/>
          <w:szCs w:val="24"/>
        </w:rPr>
      </w:pPr>
      <w:r w:rsidRPr="009C1E5C">
        <w:rPr>
          <w:rFonts w:ascii="Arial" w:hAnsi="Arial" w:cs="Arial"/>
          <w:iCs/>
          <w:sz w:val="24"/>
          <w:szCs w:val="24"/>
        </w:rPr>
        <w:t>Transparency in budget management is vital. Detailed budget breakdowns help ensure cost-effective resource distribution. Amazon's HQ2 project in Arlington, Virginia, showcases transparent budget management in large-scale endeavors.</w:t>
      </w:r>
    </w:p>
    <w:p w14:paraId="168A332D" w14:textId="77777777" w:rsidR="009C1E5C" w:rsidRPr="009C1E5C" w:rsidRDefault="009C1E5C" w:rsidP="009C1E5C">
      <w:pPr>
        <w:spacing w:line="360" w:lineRule="auto"/>
        <w:jc w:val="both"/>
        <w:rPr>
          <w:rFonts w:ascii="Arial" w:hAnsi="Arial" w:cs="Arial"/>
          <w:iCs/>
          <w:sz w:val="24"/>
          <w:szCs w:val="24"/>
        </w:rPr>
      </w:pPr>
      <w:r w:rsidRPr="009C1E5C">
        <w:rPr>
          <w:rFonts w:ascii="Arial" w:hAnsi="Arial" w:cs="Arial"/>
          <w:b/>
          <w:bCs/>
          <w:iCs/>
          <w:sz w:val="24"/>
          <w:szCs w:val="24"/>
        </w:rPr>
        <w:lastRenderedPageBreak/>
        <w:t>e. Stakeholder Engagement</w:t>
      </w:r>
    </w:p>
    <w:p w14:paraId="4ED9F753" w14:textId="77777777" w:rsidR="009C1E5C" w:rsidRPr="009C1E5C" w:rsidRDefault="009C1E5C" w:rsidP="009C1E5C">
      <w:pPr>
        <w:spacing w:line="360" w:lineRule="auto"/>
        <w:jc w:val="both"/>
        <w:rPr>
          <w:rFonts w:ascii="Arial" w:hAnsi="Arial" w:cs="Arial"/>
          <w:iCs/>
          <w:sz w:val="24"/>
          <w:szCs w:val="24"/>
        </w:rPr>
      </w:pPr>
      <w:r w:rsidRPr="009C1E5C">
        <w:rPr>
          <w:rFonts w:ascii="Arial" w:hAnsi="Arial" w:cs="Arial"/>
          <w:b/>
          <w:iCs/>
          <w:sz w:val="24"/>
          <w:szCs w:val="24"/>
        </w:rPr>
        <w:t>Recommendation:</w:t>
      </w:r>
      <w:r w:rsidRPr="009C1E5C">
        <w:rPr>
          <w:rFonts w:ascii="Arial" w:hAnsi="Arial" w:cs="Arial"/>
          <w:iCs/>
          <w:sz w:val="24"/>
          <w:szCs w:val="24"/>
        </w:rPr>
        <w:t xml:space="preserve"> Prioritize effective stakeholder engagement, including the project owner, local community, government agencies, contractors, suppliers, and employees. Clear communication and addressing stakeholders' needs are key to success </w:t>
      </w:r>
      <w:r w:rsidRPr="009C1E5C">
        <w:rPr>
          <w:rFonts w:ascii="Arial" w:hAnsi="Arial" w:cs="Arial"/>
          <w:sz w:val="24"/>
          <w:szCs w:val="24"/>
        </w:rPr>
        <w:t>(Magassouba and Al Thunibat, 2020)</w:t>
      </w:r>
      <w:r w:rsidRPr="009C1E5C">
        <w:rPr>
          <w:rFonts w:ascii="Arial" w:hAnsi="Arial" w:cs="Arial"/>
          <w:iCs/>
          <w:sz w:val="24"/>
          <w:szCs w:val="24"/>
        </w:rPr>
        <w:t>.</w:t>
      </w:r>
    </w:p>
    <w:p w14:paraId="1AF20AEA" w14:textId="77777777" w:rsidR="009C1E5C" w:rsidRPr="009C1E5C" w:rsidRDefault="009C1E5C" w:rsidP="009C1E5C">
      <w:pPr>
        <w:spacing w:line="360" w:lineRule="auto"/>
        <w:jc w:val="both"/>
        <w:rPr>
          <w:rFonts w:ascii="Arial" w:hAnsi="Arial" w:cs="Arial"/>
          <w:iCs/>
          <w:sz w:val="24"/>
          <w:szCs w:val="24"/>
        </w:rPr>
      </w:pPr>
      <w:r w:rsidRPr="009C1E5C">
        <w:rPr>
          <w:rFonts w:ascii="Arial" w:hAnsi="Arial" w:cs="Arial"/>
          <w:iCs/>
          <w:sz w:val="24"/>
          <w:szCs w:val="24"/>
        </w:rPr>
        <w:t>Engaging stakeholders is a complex process that shouldn't be disregarded. Ensuring the success of a project requires prioritizing efficient communication and attending to the needs of all stakeholders. Stakeholder engagement is crucial in complex endeavours, as demonstrated by the lessons learned from the Panama Canal expansion project (Goodman and Powles, 2019).</w:t>
      </w:r>
    </w:p>
    <w:p w14:paraId="52996BBA" w14:textId="77777777" w:rsidR="009C1E5C" w:rsidRPr="009C1E5C" w:rsidRDefault="009C1E5C" w:rsidP="009C1E5C">
      <w:pPr>
        <w:spacing w:line="360" w:lineRule="auto"/>
        <w:jc w:val="both"/>
        <w:rPr>
          <w:rFonts w:ascii="Arial" w:hAnsi="Arial" w:cs="Arial"/>
          <w:iCs/>
          <w:sz w:val="24"/>
          <w:szCs w:val="24"/>
        </w:rPr>
      </w:pPr>
      <w:r w:rsidRPr="009C1E5C">
        <w:rPr>
          <w:rFonts w:ascii="Arial" w:hAnsi="Arial" w:cs="Arial"/>
          <w:iCs/>
          <w:sz w:val="24"/>
          <w:szCs w:val="24"/>
        </w:rPr>
        <w:t>Stakeholder engagement, budget transparency, risk management, sustainability, and community involvement are all emphasized in the recommendations. By putting these suggestions into practice, projects in the IT industry and elsewhere may become more influential and successful. By the time KGX1 is finished in 2024, it could revolutionize the industry and help create a more integrated and sustainable future (Braumann, 2020).</w:t>
      </w:r>
    </w:p>
    <w:p w14:paraId="62C6ABAA" w14:textId="77777777" w:rsidR="009C1E5C" w:rsidRPr="009C1E5C" w:rsidRDefault="009C1E5C" w:rsidP="009C1E5C">
      <w:pPr>
        <w:pStyle w:val="Heading1"/>
        <w:spacing w:line="360" w:lineRule="auto"/>
        <w:jc w:val="both"/>
        <w:rPr>
          <w:rFonts w:ascii="Arial" w:hAnsi="Arial" w:cs="Arial"/>
          <w:color w:val="auto"/>
          <w:sz w:val="24"/>
          <w:szCs w:val="24"/>
        </w:rPr>
      </w:pPr>
      <w:bookmarkStart w:id="2" w:name="_Toc150346645"/>
      <w:r w:rsidRPr="009C1E5C">
        <w:rPr>
          <w:rFonts w:ascii="Arial" w:hAnsi="Arial" w:cs="Arial"/>
          <w:color w:val="auto"/>
          <w:sz w:val="24"/>
          <w:szCs w:val="24"/>
        </w:rPr>
        <w:t>Conclusion</w:t>
      </w:r>
      <w:bookmarkEnd w:id="2"/>
    </w:p>
    <w:p w14:paraId="7AB48494" w14:textId="77777777" w:rsidR="009C1E5C" w:rsidRPr="009C1E5C" w:rsidRDefault="009C1E5C" w:rsidP="009C1E5C">
      <w:pPr>
        <w:spacing w:line="360" w:lineRule="auto"/>
        <w:jc w:val="both"/>
        <w:rPr>
          <w:rFonts w:ascii="Arial" w:hAnsi="Arial" w:cs="Arial"/>
          <w:sz w:val="24"/>
          <w:szCs w:val="24"/>
        </w:rPr>
      </w:pPr>
      <w:r w:rsidRPr="009C1E5C">
        <w:rPr>
          <w:rFonts w:ascii="Arial" w:hAnsi="Arial" w:cs="Arial"/>
          <w:sz w:val="24"/>
          <w:szCs w:val="24"/>
        </w:rPr>
        <w:t>In conclusion, the King's Cross, London-based Google KGX1 project has the potential to be a huge success for the UK's IT industry going forward. It sets a good example for the industry because it is in line with Google's commitment to innovation, sustainability, and community involvement. Its eventual success will, however, rely on several variables, such as its capacity to finish the project on schedule and its favourable effects on the neighbourhood.</w:t>
      </w:r>
    </w:p>
    <w:p w14:paraId="7A4F0A36" w14:textId="77777777" w:rsidR="009C1E5C" w:rsidRPr="009C1E5C" w:rsidRDefault="009C1E5C" w:rsidP="009C1E5C">
      <w:pPr>
        <w:spacing w:line="360" w:lineRule="auto"/>
        <w:jc w:val="both"/>
        <w:rPr>
          <w:rFonts w:ascii="Arial" w:hAnsi="Arial" w:cs="Arial"/>
          <w:sz w:val="24"/>
          <w:szCs w:val="24"/>
        </w:rPr>
      </w:pPr>
      <w:r w:rsidRPr="009C1E5C">
        <w:rPr>
          <w:rFonts w:ascii="Arial" w:hAnsi="Arial" w:cs="Arial"/>
          <w:sz w:val="24"/>
          <w:szCs w:val="24"/>
        </w:rPr>
        <w:t>The project emphasizes the significance of strong risk management, sustainability commitment, community integration, budget transparency, and stakeholder engagement, and it provides insightful lessons for future endeavours. Other projects can benefit from these lessons as well as be successful and have a positive impact on the environment, communities, and economies.</w:t>
      </w:r>
    </w:p>
    <w:p w14:paraId="4547C1E9" w14:textId="77777777" w:rsidR="009C1E5C" w:rsidRPr="009C1E5C" w:rsidRDefault="009C1E5C" w:rsidP="009C1E5C">
      <w:pPr>
        <w:spacing w:line="360" w:lineRule="auto"/>
        <w:jc w:val="both"/>
        <w:rPr>
          <w:rFonts w:ascii="Arial" w:hAnsi="Arial" w:cs="Arial"/>
          <w:sz w:val="24"/>
          <w:szCs w:val="24"/>
        </w:rPr>
      </w:pPr>
      <w:r w:rsidRPr="009C1E5C">
        <w:rPr>
          <w:rFonts w:ascii="Arial" w:hAnsi="Arial" w:cs="Arial"/>
          <w:sz w:val="24"/>
          <w:szCs w:val="24"/>
        </w:rPr>
        <w:lastRenderedPageBreak/>
        <w:t>It is advised that going forward, the IT industry and related sectors give sustainability a top priority by implementing eco-friendly procedures and pursuing green certifications. A primary goal should be community integration, with initiatives that actively support regional growth. Project planning should also include strong risk management, open budgeting, and efficient stakeholder engagement.</w:t>
      </w:r>
    </w:p>
    <w:p w14:paraId="6CE6F111" w14:textId="77777777" w:rsidR="009C1E5C" w:rsidRPr="009C1E5C" w:rsidRDefault="009C1E5C" w:rsidP="009C1E5C">
      <w:pPr>
        <w:spacing w:line="360" w:lineRule="auto"/>
        <w:jc w:val="both"/>
        <w:rPr>
          <w:rFonts w:ascii="Arial" w:hAnsi="Arial" w:cs="Arial"/>
          <w:sz w:val="24"/>
          <w:szCs w:val="24"/>
        </w:rPr>
      </w:pPr>
      <w:r w:rsidRPr="009C1E5C">
        <w:rPr>
          <w:rFonts w:ascii="Arial" w:hAnsi="Arial" w:cs="Arial"/>
          <w:sz w:val="24"/>
          <w:szCs w:val="24"/>
        </w:rPr>
        <w:t>Future projects can emulate KGX1's success by adopting these lessons and recommendations, helping to shape an innovative, sustainable, and community-focused future for the UK's IT industry. As KGX1 nears completion in 2024, it presents itself as a possible example of transformative success, establishing a standard for initiatives that prioritize economic growth, environmental responsibility, and peaceful community relations.</w:t>
      </w:r>
    </w:p>
    <w:p w14:paraId="72BB08D1" w14:textId="77777777" w:rsidR="009C1E5C" w:rsidRPr="009C1E5C" w:rsidRDefault="009C1E5C" w:rsidP="009C1E5C">
      <w:pPr>
        <w:spacing w:line="360" w:lineRule="auto"/>
        <w:jc w:val="both"/>
        <w:rPr>
          <w:rFonts w:ascii="Arial" w:hAnsi="Arial" w:cs="Arial"/>
          <w:sz w:val="24"/>
          <w:szCs w:val="24"/>
        </w:rPr>
      </w:pPr>
      <w:r w:rsidRPr="009C1E5C">
        <w:rPr>
          <w:rFonts w:ascii="Arial" w:hAnsi="Arial" w:cs="Arial"/>
          <w:sz w:val="24"/>
          <w:szCs w:val="24"/>
        </w:rPr>
        <w:br w:type="page"/>
      </w:r>
    </w:p>
    <w:p w14:paraId="0C4E2CA5" w14:textId="77777777" w:rsidR="009C1E5C" w:rsidRDefault="009C1E5C" w:rsidP="00E95C5C">
      <w:pPr>
        <w:pStyle w:val="Heading1"/>
        <w:spacing w:line="360" w:lineRule="auto"/>
        <w:ind w:left="720" w:hanging="720"/>
        <w:jc w:val="center"/>
        <w:rPr>
          <w:rFonts w:ascii="Arial" w:hAnsi="Arial" w:cs="Arial"/>
          <w:color w:val="auto"/>
          <w:sz w:val="24"/>
          <w:szCs w:val="24"/>
        </w:rPr>
      </w:pPr>
      <w:bookmarkStart w:id="3" w:name="_Toc150346646"/>
      <w:r w:rsidRPr="009C1E5C">
        <w:rPr>
          <w:rFonts w:ascii="Arial" w:hAnsi="Arial" w:cs="Arial"/>
          <w:color w:val="auto"/>
          <w:sz w:val="24"/>
          <w:szCs w:val="24"/>
        </w:rPr>
        <w:lastRenderedPageBreak/>
        <w:t>References</w:t>
      </w:r>
      <w:bookmarkEnd w:id="3"/>
    </w:p>
    <w:p w14:paraId="06F135EA" w14:textId="77777777" w:rsidR="00E95C5C" w:rsidRPr="00E95C5C" w:rsidRDefault="00E95C5C" w:rsidP="00E95C5C"/>
    <w:p w14:paraId="2E136D04" w14:textId="35294E37" w:rsidR="009C1E5C" w:rsidRPr="00317F07" w:rsidRDefault="009C1E5C" w:rsidP="00317F07">
      <w:pPr>
        <w:spacing w:line="360" w:lineRule="auto"/>
        <w:ind w:left="720" w:hanging="720"/>
        <w:rPr>
          <w:rFonts w:ascii="Arial" w:hAnsi="Arial" w:cs="Arial"/>
          <w:sz w:val="24"/>
        </w:rPr>
      </w:pPr>
      <w:r w:rsidRPr="009C1E5C">
        <w:rPr>
          <w:rFonts w:ascii="Arial" w:hAnsi="Arial" w:cs="Arial"/>
          <w:sz w:val="24"/>
          <w:szCs w:val="24"/>
        </w:rPr>
        <w:t>Allam, H. and Akre, V., 2021, March. A Proposed Model for IT Project Success Factors. In 2021 International Conference on Computational Intelligence and Knowledge Economy (ICCIKE) (pp. 132-136). IEEE.</w:t>
      </w:r>
      <w:r w:rsidR="00317F07">
        <w:rPr>
          <w:rFonts w:ascii="Arial" w:hAnsi="Arial" w:cs="Arial"/>
          <w:sz w:val="24"/>
          <w:szCs w:val="24"/>
        </w:rPr>
        <w:t xml:space="preserve"> </w:t>
      </w:r>
      <w:r w:rsidR="00317F07">
        <w:rPr>
          <w:rFonts w:ascii="Arial" w:hAnsi="Arial" w:cs="Arial"/>
          <w:sz w:val="24"/>
        </w:rPr>
        <w:t>Available at:</w:t>
      </w:r>
      <w:r w:rsidR="00745BDA">
        <w:rPr>
          <w:rFonts w:ascii="Arial" w:hAnsi="Arial" w:cs="Arial"/>
          <w:sz w:val="24"/>
        </w:rPr>
        <w:t xml:space="preserve"> </w:t>
      </w:r>
      <w:r w:rsidR="00745BDA" w:rsidRPr="00745BDA">
        <w:rPr>
          <w:rFonts w:ascii="Arial" w:hAnsi="Arial" w:cs="Arial"/>
          <w:sz w:val="24"/>
        </w:rPr>
        <w:t>https://ieeexplore.ieee.org/abstract/document/9410710/</w:t>
      </w:r>
      <w:r w:rsidR="00745BDA">
        <w:rPr>
          <w:rFonts w:ascii="Arial" w:hAnsi="Arial" w:cs="Arial"/>
          <w:sz w:val="24"/>
        </w:rPr>
        <w:t>.</w:t>
      </w:r>
      <w:r w:rsidR="00745BDA" w:rsidRPr="00745BDA">
        <w:rPr>
          <w:rFonts w:ascii="Arial" w:hAnsi="Arial" w:cs="Arial"/>
          <w:sz w:val="24"/>
        </w:rPr>
        <w:t xml:space="preserve"> </w:t>
      </w:r>
      <w:r w:rsidR="00317F07">
        <w:rPr>
          <w:rFonts w:ascii="Arial" w:hAnsi="Arial" w:cs="Arial"/>
          <w:sz w:val="24"/>
        </w:rPr>
        <w:t>(Accessed on: 16/12/2023).</w:t>
      </w:r>
    </w:p>
    <w:p w14:paraId="3A49F956" w14:textId="50C7FDD4" w:rsidR="009C1E5C" w:rsidRPr="009C1E5C" w:rsidRDefault="009C1E5C" w:rsidP="00E95C5C">
      <w:pPr>
        <w:spacing w:line="360" w:lineRule="auto"/>
        <w:ind w:left="720" w:hanging="720"/>
        <w:jc w:val="both"/>
        <w:rPr>
          <w:rFonts w:ascii="Arial" w:hAnsi="Arial" w:cs="Arial"/>
          <w:sz w:val="24"/>
          <w:szCs w:val="24"/>
        </w:rPr>
      </w:pPr>
      <w:r w:rsidRPr="009C1E5C">
        <w:rPr>
          <w:rFonts w:ascii="Arial" w:hAnsi="Arial" w:cs="Arial"/>
          <w:sz w:val="24"/>
          <w:szCs w:val="24"/>
        </w:rPr>
        <w:t xml:space="preserve">Amiri, S., King, D.R. and Duesing, R.J., 2022. Managing divestments as projects: Benefits of stakeholder orientation. International Journal of Project Management, 40(4), pp.385-397. </w:t>
      </w:r>
      <w:r w:rsidR="00317F07">
        <w:rPr>
          <w:rFonts w:ascii="Arial" w:hAnsi="Arial" w:cs="Arial"/>
          <w:sz w:val="24"/>
        </w:rPr>
        <w:t>Available at:</w:t>
      </w:r>
      <w:r w:rsidR="00BA5441">
        <w:rPr>
          <w:rFonts w:ascii="Arial" w:hAnsi="Arial" w:cs="Arial"/>
          <w:sz w:val="24"/>
        </w:rPr>
        <w:t xml:space="preserve"> </w:t>
      </w:r>
      <w:r w:rsidR="00BA5441" w:rsidRPr="00BA5441">
        <w:rPr>
          <w:rFonts w:ascii="Arial" w:hAnsi="Arial" w:cs="Arial"/>
          <w:sz w:val="24"/>
        </w:rPr>
        <w:t>https://www.sciencedirect.com/science/article/abs/pii/S0263786322000461</w:t>
      </w:r>
      <w:r w:rsidR="00BA5441">
        <w:rPr>
          <w:rFonts w:ascii="Arial" w:hAnsi="Arial" w:cs="Arial"/>
          <w:sz w:val="24"/>
        </w:rPr>
        <w:t>.</w:t>
      </w:r>
      <w:r w:rsidR="00BA5441" w:rsidRPr="00BA5441">
        <w:rPr>
          <w:rFonts w:ascii="Arial" w:hAnsi="Arial" w:cs="Arial"/>
          <w:sz w:val="24"/>
        </w:rPr>
        <w:t xml:space="preserve"> </w:t>
      </w:r>
      <w:r w:rsidR="00BA5441">
        <w:rPr>
          <w:rFonts w:ascii="Arial" w:hAnsi="Arial" w:cs="Arial"/>
          <w:sz w:val="24"/>
        </w:rPr>
        <w:t xml:space="preserve"> </w:t>
      </w:r>
      <w:r w:rsidR="00317F07">
        <w:rPr>
          <w:rFonts w:ascii="Arial" w:hAnsi="Arial" w:cs="Arial"/>
          <w:sz w:val="24"/>
        </w:rPr>
        <w:t>(Accessed on: 16/12/2023).</w:t>
      </w:r>
    </w:p>
    <w:p w14:paraId="42EF2BA3" w14:textId="61F5B6C8" w:rsidR="009C1E5C" w:rsidRPr="009C1E5C" w:rsidRDefault="009C1E5C" w:rsidP="00E95C5C">
      <w:pPr>
        <w:spacing w:line="360" w:lineRule="auto"/>
        <w:ind w:left="720" w:hanging="720"/>
        <w:jc w:val="both"/>
        <w:rPr>
          <w:rFonts w:ascii="Arial" w:hAnsi="Arial" w:cs="Arial"/>
          <w:sz w:val="24"/>
          <w:szCs w:val="24"/>
        </w:rPr>
      </w:pPr>
      <w:r w:rsidRPr="009C1E5C">
        <w:rPr>
          <w:rFonts w:ascii="Arial" w:hAnsi="Arial" w:cs="Arial"/>
          <w:sz w:val="24"/>
          <w:szCs w:val="24"/>
        </w:rPr>
        <w:t xml:space="preserve">Braumann, A., 2020. Amazon’s HQ2 site selection criteria: The new ‘gold standard’in FDI decision-making. Urban Planning, 5(3), pp.403-417. </w:t>
      </w:r>
      <w:r w:rsidR="00317F07">
        <w:rPr>
          <w:rFonts w:ascii="Arial" w:hAnsi="Arial" w:cs="Arial"/>
          <w:sz w:val="24"/>
        </w:rPr>
        <w:t>Available at:</w:t>
      </w:r>
      <w:r w:rsidR="00BA5441">
        <w:rPr>
          <w:rFonts w:ascii="Arial" w:hAnsi="Arial" w:cs="Arial"/>
          <w:sz w:val="24"/>
        </w:rPr>
        <w:t xml:space="preserve"> </w:t>
      </w:r>
      <w:r w:rsidR="00BA5441" w:rsidRPr="00BA5441">
        <w:rPr>
          <w:rFonts w:ascii="Arial" w:hAnsi="Arial" w:cs="Arial"/>
          <w:sz w:val="24"/>
        </w:rPr>
        <w:t>https://www.cogitatiopress.com/urbanplanning/article/view/3207</w:t>
      </w:r>
      <w:r w:rsidR="00BA5441">
        <w:rPr>
          <w:rFonts w:ascii="Arial" w:hAnsi="Arial" w:cs="Arial"/>
          <w:sz w:val="24"/>
        </w:rPr>
        <w:t xml:space="preserve">. </w:t>
      </w:r>
      <w:r w:rsidR="00317F07">
        <w:rPr>
          <w:rFonts w:ascii="Arial" w:hAnsi="Arial" w:cs="Arial"/>
          <w:sz w:val="24"/>
        </w:rPr>
        <w:t>(Accessed on: 16/12/2023).</w:t>
      </w:r>
    </w:p>
    <w:p w14:paraId="6C69EC6C" w14:textId="35808EE5" w:rsidR="009C1E5C" w:rsidRPr="009C1E5C" w:rsidRDefault="009C1E5C" w:rsidP="00E95C5C">
      <w:pPr>
        <w:spacing w:line="360" w:lineRule="auto"/>
        <w:ind w:left="720" w:hanging="720"/>
        <w:jc w:val="both"/>
        <w:rPr>
          <w:rFonts w:ascii="Arial" w:hAnsi="Arial" w:cs="Arial"/>
          <w:sz w:val="24"/>
          <w:szCs w:val="24"/>
        </w:rPr>
      </w:pPr>
      <w:r w:rsidRPr="009C1E5C">
        <w:rPr>
          <w:rFonts w:ascii="Arial" w:hAnsi="Arial" w:cs="Arial"/>
          <w:sz w:val="24"/>
          <w:szCs w:val="24"/>
        </w:rPr>
        <w:t xml:space="preserve">Cooney, R.C., 2020. Project success criteria and project success factors in information technology projects. In Academy of Management Proceedings (Vol. 2020, No. 1, p. 20687). Briarcliff Manor, NY 10510: Academy of Management. </w:t>
      </w:r>
      <w:r w:rsidR="00317F07">
        <w:rPr>
          <w:rFonts w:ascii="Arial" w:hAnsi="Arial" w:cs="Arial"/>
          <w:sz w:val="24"/>
        </w:rPr>
        <w:t>Available at:</w:t>
      </w:r>
      <w:r w:rsidR="00BA5441">
        <w:rPr>
          <w:rFonts w:ascii="Arial" w:hAnsi="Arial" w:cs="Arial"/>
          <w:sz w:val="24"/>
        </w:rPr>
        <w:t xml:space="preserve"> </w:t>
      </w:r>
      <w:r w:rsidR="00BA5441" w:rsidRPr="00BA5441">
        <w:rPr>
          <w:rFonts w:ascii="Arial" w:hAnsi="Arial" w:cs="Arial"/>
          <w:sz w:val="24"/>
        </w:rPr>
        <w:t>https://journals.aom.org/doi/abs/10.5465/AMBPP.2020.20687abstract</w:t>
      </w:r>
      <w:r w:rsidR="00BA5441">
        <w:rPr>
          <w:rFonts w:ascii="Arial" w:hAnsi="Arial" w:cs="Arial"/>
          <w:sz w:val="24"/>
        </w:rPr>
        <w:t>.</w:t>
      </w:r>
      <w:r w:rsidR="00BA5441" w:rsidRPr="00BA5441">
        <w:rPr>
          <w:rFonts w:ascii="Arial" w:hAnsi="Arial" w:cs="Arial"/>
          <w:sz w:val="24"/>
        </w:rPr>
        <w:t xml:space="preserve"> </w:t>
      </w:r>
      <w:r w:rsidR="00317F07">
        <w:rPr>
          <w:rFonts w:ascii="Arial" w:hAnsi="Arial" w:cs="Arial"/>
          <w:sz w:val="24"/>
        </w:rPr>
        <w:t>(Accessed on: 16/12/2023).</w:t>
      </w:r>
    </w:p>
    <w:p w14:paraId="369FCDC4" w14:textId="2D670A04" w:rsidR="009C1E5C" w:rsidRPr="009C1E5C" w:rsidRDefault="009C1E5C" w:rsidP="00E95C5C">
      <w:pPr>
        <w:spacing w:line="360" w:lineRule="auto"/>
        <w:ind w:left="720" w:hanging="720"/>
        <w:jc w:val="both"/>
        <w:rPr>
          <w:rFonts w:ascii="Arial" w:hAnsi="Arial" w:cs="Arial"/>
          <w:sz w:val="24"/>
          <w:szCs w:val="24"/>
        </w:rPr>
      </w:pPr>
      <w:r w:rsidRPr="009C1E5C">
        <w:rPr>
          <w:rFonts w:ascii="Arial" w:hAnsi="Arial" w:cs="Arial"/>
          <w:sz w:val="24"/>
          <w:szCs w:val="24"/>
        </w:rPr>
        <w:t xml:space="preserve">Goodman, E.P. and Powles, J., 2019. Urbanism under google: lessons from sidewalk Toronto. Fordham L. Rev., 88, p.457. </w:t>
      </w:r>
      <w:r w:rsidR="00317F07">
        <w:rPr>
          <w:rFonts w:ascii="Arial" w:hAnsi="Arial" w:cs="Arial"/>
          <w:sz w:val="24"/>
        </w:rPr>
        <w:t>Available at:</w:t>
      </w:r>
      <w:r w:rsidR="00BA5441">
        <w:rPr>
          <w:rFonts w:ascii="Arial" w:hAnsi="Arial" w:cs="Arial"/>
          <w:sz w:val="24"/>
        </w:rPr>
        <w:t xml:space="preserve"> </w:t>
      </w:r>
      <w:r w:rsidR="00BA5441" w:rsidRPr="00BA5441">
        <w:rPr>
          <w:rFonts w:ascii="Arial" w:hAnsi="Arial" w:cs="Arial"/>
          <w:sz w:val="24"/>
        </w:rPr>
        <w:t>https://heinonline.org/HOL/LandingPage?handle=hein.journals/flr88&amp;div=19&amp;id=&amp;page=</w:t>
      </w:r>
      <w:r w:rsidR="00BA5441">
        <w:rPr>
          <w:rFonts w:ascii="Arial" w:hAnsi="Arial" w:cs="Arial"/>
          <w:sz w:val="24"/>
        </w:rPr>
        <w:t>.</w:t>
      </w:r>
      <w:r w:rsidR="00BA5441" w:rsidRPr="00BA5441">
        <w:rPr>
          <w:rFonts w:ascii="Arial" w:hAnsi="Arial" w:cs="Arial"/>
          <w:sz w:val="24"/>
        </w:rPr>
        <w:t xml:space="preserve"> </w:t>
      </w:r>
      <w:r w:rsidR="00317F07">
        <w:rPr>
          <w:rFonts w:ascii="Arial" w:hAnsi="Arial" w:cs="Arial"/>
          <w:sz w:val="24"/>
        </w:rPr>
        <w:t>(Accessed on: 16/12/2023).</w:t>
      </w:r>
    </w:p>
    <w:p w14:paraId="2BA5ACA6" w14:textId="04BB3752" w:rsidR="009C1E5C" w:rsidRPr="009C1E5C" w:rsidRDefault="009C1E5C" w:rsidP="00E95C5C">
      <w:pPr>
        <w:spacing w:line="360" w:lineRule="auto"/>
        <w:ind w:left="720" w:hanging="720"/>
        <w:jc w:val="both"/>
        <w:rPr>
          <w:rFonts w:ascii="Arial" w:hAnsi="Arial" w:cs="Arial"/>
          <w:sz w:val="24"/>
          <w:szCs w:val="24"/>
        </w:rPr>
      </w:pPr>
      <w:r w:rsidRPr="009C1E5C">
        <w:rPr>
          <w:rFonts w:ascii="Arial" w:hAnsi="Arial" w:cs="Arial"/>
          <w:sz w:val="24"/>
          <w:szCs w:val="24"/>
        </w:rPr>
        <w:t xml:space="preserve">Kumar, B.R., 2022. Case 15: Panama Canal Expansion. In Project Finance: Structuring, Valuation and Risk Management for Major Projects (pp. 177-181). Cham: Springer International Publishing. </w:t>
      </w:r>
      <w:r w:rsidR="00317F07">
        <w:rPr>
          <w:rFonts w:ascii="Arial" w:hAnsi="Arial" w:cs="Arial"/>
          <w:sz w:val="24"/>
        </w:rPr>
        <w:t>Available at:</w:t>
      </w:r>
      <w:r w:rsidR="00BA5441">
        <w:rPr>
          <w:rFonts w:ascii="Arial" w:hAnsi="Arial" w:cs="Arial"/>
          <w:sz w:val="24"/>
        </w:rPr>
        <w:t xml:space="preserve"> </w:t>
      </w:r>
      <w:r w:rsidR="00BA5441" w:rsidRPr="00BA5441">
        <w:rPr>
          <w:rFonts w:ascii="Arial" w:hAnsi="Arial" w:cs="Arial"/>
          <w:sz w:val="24"/>
        </w:rPr>
        <w:lastRenderedPageBreak/>
        <w:t>https://link.springer.com/chapter/10.1007/978-3-030-96725-3_19</w:t>
      </w:r>
      <w:r w:rsidR="00BA5441">
        <w:rPr>
          <w:rFonts w:ascii="Arial" w:hAnsi="Arial" w:cs="Arial"/>
          <w:sz w:val="24"/>
        </w:rPr>
        <w:t xml:space="preserve">. </w:t>
      </w:r>
      <w:r w:rsidR="00317F07">
        <w:rPr>
          <w:rFonts w:ascii="Arial" w:hAnsi="Arial" w:cs="Arial"/>
          <w:sz w:val="24"/>
        </w:rPr>
        <w:t>(Accessed on: 16/12/2023).</w:t>
      </w:r>
    </w:p>
    <w:p w14:paraId="0DDD2AFC" w14:textId="23D01BBE" w:rsidR="009C1E5C" w:rsidRPr="009C1E5C" w:rsidRDefault="009C1E5C" w:rsidP="00E95C5C">
      <w:pPr>
        <w:spacing w:line="360" w:lineRule="auto"/>
        <w:ind w:left="720" w:hanging="720"/>
        <w:jc w:val="both"/>
        <w:rPr>
          <w:rFonts w:ascii="Arial" w:hAnsi="Arial" w:cs="Arial"/>
          <w:sz w:val="24"/>
          <w:szCs w:val="24"/>
        </w:rPr>
      </w:pPr>
      <w:r w:rsidRPr="009C1E5C">
        <w:rPr>
          <w:rFonts w:ascii="Arial" w:hAnsi="Arial" w:cs="Arial"/>
          <w:sz w:val="24"/>
          <w:szCs w:val="24"/>
        </w:rPr>
        <w:t xml:space="preserve">Magassouba, S.M. and Al Thunibat, M.O., 2020. Assessing the Influence of Project Success Factors (PSFs) on Project Performance among Organizations. Glob. J. Manag. Bus. Res, 20. </w:t>
      </w:r>
      <w:r w:rsidR="00317F07">
        <w:rPr>
          <w:rFonts w:ascii="Arial" w:hAnsi="Arial" w:cs="Arial"/>
          <w:sz w:val="24"/>
        </w:rPr>
        <w:t>Available at:</w:t>
      </w:r>
      <w:r w:rsidR="00BA5441">
        <w:rPr>
          <w:rFonts w:ascii="Arial" w:hAnsi="Arial" w:cs="Arial"/>
          <w:sz w:val="24"/>
        </w:rPr>
        <w:t xml:space="preserve"> </w:t>
      </w:r>
      <w:r w:rsidR="00BA5441" w:rsidRPr="00BA5441">
        <w:rPr>
          <w:rFonts w:ascii="Arial" w:hAnsi="Arial" w:cs="Arial"/>
          <w:sz w:val="24"/>
        </w:rPr>
        <w:t>https://www.researchgate.net/profile/Mohammad-Althunibat/publication/344501071_Assessing_the_Influence_of_Project_Success_Factors_PSFs_on_Project_Performance_among_Organizations/links/5f7ceb92458515b7cf6c513d/Assessing-the-Influence-of-Project-Success-Factors-PSFs-on-Project-Performance-among-Organizations.pdf</w:t>
      </w:r>
      <w:r w:rsidR="00BA5441">
        <w:rPr>
          <w:rFonts w:ascii="Arial" w:hAnsi="Arial" w:cs="Arial"/>
          <w:sz w:val="24"/>
        </w:rPr>
        <w:t>.</w:t>
      </w:r>
      <w:r w:rsidR="00BA5441" w:rsidRPr="00BA5441">
        <w:rPr>
          <w:rFonts w:ascii="Arial" w:hAnsi="Arial" w:cs="Arial"/>
          <w:sz w:val="24"/>
        </w:rPr>
        <w:t xml:space="preserve"> </w:t>
      </w:r>
      <w:r w:rsidR="00317F07">
        <w:rPr>
          <w:rFonts w:ascii="Arial" w:hAnsi="Arial" w:cs="Arial"/>
          <w:sz w:val="24"/>
        </w:rPr>
        <w:t>(Accessed on: 16/12/2023).</w:t>
      </w:r>
    </w:p>
    <w:p w14:paraId="78C6AE61" w14:textId="2CAA0CF5" w:rsidR="009C1E5C" w:rsidRPr="009C1E5C" w:rsidRDefault="009C1E5C" w:rsidP="00E95C5C">
      <w:pPr>
        <w:spacing w:line="360" w:lineRule="auto"/>
        <w:ind w:left="720" w:hanging="720"/>
        <w:jc w:val="both"/>
        <w:rPr>
          <w:rFonts w:ascii="Arial" w:hAnsi="Arial" w:cs="Arial"/>
          <w:sz w:val="24"/>
          <w:szCs w:val="24"/>
        </w:rPr>
      </w:pPr>
      <w:r w:rsidRPr="009C1E5C">
        <w:rPr>
          <w:rFonts w:ascii="Arial" w:hAnsi="Arial" w:cs="Arial"/>
          <w:sz w:val="24"/>
          <w:szCs w:val="24"/>
        </w:rPr>
        <w:t>Ojo, A.O. and Fauzi, M.A., 2020. Environmental awareness and leadership commitment as determinants of IT professionals</w:t>
      </w:r>
      <w:r w:rsidR="00754B47">
        <w:rPr>
          <w:rFonts w:ascii="Arial" w:hAnsi="Arial" w:cs="Arial"/>
          <w:sz w:val="24"/>
          <w:szCs w:val="24"/>
        </w:rPr>
        <w:t xml:space="preserve"> </w:t>
      </w:r>
      <w:r w:rsidRPr="009C1E5C">
        <w:rPr>
          <w:rFonts w:ascii="Arial" w:hAnsi="Arial" w:cs="Arial"/>
          <w:sz w:val="24"/>
          <w:szCs w:val="24"/>
        </w:rPr>
        <w:t xml:space="preserve">engagement in Green IT practices for environmental performance. Sustainable Production and Consumption, 24, pp.298-307. </w:t>
      </w:r>
      <w:r w:rsidR="00317F07">
        <w:rPr>
          <w:rFonts w:ascii="Arial" w:hAnsi="Arial" w:cs="Arial"/>
          <w:sz w:val="24"/>
        </w:rPr>
        <w:t>Available at:</w:t>
      </w:r>
      <w:r w:rsidR="00BA5441">
        <w:rPr>
          <w:rFonts w:ascii="Arial" w:hAnsi="Arial" w:cs="Arial"/>
          <w:sz w:val="24"/>
        </w:rPr>
        <w:t xml:space="preserve"> </w:t>
      </w:r>
      <w:r w:rsidR="00BA5441" w:rsidRPr="00BA5441">
        <w:rPr>
          <w:rFonts w:ascii="Arial" w:hAnsi="Arial" w:cs="Arial"/>
          <w:sz w:val="24"/>
        </w:rPr>
        <w:t>https://www.sciencedirect.com/science/article/abs/pii/S2352550920302918</w:t>
      </w:r>
      <w:r w:rsidR="00BA5441">
        <w:rPr>
          <w:rFonts w:ascii="Arial" w:hAnsi="Arial" w:cs="Arial"/>
          <w:sz w:val="24"/>
        </w:rPr>
        <w:t xml:space="preserve">.  </w:t>
      </w:r>
      <w:r w:rsidR="00317F07">
        <w:rPr>
          <w:rFonts w:ascii="Arial" w:hAnsi="Arial" w:cs="Arial"/>
          <w:sz w:val="24"/>
        </w:rPr>
        <w:t>(Accessed on: 16/12/2023).</w:t>
      </w:r>
    </w:p>
    <w:p w14:paraId="791CBF36" w14:textId="2CF0140D" w:rsidR="009C1E5C" w:rsidRPr="009C1E5C" w:rsidRDefault="009C1E5C" w:rsidP="00E95C5C">
      <w:pPr>
        <w:spacing w:line="360" w:lineRule="auto"/>
        <w:ind w:left="720" w:hanging="720"/>
        <w:jc w:val="both"/>
        <w:rPr>
          <w:rFonts w:ascii="Arial" w:hAnsi="Arial" w:cs="Arial"/>
          <w:sz w:val="24"/>
          <w:szCs w:val="24"/>
        </w:rPr>
      </w:pPr>
      <w:r w:rsidRPr="009C1E5C">
        <w:rPr>
          <w:rFonts w:ascii="Arial" w:hAnsi="Arial" w:cs="Arial"/>
          <w:sz w:val="24"/>
          <w:szCs w:val="24"/>
        </w:rPr>
        <w:t xml:space="preserve">Silvius, G. and Schipper, R., 2019. Planning project stakeholder engagement from a sustainable development perspective. Administrative Sciences, 9(2), p.46. </w:t>
      </w:r>
      <w:r w:rsidR="00317F07">
        <w:rPr>
          <w:rFonts w:ascii="Arial" w:hAnsi="Arial" w:cs="Arial"/>
          <w:sz w:val="24"/>
        </w:rPr>
        <w:t>Available at</w:t>
      </w:r>
      <w:r w:rsidR="00BA5441">
        <w:rPr>
          <w:rFonts w:ascii="Arial" w:hAnsi="Arial" w:cs="Arial"/>
          <w:sz w:val="24"/>
        </w:rPr>
        <w:t xml:space="preserve">: </w:t>
      </w:r>
      <w:r w:rsidR="00BA5441" w:rsidRPr="00BA5441">
        <w:rPr>
          <w:rFonts w:ascii="Arial" w:hAnsi="Arial" w:cs="Arial"/>
          <w:sz w:val="24"/>
        </w:rPr>
        <w:t>https://www.mdpi.com/2076-3387/9/2/46</w:t>
      </w:r>
      <w:r w:rsidR="00BA5441">
        <w:rPr>
          <w:rFonts w:ascii="Arial" w:hAnsi="Arial" w:cs="Arial"/>
          <w:sz w:val="24"/>
        </w:rPr>
        <w:t>.</w:t>
      </w:r>
      <w:r w:rsidR="00BA5441" w:rsidRPr="00BA5441">
        <w:rPr>
          <w:rFonts w:ascii="Arial" w:hAnsi="Arial" w:cs="Arial"/>
          <w:sz w:val="24"/>
        </w:rPr>
        <w:t xml:space="preserve"> </w:t>
      </w:r>
      <w:r w:rsidR="00317F07">
        <w:rPr>
          <w:rFonts w:ascii="Arial" w:hAnsi="Arial" w:cs="Arial"/>
          <w:sz w:val="24"/>
        </w:rPr>
        <w:t>(Accessed on: 16/12/2023).</w:t>
      </w:r>
    </w:p>
    <w:p w14:paraId="5EE0841C" w14:textId="4453E70C" w:rsidR="009C1E5C" w:rsidRPr="009C1E5C" w:rsidRDefault="009C1E5C" w:rsidP="00E95C5C">
      <w:pPr>
        <w:spacing w:line="360" w:lineRule="auto"/>
        <w:ind w:left="720" w:hanging="720"/>
        <w:jc w:val="both"/>
        <w:rPr>
          <w:rFonts w:ascii="Arial" w:hAnsi="Arial" w:cs="Arial"/>
          <w:sz w:val="24"/>
          <w:szCs w:val="24"/>
        </w:rPr>
      </w:pPr>
      <w:r w:rsidRPr="009C1E5C">
        <w:rPr>
          <w:rFonts w:ascii="Arial" w:hAnsi="Arial" w:cs="Arial"/>
          <w:sz w:val="24"/>
          <w:szCs w:val="24"/>
        </w:rPr>
        <w:t xml:space="preserve">Taws, R., 2019. At King's Cross Amalia Pica’s ‘Semaphores’. London Review of Books, 41(20), p.16. </w:t>
      </w:r>
      <w:r w:rsidR="00317F07">
        <w:rPr>
          <w:rFonts w:ascii="Arial" w:hAnsi="Arial" w:cs="Arial"/>
          <w:sz w:val="24"/>
        </w:rPr>
        <w:t>Available at:</w:t>
      </w:r>
      <w:r w:rsidR="00BA5441" w:rsidRPr="00BA5441">
        <w:t xml:space="preserve"> </w:t>
      </w:r>
      <w:r w:rsidR="00BA5441" w:rsidRPr="00BA5441">
        <w:rPr>
          <w:rFonts w:ascii="Arial" w:hAnsi="Arial" w:cs="Arial"/>
          <w:sz w:val="24"/>
        </w:rPr>
        <w:t>https://discovery.ucl.ac.uk/id/eprint/10083971/</w:t>
      </w:r>
      <w:r w:rsidR="00BA5441">
        <w:rPr>
          <w:rFonts w:ascii="Arial" w:hAnsi="Arial" w:cs="Arial"/>
          <w:sz w:val="24"/>
        </w:rPr>
        <w:t xml:space="preserve">. </w:t>
      </w:r>
      <w:r w:rsidR="00317F07">
        <w:rPr>
          <w:rFonts w:ascii="Arial" w:hAnsi="Arial" w:cs="Arial"/>
          <w:sz w:val="24"/>
        </w:rPr>
        <w:t>(Accessed on: 16/12/2023).</w:t>
      </w:r>
    </w:p>
    <w:p w14:paraId="2DA9E0E0" w14:textId="3FA51D69" w:rsidR="00201D9E" w:rsidRPr="009C1E5C" w:rsidRDefault="009C1E5C" w:rsidP="00E95C5C">
      <w:pPr>
        <w:ind w:left="720" w:hanging="720"/>
        <w:rPr>
          <w:rFonts w:ascii="Arial" w:hAnsi="Arial" w:cs="Arial"/>
          <w:sz w:val="24"/>
          <w:szCs w:val="24"/>
        </w:rPr>
      </w:pPr>
      <w:r w:rsidRPr="009C1E5C">
        <w:rPr>
          <w:rFonts w:ascii="Arial" w:hAnsi="Arial" w:cs="Arial"/>
          <w:sz w:val="24"/>
          <w:szCs w:val="24"/>
        </w:rPr>
        <w:t>Willumsen, P., Oehmen, J., Stingl, V. and Geraldi, J., 2019. Value creation through project risk management. International Journal of Project Manage</w:t>
      </w:r>
      <w:r w:rsidR="00317F07">
        <w:rPr>
          <w:rFonts w:ascii="Arial" w:hAnsi="Arial" w:cs="Arial"/>
          <w:sz w:val="24"/>
          <w:szCs w:val="24"/>
        </w:rPr>
        <w:t xml:space="preserve">ment. </w:t>
      </w:r>
      <w:r w:rsidR="00317F07">
        <w:rPr>
          <w:rFonts w:ascii="Arial" w:hAnsi="Arial" w:cs="Arial"/>
          <w:sz w:val="24"/>
        </w:rPr>
        <w:t>Available at</w:t>
      </w:r>
      <w:r w:rsidR="00BA5441">
        <w:rPr>
          <w:rFonts w:ascii="Arial" w:hAnsi="Arial" w:cs="Arial"/>
          <w:sz w:val="24"/>
        </w:rPr>
        <w:t xml:space="preserve">: </w:t>
      </w:r>
      <w:r w:rsidR="00BA5441" w:rsidRPr="00BA5441">
        <w:rPr>
          <w:rFonts w:ascii="Arial" w:hAnsi="Arial" w:cs="Arial"/>
          <w:sz w:val="24"/>
        </w:rPr>
        <w:t>https://www.sciencedirect.com/science/article/abs/pii/S0263786318304848</w:t>
      </w:r>
      <w:r w:rsidR="00BA5441">
        <w:rPr>
          <w:rFonts w:ascii="Arial" w:hAnsi="Arial" w:cs="Arial"/>
          <w:sz w:val="24"/>
        </w:rPr>
        <w:t xml:space="preserve">. </w:t>
      </w:r>
      <w:r w:rsidR="00317F07">
        <w:rPr>
          <w:rFonts w:ascii="Arial" w:hAnsi="Arial" w:cs="Arial"/>
          <w:sz w:val="24"/>
        </w:rPr>
        <w:t xml:space="preserve"> (Accessed on: 16/12/2023).</w:t>
      </w:r>
    </w:p>
    <w:sectPr w:rsidR="00201D9E" w:rsidRPr="009C1E5C">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8"/>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47324"/>
    <w:rsid w:val="000872CB"/>
    <w:rsid w:val="001735FF"/>
    <w:rsid w:val="00201D9E"/>
    <w:rsid w:val="00247324"/>
    <w:rsid w:val="00317F07"/>
    <w:rsid w:val="004C49A6"/>
    <w:rsid w:val="00745BDA"/>
    <w:rsid w:val="00754B47"/>
    <w:rsid w:val="009C1E5C"/>
    <w:rsid w:val="00BA5441"/>
    <w:rsid w:val="00D807AE"/>
    <w:rsid w:val="00E131E0"/>
    <w:rsid w:val="00E95C5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3EB04C"/>
  <w15:chartTrackingRefBased/>
  <w15:docId w15:val="{96D98E80-4A82-458B-A79A-77EB7B9BA1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C1E5C"/>
    <w:pPr>
      <w:spacing w:after="200" w:line="276" w:lineRule="auto"/>
    </w:pPr>
    <w:rPr>
      <w:kern w:val="0"/>
      <w:lang w:val="en-GB"/>
      <w14:ligatures w14:val="none"/>
    </w:rPr>
  </w:style>
  <w:style w:type="paragraph" w:styleId="Heading1">
    <w:name w:val="heading 1"/>
    <w:basedOn w:val="Normal"/>
    <w:next w:val="Normal"/>
    <w:link w:val="Heading1Char"/>
    <w:uiPriority w:val="9"/>
    <w:qFormat/>
    <w:rsid w:val="009C1E5C"/>
    <w:pPr>
      <w:keepNext/>
      <w:keepLines/>
      <w:spacing w:before="480" w:after="0"/>
      <w:outlineLvl w:val="0"/>
    </w:pPr>
    <w:rPr>
      <w:rFonts w:asciiTheme="majorHAnsi" w:eastAsiaTheme="majorEastAsia" w:hAnsiTheme="majorHAnsi" w:cstheme="majorBidi"/>
      <w:b/>
      <w:bCs/>
      <w:color w:val="2F5496"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C1E5C"/>
    <w:rPr>
      <w:rFonts w:asciiTheme="majorHAnsi" w:eastAsiaTheme="majorEastAsia" w:hAnsiTheme="majorHAnsi" w:cstheme="majorBidi"/>
      <w:b/>
      <w:bCs/>
      <w:color w:val="2F5496" w:themeColor="accent1" w:themeShade="BF"/>
      <w:kern w:val="0"/>
      <w:sz w:val="28"/>
      <w:szCs w:val="28"/>
      <w:lang w:val="en-GB"/>
      <w14:ligatures w14:val="none"/>
    </w:rPr>
  </w:style>
  <w:style w:type="paragraph" w:customStyle="1" w:styleId="Default">
    <w:name w:val="Default"/>
    <w:rsid w:val="004C49A6"/>
    <w:pPr>
      <w:autoSpaceDE w:val="0"/>
      <w:autoSpaceDN w:val="0"/>
      <w:adjustRightInd w:val="0"/>
      <w:spacing w:after="0" w:line="240" w:lineRule="auto"/>
    </w:pPr>
    <w:rPr>
      <w:rFonts w:ascii="Arial" w:hAnsi="Arial" w:cs="Arial"/>
      <w:color w:val="000000"/>
      <w:kern w:val="0"/>
      <w:sz w:val="24"/>
      <w:szCs w:val="24"/>
      <w:lang w:val="en-GB"/>
      <w14:ligatures w14:val="none"/>
    </w:rPr>
  </w:style>
  <w:style w:type="character" w:styleId="Hyperlink">
    <w:name w:val="Hyperlink"/>
    <w:basedOn w:val="DefaultParagraphFont"/>
    <w:uiPriority w:val="99"/>
    <w:unhideWhenUsed/>
    <w:rsid w:val="00BA5441"/>
    <w:rPr>
      <w:color w:val="0563C1" w:themeColor="hyperlink"/>
      <w:u w:val="single"/>
    </w:rPr>
  </w:style>
  <w:style w:type="character" w:styleId="UnresolvedMention">
    <w:name w:val="Unresolved Mention"/>
    <w:basedOn w:val="DefaultParagraphFont"/>
    <w:uiPriority w:val="99"/>
    <w:semiHidden/>
    <w:unhideWhenUsed/>
    <w:rsid w:val="00BA544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557</TotalTime>
  <Pages>12</Pages>
  <Words>2972</Words>
  <Characters>16945</Characters>
  <Application>Microsoft Office Word</Application>
  <DocSecurity>0</DocSecurity>
  <Lines>141</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19878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Krasimir Iliev (2123464)</dc:creator>
  <cp:keywords/>
  <dc:description/>
  <cp:lastModifiedBy>Krasimir Iliev (2123464)</cp:lastModifiedBy>
  <cp:revision>10</cp:revision>
  <dcterms:created xsi:type="dcterms:W3CDTF">2023-12-15T18:21:00Z</dcterms:created>
  <dcterms:modified xsi:type="dcterms:W3CDTF">2023-12-16T07:59:00Z</dcterms:modified>
</cp:coreProperties>
</file>