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AE5D37E" w:rsidR="00986B43" w:rsidRPr="003E0F0E" w:rsidRDefault="00986B43" w:rsidP="005D3F07">
            <w:pPr>
              <w:overflowPunct/>
              <w:autoSpaceDE/>
              <w:autoSpaceDN/>
              <w:adjustRightInd/>
              <w:ind w:right="-957"/>
              <w:textAlignment w:val="auto"/>
              <w:rPr>
                <w:rFonts w:ascii="Times New Roman" w:hAnsi="Times New Roman" w:cs="Times New Roman"/>
                <w:color w:val="auto"/>
                <w:sz w:val="40"/>
                <w:szCs w:val="40"/>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E0F0E">
              <w:rPr>
                <w:rFonts w:ascii="Times New Roman" w:hAnsi="Times New Roman" w:cs="Times New Roman"/>
                <w:color w:val="auto"/>
                <w:sz w:val="40"/>
                <w:szCs w:val="40"/>
              </w:rPr>
              <w:t>Sian Jelly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4164B2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E0F0E">
              <w:rPr>
                <w:rFonts w:ascii="Times New Roman" w:hAnsi="Times New Roman" w:cs="Times New Roman"/>
                <w:sz w:val="40"/>
                <w:szCs w:val="40"/>
              </w:rPr>
              <w:t xml:space="preserve"> 2317728@student.uwtsd.ac.uk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3B1229AB" w:rsidR="0085230E" w:rsidRDefault="003E0F0E" w:rsidP="005D3F07">
            <w:pPr>
              <w:overflowPunct/>
              <w:autoSpaceDE/>
              <w:autoSpaceDN/>
              <w:adjustRightInd/>
              <w:ind w:right="-957"/>
              <w:textAlignment w:val="auto"/>
              <w:rPr>
                <w:rFonts w:ascii="Times New Roman" w:hAnsi="Times New Roman" w:cs="Times New Roman"/>
                <w:sz w:val="40"/>
                <w:szCs w:val="40"/>
              </w:rPr>
            </w:pPr>
            <w:r>
              <w:rPr>
                <w:rFonts w:ascii="Times New Roman" w:hAnsi="Times New Roman" w:cs="Times New Roman"/>
                <w:sz w:val="40"/>
                <w:szCs w:val="40"/>
              </w:rPr>
              <w:t>2317728</w:t>
            </w:r>
          </w:p>
          <w:p w14:paraId="42D54C4E" w14:textId="77777777" w:rsidR="003E0F0E" w:rsidRPr="005D3F07" w:rsidRDefault="003E0F0E" w:rsidP="005D3F07">
            <w:pPr>
              <w:overflowPunct/>
              <w:autoSpaceDE/>
              <w:autoSpaceDN/>
              <w:adjustRightInd/>
              <w:ind w:right="-957"/>
              <w:textAlignment w:val="auto"/>
              <w:rPr>
                <w:rFonts w:ascii="Times New Roman" w:hAnsi="Times New Roman" w:cs="Times New Roman"/>
                <w:b/>
                <w:color w:val="auto"/>
                <w:sz w:val="48"/>
              </w:rPr>
            </w:pPr>
          </w:p>
          <w:p w14:paraId="5F84129B" w14:textId="2F334029" w:rsidR="0085230E" w:rsidRPr="005D3F07" w:rsidRDefault="00706BB5" w:rsidP="003E0F0E">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w:t>
            </w:r>
            <w:r w:rsidR="003E0F0E">
              <w:rPr>
                <w:rFonts w:ascii="Times New Roman" w:hAnsi="Times New Roman" w:cs="Times New Roman"/>
                <w:b/>
                <w:color w:val="auto"/>
                <w:sz w:val="48"/>
              </w:rPr>
              <w:t>2</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Pr="003E0F0E" w:rsidRDefault="00D3203C" w:rsidP="00EE5BC3">
      <w:pPr>
        <w:jc w:val="center"/>
        <w:rPr>
          <w:rFonts w:asciiTheme="minorHAnsi" w:hAnsiTheme="minorHAnsi" w:cstheme="minorHAnsi"/>
          <w:b/>
          <w:sz w:val="24"/>
          <w:szCs w:val="24"/>
        </w:rPr>
      </w:pPr>
    </w:p>
    <w:p w14:paraId="0EF984DF" w14:textId="02707E04" w:rsidR="000D0BB6" w:rsidRPr="003E0F0E" w:rsidRDefault="00337FEF" w:rsidP="00EE5BC3">
      <w:pPr>
        <w:jc w:val="center"/>
        <w:rPr>
          <w:rFonts w:asciiTheme="minorHAnsi" w:hAnsiTheme="minorHAnsi" w:cstheme="minorHAnsi"/>
          <w:b/>
          <w:sz w:val="24"/>
          <w:szCs w:val="24"/>
        </w:rPr>
      </w:pPr>
      <w:r w:rsidRPr="003E0F0E">
        <w:rPr>
          <w:rFonts w:asciiTheme="minorHAnsi" w:hAnsiTheme="minorHAnsi" w:cstheme="minorHAnsi"/>
          <w:b/>
          <w:sz w:val="24"/>
          <w:szCs w:val="24"/>
        </w:rPr>
        <w:t>Task 4</w:t>
      </w:r>
    </w:p>
    <w:p w14:paraId="156B2346" w14:textId="77777777" w:rsidR="00002C7A" w:rsidRPr="003E0F0E" w:rsidRDefault="00002C7A" w:rsidP="00EE5BC3">
      <w:pPr>
        <w:jc w:val="center"/>
        <w:rPr>
          <w:rFonts w:asciiTheme="minorHAnsi" w:hAnsiTheme="minorHAnsi" w:cstheme="minorHAnsi"/>
          <w:b/>
          <w:sz w:val="24"/>
          <w:szCs w:val="24"/>
        </w:rPr>
      </w:pPr>
    </w:p>
    <w:p w14:paraId="4A34FA1D" w14:textId="77777777" w:rsidR="00002C7A" w:rsidRPr="003E0F0E" w:rsidRDefault="00002C7A" w:rsidP="00EE5BC3">
      <w:pPr>
        <w:jc w:val="center"/>
        <w:rPr>
          <w:rFonts w:asciiTheme="minorHAnsi" w:hAnsiTheme="minorHAnsi" w:cstheme="minorHAnsi"/>
          <w:b/>
          <w:sz w:val="24"/>
          <w:szCs w:val="24"/>
        </w:rPr>
      </w:pPr>
      <w:r w:rsidRPr="003E0F0E">
        <w:rPr>
          <w:rFonts w:asciiTheme="minorHAnsi" w:hAnsiTheme="minorHAnsi" w:cstheme="minorHAnsi"/>
          <w:b/>
          <w:sz w:val="24"/>
          <w:szCs w:val="24"/>
        </w:rPr>
        <w:t>Safeguarding</w:t>
      </w:r>
      <w:r w:rsidR="005F64AA" w:rsidRPr="003E0F0E">
        <w:rPr>
          <w:rFonts w:asciiTheme="minorHAnsi" w:hAnsiTheme="minorHAnsi" w:cstheme="minorHAnsi"/>
          <w:b/>
          <w:sz w:val="24"/>
          <w:szCs w:val="24"/>
        </w:rPr>
        <w:t xml:space="preserve"> in an area which is not your main area of work</w:t>
      </w:r>
    </w:p>
    <w:p w14:paraId="6D6C0186" w14:textId="77777777" w:rsidR="000D0BB6" w:rsidRPr="003E0F0E" w:rsidRDefault="000D0BB6" w:rsidP="00FF7EBB">
      <w:pPr>
        <w:jc w:val="both"/>
        <w:rPr>
          <w:rFonts w:asciiTheme="minorHAnsi" w:hAnsiTheme="minorHAnsi" w:cstheme="minorHAnsi"/>
          <w:b/>
          <w:sz w:val="24"/>
          <w:szCs w:val="24"/>
        </w:rPr>
      </w:pPr>
    </w:p>
    <w:p w14:paraId="63836D76" w14:textId="77777777" w:rsidR="00337FEF" w:rsidRPr="003E0F0E" w:rsidRDefault="008B28E7" w:rsidP="00FF7EBB">
      <w:pPr>
        <w:ind w:left="-90"/>
        <w:jc w:val="both"/>
        <w:rPr>
          <w:rFonts w:asciiTheme="minorHAnsi" w:hAnsiTheme="minorHAnsi" w:cstheme="minorHAnsi"/>
          <w:b/>
          <w:i/>
          <w:sz w:val="24"/>
          <w:szCs w:val="24"/>
        </w:rPr>
      </w:pPr>
      <w:r w:rsidRPr="003E0F0E">
        <w:rPr>
          <w:rFonts w:asciiTheme="minorHAnsi" w:hAnsiTheme="minorHAnsi" w:cstheme="minorHAnsi"/>
          <w:b/>
          <w:i/>
          <w:sz w:val="24"/>
          <w:szCs w:val="24"/>
        </w:rPr>
        <w:t xml:space="preserve">Guidance: </w:t>
      </w:r>
    </w:p>
    <w:p w14:paraId="440B2467" w14:textId="322DDD98" w:rsidR="00633165" w:rsidRPr="003E0F0E" w:rsidRDefault="00012B16" w:rsidP="4EC15626">
      <w:pPr>
        <w:ind w:left="-90"/>
        <w:jc w:val="both"/>
        <w:rPr>
          <w:rFonts w:asciiTheme="minorHAnsi" w:hAnsiTheme="minorHAnsi" w:cstheme="minorHAnsi"/>
          <w:i/>
          <w:iCs/>
          <w:sz w:val="24"/>
          <w:szCs w:val="24"/>
        </w:rPr>
      </w:pPr>
      <w:r w:rsidRPr="003E0F0E">
        <w:rPr>
          <w:rFonts w:asciiTheme="minorHAnsi" w:hAnsiTheme="minorHAnsi" w:cstheme="minorHAnsi"/>
          <w:i/>
          <w:iCs/>
          <w:sz w:val="24"/>
          <w:szCs w:val="24"/>
        </w:rPr>
        <w:t>Social Care Wales</w:t>
      </w:r>
      <w:r w:rsidR="008B28E7" w:rsidRPr="003E0F0E">
        <w:rPr>
          <w:rFonts w:asciiTheme="minorHAnsi" w:hAnsiTheme="minorHAnsi" w:cstheme="minorHAnsi"/>
          <w:i/>
          <w:iCs/>
          <w:sz w:val="24"/>
          <w:szCs w:val="24"/>
        </w:rPr>
        <w:t xml:space="preserve"> require newly qualified social workers </w:t>
      </w:r>
      <w:r w:rsidR="00D60F88" w:rsidRPr="003E0F0E">
        <w:rPr>
          <w:rFonts w:asciiTheme="minorHAnsi" w:hAnsiTheme="minorHAnsi" w:cstheme="minorHAnsi"/>
          <w:i/>
          <w:iCs/>
          <w:sz w:val="24"/>
          <w:szCs w:val="24"/>
        </w:rPr>
        <w:t xml:space="preserve">to provide evidence of </w:t>
      </w:r>
      <w:r w:rsidR="008B28E7" w:rsidRPr="003E0F0E">
        <w:rPr>
          <w:rFonts w:asciiTheme="minorHAnsi" w:hAnsiTheme="minorHAnsi" w:cstheme="minorHAnsi"/>
          <w:i/>
          <w:iCs/>
          <w:sz w:val="24"/>
          <w:szCs w:val="24"/>
        </w:rPr>
        <w:t xml:space="preserve">their </w:t>
      </w:r>
      <w:r w:rsidR="00D60F88" w:rsidRPr="003E0F0E">
        <w:rPr>
          <w:rFonts w:asciiTheme="minorHAnsi" w:hAnsiTheme="minorHAnsi" w:cstheme="minorHAnsi"/>
          <w:i/>
          <w:iCs/>
          <w:sz w:val="24"/>
          <w:szCs w:val="24"/>
        </w:rPr>
        <w:t>understanding of safeguarding work with adults and children</w:t>
      </w:r>
      <w:r w:rsidR="008B28E7" w:rsidRPr="003E0F0E">
        <w:rPr>
          <w:rFonts w:asciiTheme="minorHAnsi" w:hAnsiTheme="minorHAnsi" w:cstheme="minorHAnsi"/>
          <w:i/>
          <w:iCs/>
          <w:sz w:val="24"/>
          <w:szCs w:val="24"/>
        </w:rPr>
        <w:t>.</w:t>
      </w:r>
      <w:r w:rsidR="00D60F88" w:rsidRPr="003E0F0E">
        <w:rPr>
          <w:rFonts w:asciiTheme="minorHAnsi" w:hAnsiTheme="minorHAnsi" w:cstheme="minorHAnsi"/>
          <w:i/>
          <w:iCs/>
          <w:sz w:val="24"/>
          <w:szCs w:val="24"/>
        </w:rPr>
        <w:t xml:space="preserve"> </w:t>
      </w:r>
      <w:r w:rsidR="004911B4" w:rsidRPr="003E0F0E">
        <w:rPr>
          <w:rFonts w:asciiTheme="minorHAnsi" w:hAnsiTheme="minorHAnsi" w:cstheme="minorHAnsi"/>
          <w:i/>
          <w:iCs/>
          <w:sz w:val="24"/>
          <w:szCs w:val="24"/>
        </w:rPr>
        <w:t>The</w:t>
      </w:r>
      <w:r w:rsidR="00D60F88" w:rsidRPr="003E0F0E">
        <w:rPr>
          <w:rFonts w:asciiTheme="minorHAnsi" w:hAnsiTheme="minorHAnsi" w:cstheme="minorHAnsi"/>
          <w:i/>
          <w:iCs/>
          <w:sz w:val="24"/>
          <w:szCs w:val="24"/>
        </w:rPr>
        <w:t xml:space="preserve"> assignment below will enable you to </w:t>
      </w:r>
      <w:r w:rsidR="00EE5BC3" w:rsidRPr="003E0F0E">
        <w:rPr>
          <w:rFonts w:asciiTheme="minorHAnsi" w:hAnsiTheme="minorHAnsi" w:cstheme="minorHAnsi"/>
          <w:i/>
          <w:iCs/>
          <w:sz w:val="24"/>
          <w:szCs w:val="24"/>
        </w:rPr>
        <w:t>demonstrate this</w:t>
      </w:r>
      <w:r w:rsidR="008B28E7" w:rsidRPr="003E0F0E">
        <w:rPr>
          <w:rFonts w:asciiTheme="minorHAnsi" w:hAnsiTheme="minorHAnsi" w:cstheme="minorHAnsi"/>
          <w:i/>
          <w:iCs/>
          <w:sz w:val="24"/>
          <w:szCs w:val="24"/>
        </w:rPr>
        <w:t xml:space="preserve">. </w:t>
      </w:r>
      <w:r w:rsidR="008B28E7" w:rsidRPr="003E0F0E">
        <w:rPr>
          <w:rFonts w:asciiTheme="minorHAnsi" w:hAnsiTheme="minorHAnsi" w:cstheme="minorHAnsi"/>
          <w:b/>
          <w:bCs/>
          <w:i/>
          <w:iCs/>
          <w:sz w:val="24"/>
          <w:szCs w:val="24"/>
        </w:rPr>
        <w:t>N.B</w:t>
      </w:r>
      <w:r w:rsidR="008B28E7" w:rsidRPr="003E0F0E">
        <w:rPr>
          <w:rFonts w:asciiTheme="minorHAnsi" w:hAnsiTheme="minorHAnsi" w:cstheme="minorHAnsi"/>
          <w:i/>
          <w:iCs/>
          <w:sz w:val="24"/>
          <w:szCs w:val="24"/>
        </w:rPr>
        <w:t xml:space="preserve">. </w:t>
      </w:r>
      <w:r w:rsidR="00D60F88" w:rsidRPr="003E0F0E">
        <w:rPr>
          <w:rFonts w:asciiTheme="minorHAnsi" w:hAnsiTheme="minorHAnsi" w:cstheme="minorHAnsi"/>
          <w:i/>
          <w:iCs/>
          <w:sz w:val="24"/>
          <w:szCs w:val="24"/>
        </w:rPr>
        <w:t xml:space="preserve">if your </w:t>
      </w:r>
      <w:r w:rsidR="009D477B" w:rsidRPr="003E0F0E">
        <w:rPr>
          <w:rFonts w:asciiTheme="minorHAnsi" w:hAnsiTheme="minorHAnsi" w:cstheme="minorHAnsi"/>
          <w:i/>
          <w:iCs/>
          <w:sz w:val="24"/>
          <w:szCs w:val="24"/>
        </w:rPr>
        <w:t>usual area</w:t>
      </w:r>
      <w:r w:rsidR="00D60F88" w:rsidRPr="003E0F0E">
        <w:rPr>
          <w:rFonts w:asciiTheme="minorHAnsi" w:hAnsiTheme="minorHAnsi" w:cstheme="minorHAnsi"/>
          <w:i/>
          <w:iCs/>
          <w:sz w:val="24"/>
          <w:szCs w:val="24"/>
        </w:rPr>
        <w:t xml:space="preserve"> of work is with children please write about adult</w:t>
      </w:r>
      <w:r w:rsidR="003C19F1" w:rsidRPr="003E0F0E">
        <w:rPr>
          <w:rFonts w:asciiTheme="minorHAnsi" w:hAnsiTheme="minorHAnsi" w:cstheme="minorHAnsi"/>
          <w:i/>
          <w:iCs/>
          <w:sz w:val="24"/>
          <w:szCs w:val="24"/>
        </w:rPr>
        <w:t xml:space="preserve"> safeguarding. I</w:t>
      </w:r>
      <w:r w:rsidR="00D60F88" w:rsidRPr="003E0F0E">
        <w:rPr>
          <w:rFonts w:asciiTheme="minorHAnsi" w:hAnsiTheme="minorHAnsi" w:cstheme="minorHAnsi"/>
          <w:i/>
          <w:iCs/>
          <w:sz w:val="24"/>
          <w:szCs w:val="24"/>
        </w:rPr>
        <w:t xml:space="preserve">f you </w:t>
      </w:r>
      <w:r w:rsidR="009D477B" w:rsidRPr="003E0F0E">
        <w:rPr>
          <w:rFonts w:asciiTheme="minorHAnsi" w:hAnsiTheme="minorHAnsi" w:cstheme="minorHAnsi"/>
          <w:i/>
          <w:iCs/>
          <w:sz w:val="24"/>
          <w:szCs w:val="24"/>
        </w:rPr>
        <w:t>usually work</w:t>
      </w:r>
      <w:r w:rsidR="00D60F88" w:rsidRPr="003E0F0E">
        <w:rPr>
          <w:rFonts w:asciiTheme="minorHAnsi" w:hAnsiTheme="minorHAnsi" w:cstheme="minorHAnsi"/>
          <w:i/>
          <w:iCs/>
          <w:sz w:val="24"/>
          <w:szCs w:val="24"/>
        </w:rPr>
        <w:t xml:space="preserve"> with adults</w:t>
      </w:r>
      <w:r w:rsidR="3CD2139F" w:rsidRPr="003E0F0E">
        <w:rPr>
          <w:rFonts w:asciiTheme="minorHAnsi" w:hAnsiTheme="minorHAnsi" w:cstheme="minorHAnsi"/>
          <w:i/>
          <w:iCs/>
          <w:sz w:val="24"/>
          <w:szCs w:val="24"/>
        </w:rPr>
        <w:t>,</w:t>
      </w:r>
      <w:r w:rsidR="00D60F88" w:rsidRPr="003E0F0E">
        <w:rPr>
          <w:rFonts w:asciiTheme="minorHAnsi" w:hAnsiTheme="minorHAnsi" w:cstheme="minorHAnsi"/>
          <w:i/>
          <w:iCs/>
          <w:sz w:val="24"/>
          <w:szCs w:val="24"/>
        </w:rPr>
        <w:t xml:space="preserve"> then write about child</w:t>
      </w:r>
      <w:r w:rsidR="003C19F1" w:rsidRPr="003E0F0E">
        <w:rPr>
          <w:rFonts w:asciiTheme="minorHAnsi" w:hAnsiTheme="minorHAnsi" w:cstheme="minorHAnsi"/>
          <w:i/>
          <w:iCs/>
          <w:sz w:val="24"/>
          <w:szCs w:val="24"/>
        </w:rPr>
        <w:t xml:space="preserve"> safeguarding</w:t>
      </w:r>
      <w:r w:rsidR="00D60F88" w:rsidRPr="003E0F0E">
        <w:rPr>
          <w:rFonts w:asciiTheme="minorHAnsi" w:hAnsiTheme="minorHAnsi" w:cstheme="minorHAnsi"/>
          <w:i/>
          <w:iCs/>
          <w:sz w:val="24"/>
          <w:szCs w:val="24"/>
        </w:rPr>
        <w:t xml:space="preserve">. </w:t>
      </w:r>
      <w:r w:rsidR="00337FEF" w:rsidRPr="003E0F0E">
        <w:rPr>
          <w:rFonts w:asciiTheme="minorHAnsi" w:hAnsiTheme="minorHAnsi" w:cstheme="minorHAnsi"/>
          <w:i/>
          <w:iCs/>
          <w:sz w:val="24"/>
          <w:szCs w:val="24"/>
        </w:rPr>
        <w:t xml:space="preserve"> </w:t>
      </w:r>
      <w:r w:rsidR="0079422A" w:rsidRPr="003E0F0E">
        <w:rPr>
          <w:rFonts w:asciiTheme="minorHAnsi" w:hAnsiTheme="minorHAnsi" w:cstheme="minorHAnsi"/>
          <w:i/>
          <w:iCs/>
          <w:sz w:val="24"/>
          <w:szCs w:val="24"/>
        </w:rPr>
        <w:t>E</w:t>
      </w:r>
      <w:r w:rsidR="00337FEF" w:rsidRPr="003E0F0E">
        <w:rPr>
          <w:rFonts w:asciiTheme="minorHAnsi" w:hAnsiTheme="minorHAnsi" w:cstheme="minorHAnsi"/>
          <w:i/>
          <w:iCs/>
          <w:sz w:val="24"/>
          <w:szCs w:val="24"/>
        </w:rPr>
        <w:t xml:space="preserve">nsure you meet </w:t>
      </w:r>
      <w:r w:rsidR="00FC0334" w:rsidRPr="003E0F0E">
        <w:rPr>
          <w:rFonts w:asciiTheme="minorHAnsi" w:hAnsiTheme="minorHAnsi" w:cstheme="minorHAnsi"/>
          <w:i/>
          <w:iCs/>
          <w:sz w:val="24"/>
          <w:szCs w:val="24"/>
        </w:rPr>
        <w:t>the</w:t>
      </w:r>
      <w:r w:rsidR="00AA7960" w:rsidRPr="003E0F0E">
        <w:rPr>
          <w:rFonts w:asciiTheme="minorHAnsi" w:hAnsiTheme="minorHAnsi" w:cstheme="minorHAnsi"/>
          <w:i/>
          <w:iCs/>
          <w:sz w:val="24"/>
          <w:szCs w:val="24"/>
        </w:rPr>
        <w:t xml:space="preserve"> </w:t>
      </w:r>
      <w:r w:rsidR="00064063" w:rsidRPr="003E0F0E">
        <w:rPr>
          <w:rFonts w:asciiTheme="minorHAnsi" w:hAnsiTheme="minorHAnsi" w:cstheme="minorHAnsi"/>
          <w:i/>
          <w:iCs/>
          <w:sz w:val="24"/>
          <w:szCs w:val="24"/>
        </w:rPr>
        <w:t xml:space="preserve">learning out comes for this task </w:t>
      </w:r>
      <w:r w:rsidR="0079422A" w:rsidRPr="003E0F0E">
        <w:rPr>
          <w:rFonts w:asciiTheme="minorHAnsi" w:hAnsiTheme="minorHAnsi" w:cstheme="minorHAnsi"/>
          <w:i/>
          <w:iCs/>
          <w:sz w:val="24"/>
          <w:szCs w:val="24"/>
        </w:rPr>
        <w:t>(</w:t>
      </w:r>
      <w:r w:rsidR="00064063" w:rsidRPr="003E0F0E">
        <w:rPr>
          <w:rFonts w:asciiTheme="minorHAnsi" w:hAnsiTheme="minorHAnsi" w:cstheme="minorHAnsi"/>
          <w:i/>
          <w:iCs/>
          <w:sz w:val="24"/>
          <w:szCs w:val="24"/>
        </w:rPr>
        <w:t xml:space="preserve">see appendix </w:t>
      </w:r>
      <w:r w:rsidR="003D1BC0" w:rsidRPr="003E0F0E">
        <w:rPr>
          <w:rFonts w:asciiTheme="minorHAnsi" w:hAnsiTheme="minorHAnsi" w:cstheme="minorHAnsi"/>
          <w:i/>
          <w:iCs/>
          <w:sz w:val="24"/>
          <w:szCs w:val="24"/>
        </w:rPr>
        <w:t>5</w:t>
      </w:r>
      <w:r w:rsidR="00064063" w:rsidRPr="003E0F0E">
        <w:rPr>
          <w:rFonts w:asciiTheme="minorHAnsi" w:hAnsiTheme="minorHAnsi" w:cstheme="minorHAnsi"/>
          <w:i/>
          <w:iCs/>
          <w:sz w:val="24"/>
          <w:szCs w:val="24"/>
        </w:rPr>
        <w:t xml:space="preserve"> </w:t>
      </w:r>
      <w:r w:rsidR="00FC0334" w:rsidRPr="003E0F0E">
        <w:rPr>
          <w:rFonts w:asciiTheme="minorHAnsi" w:hAnsiTheme="minorHAnsi" w:cstheme="minorHAnsi"/>
          <w:i/>
          <w:iCs/>
          <w:sz w:val="24"/>
          <w:szCs w:val="24"/>
        </w:rPr>
        <w:t>of the</w:t>
      </w:r>
      <w:r w:rsidR="007A628F" w:rsidRPr="003E0F0E">
        <w:rPr>
          <w:rFonts w:asciiTheme="minorHAnsi" w:hAnsiTheme="minorHAnsi" w:cstheme="minorHAnsi"/>
          <w:i/>
          <w:iCs/>
          <w:sz w:val="24"/>
          <w:szCs w:val="24"/>
        </w:rPr>
        <w:t xml:space="preserve"> h</w:t>
      </w:r>
      <w:r w:rsidR="00FC0334" w:rsidRPr="003E0F0E">
        <w:rPr>
          <w:rFonts w:asciiTheme="minorHAnsi" w:hAnsiTheme="minorHAnsi" w:cstheme="minorHAnsi"/>
          <w:i/>
          <w:iCs/>
          <w:sz w:val="24"/>
          <w:szCs w:val="24"/>
        </w:rPr>
        <w:t>andbook</w:t>
      </w:r>
      <w:r w:rsidR="0079422A" w:rsidRPr="003E0F0E">
        <w:rPr>
          <w:rFonts w:asciiTheme="minorHAnsi" w:hAnsiTheme="minorHAnsi" w:cstheme="minorHAnsi"/>
          <w:i/>
          <w:iCs/>
          <w:sz w:val="24"/>
          <w:szCs w:val="24"/>
        </w:rPr>
        <w:t>).</w:t>
      </w:r>
    </w:p>
    <w:p w14:paraId="7A8069C4" w14:textId="77777777" w:rsidR="00633165" w:rsidRPr="003E0F0E" w:rsidRDefault="00633165" w:rsidP="00FF7EBB">
      <w:pPr>
        <w:ind w:left="360" w:hanging="360"/>
        <w:jc w:val="both"/>
        <w:rPr>
          <w:rFonts w:asciiTheme="minorHAnsi" w:hAnsiTheme="minorHAnsi" w:cstheme="minorHAnsi"/>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3E0F0E" w14:paraId="152141E6" w14:textId="77777777" w:rsidTr="006108C9">
        <w:tc>
          <w:tcPr>
            <w:tcW w:w="10188" w:type="dxa"/>
            <w:shd w:val="clear" w:color="auto" w:fill="auto"/>
          </w:tcPr>
          <w:p w14:paraId="2B66890D" w14:textId="56A37C4F" w:rsidR="00337FEF" w:rsidRPr="003E0F0E" w:rsidRDefault="00337FEF" w:rsidP="00FF7EBB">
            <w:pPr>
              <w:jc w:val="both"/>
              <w:rPr>
                <w:rFonts w:asciiTheme="minorHAnsi" w:hAnsiTheme="minorHAnsi" w:cstheme="minorHAnsi"/>
                <w:b/>
                <w:sz w:val="24"/>
                <w:szCs w:val="24"/>
              </w:rPr>
            </w:pPr>
            <w:r w:rsidRPr="003E0F0E">
              <w:rPr>
                <w:rFonts w:asciiTheme="minorHAnsi" w:hAnsiTheme="minorHAnsi" w:cstheme="minorHAnsi"/>
                <w:b/>
                <w:sz w:val="24"/>
                <w:szCs w:val="24"/>
              </w:rPr>
              <w:t>Question</w:t>
            </w:r>
            <w:r w:rsidR="00FC0334" w:rsidRPr="003E0F0E">
              <w:rPr>
                <w:rFonts w:asciiTheme="minorHAnsi" w:hAnsiTheme="minorHAnsi" w:cstheme="minorHAnsi"/>
                <w:b/>
                <w:sz w:val="24"/>
                <w:szCs w:val="24"/>
              </w:rPr>
              <w:t xml:space="preserve"> a</w:t>
            </w:r>
            <w:r w:rsidR="007A628F" w:rsidRPr="003E0F0E">
              <w:rPr>
                <w:rFonts w:asciiTheme="minorHAnsi" w:hAnsiTheme="minorHAnsi" w:cstheme="minorHAnsi"/>
                <w:b/>
                <w:sz w:val="24"/>
                <w:szCs w:val="24"/>
              </w:rPr>
              <w:t>:</w:t>
            </w:r>
          </w:p>
          <w:p w14:paraId="45BB3C17" w14:textId="77777777" w:rsidR="003E0F0E" w:rsidRPr="003E0F0E" w:rsidRDefault="00BB7FD2" w:rsidP="00FF7EBB">
            <w:pPr>
              <w:jc w:val="both"/>
              <w:rPr>
                <w:rFonts w:asciiTheme="minorHAnsi" w:hAnsiTheme="minorHAnsi" w:cstheme="minorHAnsi"/>
                <w:sz w:val="24"/>
                <w:szCs w:val="24"/>
              </w:rPr>
            </w:pPr>
            <w:r w:rsidRPr="003E0F0E">
              <w:rPr>
                <w:rFonts w:asciiTheme="minorHAnsi" w:hAnsiTheme="minorHAnsi" w:cstheme="minorHAnsi"/>
                <w:sz w:val="24"/>
                <w:szCs w:val="24"/>
              </w:rPr>
              <w:t xml:space="preserve">In an area </w:t>
            </w:r>
            <w:r w:rsidRPr="003E0F0E">
              <w:rPr>
                <w:rFonts w:asciiTheme="minorHAnsi" w:hAnsiTheme="minorHAnsi" w:cstheme="minorHAnsi"/>
                <w:b/>
                <w:sz w:val="24"/>
                <w:szCs w:val="24"/>
              </w:rPr>
              <w:t xml:space="preserve">that is not your main focus of work </w:t>
            </w:r>
            <w:r w:rsidRPr="003E0F0E">
              <w:rPr>
                <w:rFonts w:asciiTheme="minorHAnsi" w:hAnsiTheme="minorHAnsi" w:cstheme="minorHAnsi"/>
                <w:sz w:val="24"/>
                <w:szCs w:val="24"/>
              </w:rPr>
              <w:t xml:space="preserve">(see guidance above), </w:t>
            </w:r>
            <w:r w:rsidR="0002440E" w:rsidRPr="003E0F0E">
              <w:rPr>
                <w:rFonts w:asciiTheme="minorHAnsi" w:hAnsiTheme="minorHAnsi" w:cstheme="minorHAnsi"/>
                <w:sz w:val="24"/>
                <w:szCs w:val="24"/>
              </w:rPr>
              <w:t>explain</w:t>
            </w:r>
            <w:r w:rsidR="008340BA" w:rsidRPr="003E0F0E">
              <w:rPr>
                <w:rFonts w:asciiTheme="minorHAnsi" w:hAnsiTheme="minorHAnsi" w:cstheme="minorHAnsi"/>
                <w:sz w:val="24"/>
                <w:szCs w:val="24"/>
              </w:rPr>
              <w:t xml:space="preserve"> </w:t>
            </w:r>
            <w:r w:rsidR="00DA22EC" w:rsidRPr="003E0F0E">
              <w:rPr>
                <w:rFonts w:asciiTheme="minorHAnsi" w:hAnsiTheme="minorHAnsi" w:cstheme="minorHAnsi"/>
                <w:sz w:val="24"/>
                <w:szCs w:val="24"/>
              </w:rPr>
              <w:t>the</w:t>
            </w:r>
            <w:r w:rsidR="005A545C" w:rsidRPr="003E0F0E">
              <w:rPr>
                <w:rFonts w:asciiTheme="minorHAnsi" w:hAnsiTheme="minorHAnsi" w:cstheme="minorHAnsi"/>
                <w:sz w:val="24"/>
                <w:szCs w:val="24"/>
              </w:rPr>
              <w:t xml:space="preserve"> relevant </w:t>
            </w:r>
            <w:r w:rsidRPr="003E0F0E">
              <w:rPr>
                <w:rFonts w:asciiTheme="minorHAnsi" w:hAnsiTheme="minorHAnsi" w:cstheme="minorHAnsi"/>
                <w:sz w:val="24"/>
                <w:szCs w:val="24"/>
              </w:rPr>
              <w:t xml:space="preserve">legislation, </w:t>
            </w:r>
            <w:r w:rsidR="0002440E" w:rsidRPr="003E0F0E">
              <w:rPr>
                <w:rFonts w:asciiTheme="minorHAnsi" w:hAnsiTheme="minorHAnsi" w:cstheme="minorHAnsi"/>
                <w:sz w:val="24"/>
                <w:szCs w:val="24"/>
              </w:rPr>
              <w:t>and</w:t>
            </w:r>
            <w:r w:rsidR="008340BA" w:rsidRPr="003E0F0E">
              <w:rPr>
                <w:rFonts w:asciiTheme="minorHAnsi" w:hAnsiTheme="minorHAnsi" w:cstheme="minorHAnsi"/>
                <w:sz w:val="24"/>
                <w:szCs w:val="24"/>
              </w:rPr>
              <w:t xml:space="preserve"> the </w:t>
            </w:r>
            <w:r w:rsidR="005A545C" w:rsidRPr="003E0F0E">
              <w:rPr>
                <w:rFonts w:asciiTheme="minorHAnsi" w:hAnsiTheme="minorHAnsi" w:cstheme="minorHAnsi"/>
                <w:sz w:val="24"/>
                <w:szCs w:val="24"/>
              </w:rPr>
              <w:t>national, local and organisational policies and procedures</w:t>
            </w:r>
            <w:r w:rsidRPr="003E0F0E">
              <w:rPr>
                <w:rFonts w:asciiTheme="minorHAnsi" w:hAnsiTheme="minorHAnsi" w:cstheme="minorHAnsi"/>
                <w:sz w:val="24"/>
                <w:szCs w:val="24"/>
              </w:rPr>
              <w:t xml:space="preserve"> for safeguarding.</w:t>
            </w:r>
          </w:p>
          <w:p w14:paraId="4748CF6A" w14:textId="77777777" w:rsidR="003E0F0E" w:rsidRPr="003E0F0E" w:rsidRDefault="003E0F0E" w:rsidP="00FF7EBB">
            <w:pPr>
              <w:jc w:val="both"/>
              <w:rPr>
                <w:rFonts w:asciiTheme="minorHAnsi" w:hAnsiTheme="minorHAnsi" w:cstheme="minorHAnsi"/>
                <w:sz w:val="24"/>
                <w:szCs w:val="24"/>
              </w:rPr>
            </w:pPr>
          </w:p>
          <w:p w14:paraId="79A1519C" w14:textId="77777777" w:rsidR="003E0F0E" w:rsidRPr="003E0F0E" w:rsidRDefault="003E0F0E" w:rsidP="003E0F0E">
            <w:pPr>
              <w:jc w:val="both"/>
              <w:rPr>
                <w:rFonts w:asciiTheme="minorHAnsi" w:hAnsiTheme="minorHAnsi" w:cstheme="minorHAnsi"/>
                <w:sz w:val="24"/>
                <w:szCs w:val="24"/>
              </w:rPr>
            </w:pPr>
            <w:r w:rsidRPr="003E0F0E">
              <w:rPr>
                <w:rFonts w:asciiTheme="minorHAnsi" w:hAnsiTheme="minorHAnsi" w:cstheme="minorHAnsi"/>
                <w:i/>
                <w:sz w:val="24"/>
                <w:szCs w:val="24"/>
              </w:rPr>
              <w:t>500 words</w:t>
            </w:r>
            <w:r w:rsidRPr="003E0F0E">
              <w:rPr>
                <w:rFonts w:asciiTheme="minorHAnsi" w:hAnsiTheme="minorHAnsi" w:cstheme="minorHAnsi"/>
                <w:sz w:val="24"/>
                <w:szCs w:val="24"/>
              </w:rPr>
              <w:t xml:space="preserve"> (+/- 10%: include your actual word count at the end of each section).</w:t>
            </w:r>
          </w:p>
          <w:p w14:paraId="17A49383" w14:textId="18A9DB25" w:rsidR="008B28E7" w:rsidRPr="003E0F0E" w:rsidRDefault="00BB7FD2" w:rsidP="00FF7EBB">
            <w:pPr>
              <w:jc w:val="both"/>
              <w:rPr>
                <w:rFonts w:asciiTheme="minorHAnsi" w:hAnsiTheme="minorHAnsi" w:cstheme="minorHAnsi"/>
                <w:sz w:val="24"/>
                <w:szCs w:val="24"/>
              </w:rPr>
            </w:pPr>
            <w:r w:rsidRPr="003E0F0E">
              <w:rPr>
                <w:rFonts w:asciiTheme="minorHAnsi" w:hAnsiTheme="minorHAnsi" w:cstheme="minorHAnsi"/>
                <w:sz w:val="24"/>
                <w:szCs w:val="24"/>
              </w:rPr>
              <w:t xml:space="preserve"> </w:t>
            </w:r>
          </w:p>
          <w:p w14:paraId="1FBBCFA0" w14:textId="77777777" w:rsidR="006108C9" w:rsidRPr="003E0F0E" w:rsidRDefault="006108C9" w:rsidP="00FF7EBB">
            <w:pPr>
              <w:jc w:val="both"/>
              <w:rPr>
                <w:rFonts w:asciiTheme="minorHAnsi" w:hAnsiTheme="minorHAnsi" w:cstheme="minorHAnsi"/>
                <w:sz w:val="24"/>
                <w:szCs w:val="24"/>
              </w:rPr>
            </w:pPr>
          </w:p>
          <w:p w14:paraId="73E3AA6C" w14:textId="41338665" w:rsidR="003E0F0E" w:rsidRPr="003E0F0E" w:rsidRDefault="003E0F0E" w:rsidP="003E0F0E">
            <w:pPr>
              <w:spacing w:line="360" w:lineRule="auto"/>
              <w:ind w:firstLine="720"/>
              <w:rPr>
                <w:rFonts w:asciiTheme="minorHAnsi" w:hAnsiTheme="minorHAnsi" w:cstheme="minorHAnsi"/>
                <w:sz w:val="24"/>
                <w:szCs w:val="24"/>
              </w:rPr>
            </w:pPr>
            <w:r w:rsidRPr="003E0F0E">
              <w:rPr>
                <w:rFonts w:asciiTheme="minorHAnsi" w:hAnsiTheme="minorHAnsi" w:cstheme="minorHAnsi"/>
                <w:sz w:val="24"/>
                <w:szCs w:val="24"/>
              </w:rPr>
              <w:t xml:space="preserve">A key piece of legislation that provides the framework for children’s safeguarding in Wales, is the </w:t>
            </w:r>
            <w:r w:rsidRPr="00617375">
              <w:rPr>
                <w:rFonts w:asciiTheme="minorHAnsi" w:hAnsiTheme="minorHAnsi" w:cstheme="minorHAnsi"/>
                <w:i/>
                <w:sz w:val="24"/>
                <w:szCs w:val="24"/>
              </w:rPr>
              <w:t xml:space="preserve">Social Services and Wellbeing (Wales) Act </w:t>
            </w:r>
            <w:r w:rsidR="00617375">
              <w:rPr>
                <w:rFonts w:asciiTheme="minorHAnsi" w:hAnsiTheme="minorHAnsi" w:cstheme="minorHAnsi"/>
                <w:i/>
                <w:sz w:val="24"/>
                <w:szCs w:val="24"/>
              </w:rPr>
              <w:t xml:space="preserve">(SSWWA) </w:t>
            </w:r>
            <w:r w:rsidRPr="00617375">
              <w:rPr>
                <w:rFonts w:asciiTheme="minorHAnsi" w:hAnsiTheme="minorHAnsi" w:cstheme="minorHAnsi"/>
                <w:i/>
                <w:sz w:val="24"/>
                <w:szCs w:val="24"/>
              </w:rPr>
              <w:t>2014</w:t>
            </w:r>
            <w:r w:rsidRPr="003E0F0E">
              <w:rPr>
                <w:rFonts w:asciiTheme="minorHAnsi" w:hAnsiTheme="minorHAnsi" w:cstheme="minorHAnsi"/>
                <w:sz w:val="24"/>
                <w:szCs w:val="24"/>
              </w:rPr>
              <w:t>. Within this act, the principle of prevention and early intervention aims to ensure families are supported in the early stages of difficulties arising. A common finding in serious case reviews is that not documenting or communicating concerns promptly can significantly impact the safety and well-being of children (The Department for Education, 2018). If preventative services are implemented this could avert an escalation into crisis. The Act requires local authorities to assess the needs of children for care and support, which can identify children who may be at risk of abuse, neglect or harm, and ensures they receive the support necessary. The wellbeing duty within the act means local authorities have a duty to promote the wellbeing of children, therefore ensuring they are safeguarded from harm or the risk of harm. In terms of a local level, under the Act, regional safeguarding boards manage and oversee local child protection policies, procedure and guidance to protect and promote the safety of children (National Society for the Prevention of Cruelty to Children (NSPCC), 2024). The importance of collaborative working between agencies to safeguard children is emphasised, and section 130 sets out a duty to report, requiring all relevant partners of a local authority to inform them of concerns. A multi-agency approach is crucial within social work (Social Care Wales (SCW), 2011, SCDSW6).</w:t>
            </w:r>
          </w:p>
          <w:p w14:paraId="000DD80A" w14:textId="77777777" w:rsidR="003E0F0E" w:rsidRPr="003E0F0E" w:rsidRDefault="003E0F0E" w:rsidP="003E0F0E">
            <w:pPr>
              <w:spacing w:line="360" w:lineRule="auto"/>
              <w:ind w:firstLine="720"/>
              <w:rPr>
                <w:rFonts w:asciiTheme="minorHAnsi" w:hAnsiTheme="minorHAnsi" w:cstheme="minorHAnsi"/>
                <w:sz w:val="24"/>
                <w:szCs w:val="24"/>
              </w:rPr>
            </w:pPr>
            <w:r w:rsidRPr="003E0F0E">
              <w:rPr>
                <w:rFonts w:asciiTheme="minorHAnsi" w:hAnsiTheme="minorHAnsi" w:cstheme="minorHAnsi"/>
                <w:sz w:val="24"/>
                <w:szCs w:val="24"/>
              </w:rPr>
              <w:lastRenderedPageBreak/>
              <w:t xml:space="preserve">Another key piece of legislation in Wales is the </w:t>
            </w:r>
            <w:r w:rsidRPr="00617375">
              <w:rPr>
                <w:rFonts w:asciiTheme="minorHAnsi" w:hAnsiTheme="minorHAnsi" w:cstheme="minorHAnsi"/>
                <w:i/>
                <w:sz w:val="24"/>
                <w:szCs w:val="24"/>
              </w:rPr>
              <w:t xml:space="preserve">Children Act 1989 </w:t>
            </w:r>
            <w:r w:rsidRPr="003E0F0E">
              <w:rPr>
                <w:rFonts w:asciiTheme="minorHAnsi" w:hAnsiTheme="minorHAnsi" w:cstheme="minorHAnsi"/>
                <w:sz w:val="24"/>
                <w:szCs w:val="24"/>
              </w:rPr>
              <w:t xml:space="preserve">and the </w:t>
            </w:r>
            <w:r w:rsidRPr="00617375">
              <w:rPr>
                <w:rFonts w:asciiTheme="minorHAnsi" w:hAnsiTheme="minorHAnsi" w:cstheme="minorHAnsi"/>
                <w:i/>
                <w:sz w:val="24"/>
                <w:szCs w:val="24"/>
              </w:rPr>
              <w:t>Children Act 2004</w:t>
            </w:r>
            <w:r w:rsidRPr="003E0F0E">
              <w:rPr>
                <w:rFonts w:asciiTheme="minorHAnsi" w:hAnsiTheme="minorHAnsi" w:cstheme="minorHAnsi"/>
                <w:sz w:val="24"/>
                <w:szCs w:val="24"/>
              </w:rPr>
              <w:t xml:space="preserve">. One of the principles of this Act is the welfare of the child is paramount, and this should be upheld when any decisions are made about the child. The Act also sets out the duty for local authorities to investigate when a child is suspected to be experiencing, or likely to experience significant harm. These are known as section 47 enquiries, and will require a multi-agency approach. </w:t>
            </w:r>
            <w:r w:rsidRPr="00617375">
              <w:rPr>
                <w:rFonts w:asciiTheme="minorHAnsi" w:hAnsiTheme="minorHAnsi" w:cstheme="minorHAnsi"/>
                <w:i/>
                <w:sz w:val="24"/>
                <w:szCs w:val="24"/>
              </w:rPr>
              <w:t>The Children Act 2004</w:t>
            </w:r>
            <w:r w:rsidRPr="003E0F0E">
              <w:rPr>
                <w:rFonts w:asciiTheme="minorHAnsi" w:hAnsiTheme="minorHAnsi" w:cstheme="minorHAnsi"/>
                <w:sz w:val="24"/>
                <w:szCs w:val="24"/>
              </w:rPr>
              <w:t xml:space="preserve"> builds upon the 1989 Act, and added the requirement for a Children’s Commissioner. </w:t>
            </w:r>
          </w:p>
          <w:p w14:paraId="0ED35869" w14:textId="02DB2140" w:rsidR="003E0F0E" w:rsidRDefault="003E0F0E" w:rsidP="003E0F0E">
            <w:pPr>
              <w:spacing w:line="360" w:lineRule="auto"/>
              <w:ind w:firstLine="720"/>
              <w:rPr>
                <w:rFonts w:asciiTheme="minorHAnsi" w:hAnsiTheme="minorHAnsi" w:cstheme="minorHAnsi"/>
                <w:sz w:val="24"/>
                <w:szCs w:val="24"/>
              </w:rPr>
            </w:pPr>
            <w:r w:rsidRPr="003E0F0E">
              <w:rPr>
                <w:rFonts w:asciiTheme="minorHAnsi" w:hAnsiTheme="minorHAnsi" w:cstheme="minorHAnsi"/>
                <w:sz w:val="24"/>
                <w:szCs w:val="24"/>
              </w:rPr>
              <w:t xml:space="preserve">With the implementation of the </w:t>
            </w:r>
            <w:r w:rsidRPr="00617375">
              <w:rPr>
                <w:rFonts w:asciiTheme="minorHAnsi" w:hAnsiTheme="minorHAnsi" w:cstheme="minorHAnsi"/>
                <w:i/>
                <w:sz w:val="24"/>
                <w:szCs w:val="24"/>
              </w:rPr>
              <w:t>Wales Safeguarding procedures</w:t>
            </w:r>
            <w:r w:rsidRPr="003E0F0E">
              <w:rPr>
                <w:rFonts w:asciiTheme="minorHAnsi" w:hAnsiTheme="minorHAnsi" w:cstheme="minorHAnsi"/>
                <w:sz w:val="24"/>
                <w:szCs w:val="24"/>
              </w:rPr>
              <w:t xml:space="preserve">, launched in 2019, Wales was the first nation in the UK to introduce unified safeguarding guidelines covering both adults and children at risk of harm. (North Wales Safeguarding Board, 2022). One of the key principles within the Procedures is safeguarding is everyone’s responsibility. These procedures are built upon the </w:t>
            </w:r>
            <w:r w:rsidRPr="00617375">
              <w:rPr>
                <w:rFonts w:asciiTheme="minorHAnsi" w:hAnsiTheme="minorHAnsi" w:cstheme="minorHAnsi"/>
                <w:i/>
                <w:sz w:val="24"/>
                <w:szCs w:val="24"/>
              </w:rPr>
              <w:t>SSWWA 2014</w:t>
            </w:r>
            <w:r w:rsidRPr="003E0F0E">
              <w:rPr>
                <w:rFonts w:asciiTheme="minorHAnsi" w:hAnsiTheme="minorHAnsi" w:cstheme="minorHAnsi"/>
                <w:sz w:val="24"/>
                <w:szCs w:val="24"/>
              </w:rPr>
              <w:t xml:space="preserve"> part 7 Safeguarding and specifically Working Together to Safeguard People volumes 1, 4, 5 and 6. The Procedures have created a standardisation across Wales for how to effectively safeguard children. Within the Procedures, there is clear guidance on early intervention, how to report concerns, initial enquiries and timescales for these, decision making, and cross border working. There is also information on types and indicators of abuse. Article 19 of the </w:t>
            </w:r>
            <w:r w:rsidRPr="00617375">
              <w:rPr>
                <w:rFonts w:asciiTheme="minorHAnsi" w:hAnsiTheme="minorHAnsi" w:cstheme="minorHAnsi"/>
                <w:i/>
                <w:sz w:val="24"/>
                <w:szCs w:val="24"/>
              </w:rPr>
              <w:t>United Nations Convention on the Rights of the Child (UNCRC)</w:t>
            </w:r>
            <w:r w:rsidRPr="003E0F0E">
              <w:rPr>
                <w:rFonts w:asciiTheme="minorHAnsi" w:hAnsiTheme="minorHAnsi" w:cstheme="minorHAnsi"/>
                <w:sz w:val="24"/>
                <w:szCs w:val="24"/>
              </w:rPr>
              <w:t xml:space="preserve"> is the right of protection. This article necessitates appropriate legislative measures must be adhered to and the child should be protected from all types of harm. It is important to establish preferred outcomes of the safeguarding intervention, to make sure the child’s voice is heard and to also promote family engagement, fostering a collaborative approach to safeguarding will ensure better outcomes for the child and family (NSPCC, 2023). </w:t>
            </w:r>
          </w:p>
          <w:p w14:paraId="2B973AEA" w14:textId="77777777" w:rsidR="003E0F0E" w:rsidRPr="003E0F0E" w:rsidRDefault="003E0F0E" w:rsidP="003E0F0E">
            <w:pPr>
              <w:spacing w:line="360" w:lineRule="auto"/>
              <w:ind w:firstLine="720"/>
              <w:rPr>
                <w:rFonts w:asciiTheme="minorHAnsi" w:hAnsiTheme="minorHAnsi" w:cstheme="minorHAnsi"/>
                <w:sz w:val="24"/>
                <w:szCs w:val="24"/>
              </w:rPr>
            </w:pPr>
          </w:p>
          <w:p w14:paraId="03BD6D93" w14:textId="30AE54ED" w:rsidR="007A628F" w:rsidRPr="003E0F0E" w:rsidRDefault="003E0F0E" w:rsidP="003E0F0E">
            <w:pPr>
              <w:spacing w:line="360" w:lineRule="auto"/>
              <w:jc w:val="both"/>
              <w:rPr>
                <w:rFonts w:asciiTheme="minorHAnsi" w:hAnsiTheme="minorHAnsi" w:cstheme="minorHAnsi"/>
                <w:i/>
                <w:sz w:val="24"/>
                <w:szCs w:val="24"/>
              </w:rPr>
            </w:pPr>
            <w:r w:rsidRPr="003E0F0E">
              <w:rPr>
                <w:rFonts w:asciiTheme="minorHAnsi" w:hAnsiTheme="minorHAnsi" w:cstheme="minorHAnsi"/>
                <w:i/>
                <w:sz w:val="24"/>
                <w:szCs w:val="24"/>
              </w:rPr>
              <w:t>(550 words)</w:t>
            </w:r>
          </w:p>
        </w:tc>
      </w:tr>
    </w:tbl>
    <w:p w14:paraId="60437654" w14:textId="097EE7F6" w:rsidR="00AA666E" w:rsidRDefault="00AA666E" w:rsidP="00FF7EBB">
      <w:pPr>
        <w:jc w:val="both"/>
        <w:rPr>
          <w:rFonts w:asciiTheme="minorHAnsi" w:hAnsiTheme="minorHAnsi" w:cstheme="minorHAnsi"/>
          <w:sz w:val="24"/>
          <w:szCs w:val="24"/>
        </w:rPr>
      </w:pPr>
    </w:p>
    <w:p w14:paraId="6495826F" w14:textId="77777777" w:rsidR="003E0F0E" w:rsidRPr="003E0F0E" w:rsidRDefault="003E0F0E" w:rsidP="00FF7EBB">
      <w:pPr>
        <w:jc w:val="both"/>
        <w:rPr>
          <w:rFonts w:asciiTheme="minorHAnsi" w:hAnsiTheme="minorHAnsi" w:cstheme="minorHAnsi"/>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3E0F0E" w14:paraId="3399E76C" w14:textId="77777777" w:rsidTr="00FC0334">
        <w:tc>
          <w:tcPr>
            <w:tcW w:w="10278" w:type="dxa"/>
            <w:shd w:val="clear" w:color="auto" w:fill="auto"/>
          </w:tcPr>
          <w:p w14:paraId="171F67D5" w14:textId="77777777" w:rsidR="00FC0334" w:rsidRPr="003E0F0E" w:rsidRDefault="00FC0334" w:rsidP="00FC0334">
            <w:pPr>
              <w:jc w:val="both"/>
              <w:rPr>
                <w:rFonts w:asciiTheme="minorHAnsi" w:hAnsiTheme="minorHAnsi" w:cstheme="minorHAnsi"/>
                <w:b/>
                <w:sz w:val="24"/>
                <w:szCs w:val="24"/>
              </w:rPr>
            </w:pPr>
            <w:r w:rsidRPr="003E0F0E">
              <w:rPr>
                <w:rFonts w:asciiTheme="minorHAnsi" w:hAnsiTheme="minorHAnsi" w:cstheme="minorHAnsi"/>
                <w:b/>
                <w:sz w:val="24"/>
                <w:szCs w:val="24"/>
              </w:rPr>
              <w:t>Question b:</w:t>
            </w:r>
          </w:p>
          <w:p w14:paraId="2ADF1EC3" w14:textId="58E4B8DE" w:rsidR="00FC0334" w:rsidRPr="003E0F0E" w:rsidRDefault="00FC0334" w:rsidP="00FC0334">
            <w:pPr>
              <w:jc w:val="both"/>
              <w:rPr>
                <w:rFonts w:asciiTheme="minorHAnsi" w:hAnsiTheme="minorHAnsi" w:cstheme="minorHAnsi"/>
                <w:sz w:val="24"/>
                <w:szCs w:val="24"/>
              </w:rPr>
            </w:pPr>
            <w:r w:rsidRPr="003E0F0E">
              <w:rPr>
                <w:rFonts w:asciiTheme="minorHAnsi" w:hAnsiTheme="minorHAnsi" w:cstheme="minorHAnsi"/>
                <w:sz w:val="24"/>
                <w:szCs w:val="24"/>
              </w:rPr>
              <w:t>Reflect on the difference between safeguarding in adult</w:t>
            </w:r>
            <w:r w:rsidR="00C63CAB" w:rsidRPr="003E0F0E">
              <w:rPr>
                <w:rFonts w:asciiTheme="minorHAnsi" w:hAnsiTheme="minorHAnsi" w:cstheme="minorHAnsi"/>
                <w:sz w:val="24"/>
                <w:szCs w:val="24"/>
              </w:rPr>
              <w:t>s’</w:t>
            </w:r>
            <w:r w:rsidRPr="003E0F0E">
              <w:rPr>
                <w:rFonts w:asciiTheme="minorHAnsi" w:hAnsiTheme="minorHAnsi" w:cstheme="minorHAnsi"/>
                <w:sz w:val="24"/>
                <w:szCs w:val="24"/>
              </w:rPr>
              <w:t xml:space="preserve"> and children</w:t>
            </w:r>
            <w:r w:rsidR="007A628F" w:rsidRPr="003E0F0E">
              <w:rPr>
                <w:rFonts w:asciiTheme="minorHAnsi" w:hAnsiTheme="minorHAnsi" w:cstheme="minorHAnsi"/>
                <w:sz w:val="24"/>
                <w:szCs w:val="24"/>
              </w:rPr>
              <w:t>’s</w:t>
            </w:r>
            <w:r w:rsidRPr="003E0F0E">
              <w:rPr>
                <w:rFonts w:asciiTheme="minorHAnsi" w:hAnsiTheme="minorHAnsi" w:cstheme="minorHAnsi"/>
                <w:sz w:val="24"/>
                <w:szCs w:val="24"/>
              </w:rPr>
              <w:t xml:space="preserve"> work</w:t>
            </w:r>
          </w:p>
          <w:p w14:paraId="5DE5285A" w14:textId="77777777" w:rsidR="003E0F0E" w:rsidRPr="003E0F0E" w:rsidRDefault="003E0F0E" w:rsidP="00FC0334">
            <w:pPr>
              <w:jc w:val="both"/>
              <w:rPr>
                <w:rFonts w:asciiTheme="minorHAnsi" w:hAnsiTheme="minorHAnsi" w:cstheme="minorHAnsi"/>
                <w:sz w:val="24"/>
                <w:szCs w:val="24"/>
              </w:rPr>
            </w:pPr>
          </w:p>
          <w:p w14:paraId="507C8F85" w14:textId="78660BE5" w:rsidR="00FC0334" w:rsidRDefault="00FC0334" w:rsidP="003E0F0E">
            <w:pPr>
              <w:jc w:val="both"/>
              <w:rPr>
                <w:rFonts w:asciiTheme="minorHAnsi" w:hAnsiTheme="minorHAnsi" w:cstheme="minorHAnsi"/>
                <w:i/>
                <w:sz w:val="24"/>
                <w:szCs w:val="24"/>
              </w:rPr>
            </w:pPr>
            <w:r w:rsidRPr="003E0F0E">
              <w:rPr>
                <w:rFonts w:asciiTheme="minorHAnsi" w:hAnsiTheme="minorHAnsi" w:cstheme="minorHAnsi"/>
                <w:i/>
                <w:sz w:val="24"/>
                <w:szCs w:val="24"/>
              </w:rPr>
              <w:t>400 words</w:t>
            </w:r>
            <w:r w:rsidRPr="003E0F0E">
              <w:rPr>
                <w:rFonts w:asciiTheme="minorHAnsi" w:hAnsiTheme="minorHAnsi" w:cstheme="minorHAnsi"/>
                <w:sz w:val="24"/>
                <w:szCs w:val="24"/>
              </w:rPr>
              <w:t xml:space="preserve"> </w:t>
            </w:r>
            <w:r w:rsidRPr="003E0F0E">
              <w:rPr>
                <w:rFonts w:asciiTheme="minorHAnsi" w:hAnsiTheme="minorHAnsi" w:cstheme="minorHAnsi"/>
                <w:i/>
                <w:sz w:val="24"/>
                <w:szCs w:val="24"/>
              </w:rPr>
              <w:t>(+/- 10%: include your actual word count at the end of each section)</w:t>
            </w:r>
            <w:r w:rsidR="007A628F" w:rsidRPr="003E0F0E">
              <w:rPr>
                <w:rFonts w:asciiTheme="minorHAnsi" w:hAnsiTheme="minorHAnsi" w:cstheme="minorHAnsi"/>
                <w:i/>
                <w:sz w:val="24"/>
                <w:szCs w:val="24"/>
              </w:rPr>
              <w:t>.</w:t>
            </w:r>
          </w:p>
          <w:p w14:paraId="7DE34DB1" w14:textId="77777777" w:rsidR="003E0F0E" w:rsidRPr="003E0F0E" w:rsidRDefault="003E0F0E" w:rsidP="003E0F0E">
            <w:pPr>
              <w:jc w:val="both"/>
              <w:rPr>
                <w:rFonts w:asciiTheme="minorHAnsi" w:hAnsiTheme="minorHAnsi" w:cstheme="minorHAnsi"/>
                <w:i/>
                <w:sz w:val="24"/>
                <w:szCs w:val="24"/>
              </w:rPr>
            </w:pPr>
          </w:p>
          <w:p w14:paraId="14DB0BB9" w14:textId="77777777" w:rsidR="003E0F0E" w:rsidRPr="003E0F0E" w:rsidRDefault="003E0F0E" w:rsidP="003E0F0E">
            <w:pPr>
              <w:spacing w:line="360" w:lineRule="auto"/>
              <w:ind w:firstLine="720"/>
              <w:rPr>
                <w:rFonts w:asciiTheme="minorHAnsi" w:hAnsiTheme="minorHAnsi" w:cstheme="minorHAnsi"/>
                <w:sz w:val="24"/>
                <w:szCs w:val="24"/>
              </w:rPr>
            </w:pPr>
            <w:r w:rsidRPr="003E0F0E">
              <w:rPr>
                <w:rFonts w:asciiTheme="minorHAnsi" w:hAnsiTheme="minorHAnsi" w:cstheme="minorHAnsi"/>
                <w:sz w:val="24"/>
                <w:szCs w:val="24"/>
              </w:rPr>
              <w:lastRenderedPageBreak/>
              <w:t xml:space="preserve">There are numerous differences between children’s and adult’s safeguarding, however, I will be focusing on two key differences. The first is the concept of vulnerability and the categories of abuse. In children’s safeguarding, the </w:t>
            </w:r>
            <w:r w:rsidRPr="00617375">
              <w:rPr>
                <w:rFonts w:asciiTheme="minorHAnsi" w:hAnsiTheme="minorHAnsi" w:cstheme="minorHAnsi"/>
                <w:i/>
                <w:sz w:val="24"/>
                <w:szCs w:val="24"/>
              </w:rPr>
              <w:t>Wales Safeguarding Procedures 2019</w:t>
            </w:r>
            <w:r w:rsidRPr="003E0F0E">
              <w:rPr>
                <w:rFonts w:asciiTheme="minorHAnsi" w:hAnsiTheme="minorHAnsi" w:cstheme="minorHAnsi"/>
                <w:sz w:val="24"/>
                <w:szCs w:val="24"/>
              </w:rPr>
              <w:t xml:space="preserve"> is applicable to individuals under the age of 18 who are suspected to be experiencing harm, or at risk of potential harm. S.130 (4) of the </w:t>
            </w:r>
            <w:r w:rsidRPr="00617375">
              <w:rPr>
                <w:rFonts w:asciiTheme="minorHAnsi" w:hAnsiTheme="minorHAnsi" w:cstheme="minorHAnsi"/>
                <w:i/>
                <w:sz w:val="24"/>
                <w:szCs w:val="24"/>
              </w:rPr>
              <w:t>Social Services and Well-being (Wales) Act 2014</w:t>
            </w:r>
            <w:r w:rsidRPr="003E0F0E">
              <w:rPr>
                <w:rFonts w:asciiTheme="minorHAnsi" w:hAnsiTheme="minorHAnsi" w:cstheme="minorHAnsi"/>
                <w:sz w:val="24"/>
                <w:szCs w:val="24"/>
              </w:rPr>
              <w:t xml:space="preserve"> states a child at risk is a child who is at risk, or experiencing abuse or neglect, and also has needs for care and support. The types of harm included within the Procedures include physical abuse, emotional and psychological abuse, sexual abuse, financial abuse and neglect. Harm may also arise from criminal exploitation, child sexual exploitation, radicalisation, female genital mutilation and modern slavery. In contrast, an Adult At Risk is an individual over the age of 18, and is defined in s126(1) of the </w:t>
            </w:r>
            <w:r w:rsidRPr="00617375">
              <w:rPr>
                <w:rFonts w:asciiTheme="minorHAnsi" w:hAnsiTheme="minorHAnsi" w:cstheme="minorHAnsi"/>
                <w:i/>
                <w:sz w:val="24"/>
                <w:szCs w:val="24"/>
              </w:rPr>
              <w:t xml:space="preserve">Social Services and Well-being (Wales) Act 2014 </w:t>
            </w:r>
            <w:r w:rsidRPr="003E0F0E">
              <w:rPr>
                <w:rFonts w:asciiTheme="minorHAnsi" w:hAnsiTheme="minorHAnsi" w:cstheme="minorHAnsi"/>
                <w:sz w:val="24"/>
                <w:szCs w:val="24"/>
              </w:rPr>
              <w:t xml:space="preserve">as experiencing or at risk of abuse or neglect, has needs for care and support, and is unable to protect themselves due to those needs. Whilst the categories of harm are similar to children’s, in adult’s there is the addition of domestic violence. This can include coercive or threatening behaviours. Self-neglect is also covered within the adult’s safeguarding procedures. </w:t>
            </w:r>
          </w:p>
          <w:p w14:paraId="325D85C2" w14:textId="77777777" w:rsidR="003E0F0E" w:rsidRPr="003E0F0E" w:rsidRDefault="003E0F0E" w:rsidP="003E0F0E">
            <w:pPr>
              <w:spacing w:line="360" w:lineRule="auto"/>
              <w:ind w:firstLine="720"/>
              <w:rPr>
                <w:rFonts w:asciiTheme="minorHAnsi" w:hAnsiTheme="minorHAnsi" w:cstheme="minorHAnsi"/>
                <w:sz w:val="24"/>
                <w:szCs w:val="24"/>
              </w:rPr>
            </w:pPr>
            <w:r w:rsidRPr="003E0F0E">
              <w:rPr>
                <w:rFonts w:asciiTheme="minorHAnsi" w:hAnsiTheme="minorHAnsi" w:cstheme="minorHAnsi"/>
                <w:sz w:val="24"/>
                <w:szCs w:val="24"/>
              </w:rPr>
              <w:t xml:space="preserve">The second difference between children’s and adult’s safeguarding is consent. According to the </w:t>
            </w:r>
            <w:r w:rsidRPr="00617375">
              <w:rPr>
                <w:rFonts w:asciiTheme="minorHAnsi" w:hAnsiTheme="minorHAnsi" w:cstheme="minorHAnsi"/>
                <w:i/>
                <w:sz w:val="24"/>
                <w:szCs w:val="24"/>
              </w:rPr>
              <w:t>Wales Safeguarding Procedures 2019</w:t>
            </w:r>
            <w:r w:rsidRPr="003E0F0E">
              <w:rPr>
                <w:rFonts w:asciiTheme="minorHAnsi" w:hAnsiTheme="minorHAnsi" w:cstheme="minorHAnsi"/>
                <w:sz w:val="24"/>
                <w:szCs w:val="24"/>
              </w:rPr>
              <w:t xml:space="preserve"> it is good practice to obtain parental consent prior to submitting a referral. Children should also be consulted with should this be feasible. However, the welfare of the child should be the overruling factor in deciding whether to gather consent from the parent and child. Some situations will necessitate it is not appropriate for consent to be gained and the reasons for lack of consent should be clearly recorded. In terms of adult’s safeguarding, the similarity is the adult’s safety is the overruling consideration in making a referral prior to consent. However, the difference is for adults capacity is a consideration. Under the </w:t>
            </w:r>
            <w:r w:rsidRPr="00617375">
              <w:rPr>
                <w:rFonts w:asciiTheme="minorHAnsi" w:hAnsiTheme="minorHAnsi" w:cstheme="minorHAnsi"/>
                <w:i/>
                <w:sz w:val="24"/>
                <w:szCs w:val="24"/>
              </w:rPr>
              <w:t>Mental Capacity Act 2005</w:t>
            </w:r>
            <w:r w:rsidRPr="003E0F0E">
              <w:rPr>
                <w:rFonts w:asciiTheme="minorHAnsi" w:hAnsiTheme="minorHAnsi" w:cstheme="minorHAnsi"/>
                <w:sz w:val="24"/>
                <w:szCs w:val="24"/>
              </w:rPr>
              <w:t>, one of the principles is an individual must be assumed to have capacity unless established they do not. Capacity is decision specific, therefore the</w:t>
            </w:r>
            <w:bookmarkStart w:id="0" w:name="_GoBack"/>
            <w:bookmarkEnd w:id="0"/>
            <w:r w:rsidRPr="003E0F0E">
              <w:rPr>
                <w:rFonts w:asciiTheme="minorHAnsi" w:hAnsiTheme="minorHAnsi" w:cstheme="minorHAnsi"/>
                <w:sz w:val="24"/>
                <w:szCs w:val="24"/>
              </w:rPr>
              <w:t xml:space="preserve"> action taken will be dependent on whether the adult is deemed as lacking in capacity to consent. An adult who has capacity has the right to make an unwise decision. This may result in an adult choosing not to consent to a safeguarding referral. Each case should be assessed on an individualised basis, ensuring the adult is at the centre of any decisions and their thoughts, wishes and feelings considered.</w:t>
            </w:r>
          </w:p>
          <w:p w14:paraId="08760B3D" w14:textId="06D03982" w:rsidR="003E0F0E" w:rsidRPr="003E0F0E" w:rsidRDefault="003E0F0E" w:rsidP="00FC0334">
            <w:pPr>
              <w:jc w:val="both"/>
              <w:rPr>
                <w:rFonts w:asciiTheme="minorHAnsi" w:hAnsiTheme="minorHAnsi" w:cstheme="minorHAnsi"/>
                <w:i/>
                <w:sz w:val="24"/>
                <w:szCs w:val="24"/>
              </w:rPr>
            </w:pPr>
            <w:r w:rsidRPr="003E0F0E">
              <w:rPr>
                <w:rFonts w:asciiTheme="minorHAnsi" w:hAnsiTheme="minorHAnsi" w:cstheme="minorHAnsi"/>
                <w:i/>
                <w:sz w:val="24"/>
                <w:szCs w:val="24"/>
              </w:rPr>
              <w:t>(439 words)</w:t>
            </w:r>
          </w:p>
        </w:tc>
      </w:tr>
    </w:tbl>
    <w:p w14:paraId="65491666" w14:textId="50BAD164" w:rsidR="00FC0334" w:rsidRPr="003E0F0E" w:rsidRDefault="00FC0334" w:rsidP="003E0F0E">
      <w:pPr>
        <w:tabs>
          <w:tab w:val="left" w:pos="900"/>
        </w:tabs>
        <w:rPr>
          <w:sz w:val="24"/>
          <w:szCs w:val="24"/>
        </w:rPr>
      </w:pPr>
    </w:p>
    <w:sectPr w:rsidR="00FC0334" w:rsidRPr="003E0F0E"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FBC683B" w:rsidR="00A5656A" w:rsidRDefault="00A5656A">
    <w:pPr>
      <w:pStyle w:val="Footer"/>
      <w:jc w:val="right"/>
    </w:pPr>
    <w:r>
      <w:fldChar w:fldCharType="begin"/>
    </w:r>
    <w:r>
      <w:instrText xml:space="preserve"> PAGE   \* MERGEFORMAT </w:instrText>
    </w:r>
    <w:r>
      <w:fldChar w:fldCharType="separate"/>
    </w:r>
    <w:r w:rsidR="00617375">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0F0E"/>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375"/>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54B2D-3318-4E24-9CB2-286D4AB69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1194</Words>
  <Characters>6389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Jelly</cp:lastModifiedBy>
  <cp:revision>3</cp:revision>
  <cp:lastPrinted>2020-02-11T19:20:00Z</cp:lastPrinted>
  <dcterms:created xsi:type="dcterms:W3CDTF">2024-10-07T10:44:00Z</dcterms:created>
  <dcterms:modified xsi:type="dcterms:W3CDTF">2024-10-07T13:37:00Z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