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C403CB" w14:textId="34DE0C73" w:rsidR="002708AD" w:rsidRPr="002708AD" w:rsidRDefault="002708AD" w:rsidP="00AA6A44">
      <w:pPr>
        <w:spacing w:line="480" w:lineRule="auto"/>
      </w:pPr>
      <w:r w:rsidRPr="002708AD">
        <w:t xml:space="preserve">I acknowledge the use of </w:t>
      </w:r>
      <w:r w:rsidR="009E2D32">
        <w:t xml:space="preserve">Google AI Mode </w:t>
      </w:r>
      <w:r w:rsidR="002A0A69">
        <w:t>at google.com</w:t>
      </w:r>
      <w:r w:rsidRPr="002708AD">
        <w:t xml:space="preserve"> on </w:t>
      </w:r>
      <w:r w:rsidR="009F39CD">
        <w:t>27/05/2026</w:t>
      </w:r>
      <w:r w:rsidRPr="002708AD">
        <w:t xml:space="preserve"> to </w:t>
      </w:r>
      <w:r w:rsidR="009F39CD">
        <w:t xml:space="preserve">help with </w:t>
      </w:r>
      <w:r w:rsidR="009A44F7">
        <w:t>formatting my work</w:t>
      </w:r>
      <w:r w:rsidRPr="002708AD">
        <w:t xml:space="preserve"> I used</w:t>
      </w:r>
      <w:r w:rsidR="00AA6A44">
        <w:t xml:space="preserve"> </w:t>
      </w:r>
      <w:r w:rsidRPr="002708AD">
        <w:t>the prompt:</w:t>
      </w:r>
    </w:p>
    <w:p w14:paraId="0D662BD5" w14:textId="55A81511" w:rsidR="00863BFB" w:rsidRPr="00AA6A44" w:rsidRDefault="00D82281" w:rsidP="00AA6A44">
      <w:pPr>
        <w:pStyle w:val="ListParagraph"/>
        <w:numPr>
          <w:ilvl w:val="0"/>
          <w:numId w:val="2"/>
        </w:numPr>
        <w:spacing w:line="480" w:lineRule="auto"/>
      </w:pPr>
      <w:r>
        <w:t>How to show a pause in writing an academic essay</w:t>
      </w:r>
      <w:r w:rsidR="00863BFB" w:rsidRPr="00AA6A44">
        <w:rPr>
          <w:b/>
          <w:bCs/>
        </w:rPr>
        <w:br w:type="page"/>
      </w:r>
    </w:p>
    <w:p w14:paraId="7EA1DA1C" w14:textId="0EF66613" w:rsidR="003D5B66" w:rsidRPr="00637846" w:rsidRDefault="003D5B66" w:rsidP="008A78A7">
      <w:pPr>
        <w:spacing w:line="480" w:lineRule="auto"/>
        <w:rPr>
          <w:b/>
          <w:bCs/>
        </w:rPr>
      </w:pPr>
      <w:r w:rsidRPr="00637846">
        <w:rPr>
          <w:b/>
          <w:bCs/>
        </w:rPr>
        <w:lastRenderedPageBreak/>
        <w:t>Conscientiousness and the Role of Trait Theory in Explaining Achievement-Related Behaviour</w:t>
      </w:r>
    </w:p>
    <w:p w14:paraId="0267003E" w14:textId="77777777" w:rsidR="003D5B66" w:rsidRPr="00FC5D9C" w:rsidRDefault="003D5B66" w:rsidP="008A78A7">
      <w:pPr>
        <w:spacing w:line="480" w:lineRule="auto"/>
      </w:pPr>
    </w:p>
    <w:p w14:paraId="33C6D7BA" w14:textId="60D9E922" w:rsidR="003D5B66" w:rsidRPr="00F21D76" w:rsidRDefault="003D5B66" w:rsidP="008A78A7">
      <w:pPr>
        <w:spacing w:line="480" w:lineRule="auto"/>
        <w:rPr>
          <w:b/>
          <w:bCs/>
        </w:rPr>
      </w:pPr>
      <w:r w:rsidRPr="00F21D76">
        <w:rPr>
          <w:b/>
          <w:bCs/>
        </w:rPr>
        <w:t>Introduction</w:t>
      </w:r>
    </w:p>
    <w:p w14:paraId="6BB0DB39" w14:textId="06B1D903" w:rsidR="003D5B66" w:rsidRPr="00FC5D9C" w:rsidRDefault="003D5B66" w:rsidP="008A78A7">
      <w:pPr>
        <w:spacing w:line="480" w:lineRule="auto"/>
      </w:pPr>
      <w:r w:rsidRPr="00FC5D9C">
        <w:tab/>
        <w:t xml:space="preserve">Personality psychology attempts to explain why people behave differently from one another, particularly through trait theory which suggests people have stable characteristics </w:t>
      </w:r>
      <w:r w:rsidR="00FE1FA7">
        <w:t>i</w:t>
      </w:r>
      <w:r w:rsidR="00340FB7">
        <w:t>nfluen</w:t>
      </w:r>
      <w:r w:rsidR="00756EEE">
        <w:t>cing</w:t>
      </w:r>
      <w:r w:rsidR="00013B13">
        <w:t xml:space="preserve"> be</w:t>
      </w:r>
      <w:r w:rsidR="00CA3E5D">
        <w:t>haviour</w:t>
      </w:r>
      <w:r w:rsidRPr="00FC5D9C">
        <w:t>.</w:t>
      </w:r>
      <w:r w:rsidR="00E53FF3">
        <w:t xml:space="preserve"> </w:t>
      </w:r>
      <w:r w:rsidRPr="00FC5D9C">
        <w:t>Behaviour is defined as one’s observable and measurable actions, influenced by traits, in response to a stimulus (John &amp; Srivastava, 1999). Early theorists such as Allport (1937), Cattell (1946), and Eysenck (1967) helped shape trait theory, with later work by Costa and McCrae (1992) identifying the Big Five traits including conscientiousness. They believe individual characteristics can be scientifically studied to better understand and predict human behaviour. These theories remain influential in today’s approach to personality psychology, education and workplace assessments.</w:t>
      </w:r>
    </w:p>
    <w:p w14:paraId="37A28EF1" w14:textId="61CFA991" w:rsidR="003D5B66" w:rsidRPr="00FC5D9C" w:rsidRDefault="003D5B66" w:rsidP="008A78A7">
      <w:pPr>
        <w:spacing w:line="480" w:lineRule="auto"/>
      </w:pPr>
      <w:r w:rsidRPr="00FC5D9C">
        <w:tab/>
        <w:t>Conscientiousness refers to how organised, responsible and hard-working a person is and is considered a particularly important trait for achievement-related behaviour. Research consistently shows conscientiousness is one of the strongest personality predictors of academic success, sometimes more influential than intelligence (Poropat, 2009; Spielmann et al., 2022).</w:t>
      </w:r>
    </w:p>
    <w:p w14:paraId="4D957650" w14:textId="6E45E10A" w:rsidR="003D5B66" w:rsidRPr="00FC5D9C" w:rsidRDefault="003D5B66" w:rsidP="008A78A7">
      <w:pPr>
        <w:spacing w:line="480" w:lineRule="auto"/>
      </w:pPr>
      <w:r w:rsidRPr="00FC5D9C">
        <w:tab/>
        <w:t>This essay will explore how trait theories describe conscientiousness.</w:t>
      </w:r>
    </w:p>
    <w:p w14:paraId="1F26BAB1" w14:textId="77777777" w:rsidR="003D5B66" w:rsidRDefault="003D5B66" w:rsidP="008A78A7">
      <w:pPr>
        <w:spacing w:line="480" w:lineRule="auto"/>
      </w:pPr>
    </w:p>
    <w:p w14:paraId="64C9B79E" w14:textId="77777777" w:rsidR="008E7D92" w:rsidRPr="00FC5D9C" w:rsidRDefault="008E7D92" w:rsidP="008A78A7">
      <w:pPr>
        <w:spacing w:line="480" w:lineRule="auto"/>
      </w:pPr>
    </w:p>
    <w:p w14:paraId="1EB9D609" w14:textId="7021E45E" w:rsidR="003D5B66" w:rsidRPr="00FF62F4" w:rsidRDefault="003D5B66" w:rsidP="008A78A7">
      <w:pPr>
        <w:spacing w:line="480" w:lineRule="auto"/>
        <w:rPr>
          <w:b/>
          <w:bCs/>
        </w:rPr>
      </w:pPr>
      <w:r w:rsidRPr="00FF62F4">
        <w:rPr>
          <w:b/>
          <w:bCs/>
        </w:rPr>
        <w:lastRenderedPageBreak/>
        <w:t>Foundations of Trait Theory</w:t>
      </w:r>
    </w:p>
    <w:p w14:paraId="24A11665" w14:textId="3E4B2588" w:rsidR="003D5B66" w:rsidRPr="00FC5D9C" w:rsidRDefault="003D5B66" w:rsidP="008A78A7">
      <w:pPr>
        <w:spacing w:line="480" w:lineRule="auto"/>
      </w:pPr>
      <w:r w:rsidRPr="00FC5D9C">
        <w:tab/>
        <w:t>Trait theory began with Allport and Odbert (1936), proposing the lexical hypothesis. They argued that important personality characteristics become encoded in everyday language and identified thousands of trait</w:t>
      </w:r>
      <w:r w:rsidR="00D311F4">
        <w:t>-</w:t>
      </w:r>
      <w:r w:rsidRPr="00FC5D9C">
        <w:t>descriptive words. Conscientiousness appeared early as a descriptor of reliability and responsibility. Allport also recognised that behaviour can vary across situations, which is important because it challenges the idea that traits always produce consistent behaviour.</w:t>
      </w:r>
    </w:p>
    <w:p w14:paraId="0F1F0E56" w14:textId="039029F7" w:rsidR="003D5B66" w:rsidRPr="00FC5D9C" w:rsidRDefault="003D5B66" w:rsidP="008A78A7">
      <w:pPr>
        <w:spacing w:line="480" w:lineRule="auto"/>
      </w:pPr>
      <w:r w:rsidRPr="00FC5D9C">
        <w:tab/>
        <w:t>Cattell (1946) built on this work by using factor analysis to reduce Allport’s long list of descriptors to 16 core personality factors. His 16PF model included traits related to conscientiousness, such as rule consciousness and perfectionism.</w:t>
      </w:r>
    </w:p>
    <w:p w14:paraId="6FCF5E81" w14:textId="62FF7847" w:rsidR="003D5B66" w:rsidRPr="00FC5D9C" w:rsidRDefault="003D5B66" w:rsidP="008A78A7">
      <w:pPr>
        <w:spacing w:line="480" w:lineRule="auto"/>
      </w:pPr>
      <w:r w:rsidRPr="00FC5D9C">
        <w:tab/>
        <w:t>Eysenck (1967, 1991), proposed a biological model of personality, suggesting that traits are rooted in genetic and neurological systems. Although conscientiousness was not one of his three main traits, it overlaps with low psychoticism, which includes self-control and responsibility.</w:t>
      </w:r>
      <w:r w:rsidR="00EC5342" w:rsidRPr="00FC5D9C">
        <w:t xml:space="preserve"> Twin studies, such as </w:t>
      </w:r>
      <w:proofErr w:type="spellStart"/>
      <w:r w:rsidR="00EC5342" w:rsidRPr="00FC5D9C">
        <w:t>Takahasi</w:t>
      </w:r>
      <w:proofErr w:type="spellEnd"/>
      <w:r w:rsidR="00EC5342" w:rsidRPr="00FC5D9C">
        <w:t xml:space="preserve"> et al. (2021), support the idea that traits have a genetic basis as findings show that conscientiousness</w:t>
      </w:r>
      <w:r w:rsidR="00D311F4">
        <w:t>-</w:t>
      </w:r>
      <w:r w:rsidR="00EC5342" w:rsidRPr="00FC5D9C">
        <w:t>related constructs such as grit and self-control share over 80% of their genetic variance. This strengthens the argument that conscientiousness is a stable, biologically influenced trait.</w:t>
      </w:r>
    </w:p>
    <w:p w14:paraId="099362AD" w14:textId="577BB16A" w:rsidR="00EC5342" w:rsidRPr="00FC5D9C" w:rsidRDefault="00EC5342" w:rsidP="008A78A7">
      <w:pPr>
        <w:spacing w:line="480" w:lineRule="auto"/>
      </w:pPr>
      <w:r w:rsidRPr="00FC5D9C">
        <w:tab/>
        <w:t>Costa and McCrae (1992) developed the Big Five model which has strong empirical support and is widely used in research on academic achievement (Poropat, 2009). Critics argue that the Big Five is descriptive rather than explanatory, meaning it identifies patterns but does not explain why traits develop (Block, 2010; McAdams, 2001).</w:t>
      </w:r>
    </w:p>
    <w:p w14:paraId="2B95A604" w14:textId="0676CEBC" w:rsidR="004C4C04" w:rsidRPr="00FC5D9C" w:rsidRDefault="00EC5342" w:rsidP="008A78A7">
      <w:pPr>
        <w:spacing w:line="480" w:lineRule="auto"/>
      </w:pPr>
      <w:r w:rsidRPr="00FC5D9C">
        <w:lastRenderedPageBreak/>
        <w:tab/>
        <w:t>These models are supported by well validated assessment tools such as the NEO-PI-3 (Costa &amp; McCrae, 1992) and the 16PF (Cattell, 1946), which allow researchers to measure conscientiousness reliably and link it to real-world behaviours such as academic achievement (Poropat, 2009).</w:t>
      </w:r>
      <w:r w:rsidR="004C4C04" w:rsidRPr="00FC5D9C">
        <w:t xml:space="preserve"> </w:t>
      </w:r>
      <w:r w:rsidRPr="00FC5D9C">
        <w:t>The NEO-PI-3 offers high reliability and predictive validity and is considered the gold standard for measurement (McCrae et al., 2005; Roberts et al</w:t>
      </w:r>
      <w:r w:rsidR="00482BC8" w:rsidRPr="00FC5D9C">
        <w:t>., 2009).</w:t>
      </w:r>
    </w:p>
    <w:p w14:paraId="45F57262" w14:textId="235B3DF5" w:rsidR="004C4C04" w:rsidRPr="00FC5D9C" w:rsidRDefault="00482BC8" w:rsidP="008A78A7">
      <w:pPr>
        <w:spacing w:line="480" w:lineRule="auto"/>
        <w:ind w:firstLine="720"/>
      </w:pPr>
      <w:r w:rsidRPr="00FC5D9C">
        <w:t>Another tool, the IPIP-NEO (Goldberg, 1999) was formed using the same facet structure as the NEO-PI-3</w:t>
      </w:r>
      <w:r w:rsidR="00DE589B">
        <w:t>.</w:t>
      </w:r>
      <w:r w:rsidR="00416B6C">
        <w:t xml:space="preserve"> </w:t>
      </w:r>
      <w:r w:rsidR="00DC5ABB">
        <w:t>Both</w:t>
      </w:r>
      <w:r w:rsidRPr="00FC5D9C">
        <w:t xml:space="preserve"> instruments measure all six distinct components of </w:t>
      </w:r>
      <w:r w:rsidR="00A83776">
        <w:t>cons</w:t>
      </w:r>
      <w:r w:rsidR="003B5BC9">
        <w:t>cien</w:t>
      </w:r>
      <w:r w:rsidR="003F56A1">
        <w:t>tious</w:t>
      </w:r>
      <w:r w:rsidR="00DB3977">
        <w:t>ness</w:t>
      </w:r>
      <w:r w:rsidR="000F3554">
        <w:t>,</w:t>
      </w:r>
      <w:r w:rsidRPr="00FC5D9C">
        <w:t xml:space="preserve"> demonstrating the strongest alignment with trait theory alongside high predictive validity and reliability (Johnson, 2014). Despite its strengths, both tools rely on self-report measures, thus responses can be subjective and influenced by social desirability bias (Paulhus &amp; </w:t>
      </w:r>
      <w:proofErr w:type="spellStart"/>
      <w:r w:rsidRPr="00FC5D9C">
        <w:t>Vazire</w:t>
      </w:r>
      <w:proofErr w:type="spellEnd"/>
      <w:r w:rsidRPr="00FC5D9C">
        <w:t>, 2007).</w:t>
      </w:r>
    </w:p>
    <w:p w14:paraId="10A51FE3" w14:textId="4A27E419" w:rsidR="004C4C04" w:rsidRPr="00FC5D9C" w:rsidRDefault="00482BC8" w:rsidP="008A78A7">
      <w:pPr>
        <w:spacing w:line="480" w:lineRule="auto"/>
        <w:ind w:firstLine="720"/>
      </w:pPr>
      <w:r w:rsidRPr="00FC5D9C">
        <w:t xml:space="preserve">The BFI and BFI-2, which include three conscientiousness facets – organisation, productiveness and responsibility – are broad and cover the Big Five traits, but have limitations due to their length of only 44 and 60 items, respectively, of measurement compared to the NEO-PI-3 which has 240 items (Soto &amp; John, 2017; McCrae &amp; Costa, 2008). The BFI and BFI-2 cannot </w:t>
      </w:r>
      <w:r w:rsidR="004C4C04" w:rsidRPr="00FC5D9C">
        <w:t>differentiate</w:t>
      </w:r>
      <w:r w:rsidRPr="00FC5D9C">
        <w:t xml:space="preserve"> between different </w:t>
      </w:r>
      <w:r w:rsidR="004C4C04" w:rsidRPr="00FC5D9C">
        <w:t>specific facets</w:t>
      </w:r>
      <w:r w:rsidRPr="00FC5D9C">
        <w:t xml:space="preserve"> of conscientiousness</w:t>
      </w:r>
      <w:r w:rsidR="004C4C04" w:rsidRPr="00FC5D9C">
        <w:t xml:space="preserve">, thereby </w:t>
      </w:r>
      <w:r w:rsidRPr="00FC5D9C">
        <w:t>offering a limited nuance</w:t>
      </w:r>
      <w:r w:rsidR="004C4C04" w:rsidRPr="00FC5D9C">
        <w:t>; in contrast</w:t>
      </w:r>
      <w:r w:rsidR="00333E4D">
        <w:t>,</w:t>
      </w:r>
      <w:r w:rsidR="004C4C04" w:rsidRPr="00FC5D9C">
        <w:t xml:space="preserve"> t</w:t>
      </w:r>
      <w:r w:rsidRPr="00FC5D9C">
        <w:t>he NEO-PI-</w:t>
      </w:r>
      <w:r w:rsidR="00C85BA4">
        <w:t>3</w:t>
      </w:r>
      <w:r w:rsidR="004C4C04" w:rsidRPr="00FC5D9C">
        <w:t xml:space="preserve"> provides deep granularity by breaking the trait down into six distinct sub-facets (McCrae &amp; Costa, 2008).</w:t>
      </w:r>
    </w:p>
    <w:p w14:paraId="3B21D89D" w14:textId="3D26B2C6" w:rsidR="00EC5342" w:rsidRPr="00FC5D9C" w:rsidRDefault="004C4C04" w:rsidP="008A78A7">
      <w:pPr>
        <w:spacing w:line="480" w:lineRule="auto"/>
        <w:ind w:firstLine="720"/>
      </w:pPr>
      <w:r w:rsidRPr="00FC5D9C">
        <w:t xml:space="preserve">The IPIP-NEO utilises similar facets to the NEO-PI-3 and the HEXACO-PI offering high test-retest validity and a large item pool; however, it is less standardised. Similarly to the NEO-PI-3, it relies on subjective self-reporting, meaning that participants who </w:t>
      </w:r>
      <w:r w:rsidRPr="00FC5D9C">
        <w:lastRenderedPageBreak/>
        <w:t>lack self-awareness or misinterpret questions ultimately compromise overall data accuracy (Goldberg et al., 2006; Ashton &amp; Lee, 2009).</w:t>
      </w:r>
    </w:p>
    <w:p w14:paraId="62EEA1BD" w14:textId="77777777" w:rsidR="004C4C04" w:rsidRPr="00767EEB" w:rsidRDefault="004C4C04" w:rsidP="008A78A7">
      <w:pPr>
        <w:spacing w:line="480" w:lineRule="auto"/>
        <w:rPr>
          <w:b/>
          <w:bCs/>
        </w:rPr>
      </w:pPr>
    </w:p>
    <w:p w14:paraId="0FCABA2F" w14:textId="35058357" w:rsidR="004C4C04" w:rsidRPr="00767EEB" w:rsidRDefault="004C4C04" w:rsidP="008A78A7">
      <w:pPr>
        <w:spacing w:line="480" w:lineRule="auto"/>
        <w:rPr>
          <w:b/>
          <w:bCs/>
        </w:rPr>
      </w:pPr>
      <w:r w:rsidRPr="00767EEB">
        <w:rPr>
          <w:b/>
          <w:bCs/>
        </w:rPr>
        <w:t>How Conscientiousness Predicts Achievement-Related Behaviour</w:t>
      </w:r>
    </w:p>
    <w:p w14:paraId="3726286C" w14:textId="7F6C609B" w:rsidR="004C4C04" w:rsidRPr="00FC5D9C" w:rsidRDefault="004C4C04" w:rsidP="008A78A7">
      <w:pPr>
        <w:spacing w:line="480" w:lineRule="auto"/>
      </w:pPr>
      <w:r w:rsidRPr="00FC5D9C">
        <w:tab/>
        <w:t>Conscientiousness alone, however, cannot fully explain achievement as socioeconomic status, motivation, self-efficacy and parenting practices also play major roles in shaping academic outcomes (Bradley &amp; Corwyn, 2002; Department for Education, 2023; Eisenberg et al., 2010; Richardson et al., 2012). Although traits help explain stable differences between people, they do not account for the full range of influences on behaviour. Traits are not always expressed consistently across situations. Nasello et al. (2024) found that conscientiousness varies depending on context, with people behaving differently at work versus with family. This challenges the idea that traits are stable across all situations and suggests that behaviour is influenced by environmental cues. Eisenberg et al. (2010) found that parental warmth and structure predict children’s self-regulation and academic competence, and Pomerantz et al. (2007) found that parental involvement improves achievement. These findings challenge the idea that conscientiousness is purely innate, suggesting that it may be shaped by early experiences.</w:t>
      </w:r>
    </w:p>
    <w:p w14:paraId="0450629F" w14:textId="614F3311" w:rsidR="004C4C04" w:rsidRPr="00FC5D9C" w:rsidRDefault="004C4C04" w:rsidP="008A78A7">
      <w:pPr>
        <w:spacing w:line="480" w:lineRule="auto"/>
      </w:pPr>
      <w:r w:rsidRPr="00FC5D9C">
        <w:tab/>
        <w:t xml:space="preserve">Achievement is also influenced by cognitive ability which is one of the strongest predictors of academic performance (Roth et al., 2015). Roth et al. (2015) found that intelligence predicts school grades with correlations around </w:t>
      </w:r>
      <w:r w:rsidRPr="00D310E0">
        <w:rPr>
          <w:i/>
          <w:iCs/>
        </w:rPr>
        <w:t>r</w:t>
      </w:r>
      <w:r w:rsidRPr="00FC5D9C">
        <w:t xml:space="preserve"> = .50, which is stronger than most personality traits. This suggests that trait theory may overestimate the role of personality in achievement. Moreover, Credé at al. (2010) conducted a meta-analysis </w:t>
      </w:r>
      <w:r w:rsidRPr="00FC5D9C">
        <w:lastRenderedPageBreak/>
        <w:t>showing that conscientious students attend classes more regularly, a good predictor of academic performance.</w:t>
      </w:r>
    </w:p>
    <w:p w14:paraId="2A680D09" w14:textId="32106D44" w:rsidR="004C4C04" w:rsidRPr="00FC5D9C" w:rsidRDefault="004C4C04" w:rsidP="008A78A7">
      <w:pPr>
        <w:spacing w:line="480" w:lineRule="auto"/>
      </w:pPr>
      <w:r w:rsidRPr="00FC5D9C">
        <w:tab/>
        <w:t>Students high in conscientiousness are more likely to value routine, follow rules, and take responsibility for their learning, which increases their engagement with academic tasks. Motivation and mindset also influence achievement. Richardson et al. (2012) found that self-efficacy strongly predicts academic performance, while Sisk et al.</w:t>
      </w:r>
      <w:r w:rsidR="00DD2966" w:rsidRPr="00FC5D9C">
        <w:t xml:space="preserve"> (</w:t>
      </w:r>
      <w:r w:rsidRPr="00FC5D9C">
        <w:t>2018</w:t>
      </w:r>
      <w:r w:rsidR="00DD2966" w:rsidRPr="00FC5D9C">
        <w:t>)</w:t>
      </w:r>
      <w:r w:rsidRPr="00FC5D9C">
        <w:t xml:space="preserve"> showed that growth mindset interventions can improve achievement. These findings suggest that internal beliefs and attitudes may be just as important as personality traits. Link</w:t>
      </w:r>
      <w:r w:rsidR="00DD2966" w:rsidRPr="00FC5D9C">
        <w:t>ing to</w:t>
      </w:r>
      <w:r w:rsidRPr="00FC5D9C">
        <w:t xml:space="preserve"> education</w:t>
      </w:r>
      <w:r w:rsidR="00DD2966" w:rsidRPr="00FC5D9C">
        <w:t>,</w:t>
      </w:r>
      <w:r w:rsidRPr="00FC5D9C">
        <w:t xml:space="preserve"> environmental factors </w:t>
      </w:r>
      <w:r w:rsidR="00DD2966" w:rsidRPr="00FC5D9C">
        <w:t>heavily influence</w:t>
      </w:r>
      <w:r w:rsidRPr="00FC5D9C">
        <w:t xml:space="preserve"> learning outcomes. </w:t>
      </w:r>
      <w:r w:rsidR="00DD2966" w:rsidRPr="00FC5D9C">
        <w:t>According to t</w:t>
      </w:r>
      <w:r w:rsidRPr="00FC5D9C">
        <w:t xml:space="preserve">he </w:t>
      </w:r>
      <w:r w:rsidR="00DD2966" w:rsidRPr="00FC5D9C">
        <w:t>E</w:t>
      </w:r>
      <w:r w:rsidRPr="00FC5D9C">
        <w:t xml:space="preserve">ducation </w:t>
      </w:r>
      <w:r w:rsidR="00DD2966" w:rsidRPr="00FC5D9C">
        <w:t>E</w:t>
      </w:r>
      <w:r w:rsidRPr="00FC5D9C">
        <w:t xml:space="preserve">ndowment </w:t>
      </w:r>
      <w:r w:rsidR="00DD2966" w:rsidRPr="00FC5D9C">
        <w:t>F</w:t>
      </w:r>
      <w:r w:rsidRPr="00FC5D9C">
        <w:t>oundation</w:t>
      </w:r>
      <w:r w:rsidR="00DD2966" w:rsidRPr="00FC5D9C">
        <w:t>’</w:t>
      </w:r>
      <w:r w:rsidRPr="00FC5D9C">
        <w:t xml:space="preserve">s </w:t>
      </w:r>
      <w:r w:rsidR="00DD2966" w:rsidRPr="00FC5D9C">
        <w:t>T</w:t>
      </w:r>
      <w:r w:rsidRPr="00FC5D9C">
        <w:t xml:space="preserve">eaching and </w:t>
      </w:r>
      <w:r w:rsidR="00DD2966" w:rsidRPr="00FC5D9C">
        <w:t>L</w:t>
      </w:r>
      <w:r w:rsidRPr="00FC5D9C">
        <w:t xml:space="preserve">earning </w:t>
      </w:r>
      <w:r w:rsidR="00DD2966" w:rsidRPr="00FC5D9C">
        <w:t>T</w:t>
      </w:r>
      <w:r w:rsidRPr="00FC5D9C">
        <w:t>oolkit</w:t>
      </w:r>
      <w:r w:rsidR="00DD2966" w:rsidRPr="00FC5D9C">
        <w:t xml:space="preserve"> (2023),</w:t>
      </w:r>
      <w:r w:rsidRPr="00FC5D9C">
        <w:t xml:space="preserve"> </w:t>
      </w:r>
      <w:r w:rsidR="00DD2966" w:rsidRPr="00FC5D9C">
        <w:t>high-quality</w:t>
      </w:r>
      <w:r w:rsidRPr="00FC5D9C">
        <w:t xml:space="preserve"> teaching approaches </w:t>
      </w:r>
      <w:r w:rsidR="00DD2966" w:rsidRPr="00FC5D9C">
        <w:t xml:space="preserve">like </w:t>
      </w:r>
      <w:r w:rsidRPr="00FC5D9C">
        <w:t>feedback, metacognition, and reading comprehension strategies</w:t>
      </w:r>
      <w:r w:rsidR="00DD2966" w:rsidRPr="00FC5D9C">
        <w:t xml:space="preserve"> </w:t>
      </w:r>
      <w:r w:rsidRPr="00FC5D9C">
        <w:t xml:space="preserve">typically add between four and six months of additional progress </w:t>
      </w:r>
      <w:r w:rsidR="00DD2966" w:rsidRPr="00FC5D9C">
        <w:t>per</w:t>
      </w:r>
      <w:r w:rsidRPr="00FC5D9C">
        <w:t xml:space="preserve"> year</w:t>
      </w:r>
      <w:r w:rsidR="00DD2966" w:rsidRPr="00FC5D9C">
        <w:t xml:space="preserve">. </w:t>
      </w:r>
      <w:r w:rsidRPr="00FC5D9C">
        <w:t xml:space="preserve">Hattie </w:t>
      </w:r>
      <w:r w:rsidR="00DD2966" w:rsidRPr="00FC5D9C">
        <w:t>(</w:t>
      </w:r>
      <w:r w:rsidRPr="00FC5D9C">
        <w:t>2009</w:t>
      </w:r>
      <w:r w:rsidR="00DD2966" w:rsidRPr="00FC5D9C">
        <w:t>)</w:t>
      </w:r>
      <w:r w:rsidRPr="00FC5D9C">
        <w:t xml:space="preserve"> </w:t>
      </w:r>
      <w:r w:rsidR="00DD2966" w:rsidRPr="00FC5D9C">
        <w:t xml:space="preserve">reinforces that </w:t>
      </w:r>
      <w:r w:rsidRPr="00FC5D9C">
        <w:t xml:space="preserve">teacher quality has a </w:t>
      </w:r>
      <w:r w:rsidR="00DD2966" w:rsidRPr="00FC5D9C">
        <w:t>profound</w:t>
      </w:r>
      <w:r w:rsidRPr="00FC5D9C">
        <w:t xml:space="preserve"> </w:t>
      </w:r>
      <w:r w:rsidR="00DD2966" w:rsidRPr="00FC5D9C">
        <w:t>impact</w:t>
      </w:r>
      <w:r w:rsidRPr="00FC5D9C">
        <w:t xml:space="preserve"> on </w:t>
      </w:r>
      <w:r w:rsidR="00DD2966" w:rsidRPr="00FC5D9C">
        <w:t xml:space="preserve">student </w:t>
      </w:r>
      <w:r w:rsidRPr="00FC5D9C">
        <w:t>achievement.</w:t>
      </w:r>
    </w:p>
    <w:p w14:paraId="1EBCEFCB" w14:textId="161AB76F" w:rsidR="00DD2966" w:rsidRPr="00FC5D9C" w:rsidRDefault="00DD2966" w:rsidP="008A78A7">
      <w:pPr>
        <w:spacing w:line="480" w:lineRule="auto"/>
      </w:pPr>
      <w:r w:rsidRPr="00FC5D9C">
        <w:tab/>
        <w:t>One explanation for why conscientiousness predicts achievement is the underlying mechanism of self-controlled future orientation. Costantin</w:t>
      </w:r>
      <w:r w:rsidR="006139DC">
        <w:t>i</w:t>
      </w:r>
      <w:r w:rsidRPr="00FC5D9C">
        <w:t xml:space="preserve"> and Perugini (2016) found that across different measures of conscientiousness, the shared core involves the ability to delay gratification, plan, and consider long</w:t>
      </w:r>
      <w:r w:rsidR="00163DDF" w:rsidRPr="00FC5D9C">
        <w:t>-</w:t>
      </w:r>
      <w:r w:rsidRPr="00FC5D9C">
        <w:t>term consequences. These abilities are essential for academic success, as students must often choose long</w:t>
      </w:r>
      <w:r w:rsidR="00163DDF" w:rsidRPr="00FC5D9C">
        <w:t>-</w:t>
      </w:r>
      <w:r w:rsidRPr="00FC5D9C">
        <w:t>term goals over short</w:t>
      </w:r>
      <w:r w:rsidR="00163DDF" w:rsidRPr="00FC5D9C">
        <w:t>-</w:t>
      </w:r>
      <w:r w:rsidRPr="00FC5D9C">
        <w:t>term temptations. Conscientious individuals are more likely to persist through challenges, maintain focus, and regulate their behaviour in ways that support learning. Achievement</w:t>
      </w:r>
      <w:r w:rsidR="00163DDF" w:rsidRPr="00FC5D9C">
        <w:t>-</w:t>
      </w:r>
      <w:r w:rsidRPr="00FC5D9C">
        <w:t>related behaviour also includes class attendance, which is strongly linked to conscientiousness.</w:t>
      </w:r>
    </w:p>
    <w:p w14:paraId="05AE366D" w14:textId="126A6D12" w:rsidR="00DD2966" w:rsidRPr="00FC5D9C" w:rsidRDefault="00DD2966" w:rsidP="008A78A7">
      <w:pPr>
        <w:spacing w:line="480" w:lineRule="auto"/>
      </w:pPr>
      <w:r w:rsidRPr="00FC5D9C">
        <w:lastRenderedPageBreak/>
        <w:tab/>
        <w:t xml:space="preserve">Conscientiousness is also associated with effective study habits and time management. Caprara et al. (2011) found that conscientious students are more likely to use productive learning strategies, such as planning study sessions, organising materials, and monitoring their progress. These behaviours directly support achievement by helping students manage deadlines, avoid procrastination, and maintain consistent effort. </w:t>
      </w:r>
      <w:r w:rsidR="00163DDF" w:rsidRPr="00FC5D9C">
        <w:t xml:space="preserve">Supporting this, </w:t>
      </w:r>
      <w:r w:rsidRPr="00FC5D9C">
        <w:t>Spielmann et al. (2022) highlight that conscientious students tend to complete homework, ask questions, and participate actively in class</w:t>
      </w:r>
      <w:r w:rsidR="00163DDF" w:rsidRPr="00FC5D9C">
        <w:t xml:space="preserve"> -</w:t>
      </w:r>
      <w:r w:rsidRPr="00FC5D9C">
        <w:t xml:space="preserve"> all of which contribute to </w:t>
      </w:r>
      <w:r w:rsidR="00163DDF" w:rsidRPr="00FC5D9C">
        <w:t>superio</w:t>
      </w:r>
      <w:r w:rsidRPr="00FC5D9C">
        <w:t xml:space="preserve">r academic outcomes. </w:t>
      </w:r>
    </w:p>
    <w:p w14:paraId="783622F3" w14:textId="07C597E2" w:rsidR="00DD2966" w:rsidRPr="00FC5D9C" w:rsidRDefault="00DD2966" w:rsidP="008A78A7">
      <w:pPr>
        <w:spacing w:line="480" w:lineRule="auto"/>
        <w:ind w:firstLine="720"/>
      </w:pPr>
      <w:r w:rsidRPr="00FC5D9C">
        <w:t xml:space="preserve">Socioeconomic status (SES) also plays a major role. Research consistently shows that SES shapes children’s academic outcomes by influencing access to learning resources, parental involvement, and early cognitive development (Bradley &amp; Corwyn, 2002). </w:t>
      </w:r>
      <w:r w:rsidR="00163DDF" w:rsidRPr="00FC5D9C">
        <w:t xml:space="preserve">For instance, </w:t>
      </w:r>
      <w:r w:rsidRPr="00FC5D9C">
        <w:t>UK government data shows that pupils eligible for free school meals score significantly lower at GCSE (Department for Education, 2023)</w:t>
      </w:r>
      <w:r w:rsidR="00163DDF" w:rsidRPr="00FC5D9C">
        <w:t>; t</w:t>
      </w:r>
      <w:r w:rsidRPr="00FC5D9C">
        <w:t>hese findings indicate that structural inequalities can limit achievement regardless of personality traits.</w:t>
      </w:r>
      <w:r w:rsidR="00163DDF" w:rsidRPr="00FC5D9C">
        <w:t xml:space="preserve"> However,</w:t>
      </w:r>
      <w:r w:rsidRPr="00FC5D9C">
        <w:t xml:space="preserve"> Elliot et al. (2017) found that conscientiousness buffers the negative effects of low SES on inflammation, meaning conscientious individuals tend to</w:t>
      </w:r>
      <w:r w:rsidR="00163DDF" w:rsidRPr="00FC5D9C">
        <w:t xml:space="preserve"> maintain</w:t>
      </w:r>
      <w:r w:rsidRPr="00FC5D9C">
        <w:t xml:space="preserve"> better physical health. </w:t>
      </w:r>
      <w:r w:rsidR="00163DDF" w:rsidRPr="00FC5D9C">
        <w:t>This physiological resilience</w:t>
      </w:r>
      <w:r w:rsidRPr="00FC5D9C">
        <w:t xml:space="preserve"> supports academic performance by reducing absenteeism, improving concentration, and increasing resilience during stressful periods such as exams.</w:t>
      </w:r>
    </w:p>
    <w:p w14:paraId="10DD1346" w14:textId="00DFF4F4" w:rsidR="00163DDF" w:rsidRPr="00FC5D9C" w:rsidRDefault="00163DDF" w:rsidP="008A78A7">
      <w:pPr>
        <w:spacing w:line="480" w:lineRule="auto"/>
        <w:ind w:firstLine="720"/>
      </w:pPr>
      <w:r w:rsidRPr="00FC5D9C">
        <w:t xml:space="preserve">Reviewing evidence across primary, secondary, and higher education, Spielmann et al. (2022) found that conscientiousness consistently predicts higher grades, even when controlling for intelligence. Similarly, Poropat’s (2009) meta-analysis demonstrated that conscientiousness predicts academic performance almost as </w:t>
      </w:r>
      <w:r w:rsidRPr="00FC5D9C">
        <w:lastRenderedPageBreak/>
        <w:t xml:space="preserve">strongly as cognitive ability. Collectively, these data suggest that conscientiousness plays a central role in driving the day-to-day behaviours that culminate in academic success.  </w:t>
      </w:r>
    </w:p>
    <w:p w14:paraId="0C390C25" w14:textId="6705DFBB" w:rsidR="00163DDF" w:rsidRDefault="00163DDF" w:rsidP="008A78A7">
      <w:pPr>
        <w:spacing w:line="480" w:lineRule="auto"/>
        <w:ind w:firstLine="720"/>
      </w:pPr>
      <w:r w:rsidRPr="00FC5D9C">
        <w:t>In contrast, Coleman et al. (2023) found that very high conscientiousness can manifest as maladaptive perfectionism, rigidity, and burnout</w:t>
      </w:r>
      <w:r w:rsidR="001D60E2" w:rsidRPr="00FC5D9C">
        <w:t xml:space="preserve"> - implying</w:t>
      </w:r>
      <w:r w:rsidRPr="00FC5D9C">
        <w:t xml:space="preserve"> that </w:t>
      </w:r>
      <w:r w:rsidR="001D60E2" w:rsidRPr="00FC5D9C">
        <w:t xml:space="preserve">the trait </w:t>
      </w:r>
      <w:r w:rsidRPr="00FC5D9C">
        <w:t xml:space="preserve">can have both positive and negative effects on achievement. Humanistic theories offer </w:t>
      </w:r>
      <w:r w:rsidR="005A53C6" w:rsidRPr="00FC5D9C">
        <w:t>an al</w:t>
      </w:r>
      <w:r w:rsidR="005C7433" w:rsidRPr="00FC5D9C">
        <w:t>ternativ</w:t>
      </w:r>
      <w:r w:rsidR="00A52228" w:rsidRPr="00FC5D9C">
        <w:t>e</w:t>
      </w:r>
      <w:r w:rsidRPr="00FC5D9C">
        <w:t xml:space="preserve"> critique. Maslow (1943) argued that behaviour </w:t>
      </w:r>
      <w:r w:rsidR="005631B7" w:rsidRPr="00FC5D9C">
        <w:t>pr</w:t>
      </w:r>
      <w:r w:rsidR="001A48E7" w:rsidRPr="00FC5D9C">
        <w:t>imar</w:t>
      </w:r>
      <w:r w:rsidR="00650425" w:rsidRPr="00FC5D9C">
        <w:t xml:space="preserve">ily </w:t>
      </w:r>
      <w:r w:rsidR="005863E1" w:rsidRPr="00FC5D9C">
        <w:t>driv</w:t>
      </w:r>
      <w:r w:rsidR="00EE0A33" w:rsidRPr="00FC5D9C">
        <w:t xml:space="preserve">en </w:t>
      </w:r>
      <w:r w:rsidRPr="00FC5D9C">
        <w:t>by unmet needs</w:t>
      </w:r>
      <w:r w:rsidR="0005121D" w:rsidRPr="00FC5D9C">
        <w:t>,</w:t>
      </w:r>
      <w:r w:rsidRPr="00FC5D9C">
        <w:t xml:space="preserve"> such as safety, belonging, and esteem. </w:t>
      </w:r>
      <w:r w:rsidR="009A30FB" w:rsidRPr="00FC5D9C">
        <w:t>Fro</w:t>
      </w:r>
      <w:r w:rsidR="002F57B4" w:rsidRPr="00FC5D9C">
        <w:t xml:space="preserve">m this </w:t>
      </w:r>
      <w:r w:rsidR="006F75F0" w:rsidRPr="00FC5D9C">
        <w:t>perspective,</w:t>
      </w:r>
      <w:r w:rsidR="004F2DE5" w:rsidRPr="00FC5D9C">
        <w:t xml:space="preserve"> </w:t>
      </w:r>
      <w:r w:rsidR="00AC75C1" w:rsidRPr="00FC5D9C">
        <w:t>a</w:t>
      </w:r>
      <w:r w:rsidRPr="00FC5D9C">
        <w:t>chievement</w:t>
      </w:r>
      <w:r w:rsidR="00493567" w:rsidRPr="00FC5D9C">
        <w:t>-</w:t>
      </w:r>
      <w:r w:rsidRPr="00FC5D9C">
        <w:t>related behaviour may reflect a student’s</w:t>
      </w:r>
      <w:r w:rsidR="0009344D" w:rsidRPr="00FC5D9C">
        <w:t xml:space="preserve"> imm</w:t>
      </w:r>
      <w:r w:rsidR="00C864E5" w:rsidRPr="00FC5D9C">
        <w:t>ediate</w:t>
      </w:r>
      <w:r w:rsidRPr="00FC5D9C">
        <w:t xml:space="preserve"> environment and emotional </w:t>
      </w:r>
      <w:r w:rsidR="008304F3" w:rsidRPr="00FC5D9C">
        <w:t>sec</w:t>
      </w:r>
      <w:r w:rsidR="00B04501" w:rsidRPr="00FC5D9C">
        <w:t>urity</w:t>
      </w:r>
      <w:r w:rsidR="00695F91" w:rsidRPr="00FC5D9C">
        <w:t xml:space="preserve"> </w:t>
      </w:r>
      <w:r w:rsidRPr="00FC5D9C">
        <w:t>rather than their</w:t>
      </w:r>
      <w:r w:rsidR="00AE5295" w:rsidRPr="00FC5D9C">
        <w:t xml:space="preserve"> in</w:t>
      </w:r>
      <w:r w:rsidR="003E7C06" w:rsidRPr="00FC5D9C">
        <w:t>trins</w:t>
      </w:r>
      <w:r w:rsidR="00420717" w:rsidRPr="00FC5D9C">
        <w:t>ic</w:t>
      </w:r>
      <w:r w:rsidRPr="00FC5D9C">
        <w:t xml:space="preserve"> personality traits.</w:t>
      </w:r>
      <w:r>
        <w:t xml:space="preserve"> </w:t>
      </w:r>
    </w:p>
    <w:p w14:paraId="10A105A8" w14:textId="77777777" w:rsidR="00163DDF" w:rsidRDefault="00163DDF" w:rsidP="008A78A7">
      <w:pPr>
        <w:spacing w:line="480" w:lineRule="auto"/>
      </w:pPr>
    </w:p>
    <w:p w14:paraId="0393A543" w14:textId="5CBE6E79" w:rsidR="00163DDF" w:rsidRPr="00E17E73" w:rsidRDefault="00163DDF" w:rsidP="008A78A7">
      <w:pPr>
        <w:spacing w:line="480" w:lineRule="auto"/>
        <w:rPr>
          <w:b/>
          <w:bCs/>
        </w:rPr>
      </w:pPr>
      <w:r w:rsidRPr="00E17E73">
        <w:rPr>
          <w:b/>
          <w:bCs/>
        </w:rPr>
        <w:t xml:space="preserve">Conclusion </w:t>
      </w:r>
    </w:p>
    <w:p w14:paraId="5237A932" w14:textId="1CCE5E1B" w:rsidR="00163DDF" w:rsidRDefault="00163DDF" w:rsidP="008A78A7">
      <w:pPr>
        <w:spacing w:line="480" w:lineRule="auto"/>
        <w:ind w:firstLine="720"/>
      </w:pPr>
      <w:r>
        <w:t>Overall, conscientiousness is a strong and consistent predictor of achievement</w:t>
      </w:r>
      <w:r w:rsidR="00380212">
        <w:t>-</w:t>
      </w:r>
      <w:r>
        <w:t>related behaviour. Research</w:t>
      </w:r>
      <w:r w:rsidR="0068760E">
        <w:t xml:space="preserve"> demo</w:t>
      </w:r>
      <w:r w:rsidR="002421C9">
        <w:t>nst</w:t>
      </w:r>
      <w:r w:rsidR="00BB75E7">
        <w:t>rates</w:t>
      </w:r>
      <w:r>
        <w:t xml:space="preserve"> that students who are more organised, disciplined, and persistent tend to achieve higher grades and engage more effectively with academic tasks (Poropat, 2009; Spielmann et al., 2022). Trait theory</w:t>
      </w:r>
      <w:r w:rsidR="00FD54E6">
        <w:t>,</w:t>
      </w:r>
      <w:r>
        <w:t xml:space="preserve"> therefore</w:t>
      </w:r>
      <w:r w:rsidR="00701FA6">
        <w:t>,</w:t>
      </w:r>
      <w:r>
        <w:t xml:space="preserve"> provides a useful framework for understanding stable individual differences in </w:t>
      </w:r>
      <w:r w:rsidR="000932D8">
        <w:t>achi</w:t>
      </w:r>
      <w:r w:rsidR="00D70F73">
        <w:t>evement-</w:t>
      </w:r>
      <w:r w:rsidR="00F935A1">
        <w:t>suppor</w:t>
      </w:r>
      <w:r w:rsidR="00575D5B">
        <w:t xml:space="preserve">ting </w:t>
      </w:r>
      <w:r>
        <w:t xml:space="preserve">behaviours such as studying, time management, and class attendance. </w:t>
      </w:r>
      <w:r w:rsidR="00D15574">
        <w:t>F</w:t>
      </w:r>
      <w:r w:rsidR="003278ED">
        <w:t>urthermore</w:t>
      </w:r>
      <w:r w:rsidR="00554069">
        <w:t xml:space="preserve">, </w:t>
      </w:r>
      <w:r w:rsidR="007A2279">
        <w:t>e</w:t>
      </w:r>
      <w:r>
        <w:t xml:space="preserve">vidence from biological research suggests that conscientiousness </w:t>
      </w:r>
      <w:r w:rsidR="00095BED">
        <w:t xml:space="preserve">possesses </w:t>
      </w:r>
      <w:r>
        <w:t xml:space="preserve">a genetic component, supporting the idea that it is a relatively stable trait (Takahashi et al., 2021). </w:t>
      </w:r>
    </w:p>
    <w:p w14:paraId="3C62C34C" w14:textId="0B49C698" w:rsidR="00163DDF" w:rsidRDefault="00163DDF" w:rsidP="008A78A7">
      <w:pPr>
        <w:spacing w:line="480" w:lineRule="auto"/>
        <w:ind w:firstLine="720"/>
      </w:pPr>
      <w:r>
        <w:lastRenderedPageBreak/>
        <w:t xml:space="preserve">However, the </w:t>
      </w:r>
      <w:r w:rsidR="00FC0765">
        <w:t>emp</w:t>
      </w:r>
      <w:r w:rsidR="00AF54E0">
        <w:t>ir</w:t>
      </w:r>
      <w:r w:rsidR="001F7464">
        <w:t xml:space="preserve">ical </w:t>
      </w:r>
      <w:r>
        <w:t xml:space="preserve">evidence also </w:t>
      </w:r>
      <w:r w:rsidR="00065098">
        <w:t>clarifies</w:t>
      </w:r>
      <w:r>
        <w:t xml:space="preserve"> that conscientiousness alone cannot fully </w:t>
      </w:r>
      <w:r w:rsidR="00312B6A">
        <w:t>ac</w:t>
      </w:r>
      <w:r w:rsidR="00C82B9C">
        <w:t>c</w:t>
      </w:r>
      <w:r w:rsidR="00F161AB">
        <w:t>ount for</w:t>
      </w:r>
      <w:r>
        <w:t xml:space="preserve"> academic</w:t>
      </w:r>
      <w:r w:rsidR="00F647D8">
        <w:t xml:space="preserve"> s</w:t>
      </w:r>
      <w:r w:rsidR="002A1CB3">
        <w:t>uccess</w:t>
      </w:r>
      <w:r>
        <w:t xml:space="preserve">. </w:t>
      </w:r>
      <w:r w:rsidR="00135C9D">
        <w:t>E</w:t>
      </w:r>
      <w:r w:rsidR="00DE64FC">
        <w:t>xter</w:t>
      </w:r>
      <w:r w:rsidR="00A17FE7">
        <w:t xml:space="preserve">nal and </w:t>
      </w:r>
      <w:r w:rsidR="00BC0AB4">
        <w:t>in</w:t>
      </w:r>
      <w:r w:rsidR="00E66760">
        <w:t>ternal</w:t>
      </w:r>
      <w:r w:rsidR="00290087">
        <w:t xml:space="preserve"> facto</w:t>
      </w:r>
      <w:r w:rsidR="00AA76F7">
        <w:t>r</w:t>
      </w:r>
      <w:r w:rsidR="00DC3831">
        <w:t>s -</w:t>
      </w:r>
      <w:r>
        <w:t xml:space="preserve"> including intelligence (Roth et al., 2015), socioeconomic status (Bradley </w:t>
      </w:r>
      <w:r w:rsidR="00D310E0">
        <w:t>&amp;</w:t>
      </w:r>
      <w:r>
        <w:t xml:space="preserve"> Corwyn, 2002; Department for Education, 2023), motivation and self-efficacy (Richardson et al., 2012), and the quality of teaching (Education Endowment Foundation, 2023)</w:t>
      </w:r>
      <w:r w:rsidR="000B7A5D">
        <w:t xml:space="preserve"> </w:t>
      </w:r>
      <w:r w:rsidR="00264097">
        <w:t>-</w:t>
      </w:r>
      <w:r>
        <w:t xml:space="preserve"> all play </w:t>
      </w:r>
      <w:r w:rsidR="004D76C5">
        <w:t>crit</w:t>
      </w:r>
      <w:r w:rsidR="00EE0A2A">
        <w:t>ical</w:t>
      </w:r>
      <w:r>
        <w:t xml:space="preserve"> roles. Behaviourist theories further argue that achievement</w:t>
      </w:r>
      <w:r w:rsidR="00821FC1">
        <w:t>-</w:t>
      </w:r>
      <w:r>
        <w:t xml:space="preserve">related behaviours may be shaped by </w:t>
      </w:r>
      <w:r w:rsidR="00B84F0D">
        <w:t>env</w:t>
      </w:r>
      <w:r w:rsidR="006E51DA">
        <w:t>ironment</w:t>
      </w:r>
      <w:r w:rsidR="006F3580">
        <w:t xml:space="preserve">al </w:t>
      </w:r>
      <w:r>
        <w:t xml:space="preserve">reinforcement rather than </w:t>
      </w:r>
      <w:r w:rsidR="000367C0">
        <w:t>int</w:t>
      </w:r>
      <w:r w:rsidR="00D56EA7">
        <w:t xml:space="preserve">rinsic </w:t>
      </w:r>
      <w:r>
        <w:t>personality traits (Skinner, 1953), while humanistic perspectives emphasise the</w:t>
      </w:r>
      <w:r w:rsidR="00C439F4">
        <w:t xml:space="preserve"> </w:t>
      </w:r>
      <w:r w:rsidR="00F33E48">
        <w:t>profoun</w:t>
      </w:r>
      <w:r w:rsidR="003925A0">
        <w:t>d</w:t>
      </w:r>
      <w:r>
        <w:t xml:space="preserve"> influence of unmet </w:t>
      </w:r>
      <w:r w:rsidR="002D6F75">
        <w:t xml:space="preserve">basic </w:t>
      </w:r>
      <w:r>
        <w:t xml:space="preserve">needs (Maslow, 1943). Additionally, research </w:t>
      </w:r>
      <w:r w:rsidR="006D3A63">
        <w:t>h</w:t>
      </w:r>
      <w:r w:rsidR="00F94762">
        <w:t>ighlights</w:t>
      </w:r>
      <w:r>
        <w:t xml:space="preserve"> that conscientiousness can vary across </w:t>
      </w:r>
      <w:r w:rsidR="000A570F">
        <w:t>diffe</w:t>
      </w:r>
      <w:r w:rsidR="00864C29">
        <w:t>r</w:t>
      </w:r>
      <w:r w:rsidR="00200393">
        <w:t xml:space="preserve">ent </w:t>
      </w:r>
      <w:r>
        <w:t xml:space="preserve">situations (Nasello et al., 2024) and may even </w:t>
      </w:r>
      <w:r w:rsidR="0005224A">
        <w:t>yiel</w:t>
      </w:r>
      <w:r w:rsidR="00437C97">
        <w:t>d</w:t>
      </w:r>
      <w:r>
        <w:t xml:space="preserve"> </w:t>
      </w:r>
      <w:r w:rsidR="00731152">
        <w:t>detrim</w:t>
      </w:r>
      <w:r w:rsidR="00394F4C">
        <w:t>ental</w:t>
      </w:r>
      <w:r>
        <w:t xml:space="preserve"> effects when expressed at extreme levels, such as </w:t>
      </w:r>
      <w:r w:rsidR="00EB5569">
        <w:t>manifest</w:t>
      </w:r>
      <w:r w:rsidR="00FE7142">
        <w:t xml:space="preserve">ing as </w:t>
      </w:r>
      <w:r>
        <w:t xml:space="preserve">maladaptive perfectionism (Coleman et al., 2023). </w:t>
      </w:r>
    </w:p>
    <w:p w14:paraId="74BEFB62" w14:textId="33E720C8" w:rsidR="00163DDF" w:rsidRDefault="00163DDF" w:rsidP="008A78A7">
      <w:pPr>
        <w:spacing w:line="480" w:lineRule="auto"/>
        <w:ind w:firstLine="720"/>
      </w:pPr>
      <w:r>
        <w:t xml:space="preserve">Despite these limitations, trait theory remains one of the most reliable and evidence-based </w:t>
      </w:r>
      <w:r w:rsidR="00266F59">
        <w:t>metho</w:t>
      </w:r>
      <w:r w:rsidR="00DF24C9">
        <w:t>dol</w:t>
      </w:r>
      <w:r w:rsidR="005C7CD0">
        <w:t>ogi</w:t>
      </w:r>
      <w:r w:rsidR="005E389A">
        <w:t>es</w:t>
      </w:r>
      <w:r>
        <w:t xml:space="preserve"> to predict long</w:t>
      </w:r>
      <w:r w:rsidR="00952993">
        <w:t>-</w:t>
      </w:r>
      <w:r>
        <w:t xml:space="preserve">term behavioural patterns. Therefore, while conscientiousness is an </w:t>
      </w:r>
      <w:r w:rsidR="00E629E6">
        <w:t>indispensable varia</w:t>
      </w:r>
      <w:r w:rsidR="00720E43">
        <w:t>ble</w:t>
      </w:r>
      <w:r>
        <w:t xml:space="preserve"> in understanding achievement</w:t>
      </w:r>
      <w:r w:rsidR="00677887">
        <w:t>-</w:t>
      </w:r>
      <w:r>
        <w:t xml:space="preserve">related behaviour, it is not </w:t>
      </w:r>
      <w:r w:rsidR="00364492">
        <w:t>entire</w:t>
      </w:r>
      <w:r w:rsidR="003C3830">
        <w:t xml:space="preserve">ly </w:t>
      </w:r>
      <w:r>
        <w:t xml:space="preserve">sufficient on its own. A </w:t>
      </w:r>
      <w:r w:rsidR="00475797">
        <w:t>comp</w:t>
      </w:r>
      <w:r w:rsidR="001F7CAB">
        <w:t>rehensive</w:t>
      </w:r>
      <w:r w:rsidR="00AF12CB">
        <w:t xml:space="preserve"> </w:t>
      </w:r>
      <w:r>
        <w:t xml:space="preserve">explanation requires </w:t>
      </w:r>
      <w:r w:rsidR="00683FBE">
        <w:t>inte</w:t>
      </w:r>
      <w:r w:rsidR="005A5127">
        <w:t>grating</w:t>
      </w:r>
      <w:r>
        <w:t xml:space="preserve"> trait theory with environmental, cognitive, motivational, and social influences. This </w:t>
      </w:r>
      <w:r w:rsidR="00ED148C">
        <w:t>holi</w:t>
      </w:r>
      <w:r w:rsidR="00E34799">
        <w:t>st</w:t>
      </w:r>
      <w:r w:rsidR="00DB71CA">
        <w:t>ic</w:t>
      </w:r>
      <w:r>
        <w:t xml:space="preserve"> approach </w:t>
      </w:r>
      <w:r w:rsidR="00E935F6">
        <w:t>u</w:t>
      </w:r>
      <w:r w:rsidR="002C686B">
        <w:t xml:space="preserve">ltimately </w:t>
      </w:r>
      <w:r>
        <w:t>provides a more accurate understanding of why students differ in their academic performance</w:t>
      </w:r>
      <w:r w:rsidR="002750D5">
        <w:t>, of</w:t>
      </w:r>
      <w:r w:rsidR="00557C5D">
        <w:t>fering cl</w:t>
      </w:r>
      <w:r w:rsidR="002D1275">
        <w:t>earer i</w:t>
      </w:r>
      <w:r w:rsidR="00B85B33">
        <w:t>nsights</w:t>
      </w:r>
      <w:r w:rsidR="002B0263">
        <w:t xml:space="preserve"> into how</w:t>
      </w:r>
      <w:r w:rsidR="00E9635F">
        <w:t xml:space="preserve"> achievement</w:t>
      </w:r>
      <w:r w:rsidR="007706B7">
        <w:t xml:space="preserve"> can</w:t>
      </w:r>
      <w:r w:rsidR="00E93134">
        <w:t xml:space="preserve"> be s</w:t>
      </w:r>
      <w:r w:rsidR="00CE3EDF">
        <w:t>ystemati</w:t>
      </w:r>
      <w:r w:rsidR="00440CE7">
        <w:t>cally s</w:t>
      </w:r>
      <w:r w:rsidR="00211662">
        <w:t>upporte</w:t>
      </w:r>
      <w:r w:rsidR="00AA5978">
        <w:t>d across di</w:t>
      </w:r>
      <w:r w:rsidR="004C43CF">
        <w:t>verse e</w:t>
      </w:r>
      <w:r w:rsidR="00AC1D25">
        <w:t>ducatio</w:t>
      </w:r>
      <w:r w:rsidR="00F07C35">
        <w:t>nal con</w:t>
      </w:r>
      <w:r w:rsidR="00C752D1">
        <w:t>texts.</w:t>
      </w:r>
    </w:p>
    <w:p w14:paraId="719F5BB0" w14:textId="77777777" w:rsidR="00E90712" w:rsidRDefault="00E90712" w:rsidP="008D0D6C"/>
    <w:p w14:paraId="4FAACC87" w14:textId="4C9DDCEE" w:rsidR="00830173" w:rsidRPr="005434A0" w:rsidRDefault="007D4E4A" w:rsidP="003007EF">
      <w:pPr>
        <w:jc w:val="center"/>
        <w:rPr>
          <w:b/>
          <w:bCs/>
        </w:rPr>
      </w:pPr>
      <w:r>
        <w:rPr>
          <w:b/>
          <w:bCs/>
        </w:rPr>
        <w:br w:type="page"/>
      </w:r>
      <w:r w:rsidR="005434A0">
        <w:rPr>
          <w:b/>
          <w:bCs/>
        </w:rPr>
        <w:lastRenderedPageBreak/>
        <w:t>Ref</w:t>
      </w:r>
      <w:r w:rsidR="00787443">
        <w:rPr>
          <w:b/>
          <w:bCs/>
        </w:rPr>
        <w:t>erences</w:t>
      </w:r>
    </w:p>
    <w:p w14:paraId="58EE67AB" w14:textId="77777777" w:rsidR="00C70102" w:rsidRDefault="00C70102" w:rsidP="000B5C8E">
      <w:pPr>
        <w:rPr>
          <w:b/>
          <w:bCs/>
        </w:rPr>
      </w:pPr>
    </w:p>
    <w:p w14:paraId="6DD8F75C" w14:textId="77777777" w:rsidR="00F02B6D" w:rsidRPr="00C30BBF" w:rsidRDefault="00F02B6D" w:rsidP="00F02B6D">
      <w:pPr>
        <w:spacing w:line="480" w:lineRule="auto"/>
        <w:ind w:left="720" w:hanging="720"/>
      </w:pPr>
      <w:r w:rsidRPr="00C30BBF">
        <w:t xml:space="preserve">Allport, G. W. (1937). </w:t>
      </w:r>
      <w:r w:rsidRPr="00C30BBF">
        <w:rPr>
          <w:i/>
          <w:iCs/>
        </w:rPr>
        <w:t>Personality: A psychological interpretation</w:t>
      </w:r>
      <w:r w:rsidRPr="00C30BBF">
        <w:t>. Holt.</w:t>
      </w:r>
    </w:p>
    <w:p w14:paraId="37967C75" w14:textId="04D5AA29" w:rsidR="00F02B6D" w:rsidRPr="00C30BBF" w:rsidRDefault="00F02B6D" w:rsidP="00F02B6D">
      <w:pPr>
        <w:spacing w:line="480" w:lineRule="auto"/>
        <w:ind w:left="720" w:hanging="720"/>
      </w:pPr>
      <w:r w:rsidRPr="00C30BBF">
        <w:t xml:space="preserve">Allport, G. W., &amp; Odbert, H. S. (1936). Trait-names: A psycho-lexical study. </w:t>
      </w:r>
      <w:r w:rsidRPr="00C30BBF">
        <w:rPr>
          <w:i/>
          <w:iCs/>
        </w:rPr>
        <w:t>Psychological Monographs, 47</w:t>
      </w:r>
      <w:r w:rsidRPr="00C30BBF">
        <w:t>(1), i</w:t>
      </w:r>
      <w:r w:rsidR="006B012E">
        <w:t>-</w:t>
      </w:r>
      <w:r w:rsidRPr="00C30BBF">
        <w:t xml:space="preserve">171. </w:t>
      </w:r>
      <w:hyperlink r:id="rId7" w:history="1">
        <w:r w:rsidRPr="00C30BBF">
          <w:rPr>
            <w:rStyle w:val="Hyperlink"/>
          </w:rPr>
          <w:t>https://doi.org/10.1037/h0093360</w:t>
        </w:r>
      </w:hyperlink>
    </w:p>
    <w:p w14:paraId="23316E0C" w14:textId="4D55BCDB" w:rsidR="00F02B6D" w:rsidRPr="00C30BBF" w:rsidRDefault="00F02B6D" w:rsidP="00F02B6D">
      <w:pPr>
        <w:spacing w:line="480" w:lineRule="auto"/>
        <w:ind w:left="720" w:hanging="720"/>
      </w:pPr>
      <w:r w:rsidRPr="00C30BBF">
        <w:t>Ashton, M. C., &amp; Lee, K. (2009). The HEXACO–60: A Short Measure of the Major Dimensions of Personality. </w:t>
      </w:r>
      <w:r w:rsidRPr="00C30BBF">
        <w:rPr>
          <w:i/>
          <w:iCs/>
        </w:rPr>
        <w:t>Journal of Personality Assessment</w:t>
      </w:r>
      <w:r w:rsidRPr="00C30BBF">
        <w:t>, </w:t>
      </w:r>
      <w:r w:rsidRPr="00C30BBF">
        <w:rPr>
          <w:i/>
          <w:iCs/>
        </w:rPr>
        <w:t>91</w:t>
      </w:r>
      <w:r w:rsidRPr="00C30BBF">
        <w:t>(4), 340</w:t>
      </w:r>
      <w:r w:rsidR="006B012E">
        <w:t>-</w:t>
      </w:r>
      <w:r w:rsidRPr="00C30BBF">
        <w:t xml:space="preserve">345. </w:t>
      </w:r>
      <w:hyperlink r:id="rId8" w:history="1">
        <w:r w:rsidRPr="00C30BBF">
          <w:rPr>
            <w:rStyle w:val="Hyperlink"/>
          </w:rPr>
          <w:t>https://doi.org/10.1080/00223890902935878</w:t>
        </w:r>
      </w:hyperlink>
    </w:p>
    <w:p w14:paraId="3A577829" w14:textId="0BFF9AFD" w:rsidR="00F02B6D" w:rsidRPr="00C30BBF" w:rsidRDefault="00F02B6D" w:rsidP="00F040D6">
      <w:pPr>
        <w:spacing w:line="480" w:lineRule="auto"/>
        <w:ind w:left="720" w:hanging="720"/>
      </w:pPr>
      <w:r w:rsidRPr="00C30BBF">
        <w:t>Block, J. (2010). The five-factor framing of personality and beyond: Some ruminations. </w:t>
      </w:r>
      <w:r w:rsidRPr="00C30BBF">
        <w:rPr>
          <w:i/>
          <w:iCs/>
        </w:rPr>
        <w:t>Psychological Inquiry</w:t>
      </w:r>
      <w:r w:rsidRPr="00C30BBF">
        <w:t>, </w:t>
      </w:r>
      <w:r w:rsidRPr="00C30BBF">
        <w:rPr>
          <w:i/>
          <w:iCs/>
        </w:rPr>
        <w:t>21</w:t>
      </w:r>
      <w:r w:rsidRPr="00C30BBF">
        <w:t>(1), 2</w:t>
      </w:r>
      <w:r w:rsidR="006B012E">
        <w:t>-</w:t>
      </w:r>
      <w:r w:rsidRPr="00C30BBF">
        <w:t>25.</w:t>
      </w:r>
      <w:r w:rsidR="002200EA" w:rsidRPr="00C30BBF">
        <w:t xml:space="preserve"> </w:t>
      </w:r>
      <w:hyperlink r:id="rId9" w:history="1">
        <w:r w:rsidR="008C02FB" w:rsidRPr="00C30BBF">
          <w:rPr>
            <w:rStyle w:val="Hyperlink"/>
          </w:rPr>
          <w:t>https://doi.org/10.1080/10478401003596626</w:t>
        </w:r>
      </w:hyperlink>
    </w:p>
    <w:p w14:paraId="48A98068" w14:textId="53CFD266" w:rsidR="00F02B6D" w:rsidRPr="00C30BBF" w:rsidRDefault="00F02B6D" w:rsidP="00F02B6D">
      <w:pPr>
        <w:spacing w:line="480" w:lineRule="auto"/>
        <w:ind w:left="720" w:hanging="720"/>
      </w:pPr>
      <w:r w:rsidRPr="00C30BBF">
        <w:t xml:space="preserve">Bradley, R. H., &amp; Corwyn, R. F. (2002). Socioeconomic status and child development. </w:t>
      </w:r>
      <w:r w:rsidRPr="00C30BBF">
        <w:rPr>
          <w:i/>
          <w:iCs/>
        </w:rPr>
        <w:t>Annual Review of Psychology, 53</w:t>
      </w:r>
      <w:r w:rsidRPr="00C30BBF">
        <w:t>, 371</w:t>
      </w:r>
      <w:r w:rsidR="006B012E">
        <w:t>-</w:t>
      </w:r>
      <w:r w:rsidRPr="00C30BBF">
        <w:t xml:space="preserve">399. </w:t>
      </w:r>
      <w:hyperlink r:id="rId10" w:history="1">
        <w:r w:rsidR="00A37DCC" w:rsidRPr="005675A7">
          <w:rPr>
            <w:rStyle w:val="Hyperlink"/>
          </w:rPr>
          <w:t>https://doi-org/10.1146/annurev.psych.53.100901.135233</w:t>
        </w:r>
      </w:hyperlink>
    </w:p>
    <w:p w14:paraId="29AFE282" w14:textId="1C95C834" w:rsidR="00F02B6D" w:rsidRPr="00C30BBF" w:rsidRDefault="00F02B6D" w:rsidP="00F02B6D">
      <w:pPr>
        <w:spacing w:line="480" w:lineRule="auto"/>
        <w:ind w:left="720" w:hanging="720"/>
      </w:pPr>
      <w:r w:rsidRPr="00C30BBF">
        <w:t xml:space="preserve">Cattell, R. B. (1946). Description and measurement of personality. </w:t>
      </w:r>
      <w:r w:rsidRPr="00C30BBF">
        <w:rPr>
          <w:i/>
          <w:iCs/>
        </w:rPr>
        <w:t>Psychological Review, 53</w:t>
      </w:r>
      <w:r w:rsidRPr="00C30BBF">
        <w:t>(5), 294</w:t>
      </w:r>
      <w:r w:rsidR="006B012E">
        <w:t>-</w:t>
      </w:r>
      <w:r w:rsidRPr="00C30BBF">
        <w:t>303.</w:t>
      </w:r>
    </w:p>
    <w:p w14:paraId="5B916F10" w14:textId="09689EC8" w:rsidR="00F02B6D" w:rsidRPr="00C30BBF" w:rsidRDefault="00F02B6D" w:rsidP="00F02B6D">
      <w:pPr>
        <w:spacing w:line="480" w:lineRule="auto"/>
        <w:ind w:left="720" w:hanging="720"/>
      </w:pPr>
      <w:r w:rsidRPr="00C30BBF">
        <w:t xml:space="preserve">Caprara, G. V., Vecchione, M., Alessandri, G., Gerbino, M., &amp; </w:t>
      </w:r>
      <w:proofErr w:type="spellStart"/>
      <w:r w:rsidRPr="00C30BBF">
        <w:t>Barbaranelli</w:t>
      </w:r>
      <w:proofErr w:type="spellEnd"/>
      <w:r w:rsidRPr="00C30BBF">
        <w:t xml:space="preserve">, C. (2011). The contribution of personality traits and self-efficacy beliefs to academic achievement. </w:t>
      </w:r>
      <w:r w:rsidRPr="00C30BBF">
        <w:rPr>
          <w:i/>
          <w:iCs/>
        </w:rPr>
        <w:t>Journal of Personality and Social Psychology, 101</w:t>
      </w:r>
      <w:r w:rsidRPr="00C30BBF">
        <w:t>(1), 165</w:t>
      </w:r>
      <w:r w:rsidR="006B012E">
        <w:t>-</w:t>
      </w:r>
      <w:r w:rsidRPr="00C30BBF">
        <w:t xml:space="preserve">178. </w:t>
      </w:r>
      <w:hyperlink r:id="rId11" w:history="1">
        <w:r w:rsidR="006B012E" w:rsidRPr="005675A7">
          <w:rPr>
            <w:rStyle w:val="Hyperlink"/>
          </w:rPr>
          <w:t>https://doi-org/10.1348/2044-8279.002004</w:t>
        </w:r>
      </w:hyperlink>
    </w:p>
    <w:p w14:paraId="755EB0D8" w14:textId="3E3D0AE2" w:rsidR="00F02B6D" w:rsidRPr="00C30BBF" w:rsidRDefault="00F02B6D" w:rsidP="00F02B6D">
      <w:pPr>
        <w:spacing w:line="480" w:lineRule="auto"/>
        <w:ind w:left="720" w:hanging="720"/>
      </w:pPr>
      <w:r w:rsidRPr="00C30BBF">
        <w:lastRenderedPageBreak/>
        <w:t xml:space="preserve">Coleman, G., Furnham, A., &amp; Treglown, L. (2023). Exploring the dark side of conscientiousness. </w:t>
      </w:r>
      <w:r w:rsidRPr="00C30BBF">
        <w:rPr>
          <w:i/>
          <w:iCs/>
        </w:rPr>
        <w:t>Current Psychology, 42</w:t>
      </w:r>
      <w:r w:rsidRPr="00C30BBF">
        <w:t>, 27744</w:t>
      </w:r>
      <w:r w:rsidR="006B012E">
        <w:t>-</w:t>
      </w:r>
      <w:r w:rsidRPr="00C30BBF">
        <w:t xml:space="preserve">27757. </w:t>
      </w:r>
      <w:hyperlink r:id="rId12" w:history="1">
        <w:r w:rsidR="00736431" w:rsidRPr="00C30BBF">
          <w:rPr>
            <w:rStyle w:val="Hyperlink"/>
          </w:rPr>
          <w:t>https://doi.org/</w:t>
        </w:r>
        <w:r w:rsidR="00736431" w:rsidRPr="00C30BBF">
          <w:rPr>
            <w:rStyle w:val="Hyperlink"/>
          </w:rPr>
          <w:t>10.1007/s12144-022-03828-y</w:t>
        </w:r>
      </w:hyperlink>
    </w:p>
    <w:p w14:paraId="4CB34E39" w14:textId="77777777" w:rsidR="00F02B6D" w:rsidRPr="00C30BBF" w:rsidRDefault="00F02B6D" w:rsidP="00F02B6D">
      <w:pPr>
        <w:spacing w:line="480" w:lineRule="auto"/>
        <w:ind w:left="720" w:hanging="720"/>
      </w:pPr>
      <w:r w:rsidRPr="00C30BBF">
        <w:t xml:space="preserve">Costa, P. T., &amp; McCrae, R. R. (1992). </w:t>
      </w:r>
      <w:r w:rsidRPr="00C30BBF">
        <w:rPr>
          <w:i/>
          <w:iCs/>
        </w:rPr>
        <w:t>Revised NEO Personality Inventory (NEO PI-R)</w:t>
      </w:r>
      <w:r w:rsidRPr="00C30BBF">
        <w:t>. Psychological Assessment Resources.</w:t>
      </w:r>
    </w:p>
    <w:p w14:paraId="15CCAF03" w14:textId="507F6EC1" w:rsidR="00F02B6D" w:rsidRPr="00C30BBF" w:rsidRDefault="00F02B6D" w:rsidP="00F02B6D">
      <w:pPr>
        <w:spacing w:line="480" w:lineRule="auto"/>
        <w:ind w:left="720" w:hanging="720"/>
      </w:pPr>
      <w:r w:rsidRPr="00C30BBF">
        <w:t xml:space="preserve">Credé, M., Roch, S. G., &amp; </w:t>
      </w:r>
      <w:proofErr w:type="spellStart"/>
      <w:r w:rsidRPr="00C30BBF">
        <w:t>Kieszczynka</w:t>
      </w:r>
      <w:proofErr w:type="spellEnd"/>
      <w:r w:rsidRPr="00C30BBF">
        <w:t xml:space="preserve">, U. M. (2010). Class attendance in college: A meta-analytic review. </w:t>
      </w:r>
      <w:r w:rsidRPr="00C30BBF">
        <w:rPr>
          <w:i/>
          <w:iCs/>
        </w:rPr>
        <w:t>Review of Educational Research, 80</w:t>
      </w:r>
      <w:r w:rsidRPr="00C30BBF">
        <w:t>(2), 272</w:t>
      </w:r>
      <w:r w:rsidR="006B012E">
        <w:t>-</w:t>
      </w:r>
      <w:r w:rsidRPr="00C30BBF">
        <w:t xml:space="preserve">295. </w:t>
      </w:r>
      <w:hyperlink r:id="rId13" w:history="1">
        <w:r w:rsidR="00691E0D" w:rsidRPr="00C30BBF">
          <w:rPr>
            <w:rStyle w:val="Hyperlink"/>
          </w:rPr>
          <w:t>https://doi.org/10.3102/0034654310362998</w:t>
        </w:r>
      </w:hyperlink>
    </w:p>
    <w:p w14:paraId="6862B272" w14:textId="77777777" w:rsidR="00F02B6D" w:rsidRPr="00C30BBF" w:rsidRDefault="00F02B6D" w:rsidP="00F02B6D">
      <w:pPr>
        <w:spacing w:line="480" w:lineRule="auto"/>
        <w:ind w:left="720" w:hanging="720"/>
      </w:pPr>
      <w:r w:rsidRPr="00C30BBF">
        <w:t xml:space="preserve">Department for Education. (2023). </w:t>
      </w:r>
      <w:r w:rsidRPr="00C30BBF">
        <w:rPr>
          <w:i/>
          <w:iCs/>
        </w:rPr>
        <w:t>Key stage 4 performance 2023</w:t>
      </w:r>
      <w:r w:rsidRPr="00C30BBF">
        <w:t xml:space="preserve">. https://explore-education-statistics.service.gov.uk/find-statistics/key-stage-4-performance </w:t>
      </w:r>
    </w:p>
    <w:p w14:paraId="2D64ADA3" w14:textId="1F5BCE4C" w:rsidR="00F02B6D" w:rsidRPr="00C30BBF" w:rsidRDefault="00F02B6D" w:rsidP="00F02B6D">
      <w:pPr>
        <w:spacing w:line="480" w:lineRule="auto"/>
        <w:ind w:left="720" w:hanging="720"/>
      </w:pPr>
      <w:r w:rsidRPr="00C30BBF">
        <w:t xml:space="preserve">Education Endowment Foundation. (2023). </w:t>
      </w:r>
      <w:r w:rsidRPr="00C30BBF">
        <w:rPr>
          <w:i/>
          <w:iCs/>
        </w:rPr>
        <w:t>Teaching and learning toolkit</w:t>
      </w:r>
      <w:r w:rsidRPr="00C30BBF">
        <w:t xml:space="preserve">. </w:t>
      </w:r>
      <w:hyperlink r:id="rId14" w:history="1">
        <w:r w:rsidR="0080658E" w:rsidRPr="00C30BBF">
          <w:rPr>
            <w:rStyle w:val="Hyperlink"/>
          </w:rPr>
          <w:t>https://educationendowmentfoundation.org.uk/education-evidence/teaching-learning-toolkit</w:t>
        </w:r>
      </w:hyperlink>
      <w:r w:rsidRPr="00C30BBF">
        <w:t xml:space="preserve"> </w:t>
      </w:r>
    </w:p>
    <w:p w14:paraId="0A66011D" w14:textId="07C546F8" w:rsidR="00F02B6D" w:rsidRPr="00C30BBF" w:rsidRDefault="00F02B6D" w:rsidP="00F02B6D">
      <w:pPr>
        <w:spacing w:line="480" w:lineRule="auto"/>
        <w:ind w:left="720" w:hanging="720"/>
      </w:pPr>
      <w:r w:rsidRPr="00C30BBF">
        <w:t xml:space="preserve">Eisenberg, N., Spinrad, T. L., &amp; Eggum, N. D. (2010). Emotion-related self-regulation and its relation to children’s maladjustment. </w:t>
      </w:r>
      <w:r w:rsidRPr="00C30BBF">
        <w:rPr>
          <w:i/>
          <w:iCs/>
        </w:rPr>
        <w:t>Annual Review of Clinical Psychology, 6</w:t>
      </w:r>
      <w:r w:rsidRPr="00C30BBF">
        <w:t>, 495</w:t>
      </w:r>
      <w:r w:rsidR="006B012E">
        <w:t>-</w:t>
      </w:r>
      <w:r w:rsidRPr="00C30BBF">
        <w:t xml:space="preserve">525. </w:t>
      </w:r>
      <w:r w:rsidR="00084E61" w:rsidRPr="00C30BBF">
        <w:t>10.1146/annurev.clinpsy.121208.131208</w:t>
      </w:r>
    </w:p>
    <w:p w14:paraId="0645602C" w14:textId="5DE49796" w:rsidR="00F02B6D" w:rsidRPr="00C30BBF" w:rsidRDefault="00F02B6D" w:rsidP="00F02B6D">
      <w:pPr>
        <w:spacing w:line="480" w:lineRule="auto"/>
        <w:ind w:left="720" w:hanging="720"/>
      </w:pPr>
      <w:r w:rsidRPr="00C30BBF">
        <w:t xml:space="preserve">Elliot, A. J., Turiano, N. A., &amp; Chapman, B. P. (2017). Socioeconomic status interacts with conscientiousness and neuroticism to predict inflammation. </w:t>
      </w:r>
      <w:r w:rsidRPr="00C30BBF">
        <w:rPr>
          <w:i/>
          <w:iCs/>
        </w:rPr>
        <w:t xml:space="preserve">Annals of </w:t>
      </w:r>
      <w:proofErr w:type="spellStart"/>
      <w:r w:rsidRPr="00C30BBF">
        <w:rPr>
          <w:i/>
          <w:iCs/>
        </w:rPr>
        <w:t>Behavioral</w:t>
      </w:r>
      <w:proofErr w:type="spellEnd"/>
      <w:r w:rsidRPr="00C30BBF">
        <w:rPr>
          <w:i/>
          <w:iCs/>
        </w:rPr>
        <w:t xml:space="preserve"> Medicine, 51</w:t>
      </w:r>
      <w:r w:rsidRPr="00C30BBF">
        <w:t>(2), 240</w:t>
      </w:r>
      <w:r w:rsidR="006B012E">
        <w:t>-</w:t>
      </w:r>
      <w:r w:rsidRPr="00C30BBF">
        <w:t xml:space="preserve">250. </w:t>
      </w:r>
      <w:hyperlink r:id="rId15" w:history="1">
        <w:r w:rsidR="005E3B06" w:rsidRPr="00C30BBF">
          <w:rPr>
            <w:rStyle w:val="Hyperlink"/>
          </w:rPr>
          <w:t>https://doi.org/10.1007/s12160-016-9847-z</w:t>
        </w:r>
      </w:hyperlink>
    </w:p>
    <w:p w14:paraId="2E873906" w14:textId="77777777" w:rsidR="00F02B6D" w:rsidRPr="00C30BBF" w:rsidRDefault="00F02B6D" w:rsidP="00F02B6D">
      <w:pPr>
        <w:spacing w:line="480" w:lineRule="auto"/>
        <w:ind w:left="720" w:hanging="720"/>
      </w:pPr>
      <w:r w:rsidRPr="00C30BBF">
        <w:t xml:space="preserve">Eysenck, H. J. (1967). </w:t>
      </w:r>
      <w:r w:rsidRPr="00C30BBF">
        <w:rPr>
          <w:i/>
          <w:iCs/>
        </w:rPr>
        <w:t>The biological basis of personality</w:t>
      </w:r>
      <w:r w:rsidRPr="00C30BBF">
        <w:t>. Charles C. Thomas.</w:t>
      </w:r>
    </w:p>
    <w:p w14:paraId="14A36822" w14:textId="5C060E69" w:rsidR="00F02B6D" w:rsidRPr="00C30BBF" w:rsidRDefault="00F02B6D" w:rsidP="00F02B6D">
      <w:pPr>
        <w:spacing w:line="480" w:lineRule="auto"/>
        <w:ind w:left="720" w:hanging="720"/>
      </w:pPr>
      <w:r w:rsidRPr="00C30BBF">
        <w:t xml:space="preserve">Eysenck, H. J. (1991). Dimensions of personality: 16, 5 or 3? </w:t>
      </w:r>
      <w:r w:rsidRPr="00C30BBF">
        <w:rPr>
          <w:i/>
          <w:iCs/>
        </w:rPr>
        <w:t>Personality and Individual Differences, 12</w:t>
      </w:r>
      <w:r w:rsidRPr="00C30BBF">
        <w:t>(8), 773</w:t>
      </w:r>
      <w:r w:rsidR="006B012E">
        <w:t>-</w:t>
      </w:r>
      <w:r w:rsidRPr="00C30BBF">
        <w:t>790.</w:t>
      </w:r>
    </w:p>
    <w:p w14:paraId="5BDEA8BB" w14:textId="77777777" w:rsidR="00F02B6D" w:rsidRPr="00C30BBF" w:rsidRDefault="00F02B6D" w:rsidP="00F02B6D">
      <w:pPr>
        <w:spacing w:line="480" w:lineRule="auto"/>
        <w:ind w:left="720" w:hanging="720"/>
      </w:pPr>
      <w:r w:rsidRPr="00C30BBF">
        <w:lastRenderedPageBreak/>
        <w:t>Goldberg, L. R. (1999). A broad-bandwidth, public domain, personality inventory measuring the lower-level facets of several five-factor models. </w:t>
      </w:r>
      <w:r w:rsidRPr="00C30BBF">
        <w:rPr>
          <w:i/>
          <w:iCs/>
        </w:rPr>
        <w:t>Personality psychology in Europe</w:t>
      </w:r>
      <w:r w:rsidRPr="00C30BBF">
        <w:t>, </w:t>
      </w:r>
      <w:r w:rsidRPr="00C30BBF">
        <w:rPr>
          <w:i/>
          <w:iCs/>
        </w:rPr>
        <w:t>7</w:t>
      </w:r>
      <w:r w:rsidRPr="00C30BBF">
        <w:t>(1), 7-28.</w:t>
      </w:r>
    </w:p>
    <w:p w14:paraId="07FBF99C" w14:textId="77777777" w:rsidR="00F02B6D" w:rsidRPr="00C30BBF" w:rsidRDefault="00F02B6D" w:rsidP="00F02B6D">
      <w:pPr>
        <w:spacing w:line="480" w:lineRule="auto"/>
        <w:ind w:left="720" w:hanging="720"/>
      </w:pPr>
      <w:r w:rsidRPr="00C30BBF">
        <w:t>Goldberg, L. R., Johnson, J. A., Eber, H. W., Hogan, R., Ashton, M. C., Cloninger, C. R., &amp; Gough, H. G. (2006). The international personality item pool and the future of public-domain personality measures. </w:t>
      </w:r>
      <w:r w:rsidRPr="00C30BBF">
        <w:rPr>
          <w:i/>
          <w:iCs/>
        </w:rPr>
        <w:t>Journal of Research in personality</w:t>
      </w:r>
      <w:r w:rsidRPr="00C30BBF">
        <w:t>, </w:t>
      </w:r>
      <w:r w:rsidRPr="00C30BBF">
        <w:rPr>
          <w:i/>
          <w:iCs/>
        </w:rPr>
        <w:t>40</w:t>
      </w:r>
      <w:r w:rsidRPr="00C30BBF">
        <w:t>(1), 84-96.</w:t>
      </w:r>
    </w:p>
    <w:p w14:paraId="68A389D2" w14:textId="77777777" w:rsidR="00F02B6D" w:rsidRDefault="00F02B6D" w:rsidP="00F02B6D">
      <w:pPr>
        <w:spacing w:line="480" w:lineRule="auto"/>
        <w:ind w:left="720" w:hanging="720"/>
      </w:pPr>
      <w:r w:rsidRPr="00C30BBF">
        <w:t xml:space="preserve">Hattie, J. (2009). </w:t>
      </w:r>
      <w:r w:rsidRPr="00C30BBF">
        <w:rPr>
          <w:i/>
          <w:iCs/>
        </w:rPr>
        <w:t>Visible learning: A synthesis of over 800 meta-analyses relating to achievement</w:t>
      </w:r>
      <w:r w:rsidRPr="00C30BBF">
        <w:t>. Routledge.</w:t>
      </w:r>
    </w:p>
    <w:p w14:paraId="445CA363" w14:textId="28EC2AAC" w:rsidR="00DD511E" w:rsidRPr="00C30BBF" w:rsidRDefault="00DD511E" w:rsidP="00DD511E">
      <w:pPr>
        <w:spacing w:line="480" w:lineRule="auto"/>
        <w:ind w:left="720" w:hanging="720"/>
      </w:pPr>
      <w:r w:rsidRPr="00DD511E">
        <w:t xml:space="preserve">John, O. P., &amp; Srivastava, S. (1999). The Big Five trait taxonomy: History, measurement, and theoretical perspectives. In L. A. Pervin &amp; O. P. John (Eds.), </w:t>
      </w:r>
      <w:r w:rsidRPr="00DD511E">
        <w:rPr>
          <w:i/>
          <w:iCs/>
        </w:rPr>
        <w:t>Handbook of personality: Theory and research</w:t>
      </w:r>
      <w:r w:rsidRPr="00DD511E">
        <w:t xml:space="preserve"> (2nd ed., pp. 102–138). Guilford Press.</w:t>
      </w:r>
    </w:p>
    <w:p w14:paraId="64EB2750" w14:textId="77777777" w:rsidR="00F02B6D" w:rsidRPr="00C30BBF" w:rsidRDefault="00F02B6D" w:rsidP="00F02B6D">
      <w:pPr>
        <w:spacing w:line="480" w:lineRule="auto"/>
        <w:ind w:left="720" w:hanging="720"/>
      </w:pPr>
      <w:r w:rsidRPr="00C30BBF">
        <w:t>Johnson, J. A. (2014). Measuring thirty facets of the Five Factor Model with a 120-item public domain inventory: Development of the IPIP-NEO-120. </w:t>
      </w:r>
      <w:r w:rsidRPr="00C30BBF">
        <w:rPr>
          <w:i/>
          <w:iCs/>
        </w:rPr>
        <w:t>Journal of research in personality</w:t>
      </w:r>
      <w:r w:rsidRPr="00C30BBF">
        <w:t>, </w:t>
      </w:r>
      <w:r w:rsidRPr="00C30BBF">
        <w:rPr>
          <w:i/>
          <w:iCs/>
        </w:rPr>
        <w:t>51</w:t>
      </w:r>
      <w:r w:rsidRPr="00C30BBF">
        <w:t>, 78-89.</w:t>
      </w:r>
    </w:p>
    <w:p w14:paraId="2C5002BA" w14:textId="5E4DEE45" w:rsidR="00F02B6D" w:rsidRPr="00C30BBF" w:rsidRDefault="00F02B6D" w:rsidP="00F02B6D">
      <w:pPr>
        <w:spacing w:line="480" w:lineRule="auto"/>
        <w:ind w:left="720" w:hanging="720"/>
      </w:pPr>
      <w:r w:rsidRPr="00C30BBF">
        <w:t xml:space="preserve">Maslow, A. H. (1943). A theory of human motivation. </w:t>
      </w:r>
      <w:r w:rsidRPr="00C30BBF">
        <w:rPr>
          <w:i/>
          <w:iCs/>
        </w:rPr>
        <w:t>Psychological Review, 50</w:t>
      </w:r>
      <w:r w:rsidRPr="00C30BBF">
        <w:t>(4), 370</w:t>
      </w:r>
      <w:r w:rsidR="006B012E">
        <w:t>-</w:t>
      </w:r>
      <w:r w:rsidRPr="00C30BBF">
        <w:t>396.</w:t>
      </w:r>
    </w:p>
    <w:p w14:paraId="14856B2C" w14:textId="77777777" w:rsidR="00F02B6D" w:rsidRPr="00C30BBF" w:rsidRDefault="00F02B6D" w:rsidP="00F02B6D">
      <w:pPr>
        <w:spacing w:line="480" w:lineRule="auto"/>
        <w:ind w:left="720" w:hanging="720"/>
      </w:pPr>
      <w:r w:rsidRPr="00C30BBF">
        <w:t>McAdams, D. P. (2001). The psychology of life stories. </w:t>
      </w:r>
      <w:r w:rsidRPr="00C30BBF">
        <w:rPr>
          <w:i/>
          <w:iCs/>
        </w:rPr>
        <w:t>Review of general psychology</w:t>
      </w:r>
      <w:r w:rsidRPr="00C30BBF">
        <w:t>, </w:t>
      </w:r>
      <w:r w:rsidRPr="00C30BBF">
        <w:rPr>
          <w:i/>
          <w:iCs/>
        </w:rPr>
        <w:t>5</w:t>
      </w:r>
      <w:r w:rsidRPr="00C30BBF">
        <w:t>(2), 100-122.</w:t>
      </w:r>
    </w:p>
    <w:p w14:paraId="5D6D230A" w14:textId="09E6E0DA" w:rsidR="00F02B6D" w:rsidRPr="00C30BBF" w:rsidRDefault="00F02B6D" w:rsidP="00F02B6D">
      <w:pPr>
        <w:spacing w:line="480" w:lineRule="auto"/>
        <w:ind w:left="720" w:hanging="720"/>
      </w:pPr>
      <w:r w:rsidRPr="00C30BBF">
        <w:t>McCrae, R. R., Costa, Jr., P. T., &amp; Martin, T. A. (2005). The NEO–PI–3: A More Readable Revised NEO Personality Inventory. </w:t>
      </w:r>
      <w:r w:rsidRPr="00C30BBF">
        <w:rPr>
          <w:i/>
          <w:iCs/>
        </w:rPr>
        <w:t>Journal of Personality Assessment</w:t>
      </w:r>
      <w:r w:rsidRPr="00C30BBF">
        <w:t>, </w:t>
      </w:r>
      <w:r w:rsidRPr="00C30BBF">
        <w:rPr>
          <w:i/>
          <w:iCs/>
        </w:rPr>
        <w:t>84</w:t>
      </w:r>
      <w:r w:rsidRPr="00C30BBF">
        <w:t>(3), 261</w:t>
      </w:r>
      <w:r w:rsidR="006B012E">
        <w:t>-</w:t>
      </w:r>
      <w:r w:rsidRPr="00C30BBF">
        <w:t xml:space="preserve">270. </w:t>
      </w:r>
      <w:hyperlink r:id="rId16" w:history="1">
        <w:r w:rsidRPr="00C30BBF">
          <w:rPr>
            <w:rStyle w:val="Hyperlink"/>
          </w:rPr>
          <w:t>https://doi.org/10.1207/s15327752jpa8403_05</w:t>
        </w:r>
      </w:hyperlink>
    </w:p>
    <w:p w14:paraId="3EE62F58" w14:textId="77777777" w:rsidR="00F02B6D" w:rsidRPr="00C30BBF" w:rsidRDefault="00F02B6D" w:rsidP="00F02B6D">
      <w:pPr>
        <w:spacing w:line="480" w:lineRule="auto"/>
        <w:ind w:left="720" w:hanging="720"/>
      </w:pPr>
      <w:r w:rsidRPr="00C30BBF">
        <w:lastRenderedPageBreak/>
        <w:t>McCrae, R. R., &amp; Costa, P. T. (2008). Empirical and theoretical status of the five-factor model of personality traits. </w:t>
      </w:r>
      <w:r w:rsidRPr="00C30BBF">
        <w:rPr>
          <w:i/>
          <w:iCs/>
        </w:rPr>
        <w:t>The SAGE handbook of personality theory and assessment</w:t>
      </w:r>
      <w:r w:rsidRPr="00C30BBF">
        <w:t>, </w:t>
      </w:r>
      <w:r w:rsidRPr="00C30BBF">
        <w:rPr>
          <w:i/>
          <w:iCs/>
        </w:rPr>
        <w:t>1</w:t>
      </w:r>
      <w:r w:rsidRPr="00C30BBF">
        <w:t>, 273-294.</w:t>
      </w:r>
    </w:p>
    <w:p w14:paraId="1FB30E59" w14:textId="129D02BE" w:rsidR="00F02B6D" w:rsidRPr="00C30BBF" w:rsidRDefault="00F02B6D" w:rsidP="00F02B6D">
      <w:pPr>
        <w:spacing w:line="480" w:lineRule="auto"/>
        <w:ind w:left="720" w:hanging="720"/>
      </w:pPr>
      <w:r w:rsidRPr="00C30BBF">
        <w:t xml:space="preserve">Nasello, J. A., </w:t>
      </w:r>
      <w:proofErr w:type="spellStart"/>
      <w:r w:rsidRPr="00C30BBF">
        <w:t>Triffaux</w:t>
      </w:r>
      <w:proofErr w:type="spellEnd"/>
      <w:r w:rsidRPr="00C30BBF">
        <w:t xml:space="preserve">, J. M., &amp; </w:t>
      </w:r>
      <w:proofErr w:type="spellStart"/>
      <w:r w:rsidRPr="00C30BBF">
        <w:t>Hansenne</w:t>
      </w:r>
      <w:proofErr w:type="spellEnd"/>
      <w:r w:rsidRPr="00C30BBF">
        <w:t xml:space="preserve">, M. (2024). Individual differences and personality traits across situations. </w:t>
      </w:r>
      <w:r w:rsidRPr="00C30BBF">
        <w:rPr>
          <w:i/>
          <w:iCs/>
        </w:rPr>
        <w:t>Current Issues in Personality Psychology, 12</w:t>
      </w:r>
      <w:r w:rsidRPr="00C30BBF">
        <w:t>(2), 109</w:t>
      </w:r>
      <w:r w:rsidR="006B012E">
        <w:t>-</w:t>
      </w:r>
      <w:r w:rsidRPr="00C30BBF">
        <w:t xml:space="preserve">119. </w:t>
      </w:r>
      <w:hyperlink r:id="rId17" w:history="1">
        <w:r w:rsidRPr="00C30BBF">
          <w:rPr>
            <w:rStyle w:val="Hyperlink"/>
          </w:rPr>
          <w:t>https://doi.org/10.5114/cipp/159942</w:t>
        </w:r>
      </w:hyperlink>
    </w:p>
    <w:p w14:paraId="333A3BD5" w14:textId="77777777" w:rsidR="00F02B6D" w:rsidRPr="00C30BBF" w:rsidRDefault="00F02B6D" w:rsidP="00F02B6D">
      <w:pPr>
        <w:spacing w:line="480" w:lineRule="auto"/>
        <w:ind w:left="720" w:hanging="720"/>
      </w:pPr>
      <w:r w:rsidRPr="00C30BBF">
        <w:t xml:space="preserve">Paulhus, D. L., &amp; </w:t>
      </w:r>
      <w:proofErr w:type="spellStart"/>
      <w:r w:rsidRPr="00C30BBF">
        <w:t>Vazire</w:t>
      </w:r>
      <w:proofErr w:type="spellEnd"/>
      <w:r w:rsidRPr="00C30BBF">
        <w:t>, S. (2007). The self-report method. </w:t>
      </w:r>
      <w:r w:rsidRPr="00C30BBF">
        <w:rPr>
          <w:i/>
          <w:iCs/>
        </w:rPr>
        <w:t>Handbook of research methods in personality psychology</w:t>
      </w:r>
      <w:r w:rsidRPr="00C30BBF">
        <w:t>, </w:t>
      </w:r>
      <w:r w:rsidRPr="00C30BBF">
        <w:rPr>
          <w:i/>
          <w:iCs/>
        </w:rPr>
        <w:t>1</w:t>
      </w:r>
      <w:r w:rsidRPr="00C30BBF">
        <w:t>(2007), 224-239.</w:t>
      </w:r>
    </w:p>
    <w:p w14:paraId="59430C82" w14:textId="1C9F7FB1" w:rsidR="00F02B6D" w:rsidRPr="00C30BBF" w:rsidRDefault="00F02B6D" w:rsidP="009A058E">
      <w:pPr>
        <w:spacing w:line="480" w:lineRule="auto"/>
        <w:ind w:left="720" w:hanging="720"/>
      </w:pPr>
      <w:r w:rsidRPr="00C30BBF">
        <w:t xml:space="preserve">Pomerantz, E. M., Moorman, E. A., &amp; Litwack, S. D. (2007). The how, whom, and why of parents’ involvement in children’s academic lives. </w:t>
      </w:r>
      <w:r w:rsidRPr="00C30BBF">
        <w:rPr>
          <w:i/>
          <w:iCs/>
        </w:rPr>
        <w:t>Review of Educational Research, 77</w:t>
      </w:r>
      <w:r w:rsidRPr="00C30BBF">
        <w:t>(3), 373</w:t>
      </w:r>
      <w:r w:rsidR="006B012E">
        <w:t>-</w:t>
      </w:r>
      <w:r w:rsidRPr="00C30BBF">
        <w:t xml:space="preserve">410. </w:t>
      </w:r>
      <w:hyperlink r:id="rId18" w:history="1">
        <w:r w:rsidR="00A4647F" w:rsidRPr="00C30BBF">
          <w:rPr>
            <w:rStyle w:val="Hyperlink"/>
          </w:rPr>
          <w:t>https://doi.org/10.3102/003465430305567</w:t>
        </w:r>
      </w:hyperlink>
    </w:p>
    <w:p w14:paraId="7C43BE79" w14:textId="459ED2CF" w:rsidR="00F02B6D" w:rsidRPr="00C30BBF" w:rsidRDefault="00F02B6D" w:rsidP="00F02B6D">
      <w:pPr>
        <w:spacing w:line="480" w:lineRule="auto"/>
        <w:ind w:left="720" w:hanging="720"/>
      </w:pPr>
      <w:r w:rsidRPr="00C30BBF">
        <w:t xml:space="preserve">Poropat, A. E. (2009). A meta-analysis of the five-factor model of personality and academic performance. </w:t>
      </w:r>
      <w:r w:rsidRPr="00C30BBF">
        <w:rPr>
          <w:i/>
          <w:iCs/>
        </w:rPr>
        <w:t>Learning and Individual Differences, 19</w:t>
      </w:r>
      <w:r w:rsidRPr="00C30BBF">
        <w:t>(2), 247</w:t>
      </w:r>
      <w:r w:rsidR="006B012E">
        <w:t>-</w:t>
      </w:r>
      <w:r w:rsidRPr="00C30BBF">
        <w:t xml:space="preserve">254. </w:t>
      </w:r>
      <w:hyperlink r:id="rId19" w:history="1">
        <w:r w:rsidR="003B6FBD" w:rsidRPr="00C30BBF">
          <w:rPr>
            <w:rStyle w:val="Hyperlink"/>
          </w:rPr>
          <w:t>https://doi.org/10.1037/a0014996</w:t>
        </w:r>
      </w:hyperlink>
    </w:p>
    <w:p w14:paraId="4DEF33B3" w14:textId="17DA9F07" w:rsidR="00F02B6D" w:rsidRPr="00C30BBF" w:rsidRDefault="00F02B6D" w:rsidP="00F02B6D">
      <w:pPr>
        <w:spacing w:line="480" w:lineRule="auto"/>
        <w:ind w:left="720" w:hanging="720"/>
      </w:pPr>
      <w:r w:rsidRPr="00C30BBF">
        <w:t xml:space="preserve">Richardson, M., Abraham, C., &amp; Bond, R. (2012). Psychological correlates of university students’ academic performance: A systematic review and meta-analysis. </w:t>
      </w:r>
      <w:r w:rsidRPr="00C30BBF">
        <w:rPr>
          <w:i/>
          <w:iCs/>
        </w:rPr>
        <w:t>Psychological Bulletin, 138</w:t>
      </w:r>
      <w:r w:rsidRPr="00C30BBF">
        <w:t>(2), 353</w:t>
      </w:r>
      <w:r w:rsidR="006B012E">
        <w:t>-</w:t>
      </w:r>
      <w:r w:rsidRPr="00C30BBF">
        <w:t xml:space="preserve">387. </w:t>
      </w:r>
      <w:hyperlink r:id="rId20" w:history="1">
        <w:r w:rsidRPr="00C30BBF">
          <w:rPr>
            <w:rStyle w:val="Hyperlink"/>
          </w:rPr>
          <w:t>https://doi.org/10.1037/a0026838</w:t>
        </w:r>
      </w:hyperlink>
    </w:p>
    <w:p w14:paraId="6C9F2AB9" w14:textId="77777777" w:rsidR="00F02B6D" w:rsidRPr="00C30BBF" w:rsidRDefault="00F02B6D" w:rsidP="00F02B6D">
      <w:pPr>
        <w:spacing w:line="480" w:lineRule="auto"/>
        <w:ind w:left="720" w:hanging="720"/>
      </w:pPr>
      <w:r w:rsidRPr="00C30BBF">
        <w:t xml:space="preserve">Roberts, B. W., </w:t>
      </w:r>
      <w:proofErr w:type="spellStart"/>
      <w:r w:rsidRPr="00C30BBF">
        <w:t>Kuncel</w:t>
      </w:r>
      <w:proofErr w:type="spellEnd"/>
      <w:r w:rsidRPr="00C30BBF">
        <w:t>, N. R., Shiner, R., Caspi, A., &amp; Goldberg, L. R. (2007). The power of personality: The comparative validity of personality traits, socioeconomic status, and cognitive ability for predicting important life outcomes. </w:t>
      </w:r>
      <w:r w:rsidRPr="00C30BBF">
        <w:rPr>
          <w:i/>
          <w:iCs/>
        </w:rPr>
        <w:t>Perspectives on Psychological science</w:t>
      </w:r>
      <w:r w:rsidRPr="00C30BBF">
        <w:t>, </w:t>
      </w:r>
      <w:r w:rsidRPr="00C30BBF">
        <w:rPr>
          <w:i/>
          <w:iCs/>
        </w:rPr>
        <w:t>2</w:t>
      </w:r>
      <w:r w:rsidRPr="00C30BBF">
        <w:t>(4), 313-345.</w:t>
      </w:r>
    </w:p>
    <w:p w14:paraId="3136ED19" w14:textId="405BFD09" w:rsidR="00F02B6D" w:rsidRPr="00C30BBF" w:rsidRDefault="00F02B6D" w:rsidP="00F02B6D">
      <w:pPr>
        <w:spacing w:line="480" w:lineRule="auto"/>
        <w:ind w:left="720" w:hanging="720"/>
      </w:pPr>
      <w:r w:rsidRPr="00C30BBF">
        <w:lastRenderedPageBreak/>
        <w:t xml:space="preserve">Roth, B., Becker, N., Romeyke, S., Schäfer, S., Domnick, F., &amp; </w:t>
      </w:r>
      <w:proofErr w:type="spellStart"/>
      <w:r w:rsidRPr="00C30BBF">
        <w:t>Spinath</w:t>
      </w:r>
      <w:proofErr w:type="spellEnd"/>
      <w:r w:rsidRPr="00C30BBF">
        <w:t xml:space="preserve">, F. M. (2015). Intelligence and school grades: A meta-analysis. </w:t>
      </w:r>
      <w:r w:rsidRPr="00C30BBF">
        <w:rPr>
          <w:i/>
          <w:iCs/>
        </w:rPr>
        <w:t>Intelligence, 53</w:t>
      </w:r>
      <w:r w:rsidRPr="00C30BBF">
        <w:t>, 118</w:t>
      </w:r>
      <w:r w:rsidR="006B012E">
        <w:t>-</w:t>
      </w:r>
      <w:r w:rsidRPr="00C30BBF">
        <w:t xml:space="preserve">137. </w:t>
      </w:r>
      <w:hyperlink r:id="rId21" w:history="1">
        <w:r w:rsidR="000866CB" w:rsidRPr="00C30BBF">
          <w:rPr>
            <w:rStyle w:val="Hyperlink"/>
          </w:rPr>
          <w:t>https://doi.org/10.1016/j.intell.2015.09.002</w:t>
        </w:r>
      </w:hyperlink>
    </w:p>
    <w:p w14:paraId="2332B585" w14:textId="3F32F6D4" w:rsidR="00F02B6D" w:rsidRPr="00C30BBF" w:rsidRDefault="00F02B6D" w:rsidP="00055FF5">
      <w:pPr>
        <w:spacing w:line="480" w:lineRule="auto"/>
        <w:ind w:left="720" w:hanging="720"/>
      </w:pPr>
      <w:r w:rsidRPr="00C30BBF">
        <w:t xml:space="preserve">Sisk, V. F., Burgoyne, A. P., Sun, J., Butler, J. L., &amp; Macnamara, B. N. (2018). To what extent and under which circumstances are growth mindset interventions effective? </w:t>
      </w:r>
      <w:r w:rsidRPr="00C30BBF">
        <w:rPr>
          <w:i/>
          <w:iCs/>
        </w:rPr>
        <w:t>Psychological Science, 29</w:t>
      </w:r>
      <w:r w:rsidRPr="00C30BBF">
        <w:t>(4), 549</w:t>
      </w:r>
      <w:r w:rsidR="006B012E">
        <w:t>-</w:t>
      </w:r>
      <w:r w:rsidRPr="00C30BBF">
        <w:t>571.</w:t>
      </w:r>
      <w:r w:rsidR="007505C3" w:rsidRPr="00C30BBF">
        <w:t xml:space="preserve"> </w:t>
      </w:r>
      <w:hyperlink r:id="rId22" w:history="1">
        <w:r w:rsidR="009B50E6" w:rsidRPr="00C30BBF">
          <w:rPr>
            <w:rStyle w:val="Hyperlink"/>
          </w:rPr>
          <w:t>https://doi.org/10.1177/0956797617739704</w:t>
        </w:r>
      </w:hyperlink>
    </w:p>
    <w:p w14:paraId="6B6A7632" w14:textId="1291D333" w:rsidR="00F02B6D" w:rsidRPr="00C30BBF" w:rsidRDefault="00F02B6D" w:rsidP="00F02B6D">
      <w:pPr>
        <w:spacing w:line="480" w:lineRule="auto"/>
        <w:ind w:left="720" w:hanging="720"/>
      </w:pPr>
      <w:r w:rsidRPr="00C30BBF">
        <w:t xml:space="preserve">Skinner, B. F. (1953). </w:t>
      </w:r>
      <w:r w:rsidRPr="00C30BBF">
        <w:rPr>
          <w:i/>
          <w:iCs/>
        </w:rPr>
        <w:t xml:space="preserve">Science and human </w:t>
      </w:r>
      <w:proofErr w:type="spellStart"/>
      <w:r w:rsidRPr="00C30BBF">
        <w:rPr>
          <w:i/>
          <w:iCs/>
        </w:rPr>
        <w:t>behavior</w:t>
      </w:r>
      <w:proofErr w:type="spellEnd"/>
      <w:r w:rsidRPr="00C30BBF">
        <w:t>. Macmillan.</w:t>
      </w:r>
      <w:r w:rsidR="349075D5" w:rsidRPr="00C30BBF">
        <w:t xml:space="preserve"> </w:t>
      </w:r>
    </w:p>
    <w:p w14:paraId="6E4555EC" w14:textId="6141BD32" w:rsidR="00F02B6D" w:rsidRPr="00C30BBF" w:rsidRDefault="00F02B6D" w:rsidP="00F02B6D">
      <w:pPr>
        <w:spacing w:line="480" w:lineRule="auto"/>
        <w:ind w:left="720" w:hanging="720"/>
      </w:pPr>
      <w:r w:rsidRPr="00C30BBF">
        <w:t xml:space="preserve">Soto, C. J., &amp; John, O. P. (2017). The next Big Five Inventory (BFI-2): Developing and </w:t>
      </w:r>
      <w:proofErr w:type="spellStart"/>
      <w:r w:rsidRPr="00C30BBF">
        <w:t>assessing</w:t>
      </w:r>
      <w:proofErr w:type="spellEnd"/>
      <w:r w:rsidRPr="00C30BBF">
        <w:t xml:space="preserve"> a hierarchical model with 15 facets to enhance bandwidth, fidelity, and predictive power. </w:t>
      </w:r>
      <w:r w:rsidRPr="00C30BBF">
        <w:rPr>
          <w:i/>
          <w:iCs/>
        </w:rPr>
        <w:t>Journal of personality and social psychology</w:t>
      </w:r>
      <w:r w:rsidRPr="00C30BBF">
        <w:t>, </w:t>
      </w:r>
      <w:r w:rsidRPr="00C30BBF">
        <w:rPr>
          <w:i/>
          <w:iCs/>
        </w:rPr>
        <w:t>113</w:t>
      </w:r>
      <w:r w:rsidRPr="00C30BBF">
        <w:t>(1), 117</w:t>
      </w:r>
      <w:r w:rsidR="006B012E">
        <w:t>-</w:t>
      </w:r>
      <w:r w:rsidRPr="00C30BBF">
        <w:t xml:space="preserve">143. </w:t>
      </w:r>
      <w:hyperlink r:id="rId23" w:history="1">
        <w:r w:rsidR="005E2C94" w:rsidRPr="00C30BBF">
          <w:rPr>
            <w:rStyle w:val="Hyperlink"/>
          </w:rPr>
          <w:t>https://doi.org/10.1037/pspp0000096</w:t>
        </w:r>
      </w:hyperlink>
    </w:p>
    <w:p w14:paraId="74FE1F04" w14:textId="3B2D985B" w:rsidR="00F02B6D" w:rsidRPr="00C30BBF" w:rsidRDefault="00F02B6D" w:rsidP="00F02B6D">
      <w:pPr>
        <w:spacing w:line="480" w:lineRule="auto"/>
        <w:ind w:left="720" w:hanging="720"/>
      </w:pPr>
      <w:r w:rsidRPr="00C30BBF">
        <w:t xml:space="preserve">Spielmann, J., Yoon, H. J. R., Ayoub, M., Chen, Y., Eckland, N. S., Trautwein, U., Zheng, A., &amp; Roberts, B. W. (2022). An in-depth review of conscientiousness and educational issues. </w:t>
      </w:r>
      <w:r w:rsidRPr="00C30BBF">
        <w:rPr>
          <w:i/>
          <w:iCs/>
        </w:rPr>
        <w:t>Educational Psychology Review, 34</w:t>
      </w:r>
      <w:r w:rsidRPr="00C30BBF">
        <w:t>, 2745</w:t>
      </w:r>
      <w:r w:rsidR="00732562">
        <w:t>-</w:t>
      </w:r>
      <w:r w:rsidRPr="00C30BBF">
        <w:t xml:space="preserve">2781. </w:t>
      </w:r>
      <w:hyperlink r:id="rId24" w:history="1">
        <w:r w:rsidR="00A6531C" w:rsidRPr="00C30BBF">
          <w:rPr>
            <w:rStyle w:val="Hyperlink"/>
          </w:rPr>
          <w:t>https://doi.org/10.1007/s10648-022-09693-2</w:t>
        </w:r>
      </w:hyperlink>
    </w:p>
    <w:p w14:paraId="53F8C607" w14:textId="77504BE6" w:rsidR="00F02B6D" w:rsidRDefault="00F02B6D" w:rsidP="00F02B6D">
      <w:pPr>
        <w:spacing w:line="480" w:lineRule="auto"/>
        <w:ind w:left="720" w:hanging="720"/>
      </w:pPr>
      <w:r w:rsidRPr="00C30BBF">
        <w:t xml:space="preserve">Takahashi, Y., Zheng, A., Yamagata, S., &amp; Ando, J. (2021). Genetic and environmental architecture of conscientiousness in adolescence. </w:t>
      </w:r>
      <w:r w:rsidRPr="00C30BBF">
        <w:rPr>
          <w:i/>
          <w:iCs/>
        </w:rPr>
        <w:t>Scientific Reports, 11</w:t>
      </w:r>
      <w:r w:rsidRPr="00C30BBF">
        <w:t xml:space="preserve">, 3205. </w:t>
      </w:r>
      <w:hyperlink r:id="rId25" w:history="1">
        <w:r w:rsidR="00715FEB" w:rsidRPr="00C30BBF">
          <w:rPr>
            <w:rStyle w:val="Hyperlink"/>
          </w:rPr>
          <w:t>https://doi.org/10.1038/s41598-021-82781-5</w:t>
        </w:r>
      </w:hyperlink>
    </w:p>
    <w:p w14:paraId="05D35558" w14:textId="456F4672" w:rsidR="00972214" w:rsidRDefault="00972214" w:rsidP="008D0D6C">
      <w:pPr>
        <w:rPr>
          <w:b/>
          <w:bCs/>
        </w:rPr>
      </w:pPr>
    </w:p>
    <w:sectPr w:rsidR="00972214">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0E6FB6" w14:textId="77777777" w:rsidR="002D5625" w:rsidRDefault="002D5625" w:rsidP="00F475A0">
      <w:pPr>
        <w:spacing w:after="0" w:line="240" w:lineRule="auto"/>
      </w:pPr>
      <w:r>
        <w:separator/>
      </w:r>
    </w:p>
  </w:endnote>
  <w:endnote w:type="continuationSeparator" w:id="0">
    <w:p w14:paraId="0789DD07" w14:textId="77777777" w:rsidR="002D5625" w:rsidRDefault="002D5625" w:rsidP="00F475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F14AA1" w14:textId="77777777" w:rsidR="002D5625" w:rsidRDefault="002D5625" w:rsidP="00F475A0">
      <w:pPr>
        <w:spacing w:after="0" w:line="240" w:lineRule="auto"/>
      </w:pPr>
      <w:r>
        <w:separator/>
      </w:r>
    </w:p>
  </w:footnote>
  <w:footnote w:type="continuationSeparator" w:id="0">
    <w:p w14:paraId="71198BFF" w14:textId="77777777" w:rsidR="002D5625" w:rsidRDefault="002D5625" w:rsidP="00F475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7068976"/>
      <w:docPartObj>
        <w:docPartGallery w:val="Page Numbers (Top of Page)"/>
        <w:docPartUnique/>
      </w:docPartObj>
    </w:sdtPr>
    <w:sdtContent>
      <w:p w14:paraId="07D5E646" w14:textId="77777777" w:rsidR="00F475A0" w:rsidRDefault="00F475A0">
        <w:pPr>
          <w:pStyle w:val="Header"/>
          <w:jc w:val="right"/>
        </w:pPr>
        <w:r>
          <w:fldChar w:fldCharType="begin"/>
        </w:r>
        <w:r>
          <w:instrText>PAGE   \* MERGEFORMAT</w:instrText>
        </w:r>
        <w:r>
          <w:fldChar w:fldCharType="separate"/>
        </w:r>
        <w:r>
          <w:t>2</w:t>
        </w:r>
        <w:r>
          <w:fldChar w:fldCharType="end"/>
        </w:r>
      </w:p>
    </w:sdtContent>
  </w:sdt>
  <w:p w14:paraId="33EFBEE8" w14:textId="77777777" w:rsidR="00F475A0" w:rsidRDefault="00F475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1C5F61"/>
    <w:multiLevelType w:val="multilevel"/>
    <w:tmpl w:val="BC56A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2F27E3"/>
    <w:multiLevelType w:val="hybridMultilevel"/>
    <w:tmpl w:val="F36AE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1644242">
    <w:abstractNumId w:val="0"/>
  </w:num>
  <w:num w:numId="2" w16cid:durableId="20593526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B66"/>
    <w:rsid w:val="00011BE4"/>
    <w:rsid w:val="00013B13"/>
    <w:rsid w:val="0002084F"/>
    <w:rsid w:val="00022772"/>
    <w:rsid w:val="00025D0A"/>
    <w:rsid w:val="000268A7"/>
    <w:rsid w:val="000309FF"/>
    <w:rsid w:val="000367C0"/>
    <w:rsid w:val="00041EB2"/>
    <w:rsid w:val="0005121D"/>
    <w:rsid w:val="00052030"/>
    <w:rsid w:val="0005224A"/>
    <w:rsid w:val="00055FF5"/>
    <w:rsid w:val="00065098"/>
    <w:rsid w:val="000742F8"/>
    <w:rsid w:val="00077B94"/>
    <w:rsid w:val="00084E61"/>
    <w:rsid w:val="000866CB"/>
    <w:rsid w:val="0009271C"/>
    <w:rsid w:val="000932D8"/>
    <w:rsid w:val="0009344D"/>
    <w:rsid w:val="00095BED"/>
    <w:rsid w:val="000A570F"/>
    <w:rsid w:val="000B303A"/>
    <w:rsid w:val="000B5C8E"/>
    <w:rsid w:val="000B7A5D"/>
    <w:rsid w:val="000C6127"/>
    <w:rsid w:val="000D76E3"/>
    <w:rsid w:val="000E1F91"/>
    <w:rsid w:val="000F2CA9"/>
    <w:rsid w:val="000F3554"/>
    <w:rsid w:val="00135C9D"/>
    <w:rsid w:val="00147FC7"/>
    <w:rsid w:val="00155F1D"/>
    <w:rsid w:val="00163DDF"/>
    <w:rsid w:val="00166D07"/>
    <w:rsid w:val="001915AF"/>
    <w:rsid w:val="001A48E7"/>
    <w:rsid w:val="001D001B"/>
    <w:rsid w:val="001D1EB2"/>
    <w:rsid w:val="001D60E2"/>
    <w:rsid w:val="001E3058"/>
    <w:rsid w:val="001E4744"/>
    <w:rsid w:val="001F7464"/>
    <w:rsid w:val="001F7CAB"/>
    <w:rsid w:val="00200393"/>
    <w:rsid w:val="00211662"/>
    <w:rsid w:val="00213B53"/>
    <w:rsid w:val="002200EA"/>
    <w:rsid w:val="00231292"/>
    <w:rsid w:val="002329DA"/>
    <w:rsid w:val="002421C9"/>
    <w:rsid w:val="00255EA8"/>
    <w:rsid w:val="002629E7"/>
    <w:rsid w:val="00262E19"/>
    <w:rsid w:val="00264097"/>
    <w:rsid w:val="00266F59"/>
    <w:rsid w:val="002708AD"/>
    <w:rsid w:val="002750D5"/>
    <w:rsid w:val="00283D8F"/>
    <w:rsid w:val="00290087"/>
    <w:rsid w:val="0029424C"/>
    <w:rsid w:val="002A0A69"/>
    <w:rsid w:val="002A1CB3"/>
    <w:rsid w:val="002B0263"/>
    <w:rsid w:val="002C686B"/>
    <w:rsid w:val="002D1275"/>
    <w:rsid w:val="002D5625"/>
    <w:rsid w:val="002D6F75"/>
    <w:rsid w:val="002F57B4"/>
    <w:rsid w:val="002F6611"/>
    <w:rsid w:val="003007EF"/>
    <w:rsid w:val="00304A78"/>
    <w:rsid w:val="00312B6A"/>
    <w:rsid w:val="003278ED"/>
    <w:rsid w:val="00333E4D"/>
    <w:rsid w:val="003349EC"/>
    <w:rsid w:val="003403AD"/>
    <w:rsid w:val="00340FB7"/>
    <w:rsid w:val="00364492"/>
    <w:rsid w:val="00380212"/>
    <w:rsid w:val="003925A0"/>
    <w:rsid w:val="00394F4C"/>
    <w:rsid w:val="003A1098"/>
    <w:rsid w:val="003B5BC9"/>
    <w:rsid w:val="003B6AEF"/>
    <w:rsid w:val="003B6FBD"/>
    <w:rsid w:val="003C3830"/>
    <w:rsid w:val="003D5B66"/>
    <w:rsid w:val="003E33A8"/>
    <w:rsid w:val="003E593C"/>
    <w:rsid w:val="003E7C06"/>
    <w:rsid w:val="003F56A1"/>
    <w:rsid w:val="00416B6C"/>
    <w:rsid w:val="00420717"/>
    <w:rsid w:val="00427E2B"/>
    <w:rsid w:val="00437C97"/>
    <w:rsid w:val="00440CE7"/>
    <w:rsid w:val="00464308"/>
    <w:rsid w:val="00467688"/>
    <w:rsid w:val="0047569E"/>
    <w:rsid w:val="00475797"/>
    <w:rsid w:val="004761E3"/>
    <w:rsid w:val="00482BC8"/>
    <w:rsid w:val="00487092"/>
    <w:rsid w:val="00493567"/>
    <w:rsid w:val="004A5CD3"/>
    <w:rsid w:val="004C43CF"/>
    <w:rsid w:val="004C4C04"/>
    <w:rsid w:val="004C7FE6"/>
    <w:rsid w:val="004D5FE8"/>
    <w:rsid w:val="004D76C5"/>
    <w:rsid w:val="004D7B50"/>
    <w:rsid w:val="004F2DE5"/>
    <w:rsid w:val="00521CBC"/>
    <w:rsid w:val="005434A0"/>
    <w:rsid w:val="00554069"/>
    <w:rsid w:val="00557C5D"/>
    <w:rsid w:val="005631B7"/>
    <w:rsid w:val="00567380"/>
    <w:rsid w:val="00575D5B"/>
    <w:rsid w:val="005773C5"/>
    <w:rsid w:val="005863E1"/>
    <w:rsid w:val="00587122"/>
    <w:rsid w:val="005A5012"/>
    <w:rsid w:val="005A5127"/>
    <w:rsid w:val="005A53C6"/>
    <w:rsid w:val="005B4979"/>
    <w:rsid w:val="005C7433"/>
    <w:rsid w:val="005C7CD0"/>
    <w:rsid w:val="005E2C94"/>
    <w:rsid w:val="005E389A"/>
    <w:rsid w:val="005E3B06"/>
    <w:rsid w:val="005E6519"/>
    <w:rsid w:val="005E654B"/>
    <w:rsid w:val="005F27D1"/>
    <w:rsid w:val="006139DC"/>
    <w:rsid w:val="00626E7D"/>
    <w:rsid w:val="00633117"/>
    <w:rsid w:val="00635FCF"/>
    <w:rsid w:val="00637846"/>
    <w:rsid w:val="0064276D"/>
    <w:rsid w:val="006475F2"/>
    <w:rsid w:val="00650425"/>
    <w:rsid w:val="0065064A"/>
    <w:rsid w:val="006516A5"/>
    <w:rsid w:val="00660A5F"/>
    <w:rsid w:val="00677887"/>
    <w:rsid w:val="006778F8"/>
    <w:rsid w:val="00683FBE"/>
    <w:rsid w:val="0068760E"/>
    <w:rsid w:val="00691E0D"/>
    <w:rsid w:val="00695F91"/>
    <w:rsid w:val="00696E6E"/>
    <w:rsid w:val="006A6C2E"/>
    <w:rsid w:val="006B012E"/>
    <w:rsid w:val="006C501D"/>
    <w:rsid w:val="006D3A63"/>
    <w:rsid w:val="006E51DA"/>
    <w:rsid w:val="006F3580"/>
    <w:rsid w:val="006F444C"/>
    <w:rsid w:val="006F75F0"/>
    <w:rsid w:val="00701993"/>
    <w:rsid w:val="00701FA6"/>
    <w:rsid w:val="007137C5"/>
    <w:rsid w:val="00715FEB"/>
    <w:rsid w:val="00720E43"/>
    <w:rsid w:val="00731152"/>
    <w:rsid w:val="007314A6"/>
    <w:rsid w:val="0073185E"/>
    <w:rsid w:val="00732562"/>
    <w:rsid w:val="00736431"/>
    <w:rsid w:val="007425B2"/>
    <w:rsid w:val="007437EF"/>
    <w:rsid w:val="00746973"/>
    <w:rsid w:val="007505C3"/>
    <w:rsid w:val="00756EEE"/>
    <w:rsid w:val="00763CFA"/>
    <w:rsid w:val="0076428F"/>
    <w:rsid w:val="00764B9B"/>
    <w:rsid w:val="00767EEB"/>
    <w:rsid w:val="007706B7"/>
    <w:rsid w:val="00787443"/>
    <w:rsid w:val="007A0A6D"/>
    <w:rsid w:val="007A2279"/>
    <w:rsid w:val="007B08D3"/>
    <w:rsid w:val="007B1B50"/>
    <w:rsid w:val="007B6627"/>
    <w:rsid w:val="007B6E19"/>
    <w:rsid w:val="007D4E4A"/>
    <w:rsid w:val="007F1FBD"/>
    <w:rsid w:val="0080658E"/>
    <w:rsid w:val="00821FC1"/>
    <w:rsid w:val="00822FD3"/>
    <w:rsid w:val="00830173"/>
    <w:rsid w:val="008304F3"/>
    <w:rsid w:val="00862A28"/>
    <w:rsid w:val="00863BFB"/>
    <w:rsid w:val="00864C29"/>
    <w:rsid w:val="00883F14"/>
    <w:rsid w:val="008847DB"/>
    <w:rsid w:val="00890892"/>
    <w:rsid w:val="008A78A7"/>
    <w:rsid w:val="008C02FB"/>
    <w:rsid w:val="008D0D6C"/>
    <w:rsid w:val="008E7D92"/>
    <w:rsid w:val="008F3215"/>
    <w:rsid w:val="00910F77"/>
    <w:rsid w:val="0091544C"/>
    <w:rsid w:val="00952993"/>
    <w:rsid w:val="00956C08"/>
    <w:rsid w:val="00972214"/>
    <w:rsid w:val="009A058E"/>
    <w:rsid w:val="009A30FB"/>
    <w:rsid w:val="009A44F7"/>
    <w:rsid w:val="009A4A93"/>
    <w:rsid w:val="009B201D"/>
    <w:rsid w:val="009B50E6"/>
    <w:rsid w:val="009E2D32"/>
    <w:rsid w:val="009E3F7A"/>
    <w:rsid w:val="009E65ED"/>
    <w:rsid w:val="009F0A64"/>
    <w:rsid w:val="009F2DB3"/>
    <w:rsid w:val="009F39CD"/>
    <w:rsid w:val="00A05373"/>
    <w:rsid w:val="00A1184F"/>
    <w:rsid w:val="00A16005"/>
    <w:rsid w:val="00A17FE7"/>
    <w:rsid w:val="00A37DCC"/>
    <w:rsid w:val="00A4160B"/>
    <w:rsid w:val="00A4647F"/>
    <w:rsid w:val="00A52228"/>
    <w:rsid w:val="00A56F02"/>
    <w:rsid w:val="00A64AF6"/>
    <w:rsid w:val="00A6531C"/>
    <w:rsid w:val="00A747C7"/>
    <w:rsid w:val="00A83776"/>
    <w:rsid w:val="00A90DE7"/>
    <w:rsid w:val="00AA5978"/>
    <w:rsid w:val="00AA6A44"/>
    <w:rsid w:val="00AA76F7"/>
    <w:rsid w:val="00AB274C"/>
    <w:rsid w:val="00AC1D25"/>
    <w:rsid w:val="00AC75C1"/>
    <w:rsid w:val="00AD0FAF"/>
    <w:rsid w:val="00AE48A9"/>
    <w:rsid w:val="00AE5295"/>
    <w:rsid w:val="00AF12CB"/>
    <w:rsid w:val="00AF2F21"/>
    <w:rsid w:val="00AF54E0"/>
    <w:rsid w:val="00B04501"/>
    <w:rsid w:val="00B46113"/>
    <w:rsid w:val="00B47B4A"/>
    <w:rsid w:val="00B84F0D"/>
    <w:rsid w:val="00B85B33"/>
    <w:rsid w:val="00B974E5"/>
    <w:rsid w:val="00BA1D0B"/>
    <w:rsid w:val="00BA50AA"/>
    <w:rsid w:val="00BA57DB"/>
    <w:rsid w:val="00BB1BC0"/>
    <w:rsid w:val="00BB3984"/>
    <w:rsid w:val="00BB75E7"/>
    <w:rsid w:val="00BC0AB4"/>
    <w:rsid w:val="00BD59B4"/>
    <w:rsid w:val="00BE04DD"/>
    <w:rsid w:val="00C0539B"/>
    <w:rsid w:val="00C30BBF"/>
    <w:rsid w:val="00C34B3C"/>
    <w:rsid w:val="00C35897"/>
    <w:rsid w:val="00C439F4"/>
    <w:rsid w:val="00C44EF7"/>
    <w:rsid w:val="00C461FC"/>
    <w:rsid w:val="00C63087"/>
    <w:rsid w:val="00C70102"/>
    <w:rsid w:val="00C752D1"/>
    <w:rsid w:val="00C82B9C"/>
    <w:rsid w:val="00C85BA4"/>
    <w:rsid w:val="00C864E5"/>
    <w:rsid w:val="00C908CB"/>
    <w:rsid w:val="00C94289"/>
    <w:rsid w:val="00CA2CE0"/>
    <w:rsid w:val="00CA3E5D"/>
    <w:rsid w:val="00CA665D"/>
    <w:rsid w:val="00CB1692"/>
    <w:rsid w:val="00CD4095"/>
    <w:rsid w:val="00CE3EDF"/>
    <w:rsid w:val="00CF6EB9"/>
    <w:rsid w:val="00D15574"/>
    <w:rsid w:val="00D310E0"/>
    <w:rsid w:val="00D311F4"/>
    <w:rsid w:val="00D56EA7"/>
    <w:rsid w:val="00D70F73"/>
    <w:rsid w:val="00D82281"/>
    <w:rsid w:val="00D8795D"/>
    <w:rsid w:val="00D974B9"/>
    <w:rsid w:val="00DB2435"/>
    <w:rsid w:val="00DB3977"/>
    <w:rsid w:val="00DB71CA"/>
    <w:rsid w:val="00DC3831"/>
    <w:rsid w:val="00DC4D17"/>
    <w:rsid w:val="00DC5ABB"/>
    <w:rsid w:val="00DC608C"/>
    <w:rsid w:val="00DD2966"/>
    <w:rsid w:val="00DD511E"/>
    <w:rsid w:val="00DE2BB1"/>
    <w:rsid w:val="00DE2C31"/>
    <w:rsid w:val="00DE3511"/>
    <w:rsid w:val="00DE589B"/>
    <w:rsid w:val="00DE64FC"/>
    <w:rsid w:val="00DF24C9"/>
    <w:rsid w:val="00DF588F"/>
    <w:rsid w:val="00E01588"/>
    <w:rsid w:val="00E1546B"/>
    <w:rsid w:val="00E17E73"/>
    <w:rsid w:val="00E34799"/>
    <w:rsid w:val="00E368C1"/>
    <w:rsid w:val="00E41590"/>
    <w:rsid w:val="00E45D2F"/>
    <w:rsid w:val="00E53FF3"/>
    <w:rsid w:val="00E629E6"/>
    <w:rsid w:val="00E66760"/>
    <w:rsid w:val="00E814CB"/>
    <w:rsid w:val="00E83637"/>
    <w:rsid w:val="00E85BAE"/>
    <w:rsid w:val="00E90712"/>
    <w:rsid w:val="00E93134"/>
    <w:rsid w:val="00E935F6"/>
    <w:rsid w:val="00E9635F"/>
    <w:rsid w:val="00EA1CF3"/>
    <w:rsid w:val="00EB5569"/>
    <w:rsid w:val="00EC5342"/>
    <w:rsid w:val="00EC7412"/>
    <w:rsid w:val="00ED148C"/>
    <w:rsid w:val="00EE0A2A"/>
    <w:rsid w:val="00EE0A33"/>
    <w:rsid w:val="00F01857"/>
    <w:rsid w:val="00F02B6D"/>
    <w:rsid w:val="00F040D6"/>
    <w:rsid w:val="00F055B8"/>
    <w:rsid w:val="00F07C35"/>
    <w:rsid w:val="00F11736"/>
    <w:rsid w:val="00F161AB"/>
    <w:rsid w:val="00F17938"/>
    <w:rsid w:val="00F21D76"/>
    <w:rsid w:val="00F32138"/>
    <w:rsid w:val="00F33E48"/>
    <w:rsid w:val="00F43A20"/>
    <w:rsid w:val="00F45B35"/>
    <w:rsid w:val="00F475A0"/>
    <w:rsid w:val="00F647D8"/>
    <w:rsid w:val="00F83294"/>
    <w:rsid w:val="00F92678"/>
    <w:rsid w:val="00F935A1"/>
    <w:rsid w:val="00F94762"/>
    <w:rsid w:val="00FC0765"/>
    <w:rsid w:val="00FC5D9C"/>
    <w:rsid w:val="00FD4335"/>
    <w:rsid w:val="00FD54E6"/>
    <w:rsid w:val="00FE1FA7"/>
    <w:rsid w:val="00FE3DD3"/>
    <w:rsid w:val="00FE7142"/>
    <w:rsid w:val="00FF62F4"/>
    <w:rsid w:val="08C6E2BB"/>
    <w:rsid w:val="349075D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08CCE"/>
  <w15:chartTrackingRefBased/>
  <w15:docId w15:val="{3F4D835A-5E32-4D3A-9788-4F4A6182A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5B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5B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5B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5B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5B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5B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5B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5B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5B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B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5B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5B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5B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5B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5B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5B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5B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5B66"/>
    <w:rPr>
      <w:rFonts w:eastAsiaTheme="majorEastAsia" w:cstheme="majorBidi"/>
      <w:color w:val="272727" w:themeColor="text1" w:themeTint="D8"/>
    </w:rPr>
  </w:style>
  <w:style w:type="paragraph" w:styleId="Title">
    <w:name w:val="Title"/>
    <w:basedOn w:val="Normal"/>
    <w:next w:val="Normal"/>
    <w:link w:val="TitleChar"/>
    <w:uiPriority w:val="10"/>
    <w:qFormat/>
    <w:rsid w:val="003D5B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5B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5B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5B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5B66"/>
    <w:pPr>
      <w:spacing w:before="160"/>
      <w:jc w:val="center"/>
    </w:pPr>
    <w:rPr>
      <w:i/>
      <w:iCs/>
      <w:color w:val="404040" w:themeColor="text1" w:themeTint="BF"/>
    </w:rPr>
  </w:style>
  <w:style w:type="character" w:customStyle="1" w:styleId="QuoteChar">
    <w:name w:val="Quote Char"/>
    <w:basedOn w:val="DefaultParagraphFont"/>
    <w:link w:val="Quote"/>
    <w:uiPriority w:val="29"/>
    <w:rsid w:val="003D5B66"/>
    <w:rPr>
      <w:i/>
      <w:iCs/>
      <w:color w:val="404040" w:themeColor="text1" w:themeTint="BF"/>
    </w:rPr>
  </w:style>
  <w:style w:type="paragraph" w:styleId="ListParagraph">
    <w:name w:val="List Paragraph"/>
    <w:basedOn w:val="Normal"/>
    <w:uiPriority w:val="34"/>
    <w:qFormat/>
    <w:rsid w:val="003D5B66"/>
    <w:pPr>
      <w:ind w:left="720"/>
      <w:contextualSpacing/>
    </w:pPr>
  </w:style>
  <w:style w:type="character" w:styleId="IntenseEmphasis">
    <w:name w:val="Intense Emphasis"/>
    <w:basedOn w:val="DefaultParagraphFont"/>
    <w:uiPriority w:val="21"/>
    <w:qFormat/>
    <w:rsid w:val="003D5B66"/>
    <w:rPr>
      <w:i/>
      <w:iCs/>
      <w:color w:val="0F4761" w:themeColor="accent1" w:themeShade="BF"/>
    </w:rPr>
  </w:style>
  <w:style w:type="paragraph" w:styleId="IntenseQuote">
    <w:name w:val="Intense Quote"/>
    <w:basedOn w:val="Normal"/>
    <w:next w:val="Normal"/>
    <w:link w:val="IntenseQuoteChar"/>
    <w:uiPriority w:val="30"/>
    <w:qFormat/>
    <w:rsid w:val="003D5B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5B66"/>
    <w:rPr>
      <w:i/>
      <w:iCs/>
      <w:color w:val="0F4761" w:themeColor="accent1" w:themeShade="BF"/>
    </w:rPr>
  </w:style>
  <w:style w:type="character" w:styleId="IntenseReference">
    <w:name w:val="Intense Reference"/>
    <w:basedOn w:val="DefaultParagraphFont"/>
    <w:uiPriority w:val="32"/>
    <w:qFormat/>
    <w:rsid w:val="003D5B66"/>
    <w:rPr>
      <w:b/>
      <w:bCs/>
      <w:smallCaps/>
      <w:color w:val="0F4761" w:themeColor="accent1" w:themeShade="BF"/>
      <w:spacing w:val="5"/>
    </w:rPr>
  </w:style>
  <w:style w:type="character" w:styleId="Hyperlink">
    <w:name w:val="Hyperlink"/>
    <w:basedOn w:val="DefaultParagraphFont"/>
    <w:uiPriority w:val="99"/>
    <w:unhideWhenUsed/>
    <w:rsid w:val="00F02B6D"/>
    <w:rPr>
      <w:color w:val="467886" w:themeColor="hyperlink"/>
      <w:u w:val="single"/>
    </w:rPr>
  </w:style>
  <w:style w:type="character" w:styleId="UnresolvedMention">
    <w:name w:val="Unresolved Mention"/>
    <w:basedOn w:val="DefaultParagraphFont"/>
    <w:uiPriority w:val="99"/>
    <w:semiHidden/>
    <w:unhideWhenUsed/>
    <w:rsid w:val="00715FEB"/>
    <w:rPr>
      <w:color w:val="605E5C"/>
      <w:shd w:val="clear" w:color="auto" w:fill="E1DFDD"/>
    </w:rPr>
  </w:style>
  <w:style w:type="character" w:styleId="FollowedHyperlink">
    <w:name w:val="FollowedHyperlink"/>
    <w:basedOn w:val="DefaultParagraphFont"/>
    <w:uiPriority w:val="99"/>
    <w:semiHidden/>
    <w:unhideWhenUsed/>
    <w:rsid w:val="007B6627"/>
    <w:rPr>
      <w:color w:val="96607D" w:themeColor="followedHyperlink"/>
      <w:u w:val="single"/>
    </w:rPr>
  </w:style>
  <w:style w:type="paragraph" w:styleId="Header">
    <w:name w:val="header"/>
    <w:basedOn w:val="Normal"/>
    <w:link w:val="HeaderChar"/>
    <w:uiPriority w:val="99"/>
    <w:unhideWhenUsed/>
    <w:rsid w:val="00F475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5A0"/>
  </w:style>
  <w:style w:type="paragraph" w:styleId="Footer">
    <w:name w:val="footer"/>
    <w:basedOn w:val="Normal"/>
    <w:link w:val="FooterChar"/>
    <w:uiPriority w:val="99"/>
    <w:unhideWhenUsed/>
    <w:rsid w:val="00F475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5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223890902935878" TargetMode="External"/><Relationship Id="rId13" Type="http://schemas.openxmlformats.org/officeDocument/2006/relationships/hyperlink" Target="https://doi.org/10.3102/0034654310362998" TargetMode="External"/><Relationship Id="rId18" Type="http://schemas.openxmlformats.org/officeDocument/2006/relationships/hyperlink" Target="https://doi.org/10.3102/003465430305567"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i.org/10.1016/j.intell.2015.09.002" TargetMode="External"/><Relationship Id="rId7" Type="http://schemas.openxmlformats.org/officeDocument/2006/relationships/hyperlink" Target="https://doi.org/10.1037/h0093360" TargetMode="External"/><Relationship Id="rId12" Type="http://schemas.openxmlformats.org/officeDocument/2006/relationships/hyperlink" Target="https://doi.org/10.1007/s12144-022-03828-y" TargetMode="External"/><Relationship Id="rId17" Type="http://schemas.openxmlformats.org/officeDocument/2006/relationships/hyperlink" Target="https://doi.org/10.5114/cipp/159942" TargetMode="External"/><Relationship Id="rId25" Type="http://schemas.openxmlformats.org/officeDocument/2006/relationships/hyperlink" Target="https://doi.org/10.1038/s41598-021-82781-5" TargetMode="External"/><Relationship Id="rId2" Type="http://schemas.openxmlformats.org/officeDocument/2006/relationships/styles" Target="styles.xml"/><Relationship Id="rId16" Type="http://schemas.openxmlformats.org/officeDocument/2006/relationships/hyperlink" Target="https://doi.org/10.1207/s15327752jpa8403_05" TargetMode="External"/><Relationship Id="rId20" Type="http://schemas.openxmlformats.org/officeDocument/2006/relationships/hyperlink" Target="https://doi.org/10.1037/a002683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348/2044-8279.002004" TargetMode="External"/><Relationship Id="rId24" Type="http://schemas.openxmlformats.org/officeDocument/2006/relationships/hyperlink" Target="https://doi.org/10.1007/s10648-022-09693-2" TargetMode="External"/><Relationship Id="rId5" Type="http://schemas.openxmlformats.org/officeDocument/2006/relationships/footnotes" Target="footnotes.xml"/><Relationship Id="rId15" Type="http://schemas.openxmlformats.org/officeDocument/2006/relationships/hyperlink" Target="https://doi.org/10.1007/s12160-016-9847-z" TargetMode="External"/><Relationship Id="rId23" Type="http://schemas.openxmlformats.org/officeDocument/2006/relationships/hyperlink" Target="https://doi.org/10.1037/pspp0000096" TargetMode="External"/><Relationship Id="rId28" Type="http://schemas.openxmlformats.org/officeDocument/2006/relationships/theme" Target="theme/theme1.xml"/><Relationship Id="rId10" Type="http://schemas.openxmlformats.org/officeDocument/2006/relationships/hyperlink" Target="https://doi-org/10.1146/annurev.psych.53.100901.135233" TargetMode="External"/><Relationship Id="rId19" Type="http://schemas.openxmlformats.org/officeDocument/2006/relationships/hyperlink" Target="https://doi.org/10.1037/a0014996" TargetMode="External"/><Relationship Id="rId4" Type="http://schemas.openxmlformats.org/officeDocument/2006/relationships/webSettings" Target="webSettings.xml"/><Relationship Id="rId9" Type="http://schemas.openxmlformats.org/officeDocument/2006/relationships/hyperlink" Target="https://doi.org/10.1080/10478401003596626" TargetMode="External"/><Relationship Id="rId14" Type="http://schemas.openxmlformats.org/officeDocument/2006/relationships/hyperlink" Target="https://educationendowmentfoundation.org.uk/education-evidence/teaching-learning-toolkit%20" TargetMode="External"/><Relationship Id="rId22" Type="http://schemas.openxmlformats.org/officeDocument/2006/relationships/hyperlink" Target="https://doi.org/10.1177/095679761773970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3178</Words>
  <Characters>18117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21253</CharactersWithSpaces>
  <SharedDoc>false</SharedDoc>
  <HLinks>
    <vt:vector size="114" baseType="variant">
      <vt:variant>
        <vt:i4>2293820</vt:i4>
      </vt:variant>
      <vt:variant>
        <vt:i4>54</vt:i4>
      </vt:variant>
      <vt:variant>
        <vt:i4>0</vt:i4>
      </vt:variant>
      <vt:variant>
        <vt:i4>5</vt:i4>
      </vt:variant>
      <vt:variant>
        <vt:lpwstr>https://doi.org/10.1038/s41598-021-82781-5</vt:lpwstr>
      </vt:variant>
      <vt:variant>
        <vt:lpwstr/>
      </vt:variant>
      <vt:variant>
        <vt:i4>2687029</vt:i4>
      </vt:variant>
      <vt:variant>
        <vt:i4>51</vt:i4>
      </vt:variant>
      <vt:variant>
        <vt:i4>0</vt:i4>
      </vt:variant>
      <vt:variant>
        <vt:i4>5</vt:i4>
      </vt:variant>
      <vt:variant>
        <vt:lpwstr>https://doi.org/10.1007/s10648-022-09693-2</vt:lpwstr>
      </vt:variant>
      <vt:variant>
        <vt:lpwstr/>
      </vt:variant>
      <vt:variant>
        <vt:i4>2752621</vt:i4>
      </vt:variant>
      <vt:variant>
        <vt:i4>48</vt:i4>
      </vt:variant>
      <vt:variant>
        <vt:i4>0</vt:i4>
      </vt:variant>
      <vt:variant>
        <vt:i4>5</vt:i4>
      </vt:variant>
      <vt:variant>
        <vt:lpwstr>https://doi.org/10.1037/pspp0000096</vt:lpwstr>
      </vt:variant>
      <vt:variant>
        <vt:lpwstr/>
      </vt:variant>
      <vt:variant>
        <vt:i4>1245270</vt:i4>
      </vt:variant>
      <vt:variant>
        <vt:i4>45</vt:i4>
      </vt:variant>
      <vt:variant>
        <vt:i4>0</vt:i4>
      </vt:variant>
      <vt:variant>
        <vt:i4>5</vt:i4>
      </vt:variant>
      <vt:variant>
        <vt:lpwstr>https://doi.org/10.1177/0956797617739704</vt:lpwstr>
      </vt:variant>
      <vt:variant>
        <vt:lpwstr/>
      </vt:variant>
      <vt:variant>
        <vt:i4>5046338</vt:i4>
      </vt:variant>
      <vt:variant>
        <vt:i4>42</vt:i4>
      </vt:variant>
      <vt:variant>
        <vt:i4>0</vt:i4>
      </vt:variant>
      <vt:variant>
        <vt:i4>5</vt:i4>
      </vt:variant>
      <vt:variant>
        <vt:lpwstr>https://doi.org/10.1016/j.intell.2015.09.002</vt:lpwstr>
      </vt:variant>
      <vt:variant>
        <vt:lpwstr/>
      </vt:variant>
      <vt:variant>
        <vt:i4>1179657</vt:i4>
      </vt:variant>
      <vt:variant>
        <vt:i4>39</vt:i4>
      </vt:variant>
      <vt:variant>
        <vt:i4>0</vt:i4>
      </vt:variant>
      <vt:variant>
        <vt:i4>5</vt:i4>
      </vt:variant>
      <vt:variant>
        <vt:lpwstr>https://doi.org/10.1037/a0026838</vt:lpwstr>
      </vt:variant>
      <vt:variant>
        <vt:lpwstr/>
      </vt:variant>
      <vt:variant>
        <vt:i4>1966081</vt:i4>
      </vt:variant>
      <vt:variant>
        <vt:i4>36</vt:i4>
      </vt:variant>
      <vt:variant>
        <vt:i4>0</vt:i4>
      </vt:variant>
      <vt:variant>
        <vt:i4>5</vt:i4>
      </vt:variant>
      <vt:variant>
        <vt:lpwstr>https://doi.org/10.1037/a0014996</vt:lpwstr>
      </vt:variant>
      <vt:variant>
        <vt:lpwstr/>
      </vt:variant>
      <vt:variant>
        <vt:i4>2293869</vt:i4>
      </vt:variant>
      <vt:variant>
        <vt:i4>33</vt:i4>
      </vt:variant>
      <vt:variant>
        <vt:i4>0</vt:i4>
      </vt:variant>
      <vt:variant>
        <vt:i4>5</vt:i4>
      </vt:variant>
      <vt:variant>
        <vt:lpwstr>https://doi.org/10.3102/003465430305567</vt:lpwstr>
      </vt:variant>
      <vt:variant>
        <vt:lpwstr/>
      </vt:variant>
      <vt:variant>
        <vt:i4>3342447</vt:i4>
      </vt:variant>
      <vt:variant>
        <vt:i4>30</vt:i4>
      </vt:variant>
      <vt:variant>
        <vt:i4>0</vt:i4>
      </vt:variant>
      <vt:variant>
        <vt:i4>5</vt:i4>
      </vt:variant>
      <vt:variant>
        <vt:lpwstr>https://doi.org/10.5114/cipp/159942</vt:lpwstr>
      </vt:variant>
      <vt:variant>
        <vt:lpwstr/>
      </vt:variant>
      <vt:variant>
        <vt:i4>3080201</vt:i4>
      </vt:variant>
      <vt:variant>
        <vt:i4>27</vt:i4>
      </vt:variant>
      <vt:variant>
        <vt:i4>0</vt:i4>
      </vt:variant>
      <vt:variant>
        <vt:i4>5</vt:i4>
      </vt:variant>
      <vt:variant>
        <vt:lpwstr>https://doi.org/10.1207/s15327752jpa8403_05</vt:lpwstr>
      </vt:variant>
      <vt:variant>
        <vt:lpwstr/>
      </vt:variant>
      <vt:variant>
        <vt:i4>327700</vt:i4>
      </vt:variant>
      <vt:variant>
        <vt:i4>24</vt:i4>
      </vt:variant>
      <vt:variant>
        <vt:i4>0</vt:i4>
      </vt:variant>
      <vt:variant>
        <vt:i4>5</vt:i4>
      </vt:variant>
      <vt:variant>
        <vt:lpwstr>https://doi.org/10.1007/s12160-016-9847-z</vt:lpwstr>
      </vt:variant>
      <vt:variant>
        <vt:lpwstr/>
      </vt:variant>
      <vt:variant>
        <vt:i4>5505104</vt:i4>
      </vt:variant>
      <vt:variant>
        <vt:i4>21</vt:i4>
      </vt:variant>
      <vt:variant>
        <vt:i4>0</vt:i4>
      </vt:variant>
      <vt:variant>
        <vt:i4>5</vt:i4>
      </vt:variant>
      <vt:variant>
        <vt:lpwstr>https://educationendowmentfoundation.org.uk/education-evidence/teaching-learning-toolkit</vt:lpwstr>
      </vt:variant>
      <vt:variant>
        <vt:lpwstr/>
      </vt:variant>
      <vt:variant>
        <vt:i4>1310801</vt:i4>
      </vt:variant>
      <vt:variant>
        <vt:i4>18</vt:i4>
      </vt:variant>
      <vt:variant>
        <vt:i4>0</vt:i4>
      </vt:variant>
      <vt:variant>
        <vt:i4>5</vt:i4>
      </vt:variant>
      <vt:variant>
        <vt:lpwstr>https://doi.org/10.3102/0034654310362998</vt:lpwstr>
      </vt:variant>
      <vt:variant>
        <vt:lpwstr/>
      </vt:variant>
      <vt:variant>
        <vt:i4>7077942</vt:i4>
      </vt:variant>
      <vt:variant>
        <vt:i4>15</vt:i4>
      </vt:variant>
      <vt:variant>
        <vt:i4>0</vt:i4>
      </vt:variant>
      <vt:variant>
        <vt:i4>5</vt:i4>
      </vt:variant>
      <vt:variant>
        <vt:lpwstr>https://doi.org/10.1007/s12144-022-03828-y</vt:lpwstr>
      </vt:variant>
      <vt:variant>
        <vt:lpwstr/>
      </vt:variant>
      <vt:variant>
        <vt:i4>6357099</vt:i4>
      </vt:variant>
      <vt:variant>
        <vt:i4>12</vt:i4>
      </vt:variant>
      <vt:variant>
        <vt:i4>0</vt:i4>
      </vt:variant>
      <vt:variant>
        <vt:i4>5</vt:i4>
      </vt:variant>
      <vt:variant>
        <vt:lpwstr>https://doi-org.uwtsd.idm.oclc.org/10.1348/2044-8279.002004</vt:lpwstr>
      </vt:variant>
      <vt:variant>
        <vt:lpwstr/>
      </vt:variant>
      <vt:variant>
        <vt:i4>65549</vt:i4>
      </vt:variant>
      <vt:variant>
        <vt:i4>9</vt:i4>
      </vt:variant>
      <vt:variant>
        <vt:i4>0</vt:i4>
      </vt:variant>
      <vt:variant>
        <vt:i4>5</vt:i4>
      </vt:variant>
      <vt:variant>
        <vt:lpwstr>https://doi-org.uwtsd.idm.oclc.org/10.1146/annurev.psych.53.100901.135233</vt:lpwstr>
      </vt:variant>
      <vt:variant>
        <vt:lpwstr/>
      </vt:variant>
      <vt:variant>
        <vt:i4>1572955</vt:i4>
      </vt:variant>
      <vt:variant>
        <vt:i4>6</vt:i4>
      </vt:variant>
      <vt:variant>
        <vt:i4>0</vt:i4>
      </vt:variant>
      <vt:variant>
        <vt:i4>5</vt:i4>
      </vt:variant>
      <vt:variant>
        <vt:lpwstr>https://doi.org/10.1080/10478401003596626</vt:lpwstr>
      </vt:variant>
      <vt:variant>
        <vt:lpwstr/>
      </vt:variant>
      <vt:variant>
        <vt:i4>1704018</vt:i4>
      </vt:variant>
      <vt:variant>
        <vt:i4>3</vt:i4>
      </vt:variant>
      <vt:variant>
        <vt:i4>0</vt:i4>
      </vt:variant>
      <vt:variant>
        <vt:i4>5</vt:i4>
      </vt:variant>
      <vt:variant>
        <vt:lpwstr>https://doi.org/10.1080/00223890902935878</vt:lpwstr>
      </vt:variant>
      <vt:variant>
        <vt:lpwstr/>
      </vt:variant>
      <vt:variant>
        <vt:i4>1703936</vt:i4>
      </vt:variant>
      <vt:variant>
        <vt:i4>0</vt:i4>
      </vt:variant>
      <vt:variant>
        <vt:i4>0</vt:i4>
      </vt:variant>
      <vt:variant>
        <vt:i4>5</vt:i4>
      </vt:variant>
      <vt:variant>
        <vt:lpwstr>https://doi.org/10.1037/h0093360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Alderton-Hughes (2518200)</dc:creator>
  <cp:keywords/>
  <dc:description/>
  <cp:lastModifiedBy>Michaela Alderton-Hughes (2518200)</cp:lastModifiedBy>
  <cp:revision>449</cp:revision>
  <dcterms:created xsi:type="dcterms:W3CDTF">2026-05-27T08:53:00Z</dcterms:created>
  <dcterms:modified xsi:type="dcterms:W3CDTF">2026-05-27T19:58:00Z</dcterms:modified>
</cp:coreProperties>
</file>