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66A02B1"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E4BFA0C"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1317DE">
        <w:rPr>
          <w:rFonts w:asciiTheme="minorBidi" w:hAnsiTheme="minorBidi"/>
          <w:sz w:val="28"/>
          <w:szCs w:val="28"/>
        </w:rPr>
        <w:t>areeba</w:t>
      </w:r>
      <w:proofErr w:type="spellEnd"/>
      <w:r w:rsidR="001317DE">
        <w:rPr>
          <w:rFonts w:asciiTheme="minorBidi" w:hAnsiTheme="minorBidi"/>
          <w:sz w:val="28"/>
          <w:szCs w:val="28"/>
        </w:rPr>
        <w:t xml:space="preserve"> khan</w:t>
      </w:r>
    </w:p>
    <w:p w14:paraId="485B6F49" w14:textId="795502A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E4E95">
        <w:rPr>
          <w:rFonts w:asciiTheme="minorBidi" w:hAnsiTheme="minorBidi"/>
          <w:sz w:val="28"/>
          <w:szCs w:val="28"/>
        </w:rPr>
        <w:t>2523434</w:t>
      </w:r>
    </w:p>
    <w:p w14:paraId="3C1E7A20" w14:textId="2036BE7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D26FD">
        <w:rPr>
          <w:rFonts w:asciiTheme="minorBidi" w:hAnsiTheme="minorBidi"/>
          <w:sz w:val="28"/>
          <w:szCs w:val="28"/>
        </w:rPr>
        <w:t>L</w:t>
      </w:r>
      <w:r w:rsidR="009B0994">
        <w:rPr>
          <w:rFonts w:asciiTheme="minorBidi" w:hAnsiTheme="minorBidi"/>
          <w:sz w:val="28"/>
          <w:szCs w:val="28"/>
        </w:rPr>
        <w:t>CHS4001</w:t>
      </w:r>
    </w:p>
    <w:p w14:paraId="4EEB2DA3" w14:textId="6D5CA48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B0994">
        <w:rPr>
          <w:rFonts w:asciiTheme="minorBidi" w:hAnsiTheme="minorBidi"/>
          <w:sz w:val="28"/>
          <w:szCs w:val="28"/>
        </w:rPr>
        <w:t>Academic and Employability Skills</w:t>
      </w:r>
    </w:p>
    <w:p w14:paraId="112342CB" w14:textId="05F65C5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B0994">
        <w:rPr>
          <w:rFonts w:asciiTheme="minorBidi" w:hAnsiTheme="minorBidi"/>
          <w:sz w:val="28"/>
          <w:szCs w:val="28"/>
        </w:rPr>
        <w:t xml:space="preserve">Markus </w:t>
      </w:r>
      <w:proofErr w:type="spellStart"/>
      <w:r w:rsidR="009B0994">
        <w:rPr>
          <w:rFonts w:asciiTheme="minorBidi" w:hAnsiTheme="minorBidi"/>
          <w:sz w:val="28"/>
          <w:szCs w:val="28"/>
        </w:rPr>
        <w:t>Kling</w:t>
      </w:r>
      <w:r w:rsidR="005B142C">
        <w:rPr>
          <w:rFonts w:asciiTheme="minorBidi" w:hAnsiTheme="minorBidi"/>
          <w:sz w:val="28"/>
          <w:szCs w:val="28"/>
        </w:rPr>
        <w:t>elfuss</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ascii=".AppleSystemUIFont" w:hAnsi=".AppleSystemUIFont" w:cs="Times New Roman"/>
          <w:b/>
          <w:noProof/>
          <w:kern w:val="0"/>
          <w:szCs w:val="20"/>
          <w:lang w:eastAsia="en-GB"/>
          <w14:ligatures w14:val="none"/>
        </w:rPr>
      </w:sdtEndPr>
      <w:sdtContent>
        <w:p w14:paraId="453804D0" w14:textId="77777777" w:rsidR="00502DC6" w:rsidRPr="00925BE8" w:rsidRDefault="00502DC6" w:rsidP="00502DC6">
          <w:pPr>
            <w:pStyle w:val="TOCHeading"/>
            <w:rPr>
              <w:rFonts w:eastAsiaTheme="minorEastAsia" w:cstheme="minorBidi"/>
              <w:b/>
              <w:color w:val="auto"/>
              <w:kern w:val="2"/>
              <w:sz w:val="20"/>
              <w:szCs w:val="22"/>
              <w:lang w:val="en-GB" w:eastAsia="zh-CN"/>
              <w14:ligatures w14:val="standardContextual"/>
            </w:rPr>
          </w:pPr>
          <w:r w:rsidRPr="00925BE8">
            <w:rPr>
              <w:rFonts w:eastAsiaTheme="minorEastAsia" w:cstheme="minorBidi"/>
              <w:b/>
              <w:color w:val="auto"/>
              <w:kern w:val="2"/>
              <w:sz w:val="20"/>
              <w:szCs w:val="22"/>
              <w:lang w:val="en-GB" w:eastAsia="zh-CN"/>
              <w14:ligatures w14:val="standardContextual"/>
            </w:rPr>
            <w:t>Written Report: The Role of a Youth Worker in Health and Social Care</w:t>
          </w:r>
        </w:p>
        <w:p w14:paraId="111D6852" w14:textId="77777777" w:rsidR="00502DC6" w:rsidRPr="00925BE8" w:rsidRDefault="00502DC6" w:rsidP="00502DC6">
          <w:pPr>
            <w:pStyle w:val="TOCHeading"/>
            <w:rPr>
              <w:rFonts w:eastAsiaTheme="minorEastAsia" w:cstheme="minorBidi"/>
              <w:b/>
              <w:color w:val="auto"/>
              <w:kern w:val="2"/>
              <w:sz w:val="20"/>
              <w:szCs w:val="22"/>
              <w:lang w:val="en-GB" w:eastAsia="zh-CN"/>
              <w14:ligatures w14:val="standardContextual"/>
            </w:rPr>
          </w:pPr>
        </w:p>
        <w:p w14:paraId="68BC9AAC" w14:textId="70B3E1D8" w:rsidR="00502DC6" w:rsidRPr="00925BE8" w:rsidRDefault="00502DC6" w:rsidP="00502DC6">
          <w:pPr>
            <w:pStyle w:val="TOCHeading"/>
            <w:rPr>
              <w:rFonts w:eastAsiaTheme="minorEastAsia" w:cstheme="minorBidi"/>
              <w:b/>
              <w:color w:val="auto"/>
              <w:kern w:val="2"/>
              <w:sz w:val="20"/>
              <w:szCs w:val="22"/>
              <w:lang w:val="en-GB" w:eastAsia="zh-CN"/>
              <w14:ligatures w14:val="standardContextual"/>
            </w:rPr>
          </w:pPr>
          <w:r w:rsidRPr="00925BE8">
            <w:rPr>
              <w:rFonts w:eastAsiaTheme="minorEastAsia" w:cstheme="minorBidi"/>
              <w:b/>
              <w:color w:val="auto"/>
              <w:kern w:val="2"/>
              <w:sz w:val="20"/>
              <w:szCs w:val="22"/>
              <w:lang w:val="en-GB" w:eastAsia="zh-CN"/>
              <w14:ligatures w14:val="standardContextual"/>
            </w:rPr>
            <w:t>1.1 Introduction</w:t>
          </w:r>
        </w:p>
        <w:p w14:paraId="2686A462"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The role of a Youth Worker is a vital component within the health and social care sector, focusing on the holistic development and well-being of young people. This role was chosen for analysis due to its unique position in providing early intervention and advocacy for vulnerable adolescents. This report will outline the fundamental duties of a Youth Worker, evaluate the essential skills required for effective practice, and propose strategies for professional improvement. The following sections provide a roadmap of these topics, concluding with a summary of the role's impact on safe, high-quality care.</w:t>
          </w:r>
        </w:p>
        <w:p w14:paraId="165D0CA9"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525F7016" w14:textId="297915A4" w:rsidR="00502DC6" w:rsidRPr="00346605" w:rsidRDefault="00502DC6" w:rsidP="00502DC6">
          <w:pPr>
            <w:pStyle w:val="TOCHeading"/>
            <w:rPr>
              <w:rFonts w:eastAsiaTheme="minorEastAsia" w:cstheme="minorBidi"/>
              <w:b/>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1.2 </w:t>
          </w:r>
          <w:r w:rsidRPr="00346605">
            <w:rPr>
              <w:rFonts w:eastAsiaTheme="minorEastAsia" w:cstheme="minorBidi"/>
              <w:b/>
              <w:color w:val="auto"/>
              <w:kern w:val="2"/>
              <w:sz w:val="20"/>
              <w:szCs w:val="22"/>
              <w:lang w:val="en-GB" w:eastAsia="zh-CN"/>
              <w14:ligatures w14:val="standardContextual"/>
            </w:rPr>
            <w:t>Description of, and background to, Youth Work in Healthcare</w:t>
          </w:r>
        </w:p>
        <w:p w14:paraId="325BE963"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Youth Workers in health and social care perform a range of duties, including conducting 1-to-1 support sessions, facilitating group workshops on health education, and acting as a bridge between young people and clinical services. The most important duty is providing safeguarding and emotional support, ensuring that the young person’s voice is heard in their care plan. This role is essential because it addresses the non-clinical determinants of health—such as social isolation and housing—that significantly affect clinical outcomes. Key skills needed include active listening, conflict resolution, and a deep understanding of adolescent psychology to build the trust necessary for successful intervention.</w:t>
          </w:r>
        </w:p>
        <w:p w14:paraId="0B155C4D"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37A6CCA9" w14:textId="77777777" w:rsidR="00EC6023" w:rsidRDefault="00EC6023" w:rsidP="00502DC6">
          <w:pPr>
            <w:pStyle w:val="TOCHeading"/>
            <w:rPr>
              <w:rFonts w:eastAsiaTheme="minorEastAsia" w:cstheme="minorBidi"/>
              <w:bCs w:val="0"/>
              <w:color w:val="auto"/>
              <w:kern w:val="2"/>
              <w:sz w:val="20"/>
              <w:szCs w:val="22"/>
              <w:lang w:val="en-GB" w:eastAsia="zh-CN"/>
              <w14:ligatures w14:val="standardContextual"/>
            </w:rPr>
          </w:pPr>
        </w:p>
        <w:p w14:paraId="2D8A9097" w14:textId="77777777" w:rsidR="00EC6023" w:rsidRDefault="00EC6023" w:rsidP="00502DC6">
          <w:pPr>
            <w:pStyle w:val="TOCHeading"/>
            <w:rPr>
              <w:rFonts w:eastAsiaTheme="minorEastAsia" w:cstheme="minorBidi"/>
              <w:bCs w:val="0"/>
              <w:color w:val="auto"/>
              <w:kern w:val="2"/>
              <w:sz w:val="20"/>
              <w:szCs w:val="22"/>
              <w:lang w:val="en-GB" w:eastAsia="zh-CN"/>
              <w14:ligatures w14:val="standardContextual"/>
            </w:rPr>
          </w:pPr>
        </w:p>
        <w:p w14:paraId="37E8EFDB" w14:textId="77777777" w:rsidR="00EC6023" w:rsidRDefault="00EC6023" w:rsidP="00502DC6">
          <w:pPr>
            <w:pStyle w:val="TOCHeading"/>
            <w:rPr>
              <w:rFonts w:eastAsiaTheme="minorEastAsia" w:cstheme="minorBidi"/>
              <w:bCs w:val="0"/>
              <w:color w:val="auto"/>
              <w:kern w:val="2"/>
              <w:sz w:val="20"/>
              <w:szCs w:val="22"/>
              <w:lang w:val="en-GB" w:eastAsia="zh-CN"/>
              <w14:ligatures w14:val="standardContextual"/>
            </w:rPr>
          </w:pPr>
        </w:p>
        <w:p w14:paraId="70B9A8BE" w14:textId="77777777" w:rsidR="00EC6023" w:rsidRDefault="00EC6023" w:rsidP="00502DC6">
          <w:pPr>
            <w:pStyle w:val="TOCHeading"/>
            <w:rPr>
              <w:rFonts w:eastAsiaTheme="minorEastAsia" w:cstheme="minorBidi"/>
              <w:bCs w:val="0"/>
              <w:color w:val="auto"/>
              <w:kern w:val="2"/>
              <w:sz w:val="20"/>
              <w:szCs w:val="22"/>
              <w:lang w:val="en-GB" w:eastAsia="zh-CN"/>
              <w14:ligatures w14:val="standardContextual"/>
            </w:rPr>
          </w:pPr>
        </w:p>
        <w:p w14:paraId="09E3F719" w14:textId="77777777" w:rsidR="00EC6023" w:rsidRDefault="00EC6023" w:rsidP="00502DC6">
          <w:pPr>
            <w:pStyle w:val="TOCHeading"/>
            <w:rPr>
              <w:rFonts w:eastAsiaTheme="minorEastAsia" w:cstheme="minorBidi"/>
              <w:bCs w:val="0"/>
              <w:color w:val="auto"/>
              <w:kern w:val="2"/>
              <w:sz w:val="20"/>
              <w:szCs w:val="22"/>
              <w:lang w:val="en-GB" w:eastAsia="zh-CN"/>
              <w14:ligatures w14:val="standardContextual"/>
            </w:rPr>
          </w:pPr>
        </w:p>
        <w:p w14:paraId="6888AC72" w14:textId="38125CBC" w:rsidR="00EC6023" w:rsidRPr="00346605" w:rsidRDefault="00502DC6" w:rsidP="00502DC6">
          <w:pPr>
            <w:pStyle w:val="TOCHeading"/>
            <w:rPr>
              <w:rFonts w:eastAsiaTheme="minorEastAsia" w:cstheme="minorBidi"/>
              <w:b/>
              <w:color w:val="auto"/>
              <w:kern w:val="2"/>
              <w:sz w:val="20"/>
              <w:szCs w:val="22"/>
              <w:lang w:val="en-GB" w:eastAsia="zh-CN"/>
              <w14:ligatures w14:val="standardContextual"/>
            </w:rPr>
          </w:pPr>
          <w:r w:rsidRPr="00346605">
            <w:rPr>
              <w:rFonts w:eastAsiaTheme="minorEastAsia" w:cstheme="minorBidi"/>
              <w:b/>
              <w:color w:val="auto"/>
              <w:kern w:val="2"/>
              <w:sz w:val="20"/>
              <w:szCs w:val="22"/>
              <w:lang w:val="en-GB" w:eastAsia="zh-CN"/>
              <w14:ligatures w14:val="standardContextual"/>
            </w:rPr>
            <w:lastRenderedPageBreak/>
            <w:t>1.3 Evaluation of the skills needed for Youth Work</w:t>
          </w:r>
        </w:p>
        <w:p w14:paraId="0F7227E7" w14:textId="73D5B4DE"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Three of the most important skills for a Youth Worker are </w:t>
          </w:r>
          <w:r w:rsidRPr="00500C80">
            <w:rPr>
              <w:rFonts w:eastAsiaTheme="minorEastAsia" w:cstheme="minorBidi"/>
              <w:b/>
              <w:color w:val="auto"/>
              <w:kern w:val="2"/>
              <w:sz w:val="20"/>
              <w:szCs w:val="22"/>
              <w:lang w:val="en-GB" w:eastAsia="zh-CN"/>
              <w14:ligatures w14:val="standardContextual"/>
            </w:rPr>
            <w:t>empathy</w:t>
          </w:r>
          <w:r w:rsidRPr="00502DC6">
            <w:rPr>
              <w:rFonts w:eastAsiaTheme="minorEastAsia" w:cstheme="minorBidi"/>
              <w:bCs w:val="0"/>
              <w:color w:val="auto"/>
              <w:kern w:val="2"/>
              <w:sz w:val="20"/>
              <w:szCs w:val="22"/>
              <w:lang w:val="en-GB" w:eastAsia="zh-CN"/>
              <w14:ligatures w14:val="standardContextual"/>
            </w:rPr>
            <w:t xml:space="preserve">, </w:t>
          </w:r>
          <w:r w:rsidRPr="00500C80">
            <w:rPr>
              <w:rFonts w:eastAsiaTheme="minorEastAsia" w:cstheme="minorBidi"/>
              <w:b/>
              <w:color w:val="auto"/>
              <w:kern w:val="2"/>
              <w:sz w:val="20"/>
              <w:szCs w:val="22"/>
              <w:lang w:val="en-GB" w:eastAsia="zh-CN"/>
              <w14:ligatures w14:val="standardContextual"/>
            </w:rPr>
            <w:t>resilience</w:t>
          </w:r>
          <w:r w:rsidRPr="00502DC6">
            <w:rPr>
              <w:rFonts w:eastAsiaTheme="minorEastAsia" w:cstheme="minorBidi"/>
              <w:bCs w:val="0"/>
              <w:color w:val="auto"/>
              <w:kern w:val="2"/>
              <w:sz w:val="20"/>
              <w:szCs w:val="22"/>
              <w:lang w:val="en-GB" w:eastAsia="zh-CN"/>
              <w14:ligatures w14:val="standardContextual"/>
            </w:rPr>
            <w:t xml:space="preserve">, and </w:t>
          </w:r>
          <w:r w:rsidRPr="00116EE2">
            <w:rPr>
              <w:rFonts w:eastAsiaTheme="minorEastAsia" w:cstheme="minorBidi"/>
              <w:b/>
              <w:color w:val="auto"/>
              <w:kern w:val="2"/>
              <w:sz w:val="20"/>
              <w:szCs w:val="22"/>
              <w:lang w:val="en-GB" w:eastAsia="zh-CN"/>
              <w14:ligatures w14:val="standardContextual"/>
            </w:rPr>
            <w:t>interpersonal</w:t>
          </w:r>
          <w:r w:rsidRPr="00502DC6">
            <w:rPr>
              <w:rFonts w:eastAsiaTheme="minorEastAsia" w:cstheme="minorBidi"/>
              <w:bCs w:val="0"/>
              <w:color w:val="auto"/>
              <w:kern w:val="2"/>
              <w:sz w:val="20"/>
              <w:szCs w:val="22"/>
              <w:lang w:val="en-GB" w:eastAsia="zh-CN"/>
              <w14:ligatures w14:val="standardContextual"/>
            </w:rPr>
            <w:t xml:space="preserve"> </w:t>
          </w:r>
          <w:r w:rsidRPr="00116EE2">
            <w:rPr>
              <w:rFonts w:eastAsiaTheme="minorEastAsia" w:cstheme="minorBidi"/>
              <w:b/>
              <w:color w:val="auto"/>
              <w:kern w:val="2"/>
              <w:sz w:val="20"/>
              <w:szCs w:val="22"/>
              <w:lang w:val="en-GB" w:eastAsia="zh-CN"/>
              <w14:ligatures w14:val="standardContextual"/>
            </w:rPr>
            <w:t>communication</w:t>
          </w:r>
          <w:r w:rsidRPr="00502DC6">
            <w:rPr>
              <w:rFonts w:eastAsiaTheme="minorEastAsia" w:cstheme="minorBidi"/>
              <w:bCs w:val="0"/>
              <w:color w:val="auto"/>
              <w:kern w:val="2"/>
              <w:sz w:val="20"/>
              <w:szCs w:val="22"/>
              <w:lang w:val="en-GB" w:eastAsia="zh-CN"/>
              <w14:ligatures w14:val="standardContextual"/>
            </w:rPr>
            <w:t>. Empathy is crucial because it allows the worker to validate a young person’s experiences, which is the foundation of a therapeutic relationship. Resilience is necessary to manage the emotional demands of safeguarding cases, while communication ensures that complex medical or legal information is translated into a language the youth can understand.</w:t>
          </w:r>
        </w:p>
        <w:p w14:paraId="29718DC7"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0458E25D"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These skills help staff do their jobs better by fostering a safe environment where young people feel comfortable disclosing risks, such as substance misuse or self-harm. Without these skills, a Youth Worker may fail to establish trust, leading to "disengagement." For example, if a worker lacks empathy, a young person in a mental health crisis might feel judged and stop attending appointments, which could lead to an escalation of their condition and a higher burden on emergency services. In a real-life context, a Youth Worker using strong communication skills can de-escalate a volatile situation in a residential unit, preventing physical harm to both the youth and the staff.</w:t>
          </w:r>
        </w:p>
        <w:p w14:paraId="60F0BFCF"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0EFB409E" w14:textId="77777777" w:rsidR="00502DC6" w:rsidRPr="00775190" w:rsidRDefault="00502DC6" w:rsidP="00502DC6">
          <w:pPr>
            <w:pStyle w:val="TOCHeading"/>
            <w:rPr>
              <w:rFonts w:eastAsiaTheme="minorEastAsia" w:cstheme="minorBidi"/>
              <w:b/>
              <w:color w:val="auto"/>
              <w:kern w:val="2"/>
              <w:sz w:val="20"/>
              <w:szCs w:val="22"/>
              <w:lang w:val="en-GB" w:eastAsia="zh-CN"/>
              <w14:ligatures w14:val="standardContextual"/>
            </w:rPr>
          </w:pPr>
          <w:r w:rsidRPr="00775190">
            <w:rPr>
              <w:rFonts w:eastAsiaTheme="minorEastAsia" w:cstheme="minorBidi"/>
              <w:b/>
              <w:color w:val="auto"/>
              <w:kern w:val="2"/>
              <w:sz w:val="20"/>
              <w:szCs w:val="22"/>
              <w:lang w:val="en-GB" w:eastAsia="zh-CN"/>
              <w14:ligatures w14:val="standardContextual"/>
            </w:rPr>
            <w:t>1.4 Strategies to improve the skills for Youth Work</w:t>
          </w:r>
        </w:p>
        <w:p w14:paraId="6118ECCD"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To improve professional practice, Youth Workers can implement several strategies:</w:t>
          </w:r>
        </w:p>
        <w:p w14:paraId="144161F2"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4DAC790A" w14:textId="665ECC5A"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1. </w:t>
          </w:r>
          <w:r w:rsidRPr="00775190">
            <w:rPr>
              <w:rFonts w:eastAsiaTheme="minorEastAsia" w:cstheme="minorBidi"/>
              <w:b/>
              <w:color w:val="auto"/>
              <w:kern w:val="2"/>
              <w:sz w:val="20"/>
              <w:szCs w:val="22"/>
              <w:lang w:val="en-GB" w:eastAsia="zh-CN"/>
              <w14:ligatures w14:val="standardContextual"/>
            </w:rPr>
            <w:t>Reflective Supervision</w:t>
          </w:r>
          <w:r w:rsidRPr="00502DC6">
            <w:rPr>
              <w:rFonts w:eastAsiaTheme="minorEastAsia" w:cstheme="minorBidi"/>
              <w:bCs w:val="0"/>
              <w:color w:val="auto"/>
              <w:kern w:val="2"/>
              <w:sz w:val="20"/>
              <w:szCs w:val="22"/>
              <w:lang w:val="en-GB" w:eastAsia="zh-CN"/>
              <w14:ligatures w14:val="standardContextual"/>
            </w:rPr>
            <w:t xml:space="preserve">: This involves regular meetings with a senior practitioner to </w:t>
          </w:r>
          <w:proofErr w:type="spellStart"/>
          <w:r w:rsidRPr="00502DC6">
            <w:rPr>
              <w:rFonts w:eastAsiaTheme="minorEastAsia" w:cstheme="minorBidi"/>
              <w:bCs w:val="0"/>
              <w:color w:val="auto"/>
              <w:kern w:val="2"/>
              <w:sz w:val="20"/>
              <w:szCs w:val="22"/>
              <w:lang w:val="en-GB" w:eastAsia="zh-CN"/>
              <w14:ligatures w14:val="standardContextual"/>
            </w:rPr>
            <w:t>analyze</w:t>
          </w:r>
          <w:proofErr w:type="spellEnd"/>
          <w:r w:rsidRPr="00502DC6">
            <w:rPr>
              <w:rFonts w:eastAsiaTheme="minorEastAsia" w:cstheme="minorBidi"/>
              <w:bCs w:val="0"/>
              <w:color w:val="auto"/>
              <w:kern w:val="2"/>
              <w:sz w:val="20"/>
              <w:szCs w:val="22"/>
              <w:lang w:val="en-GB" w:eastAsia="zh-CN"/>
              <w14:ligatures w14:val="standardContextual"/>
            </w:rPr>
            <w:t xml:space="preserve"> past interactions. It works by identifying biases or missed opportunities in care. For example, reflecting on a difficult session can help a worker </w:t>
          </w:r>
          <w:proofErr w:type="spellStart"/>
          <w:r w:rsidRPr="00502DC6">
            <w:rPr>
              <w:rFonts w:eastAsiaTheme="minorEastAsia" w:cstheme="minorBidi"/>
              <w:bCs w:val="0"/>
              <w:color w:val="auto"/>
              <w:kern w:val="2"/>
              <w:sz w:val="20"/>
              <w:szCs w:val="22"/>
              <w:lang w:val="en-GB" w:eastAsia="zh-CN"/>
              <w14:ligatures w14:val="standardContextual"/>
            </w:rPr>
            <w:t>realize</w:t>
          </w:r>
          <w:proofErr w:type="spellEnd"/>
          <w:r w:rsidRPr="00502DC6">
            <w:rPr>
              <w:rFonts w:eastAsiaTheme="minorEastAsia" w:cstheme="minorBidi"/>
              <w:bCs w:val="0"/>
              <w:color w:val="auto"/>
              <w:kern w:val="2"/>
              <w:sz w:val="20"/>
              <w:szCs w:val="22"/>
              <w:lang w:val="en-GB" w:eastAsia="zh-CN"/>
              <w14:ligatures w14:val="standardContextual"/>
            </w:rPr>
            <w:t xml:space="preserve"> they were too directive, allowing them to adjust their approach to be more youth-led next time.</w:t>
          </w:r>
        </w:p>
        <w:p w14:paraId="6CAC5849"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2. </w:t>
          </w:r>
          <w:r w:rsidRPr="00D37C5A">
            <w:rPr>
              <w:rFonts w:eastAsiaTheme="minorEastAsia" w:cstheme="minorBidi"/>
              <w:b/>
              <w:color w:val="auto"/>
              <w:kern w:val="2"/>
              <w:sz w:val="20"/>
              <w:szCs w:val="22"/>
              <w:lang w:val="en-GB" w:eastAsia="zh-CN"/>
              <w14:ligatures w14:val="standardContextual"/>
            </w:rPr>
            <w:t>Continuous Professional Development (CPD) in Trauma-Informed Care</w:t>
          </w:r>
          <w:r w:rsidRPr="00502DC6">
            <w:rPr>
              <w:rFonts w:eastAsiaTheme="minorEastAsia" w:cstheme="minorBidi"/>
              <w:bCs w:val="0"/>
              <w:color w:val="auto"/>
              <w:kern w:val="2"/>
              <w:sz w:val="20"/>
              <w:szCs w:val="22"/>
              <w:lang w:val="en-GB" w:eastAsia="zh-CN"/>
              <w14:ligatures w14:val="standardContextual"/>
            </w:rPr>
            <w:t xml:space="preserve">: Attending </w:t>
          </w:r>
          <w:proofErr w:type="spellStart"/>
          <w:r w:rsidRPr="00502DC6">
            <w:rPr>
              <w:rFonts w:eastAsiaTheme="minorEastAsia" w:cstheme="minorBidi"/>
              <w:bCs w:val="0"/>
              <w:color w:val="auto"/>
              <w:kern w:val="2"/>
              <w:sz w:val="20"/>
              <w:szCs w:val="22"/>
              <w:lang w:val="en-GB" w:eastAsia="zh-CN"/>
              <w14:ligatures w14:val="standardContextual"/>
            </w:rPr>
            <w:t>specialized</w:t>
          </w:r>
          <w:proofErr w:type="spellEnd"/>
          <w:r w:rsidRPr="00502DC6">
            <w:rPr>
              <w:rFonts w:eastAsiaTheme="minorEastAsia" w:cstheme="minorBidi"/>
              <w:bCs w:val="0"/>
              <w:color w:val="auto"/>
              <w:kern w:val="2"/>
              <w:sz w:val="20"/>
              <w:szCs w:val="22"/>
              <w:lang w:val="en-GB" w:eastAsia="zh-CN"/>
              <w14:ligatures w14:val="standardContextual"/>
            </w:rPr>
            <w:t xml:space="preserve"> training on how trauma affects brain development provides workers with scientific tools to handle "acting-out" </w:t>
          </w:r>
          <w:proofErr w:type="spellStart"/>
          <w:r w:rsidRPr="00502DC6">
            <w:rPr>
              <w:rFonts w:eastAsiaTheme="minorEastAsia" w:cstheme="minorBidi"/>
              <w:bCs w:val="0"/>
              <w:color w:val="auto"/>
              <w:kern w:val="2"/>
              <w:sz w:val="20"/>
              <w:szCs w:val="22"/>
              <w:lang w:val="en-GB" w:eastAsia="zh-CN"/>
              <w14:ligatures w14:val="standardContextual"/>
            </w:rPr>
            <w:t>behaviors</w:t>
          </w:r>
          <w:proofErr w:type="spellEnd"/>
          <w:r w:rsidRPr="00502DC6">
            <w:rPr>
              <w:rFonts w:eastAsiaTheme="minorEastAsia" w:cstheme="minorBidi"/>
              <w:bCs w:val="0"/>
              <w:color w:val="auto"/>
              <w:kern w:val="2"/>
              <w:sz w:val="20"/>
              <w:szCs w:val="22"/>
              <w:lang w:val="en-GB" w:eastAsia="zh-CN"/>
              <w14:ligatures w14:val="standardContextual"/>
            </w:rPr>
            <w:t>. This strategy was chosen because it moves practice from "what is wrong with you" to "what happened to you," improving empathy.</w:t>
          </w:r>
        </w:p>
        <w:p w14:paraId="10DD2EF9" w14:textId="77777777" w:rsidR="00634B52"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3. </w:t>
          </w:r>
          <w:r w:rsidRPr="00D37C5A">
            <w:rPr>
              <w:rFonts w:eastAsiaTheme="minorEastAsia" w:cstheme="minorBidi"/>
              <w:b/>
              <w:color w:val="auto"/>
              <w:kern w:val="2"/>
              <w:sz w:val="20"/>
              <w:szCs w:val="22"/>
              <w:lang w:val="en-GB" w:eastAsia="zh-CN"/>
              <w14:ligatures w14:val="standardContextual"/>
            </w:rPr>
            <w:t xml:space="preserve">Peer Shadowing: </w:t>
          </w:r>
          <w:r w:rsidRPr="00502DC6">
            <w:rPr>
              <w:rFonts w:eastAsiaTheme="minorEastAsia" w:cstheme="minorBidi"/>
              <w:bCs w:val="0"/>
              <w:color w:val="auto"/>
              <w:kern w:val="2"/>
              <w:sz w:val="20"/>
              <w:szCs w:val="22"/>
              <w:lang w:val="en-GB" w:eastAsia="zh-CN"/>
              <w14:ligatures w14:val="standardContextual"/>
            </w:rPr>
            <w:t>Observing experienced colleagues in different settings (e.g., a youth club vs. a hospital ward) allows for the adoption of diverse engagement techniques. This helps broaden a worker’s "tool kit" for reaching hard-to-engage individuals.</w:t>
          </w:r>
        </w:p>
        <w:p w14:paraId="216003F9" w14:textId="22D9995C" w:rsidR="00502DC6" w:rsidRPr="00634B52" w:rsidRDefault="00502DC6" w:rsidP="00502DC6">
          <w:pPr>
            <w:pStyle w:val="TOCHeading"/>
            <w:rPr>
              <w:rFonts w:eastAsiaTheme="minorEastAsia" w:cstheme="minorBidi"/>
              <w:bCs w:val="0"/>
              <w:color w:val="auto"/>
              <w:kern w:val="2"/>
              <w:sz w:val="20"/>
              <w:szCs w:val="22"/>
              <w:lang w:val="en-GB" w:eastAsia="zh-CN"/>
              <w14:ligatures w14:val="standardContextual"/>
            </w:rPr>
          </w:pPr>
          <w:r w:rsidRPr="00D37C5A">
            <w:rPr>
              <w:rFonts w:eastAsiaTheme="minorEastAsia" w:cstheme="minorBidi"/>
              <w:b/>
              <w:color w:val="auto"/>
              <w:kern w:val="2"/>
              <w:sz w:val="20"/>
              <w:szCs w:val="22"/>
              <w:lang w:val="en-GB" w:eastAsia="zh-CN"/>
              <w14:ligatures w14:val="standardContextual"/>
            </w:rPr>
            <w:lastRenderedPageBreak/>
            <w:t>1.5 Conclusion</w:t>
          </w:r>
        </w:p>
        <w:p w14:paraId="7B852DA9"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In summary, the Youth Worker role is indispensable for ensuring safe, high-quality care by addressing the specific social and emotional needs of young people. This report has highlighted the importance of empathy and communication, the challenges of disengagement, and strategies like reflective supervision to enhance practice. Ultimately, when Youth Workers are highly skilled and supported, they provide a safety net that prevents vulnerable young people from falling through the gaps of the healthcare system, leading to better long-term health outcomes for the community.</w:t>
          </w:r>
        </w:p>
        <w:p w14:paraId="3F35B42A" w14:textId="77777777" w:rsidR="00502DC6" w:rsidRPr="00502DC6" w:rsidRDefault="00502DC6" w:rsidP="00502DC6">
          <w:pPr>
            <w:pStyle w:val="TOCHeading"/>
            <w:rPr>
              <w:rFonts w:eastAsiaTheme="minorEastAsia" w:cstheme="minorBidi"/>
              <w:bCs w:val="0"/>
              <w:color w:val="auto"/>
              <w:kern w:val="2"/>
              <w:sz w:val="20"/>
              <w:szCs w:val="22"/>
              <w:lang w:val="en-GB" w:eastAsia="zh-CN"/>
              <w14:ligatures w14:val="standardContextual"/>
            </w:rPr>
          </w:pPr>
        </w:p>
        <w:p w14:paraId="639EE50D" w14:textId="77777777" w:rsidR="00634B52" w:rsidRDefault="00634B52" w:rsidP="00502DC6">
          <w:pPr>
            <w:pStyle w:val="TOCHeading"/>
            <w:rPr>
              <w:rFonts w:eastAsiaTheme="minorEastAsia" w:cstheme="minorBidi"/>
              <w:bCs w:val="0"/>
              <w:color w:val="auto"/>
              <w:kern w:val="2"/>
              <w:sz w:val="20"/>
              <w:szCs w:val="22"/>
              <w:lang w:val="en-GB" w:eastAsia="zh-CN"/>
              <w14:ligatures w14:val="standardContextual"/>
            </w:rPr>
          </w:pPr>
        </w:p>
        <w:p w14:paraId="28ACBEE1" w14:textId="61C61E3B" w:rsidR="00502DC6" w:rsidRPr="00D37C5A" w:rsidRDefault="00502DC6" w:rsidP="00502DC6">
          <w:pPr>
            <w:pStyle w:val="TOCHeading"/>
            <w:rPr>
              <w:rFonts w:eastAsiaTheme="minorEastAsia" w:cstheme="minorBidi"/>
              <w:b/>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1.6 </w:t>
          </w:r>
          <w:r w:rsidRPr="00D37C5A">
            <w:rPr>
              <w:rFonts w:eastAsiaTheme="minorEastAsia" w:cstheme="minorBidi"/>
              <w:b/>
              <w:color w:val="auto"/>
              <w:kern w:val="2"/>
              <w:sz w:val="20"/>
              <w:szCs w:val="22"/>
              <w:lang w:val="en-GB" w:eastAsia="zh-CN"/>
              <w14:ligatures w14:val="standardContextual"/>
            </w:rPr>
            <w:t>Reference List</w:t>
          </w:r>
        </w:p>
        <w:p w14:paraId="01EB6D2A" w14:textId="77777777" w:rsidR="004C566E" w:rsidRDefault="00502DC6">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Department of Health and Social Care (2023). Safeguarding policies for young people. London: DHSC.</w:t>
          </w:r>
        </w:p>
        <w:p w14:paraId="4F3788BD" w14:textId="77777777" w:rsidR="003D7200" w:rsidRDefault="00502DC6" w:rsidP="003D7200">
          <w:pPr>
            <w:pStyle w:val="TOCHeading"/>
            <w:rPr>
              <w:rFonts w:eastAsiaTheme="minorEastAsia" w:cstheme="minorBidi"/>
              <w:bCs w:val="0"/>
              <w:color w:val="auto"/>
              <w:kern w:val="2"/>
              <w:sz w:val="20"/>
              <w:szCs w:val="22"/>
              <w:lang w:val="en-GB" w:eastAsia="zh-CN"/>
              <w14:ligatures w14:val="standardContextual"/>
            </w:rPr>
          </w:pPr>
          <w:r w:rsidRPr="00502DC6">
            <w:rPr>
              <w:rFonts w:eastAsiaTheme="minorEastAsia" w:cstheme="minorBidi"/>
              <w:bCs w:val="0"/>
              <w:color w:val="auto"/>
              <w:kern w:val="2"/>
              <w:sz w:val="20"/>
              <w:szCs w:val="22"/>
              <w:lang w:val="en-GB" w:eastAsia="zh-CN"/>
              <w14:ligatures w14:val="standardContextual"/>
            </w:rPr>
            <w:t xml:space="preserve">Thompson, N. (2021). Effective Communication in Health and Social Care. London: </w:t>
          </w:r>
          <w:proofErr w:type="spellStart"/>
          <w:r w:rsidRPr="00502DC6">
            <w:rPr>
              <w:rFonts w:eastAsiaTheme="minorEastAsia" w:cstheme="minorBidi"/>
              <w:bCs w:val="0"/>
              <w:color w:val="auto"/>
              <w:kern w:val="2"/>
              <w:sz w:val="20"/>
              <w:szCs w:val="22"/>
              <w:lang w:val="en-GB" w:eastAsia="zh-CN"/>
              <w14:ligatures w14:val="standardContextual"/>
            </w:rPr>
            <w:t>Palgrave</w:t>
          </w:r>
          <w:proofErr w:type="spellEnd"/>
          <w:r w:rsidRPr="00502DC6">
            <w:rPr>
              <w:rFonts w:eastAsiaTheme="minorEastAsia" w:cstheme="minorBidi"/>
              <w:bCs w:val="0"/>
              <w:color w:val="auto"/>
              <w:kern w:val="2"/>
              <w:sz w:val="20"/>
              <w:szCs w:val="22"/>
              <w:lang w:val="en-GB" w:eastAsia="zh-CN"/>
              <w14:ligatures w14:val="standardContextual"/>
            </w:rPr>
            <w:t>.</w:t>
          </w:r>
        </w:p>
        <w:p w14:paraId="1EB80D3B" w14:textId="77777777" w:rsidR="003877C7" w:rsidRDefault="003877C7" w:rsidP="003877C7"/>
        <w:p w14:paraId="788F0C59" w14:textId="77777777" w:rsidR="00634B52" w:rsidRDefault="00000000">
          <w:pPr>
            <w:pStyle w:val="p1"/>
            <w:rPr>
              <w:rFonts w:hint="eastAsia"/>
              <w:b/>
              <w:noProof/>
              <w:sz w:val="20"/>
              <w:szCs w:val="20"/>
            </w:rPr>
          </w:pPr>
        </w:p>
      </w:sdtContent>
    </w:sdt>
    <w:p w14:paraId="23ACBF49" w14:textId="1327CA78" w:rsidR="00C83E5D" w:rsidRPr="004F1D16" w:rsidRDefault="00C83E5D">
      <w:pPr>
        <w:pStyle w:val="p1"/>
        <w:rPr>
          <w:sz w:val="20"/>
          <w:szCs w:val="20"/>
        </w:rPr>
      </w:pPr>
      <w:r w:rsidRPr="004F1D16">
        <w:rPr>
          <w:rStyle w:val="s1"/>
          <w:sz w:val="20"/>
          <w:szCs w:val="20"/>
        </w:rPr>
        <w:t xml:space="preserve"> Marshall, M. and Waring, G. (2021). ‘They Make Heavy Stuff Lighter.’ Comprehensive Child and Adolescent Nursing, 44(4).</w:t>
      </w:r>
    </w:p>
    <w:p w14:paraId="3E725035" w14:textId="353321BF" w:rsidR="000B480C" w:rsidRDefault="000B480C" w:rsidP="003877C7"/>
    <w:p w14:paraId="0E8B55F8" w14:textId="582FA9B6" w:rsidR="002A21DF" w:rsidRPr="004F1D16" w:rsidRDefault="002A21DF">
      <w:pPr>
        <w:pStyle w:val="p1"/>
        <w:rPr>
          <w:sz w:val="20"/>
          <w:szCs w:val="20"/>
        </w:rPr>
      </w:pPr>
      <w:r w:rsidRPr="004F1D16">
        <w:rPr>
          <w:rStyle w:val="s1"/>
          <w:sz w:val="20"/>
          <w:szCs w:val="20"/>
        </w:rPr>
        <w:t xml:space="preserve">Ginsburg, K. R. and McClain, Z. B. R. (2020). Reaching Teens. 2nd </w:t>
      </w:r>
      <w:proofErr w:type="spellStart"/>
      <w:r w:rsidRPr="004F1D16">
        <w:rPr>
          <w:rStyle w:val="s1"/>
          <w:sz w:val="20"/>
          <w:szCs w:val="20"/>
        </w:rPr>
        <w:t>edn</w:t>
      </w:r>
      <w:proofErr w:type="spellEnd"/>
      <w:r w:rsidRPr="004F1D16">
        <w:rPr>
          <w:rStyle w:val="s1"/>
          <w:sz w:val="20"/>
          <w:szCs w:val="20"/>
        </w:rPr>
        <w:t xml:space="preserve">. </w:t>
      </w:r>
      <w:proofErr w:type="spellStart"/>
      <w:r w:rsidRPr="004F1D16">
        <w:rPr>
          <w:rStyle w:val="s1"/>
          <w:sz w:val="20"/>
          <w:szCs w:val="20"/>
        </w:rPr>
        <w:t>Itasca</w:t>
      </w:r>
      <w:proofErr w:type="spellEnd"/>
      <w:r w:rsidRPr="004F1D16">
        <w:rPr>
          <w:rStyle w:val="s1"/>
          <w:sz w:val="20"/>
          <w:szCs w:val="20"/>
        </w:rPr>
        <w:t>: AAP.</w:t>
      </w:r>
    </w:p>
    <w:p w14:paraId="6146CC17" w14:textId="77777777" w:rsidR="00C83E5D" w:rsidRDefault="00C83E5D" w:rsidP="003877C7"/>
    <w:p w14:paraId="22726753" w14:textId="7141E02A" w:rsidR="00AB4A6B" w:rsidRPr="004F1D16" w:rsidRDefault="00AB4A6B">
      <w:pPr>
        <w:pStyle w:val="p1"/>
        <w:rPr>
          <w:sz w:val="20"/>
          <w:szCs w:val="20"/>
        </w:rPr>
      </w:pPr>
      <w:r w:rsidRPr="004F1D16">
        <w:rPr>
          <w:rStyle w:val="s1"/>
          <w:sz w:val="20"/>
          <w:szCs w:val="20"/>
        </w:rPr>
        <w:t xml:space="preserve">Wood, J., </w:t>
      </w:r>
      <w:proofErr w:type="spellStart"/>
      <w:r w:rsidRPr="004F1D16">
        <w:rPr>
          <w:rStyle w:val="s1"/>
          <w:sz w:val="20"/>
          <w:szCs w:val="20"/>
        </w:rPr>
        <w:t>Hine</w:t>
      </w:r>
      <w:proofErr w:type="spellEnd"/>
      <w:r w:rsidRPr="004F1D16">
        <w:rPr>
          <w:rStyle w:val="s1"/>
          <w:sz w:val="20"/>
          <w:szCs w:val="20"/>
        </w:rPr>
        <w:t xml:space="preserve">, J. and Taylor, H. (2020). Tradition and Transition: </w:t>
      </w:r>
      <w:proofErr w:type="spellStart"/>
      <w:r w:rsidRPr="004F1D16">
        <w:rPr>
          <w:rStyle w:val="s1"/>
          <w:sz w:val="20"/>
          <w:szCs w:val="20"/>
        </w:rPr>
        <w:t>Personalization</w:t>
      </w:r>
      <w:proofErr w:type="spellEnd"/>
      <w:r w:rsidRPr="004F1D16">
        <w:rPr>
          <w:rStyle w:val="s1"/>
          <w:sz w:val="20"/>
          <w:szCs w:val="20"/>
        </w:rPr>
        <w:t xml:space="preserve"> and </w:t>
      </w:r>
      <w:proofErr w:type="spellStart"/>
      <w:r w:rsidRPr="004F1D16">
        <w:rPr>
          <w:rStyle w:val="s1"/>
          <w:sz w:val="20"/>
          <w:szCs w:val="20"/>
        </w:rPr>
        <w:t>Individualization</w:t>
      </w:r>
      <w:proofErr w:type="spellEnd"/>
      <w:r w:rsidRPr="004F1D16">
        <w:rPr>
          <w:rStyle w:val="s1"/>
          <w:sz w:val="20"/>
          <w:szCs w:val="20"/>
        </w:rPr>
        <w:t xml:space="preserve"> in Youth Work. Huddersfield: University of Huddersfield Press.</w:t>
      </w:r>
    </w:p>
    <w:p w14:paraId="414AE70C" w14:textId="77777777" w:rsidR="002A21DF" w:rsidRDefault="002A21DF" w:rsidP="003877C7"/>
    <w:p w14:paraId="582AC929" w14:textId="7CB7C6E8" w:rsidR="00301690" w:rsidRPr="004F1D16" w:rsidRDefault="00301690">
      <w:pPr>
        <w:pStyle w:val="p1"/>
        <w:rPr>
          <w:sz w:val="20"/>
          <w:szCs w:val="20"/>
        </w:rPr>
      </w:pPr>
      <w:r w:rsidRPr="004F1D16">
        <w:rPr>
          <w:rStyle w:val="s1"/>
          <w:sz w:val="20"/>
          <w:szCs w:val="20"/>
        </w:rPr>
        <w:t>UK Trauma Council (2022). Trauma-Informed Practice: Evidence-based guidance for practitioners. London: Anna Freud Centre.</w:t>
      </w:r>
    </w:p>
    <w:p w14:paraId="01FFE759" w14:textId="77777777" w:rsidR="001D1528" w:rsidRDefault="001D1528" w:rsidP="003877C7"/>
    <w:p w14:paraId="779FCB41" w14:textId="66ADE958" w:rsidR="00E90881" w:rsidRPr="004F1D16" w:rsidRDefault="00E90881">
      <w:pPr>
        <w:pStyle w:val="p1"/>
        <w:rPr>
          <w:sz w:val="20"/>
          <w:szCs w:val="20"/>
        </w:rPr>
      </w:pPr>
      <w:r w:rsidRPr="004F1D16">
        <w:rPr>
          <w:rStyle w:val="s1"/>
          <w:sz w:val="20"/>
          <w:szCs w:val="20"/>
        </w:rPr>
        <w:t>Research in Practice (2023). Reflective Supervision: Learning Hub. [Online]. Available at: https://practice-supervisors.rip.org.uk (Accessed: 25 March 2026).</w:t>
      </w:r>
    </w:p>
    <w:p w14:paraId="6059FF3B" w14:textId="77777777" w:rsidR="001D1528" w:rsidRDefault="001D1528">
      <w:pPr>
        <w:pStyle w:val="p1"/>
        <w:rPr>
          <w:rStyle w:val="s1"/>
          <w:sz w:val="20"/>
          <w:szCs w:val="20"/>
        </w:rPr>
      </w:pPr>
    </w:p>
    <w:p w14:paraId="76AF6B6B" w14:textId="77777777" w:rsidR="001D1528" w:rsidRDefault="001D1528">
      <w:pPr>
        <w:pStyle w:val="p1"/>
        <w:rPr>
          <w:rStyle w:val="s1"/>
          <w:sz w:val="20"/>
          <w:szCs w:val="20"/>
        </w:rPr>
      </w:pPr>
    </w:p>
    <w:p w14:paraId="3E56142C" w14:textId="51319860" w:rsidR="009C3C87" w:rsidRPr="004F1D16" w:rsidRDefault="009C3C87">
      <w:pPr>
        <w:pStyle w:val="p1"/>
        <w:rPr>
          <w:sz w:val="20"/>
          <w:szCs w:val="20"/>
        </w:rPr>
      </w:pPr>
      <w:r w:rsidRPr="004F1D16">
        <w:rPr>
          <w:rStyle w:val="s1"/>
          <w:sz w:val="20"/>
          <w:szCs w:val="20"/>
        </w:rPr>
        <w:t xml:space="preserve"> </w:t>
      </w:r>
      <w:proofErr w:type="spellStart"/>
      <w:r w:rsidRPr="004F1D16">
        <w:rPr>
          <w:rStyle w:val="s1"/>
          <w:sz w:val="20"/>
          <w:szCs w:val="20"/>
        </w:rPr>
        <w:t>Ord</w:t>
      </w:r>
      <w:proofErr w:type="spellEnd"/>
      <w:r w:rsidRPr="004F1D16">
        <w:rPr>
          <w:rStyle w:val="s1"/>
          <w:sz w:val="20"/>
          <w:szCs w:val="20"/>
        </w:rPr>
        <w:t xml:space="preserve">, J. (2023). Youth Work Process, Product and Practice: Creating an Authentic Curriculum. 3rd </w:t>
      </w:r>
      <w:proofErr w:type="spellStart"/>
      <w:r w:rsidRPr="004F1D16">
        <w:rPr>
          <w:rStyle w:val="s1"/>
          <w:sz w:val="20"/>
          <w:szCs w:val="20"/>
        </w:rPr>
        <w:t>edn</w:t>
      </w:r>
      <w:proofErr w:type="spellEnd"/>
      <w:r w:rsidRPr="004F1D16">
        <w:rPr>
          <w:rStyle w:val="s1"/>
          <w:sz w:val="20"/>
          <w:szCs w:val="20"/>
        </w:rPr>
        <w:t xml:space="preserve">. London: </w:t>
      </w:r>
      <w:proofErr w:type="spellStart"/>
      <w:r w:rsidRPr="004F1D16">
        <w:rPr>
          <w:rStyle w:val="s1"/>
          <w:sz w:val="20"/>
          <w:szCs w:val="20"/>
        </w:rPr>
        <w:t>Routledge</w:t>
      </w:r>
      <w:proofErr w:type="spellEnd"/>
      <w:r w:rsidRPr="004F1D16">
        <w:rPr>
          <w:rStyle w:val="s1"/>
          <w:sz w:val="20"/>
          <w:szCs w:val="20"/>
        </w:rPr>
        <w:t>.</w:t>
      </w:r>
    </w:p>
    <w:p w14:paraId="7AAF0803" w14:textId="77777777" w:rsidR="00E90881" w:rsidRDefault="00E90881" w:rsidP="003877C7"/>
    <w:p w14:paraId="0B547F77" w14:textId="083B38C8" w:rsidR="004E67A1" w:rsidRPr="004F1D16" w:rsidRDefault="004E67A1">
      <w:pPr>
        <w:pStyle w:val="p1"/>
        <w:rPr>
          <w:sz w:val="20"/>
          <w:szCs w:val="20"/>
        </w:rPr>
      </w:pPr>
      <w:r w:rsidRPr="004F1D16">
        <w:rPr>
          <w:rStyle w:val="s1"/>
          <w:sz w:val="20"/>
          <w:szCs w:val="20"/>
        </w:rPr>
        <w:t>Watson, A. R. (2004). Hospital youth work and adolescent support. Archives of Disease in Childhood, 89(5), pp. 440–443.</w:t>
      </w:r>
    </w:p>
    <w:p w14:paraId="5B9A801C" w14:textId="77777777" w:rsidR="001D1528" w:rsidRDefault="001D1528">
      <w:pPr>
        <w:pStyle w:val="p1"/>
        <w:rPr>
          <w:rStyle w:val="s1"/>
          <w:sz w:val="20"/>
          <w:szCs w:val="20"/>
        </w:rPr>
      </w:pPr>
    </w:p>
    <w:p w14:paraId="4C30011D" w14:textId="77777777" w:rsidR="001D1528" w:rsidRDefault="004F1D16">
      <w:pPr>
        <w:pStyle w:val="p1"/>
        <w:rPr>
          <w:rStyle w:val="s1"/>
          <w:sz w:val="20"/>
          <w:szCs w:val="20"/>
        </w:rPr>
      </w:pPr>
      <w:r w:rsidRPr="004F1D16">
        <w:rPr>
          <w:rStyle w:val="s1"/>
          <w:sz w:val="20"/>
          <w:szCs w:val="20"/>
        </w:rPr>
        <w:t xml:space="preserve"> </w:t>
      </w:r>
    </w:p>
    <w:p w14:paraId="053E559E" w14:textId="42B8F230" w:rsidR="004F1D16" w:rsidRPr="004F1D16" w:rsidRDefault="004F1D16">
      <w:pPr>
        <w:pStyle w:val="p1"/>
        <w:rPr>
          <w:sz w:val="20"/>
          <w:szCs w:val="20"/>
        </w:rPr>
      </w:pPr>
      <w:r w:rsidRPr="004F1D16">
        <w:rPr>
          <w:rStyle w:val="s1"/>
          <w:sz w:val="20"/>
          <w:szCs w:val="20"/>
        </w:rPr>
        <w:t>National Youth Agency (2023). Better Together: Youth Work with Schools and Health. Leicester: NYA.</w:t>
      </w:r>
    </w:p>
    <w:p w14:paraId="22FE8B80" w14:textId="77777777" w:rsidR="000B480C" w:rsidRPr="000B480C" w:rsidRDefault="000B480C" w:rsidP="000B480C">
      <w:pPr>
        <w:jc w:val="both"/>
        <w:rPr>
          <w:rFonts w:asciiTheme="minorBidi" w:hAnsiTheme="minorBidi"/>
          <w:b/>
          <w:bCs/>
          <w:sz w:val="28"/>
          <w:szCs w:val="28"/>
        </w:rPr>
      </w:pPr>
    </w:p>
    <w:p w14:paraId="4CCF66AE" w14:textId="77777777" w:rsidR="000B480C" w:rsidRPr="000B480C" w:rsidRDefault="000B480C" w:rsidP="000B480C">
      <w:pPr>
        <w:jc w:val="both"/>
        <w:rPr>
          <w:rFonts w:asciiTheme="minorBidi" w:hAnsiTheme="minorBidi"/>
          <w:b/>
          <w:bCs/>
          <w:sz w:val="28"/>
          <w:szCs w:val="28"/>
        </w:rPr>
      </w:pPr>
    </w:p>
    <w:p w14:paraId="494ED352" w14:textId="77777777" w:rsidR="000B480C" w:rsidRPr="000B480C" w:rsidRDefault="000B480C" w:rsidP="000B480C">
      <w:pPr>
        <w:jc w:val="both"/>
        <w:rPr>
          <w:rFonts w:asciiTheme="minorBidi" w:hAnsiTheme="minorBidi"/>
          <w:b/>
          <w:bCs/>
          <w:sz w:val="28"/>
          <w:szCs w:val="28"/>
        </w:rPr>
      </w:pPr>
    </w:p>
    <w:p w14:paraId="7F5622D2" w14:textId="77777777" w:rsidR="000B480C" w:rsidRPr="000B480C" w:rsidRDefault="000B480C" w:rsidP="000B480C">
      <w:pPr>
        <w:jc w:val="both"/>
        <w:rPr>
          <w:rFonts w:asciiTheme="minorBidi" w:hAnsiTheme="minorBidi"/>
          <w:b/>
          <w:bCs/>
          <w:sz w:val="28"/>
          <w:szCs w:val="28"/>
        </w:rPr>
      </w:pPr>
    </w:p>
    <w:p w14:paraId="492C8123" w14:textId="77777777" w:rsidR="000B480C" w:rsidRPr="000B480C" w:rsidRDefault="000B480C" w:rsidP="000B480C">
      <w:pPr>
        <w:jc w:val="both"/>
        <w:rPr>
          <w:rFonts w:asciiTheme="minorBidi" w:hAnsiTheme="minorBidi"/>
          <w:b/>
          <w:bCs/>
          <w:sz w:val="28"/>
          <w:szCs w:val="28"/>
        </w:rPr>
      </w:pPr>
    </w:p>
    <w:p w14:paraId="2D0EAA4C" w14:textId="77777777" w:rsidR="000B480C" w:rsidRPr="000B480C" w:rsidRDefault="000B480C" w:rsidP="000B480C">
      <w:pPr>
        <w:jc w:val="both"/>
        <w:rPr>
          <w:rFonts w:asciiTheme="minorBidi" w:hAnsiTheme="minorBidi"/>
          <w:b/>
          <w:bCs/>
          <w:sz w:val="28"/>
          <w:szCs w:val="28"/>
        </w:rPr>
      </w:pPr>
    </w:p>
    <w:p w14:paraId="12061E3C" w14:textId="77777777" w:rsidR="000B480C" w:rsidRPr="000B480C" w:rsidRDefault="000B480C" w:rsidP="000B480C">
      <w:pPr>
        <w:jc w:val="both"/>
        <w:rPr>
          <w:rFonts w:asciiTheme="minorBidi" w:hAnsiTheme="minorBidi"/>
          <w:b/>
          <w:bCs/>
          <w:sz w:val="28"/>
          <w:szCs w:val="28"/>
        </w:rPr>
      </w:pPr>
    </w:p>
    <w:p w14:paraId="37492911" w14:textId="77777777" w:rsidR="000B480C" w:rsidRPr="000B480C" w:rsidRDefault="000B480C" w:rsidP="000B480C">
      <w:pPr>
        <w:jc w:val="both"/>
        <w:rPr>
          <w:rFonts w:asciiTheme="minorBidi" w:hAnsiTheme="minorBidi"/>
          <w:b/>
          <w:bCs/>
          <w:sz w:val="28"/>
          <w:szCs w:val="28"/>
        </w:rPr>
      </w:pPr>
    </w:p>
    <w:p w14:paraId="3C3D6197" w14:textId="77777777" w:rsidR="000B480C" w:rsidRPr="000B480C" w:rsidRDefault="000B480C" w:rsidP="000B480C">
      <w:pPr>
        <w:jc w:val="both"/>
        <w:rPr>
          <w:rFonts w:asciiTheme="minorBidi" w:hAnsiTheme="minorBidi"/>
          <w:b/>
          <w:bCs/>
          <w:sz w:val="28"/>
          <w:szCs w:val="28"/>
        </w:rPr>
      </w:pPr>
    </w:p>
    <w:p w14:paraId="09E24E55" w14:textId="0359C2C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32BD5EAF" w14:textId="50105896" w:rsidR="00FB4A90" w:rsidRPr="00FB4A90" w:rsidRDefault="00FB4A90" w:rsidP="00FB4A90">
      <w:pPr>
        <w:rPr>
          <w:b/>
          <w:bCs/>
          <w:sz w:val="21"/>
          <w:szCs w:val="21"/>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2558B" w14:textId="77777777" w:rsidR="008B46FE" w:rsidRDefault="008B46FE" w:rsidP="003C7C97">
      <w:pPr>
        <w:spacing w:after="0" w:line="240" w:lineRule="auto"/>
      </w:pPr>
      <w:r>
        <w:separator/>
      </w:r>
    </w:p>
  </w:endnote>
  <w:endnote w:type="continuationSeparator" w:id="0">
    <w:p w14:paraId="64C9B242" w14:textId="77777777" w:rsidR="008B46FE" w:rsidRDefault="008B46F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34808" w14:textId="77777777" w:rsidR="008B46FE" w:rsidRDefault="008B46FE" w:rsidP="003C7C97">
      <w:pPr>
        <w:spacing w:after="0" w:line="240" w:lineRule="auto"/>
      </w:pPr>
      <w:r>
        <w:separator/>
      </w:r>
    </w:p>
  </w:footnote>
  <w:footnote w:type="continuationSeparator" w:id="0">
    <w:p w14:paraId="2F19EE77" w14:textId="77777777" w:rsidR="008B46FE" w:rsidRDefault="008B46F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56A5"/>
    <w:rsid w:val="00070818"/>
    <w:rsid w:val="0008238F"/>
    <w:rsid w:val="00082EC6"/>
    <w:rsid w:val="00085388"/>
    <w:rsid w:val="000B480C"/>
    <w:rsid w:val="000D41DC"/>
    <w:rsid w:val="00116EE2"/>
    <w:rsid w:val="00125D37"/>
    <w:rsid w:val="00127C1A"/>
    <w:rsid w:val="001317DE"/>
    <w:rsid w:val="00150D81"/>
    <w:rsid w:val="00166CEB"/>
    <w:rsid w:val="00183CB9"/>
    <w:rsid w:val="00184A9A"/>
    <w:rsid w:val="001947DF"/>
    <w:rsid w:val="001B22BB"/>
    <w:rsid w:val="001B619C"/>
    <w:rsid w:val="001D1528"/>
    <w:rsid w:val="001D1D3C"/>
    <w:rsid w:val="002205D4"/>
    <w:rsid w:val="00222C3A"/>
    <w:rsid w:val="00226D31"/>
    <w:rsid w:val="00236401"/>
    <w:rsid w:val="002370CE"/>
    <w:rsid w:val="00242974"/>
    <w:rsid w:val="002976D4"/>
    <w:rsid w:val="002A21DF"/>
    <w:rsid w:val="002A5577"/>
    <w:rsid w:val="002B4AA4"/>
    <w:rsid w:val="002E71BA"/>
    <w:rsid w:val="002F39F4"/>
    <w:rsid w:val="002F5066"/>
    <w:rsid w:val="002F5233"/>
    <w:rsid w:val="003003FD"/>
    <w:rsid w:val="00301690"/>
    <w:rsid w:val="00310245"/>
    <w:rsid w:val="00316C95"/>
    <w:rsid w:val="003458DB"/>
    <w:rsid w:val="00346605"/>
    <w:rsid w:val="003523D3"/>
    <w:rsid w:val="00364C35"/>
    <w:rsid w:val="003877C7"/>
    <w:rsid w:val="00396F60"/>
    <w:rsid w:val="003A51D6"/>
    <w:rsid w:val="003B125E"/>
    <w:rsid w:val="003B2A5E"/>
    <w:rsid w:val="003C7C97"/>
    <w:rsid w:val="003D26FD"/>
    <w:rsid w:val="003D7200"/>
    <w:rsid w:val="00406B8D"/>
    <w:rsid w:val="00410068"/>
    <w:rsid w:val="0041618E"/>
    <w:rsid w:val="0042295C"/>
    <w:rsid w:val="00426EEC"/>
    <w:rsid w:val="004466C3"/>
    <w:rsid w:val="004552CE"/>
    <w:rsid w:val="00481FF7"/>
    <w:rsid w:val="004C566E"/>
    <w:rsid w:val="004E67A1"/>
    <w:rsid w:val="004F1D16"/>
    <w:rsid w:val="00500295"/>
    <w:rsid w:val="00500C80"/>
    <w:rsid w:val="00501AAF"/>
    <w:rsid w:val="00502DC6"/>
    <w:rsid w:val="00527AFA"/>
    <w:rsid w:val="005419DA"/>
    <w:rsid w:val="005678AC"/>
    <w:rsid w:val="005709B1"/>
    <w:rsid w:val="00572B3B"/>
    <w:rsid w:val="005836D2"/>
    <w:rsid w:val="00587C58"/>
    <w:rsid w:val="005A7FD4"/>
    <w:rsid w:val="005B142C"/>
    <w:rsid w:val="005B1A84"/>
    <w:rsid w:val="005D1AF9"/>
    <w:rsid w:val="005D5457"/>
    <w:rsid w:val="005E209C"/>
    <w:rsid w:val="005E2699"/>
    <w:rsid w:val="005E44B5"/>
    <w:rsid w:val="00612DEA"/>
    <w:rsid w:val="00614572"/>
    <w:rsid w:val="006232DF"/>
    <w:rsid w:val="00631F2E"/>
    <w:rsid w:val="00634B52"/>
    <w:rsid w:val="006457C0"/>
    <w:rsid w:val="00652BB7"/>
    <w:rsid w:val="00661758"/>
    <w:rsid w:val="0067612C"/>
    <w:rsid w:val="00676FEB"/>
    <w:rsid w:val="00680C55"/>
    <w:rsid w:val="006912C4"/>
    <w:rsid w:val="006A5CFC"/>
    <w:rsid w:val="006B464F"/>
    <w:rsid w:val="006C5138"/>
    <w:rsid w:val="006C689B"/>
    <w:rsid w:val="006E005C"/>
    <w:rsid w:val="006E6EE5"/>
    <w:rsid w:val="006F0029"/>
    <w:rsid w:val="006F3483"/>
    <w:rsid w:val="007138EF"/>
    <w:rsid w:val="007632A9"/>
    <w:rsid w:val="00774092"/>
    <w:rsid w:val="00775190"/>
    <w:rsid w:val="00782830"/>
    <w:rsid w:val="0078664A"/>
    <w:rsid w:val="007B0F6D"/>
    <w:rsid w:val="007C62C3"/>
    <w:rsid w:val="007D25AA"/>
    <w:rsid w:val="007F0873"/>
    <w:rsid w:val="00805726"/>
    <w:rsid w:val="0080785F"/>
    <w:rsid w:val="00815117"/>
    <w:rsid w:val="008520F8"/>
    <w:rsid w:val="00855F34"/>
    <w:rsid w:val="008826B6"/>
    <w:rsid w:val="008B0B22"/>
    <w:rsid w:val="008B46FE"/>
    <w:rsid w:val="008C58B0"/>
    <w:rsid w:val="008C591B"/>
    <w:rsid w:val="008C6182"/>
    <w:rsid w:val="00925BE8"/>
    <w:rsid w:val="00926458"/>
    <w:rsid w:val="00933720"/>
    <w:rsid w:val="009B0994"/>
    <w:rsid w:val="009C3C87"/>
    <w:rsid w:val="009C7E52"/>
    <w:rsid w:val="009E4934"/>
    <w:rsid w:val="009F40A7"/>
    <w:rsid w:val="009F5CE6"/>
    <w:rsid w:val="00A035CD"/>
    <w:rsid w:val="00A24438"/>
    <w:rsid w:val="00A50E80"/>
    <w:rsid w:val="00A513B0"/>
    <w:rsid w:val="00A63F7F"/>
    <w:rsid w:val="00A667CE"/>
    <w:rsid w:val="00A75042"/>
    <w:rsid w:val="00A774BC"/>
    <w:rsid w:val="00A82678"/>
    <w:rsid w:val="00A946CB"/>
    <w:rsid w:val="00AA77C8"/>
    <w:rsid w:val="00AB4A6B"/>
    <w:rsid w:val="00AC7BE2"/>
    <w:rsid w:val="00AE35BF"/>
    <w:rsid w:val="00B1067E"/>
    <w:rsid w:val="00B43641"/>
    <w:rsid w:val="00B81790"/>
    <w:rsid w:val="00B81BBC"/>
    <w:rsid w:val="00BD03D5"/>
    <w:rsid w:val="00C0735E"/>
    <w:rsid w:val="00C10644"/>
    <w:rsid w:val="00C3215E"/>
    <w:rsid w:val="00C45272"/>
    <w:rsid w:val="00C47770"/>
    <w:rsid w:val="00C75856"/>
    <w:rsid w:val="00C83E5D"/>
    <w:rsid w:val="00C85A7C"/>
    <w:rsid w:val="00C92E5F"/>
    <w:rsid w:val="00C95214"/>
    <w:rsid w:val="00CC3F59"/>
    <w:rsid w:val="00CD4774"/>
    <w:rsid w:val="00D10AAF"/>
    <w:rsid w:val="00D27540"/>
    <w:rsid w:val="00D37C5A"/>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90881"/>
    <w:rsid w:val="00EA29A5"/>
    <w:rsid w:val="00EC107C"/>
    <w:rsid w:val="00EC6023"/>
    <w:rsid w:val="00EC7EBE"/>
    <w:rsid w:val="00EC7FD2"/>
    <w:rsid w:val="00ED5964"/>
    <w:rsid w:val="00EE4E95"/>
    <w:rsid w:val="00F1720B"/>
    <w:rsid w:val="00F36ADC"/>
    <w:rsid w:val="00F605C6"/>
    <w:rsid w:val="00F6785B"/>
    <w:rsid w:val="00F915D6"/>
    <w:rsid w:val="00FB4A90"/>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C83E5D"/>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C83E5D"/>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5</Pages>
  <Words>858</Words>
  <Characters>4897</Characters>
  <Application>Microsoft Office Word</Application>
  <DocSecurity>0</DocSecurity>
  <Lines>40</Lines>
  <Paragraphs>11</Paragraphs>
  <ScaleCrop>false</ScaleCrop>
  <Company>University of Wales Trinity Saint David</Company>
  <LinksUpToDate>false</LinksUpToDate>
  <CharactersWithSpaces>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Areeba Rida-E-Zenib Mahmood Khan (2523434)</cp:lastModifiedBy>
  <cp:revision>41</cp:revision>
  <dcterms:created xsi:type="dcterms:W3CDTF">2026-03-25T14:31:00Z</dcterms:created>
  <dcterms:modified xsi:type="dcterms:W3CDTF">2026-03-25T15:38:00Z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