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5E1E8B67" w:rsidR="00C558B0" w:rsidRDefault="00C558B0" w:rsidP="00594FAC">
      <w:pPr>
        <w:tabs>
          <w:tab w:val="left" w:pos="6540"/>
        </w:tabs>
        <w:spacing w:line="360" w:lineRule="auto"/>
        <w:rPr>
          <w:rFonts w:ascii="Arial" w:hAnsi="Arial" w:cs="Arial"/>
          <w:sz w:val="28"/>
          <w:szCs w:val="28"/>
        </w:rPr>
      </w:pPr>
      <w:r w:rsidRPr="00527A28">
        <w:rPr>
          <w:rFonts w:ascii="Arial" w:hAnsi="Arial" w:cs="Arial"/>
          <w:b/>
          <w:bCs/>
          <w:sz w:val="28"/>
          <w:szCs w:val="28"/>
        </w:rPr>
        <w:t>Student name</w:t>
      </w:r>
      <w:r w:rsidRPr="00527A28">
        <w:rPr>
          <w:rFonts w:ascii="Arial" w:hAnsi="Arial" w:cs="Arial"/>
          <w:sz w:val="28"/>
          <w:szCs w:val="28"/>
        </w:rPr>
        <w:t>:</w:t>
      </w:r>
      <w:r w:rsidR="00DA6BD1">
        <w:rPr>
          <w:rFonts w:ascii="Arial" w:hAnsi="Arial" w:cs="Arial"/>
          <w:sz w:val="28"/>
          <w:szCs w:val="28"/>
        </w:rPr>
        <w:t xml:space="preserve"> Rayssa Silva </w:t>
      </w:r>
    </w:p>
    <w:p w14:paraId="304B3F2C" w14:textId="77777777" w:rsidR="00D97723" w:rsidRPr="00527A28" w:rsidRDefault="00D97723" w:rsidP="00594FAC">
      <w:pPr>
        <w:tabs>
          <w:tab w:val="left" w:pos="6540"/>
        </w:tabs>
        <w:spacing w:line="360" w:lineRule="auto"/>
        <w:rPr>
          <w:rFonts w:ascii="Arial" w:hAnsi="Arial" w:cs="Arial"/>
          <w:sz w:val="28"/>
          <w:szCs w:val="28"/>
        </w:rPr>
      </w:pPr>
    </w:p>
    <w:p w14:paraId="18D88AE2" w14:textId="1903A677" w:rsidR="00C558B0" w:rsidRDefault="00C558B0" w:rsidP="00594FAC">
      <w:pPr>
        <w:tabs>
          <w:tab w:val="left" w:pos="6540"/>
        </w:tabs>
        <w:spacing w:line="360" w:lineRule="auto"/>
        <w:rPr>
          <w:rFonts w:ascii="Arial" w:hAnsi="Arial" w:cs="Arial"/>
          <w:sz w:val="28"/>
          <w:szCs w:val="28"/>
        </w:rPr>
      </w:pPr>
      <w:r w:rsidRPr="00527A28">
        <w:rPr>
          <w:rFonts w:ascii="Arial" w:hAnsi="Arial" w:cs="Arial"/>
          <w:b/>
          <w:bCs/>
          <w:sz w:val="28"/>
          <w:szCs w:val="28"/>
        </w:rPr>
        <w:t>Student ID</w:t>
      </w:r>
      <w:r w:rsidRPr="00527A28">
        <w:rPr>
          <w:rFonts w:ascii="Arial" w:hAnsi="Arial" w:cs="Arial"/>
          <w:sz w:val="28"/>
          <w:szCs w:val="28"/>
        </w:rPr>
        <w:t>:</w:t>
      </w:r>
      <w:r w:rsidR="00DA6BD1">
        <w:rPr>
          <w:rFonts w:ascii="Arial" w:hAnsi="Arial" w:cs="Arial"/>
          <w:sz w:val="28"/>
          <w:szCs w:val="28"/>
        </w:rPr>
        <w:t xml:space="preserve"> </w:t>
      </w:r>
      <w:r w:rsidR="00FA3C59" w:rsidRPr="00FA3C59">
        <w:rPr>
          <w:rFonts w:ascii="Arial" w:hAnsi="Arial" w:cs="Arial"/>
          <w:sz w:val="28"/>
          <w:szCs w:val="28"/>
        </w:rPr>
        <w:t>2417813</w:t>
      </w:r>
    </w:p>
    <w:p w14:paraId="4654C81C" w14:textId="77777777" w:rsidR="00C558B0" w:rsidRPr="00527A28" w:rsidRDefault="00C558B0" w:rsidP="00594FAC">
      <w:pPr>
        <w:tabs>
          <w:tab w:val="left" w:pos="6540"/>
        </w:tabs>
        <w:spacing w:line="360" w:lineRule="auto"/>
        <w:rPr>
          <w:rFonts w:ascii="Arial" w:hAnsi="Arial" w:cs="Arial"/>
          <w:sz w:val="28"/>
          <w:szCs w:val="28"/>
        </w:rPr>
      </w:pPr>
    </w:p>
    <w:p w14:paraId="3D8DA301" w14:textId="0D9F4626" w:rsidR="00C558B0" w:rsidRDefault="00C558B0" w:rsidP="00594FAC">
      <w:pPr>
        <w:tabs>
          <w:tab w:val="left" w:pos="6540"/>
        </w:tabs>
        <w:spacing w:line="360" w:lineRule="auto"/>
        <w:rPr>
          <w:rFonts w:ascii="Arial" w:hAnsi="Arial" w:cs="Arial"/>
          <w:b/>
          <w:bCs/>
          <w:sz w:val="28"/>
          <w:szCs w:val="28"/>
        </w:rPr>
      </w:pPr>
      <w:r w:rsidRPr="00527A28">
        <w:rPr>
          <w:rFonts w:ascii="Arial" w:hAnsi="Arial" w:cs="Arial"/>
          <w:b/>
          <w:bCs/>
          <w:sz w:val="28"/>
          <w:szCs w:val="28"/>
        </w:rPr>
        <w:t>Module name</w:t>
      </w:r>
      <w:r w:rsidRPr="00527A28">
        <w:rPr>
          <w:rFonts w:ascii="Arial" w:hAnsi="Arial" w:cs="Arial"/>
          <w:sz w:val="28"/>
          <w:szCs w:val="28"/>
        </w:rPr>
        <w:t xml:space="preserve">: </w:t>
      </w:r>
      <w:r w:rsidR="00887FBB" w:rsidRPr="00527A28">
        <w:rPr>
          <w:rFonts w:ascii="Arial" w:hAnsi="Arial" w:cs="Arial"/>
          <w:b/>
          <w:bCs/>
          <w:sz w:val="28"/>
          <w:szCs w:val="28"/>
        </w:rPr>
        <w:t>Principles of Health and Social Care Practice</w:t>
      </w:r>
    </w:p>
    <w:p w14:paraId="3FE92678" w14:textId="77777777" w:rsidR="00D97723" w:rsidRPr="00527A28" w:rsidRDefault="00D97723" w:rsidP="00594FAC">
      <w:pPr>
        <w:tabs>
          <w:tab w:val="left" w:pos="6540"/>
        </w:tabs>
        <w:spacing w:line="360" w:lineRule="auto"/>
        <w:rPr>
          <w:rFonts w:ascii="Arial" w:hAnsi="Arial" w:cs="Arial"/>
          <w:b/>
          <w:bCs/>
          <w:sz w:val="28"/>
          <w:szCs w:val="28"/>
        </w:rPr>
      </w:pPr>
    </w:p>
    <w:p w14:paraId="3E48CEF6" w14:textId="34265016" w:rsidR="00887FBB" w:rsidRDefault="00887FBB" w:rsidP="00594FAC">
      <w:pPr>
        <w:tabs>
          <w:tab w:val="left" w:pos="6540"/>
        </w:tabs>
        <w:spacing w:line="360" w:lineRule="auto"/>
        <w:rPr>
          <w:rFonts w:ascii="Arial" w:hAnsi="Arial" w:cs="Arial"/>
          <w:b/>
          <w:bCs/>
          <w:sz w:val="28"/>
          <w:szCs w:val="28"/>
        </w:rPr>
      </w:pPr>
      <w:r w:rsidRPr="00527A28">
        <w:rPr>
          <w:rFonts w:ascii="Arial" w:hAnsi="Arial" w:cs="Arial"/>
          <w:b/>
          <w:bCs/>
          <w:sz w:val="28"/>
          <w:szCs w:val="28"/>
        </w:rPr>
        <w:t>Component: 1</w:t>
      </w:r>
    </w:p>
    <w:p w14:paraId="4A612B61" w14:textId="77777777" w:rsidR="00D97723" w:rsidRPr="00527A28" w:rsidRDefault="00D97723" w:rsidP="00594FAC">
      <w:pPr>
        <w:tabs>
          <w:tab w:val="left" w:pos="6540"/>
        </w:tabs>
        <w:spacing w:line="360" w:lineRule="auto"/>
        <w:rPr>
          <w:rFonts w:ascii="Arial" w:hAnsi="Arial" w:cs="Arial"/>
          <w:sz w:val="28"/>
          <w:szCs w:val="28"/>
        </w:rPr>
      </w:pPr>
    </w:p>
    <w:p w14:paraId="7DB3261D" w14:textId="54EA5EAC" w:rsidR="00C558B0"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104264AC" w14:textId="77777777" w:rsidR="00D97723" w:rsidRDefault="00D97723" w:rsidP="00594FAC">
      <w:pPr>
        <w:tabs>
          <w:tab w:val="left" w:pos="6540"/>
        </w:tabs>
        <w:spacing w:line="360" w:lineRule="auto"/>
        <w:rPr>
          <w:rFonts w:ascii="Arial" w:hAnsi="Arial" w:cs="Arial"/>
          <w:b/>
          <w:bCs/>
          <w:sz w:val="28"/>
          <w:szCs w:val="28"/>
        </w:rPr>
      </w:pPr>
    </w:p>
    <w:p w14:paraId="3CF9138E" w14:textId="77777777" w:rsidR="00D97723" w:rsidRPr="00594FAC" w:rsidRDefault="00D97723" w:rsidP="00594FAC">
      <w:pPr>
        <w:tabs>
          <w:tab w:val="left" w:pos="6540"/>
        </w:tabs>
        <w:spacing w:line="360" w:lineRule="auto"/>
        <w:rPr>
          <w:rFonts w:ascii="Arial" w:hAnsi="Arial" w:cs="Arial"/>
          <w:sz w:val="28"/>
          <w:szCs w:val="28"/>
        </w:rPr>
      </w:pPr>
    </w:p>
    <w:p w14:paraId="5CCA350C" w14:textId="6C918448" w:rsidR="00C558B0"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527A28">
        <w:rPr>
          <w:rFonts w:ascii="Arial" w:hAnsi="Arial" w:cs="Arial"/>
          <w:sz w:val="28"/>
          <w:szCs w:val="28"/>
        </w:rPr>
        <w:t xml:space="preserve"> Rayssa Silva</w:t>
      </w:r>
    </w:p>
    <w:p w14:paraId="4C2A04E1" w14:textId="77777777" w:rsidR="00D97723" w:rsidRDefault="00D97723" w:rsidP="00594FAC">
      <w:pPr>
        <w:tabs>
          <w:tab w:val="left" w:pos="6540"/>
        </w:tabs>
        <w:spacing w:line="360" w:lineRule="auto"/>
        <w:rPr>
          <w:rFonts w:ascii="Arial" w:hAnsi="Arial" w:cs="Arial"/>
          <w:sz w:val="28"/>
          <w:szCs w:val="28"/>
        </w:rPr>
      </w:pPr>
    </w:p>
    <w:p w14:paraId="3103A1C5" w14:textId="77777777" w:rsidR="00D97723" w:rsidRDefault="00D97723" w:rsidP="00594FAC">
      <w:pPr>
        <w:tabs>
          <w:tab w:val="left" w:pos="6540"/>
        </w:tabs>
        <w:spacing w:line="360" w:lineRule="auto"/>
        <w:rPr>
          <w:rFonts w:ascii="Arial" w:hAnsi="Arial" w:cs="Arial"/>
          <w:sz w:val="28"/>
          <w:szCs w:val="28"/>
        </w:rPr>
      </w:pPr>
    </w:p>
    <w:p w14:paraId="08C51354" w14:textId="77777777" w:rsidR="00D97723" w:rsidRPr="00594FAC" w:rsidRDefault="00D97723" w:rsidP="00594FAC">
      <w:pPr>
        <w:tabs>
          <w:tab w:val="left" w:pos="6540"/>
        </w:tabs>
        <w:spacing w:line="360" w:lineRule="auto"/>
        <w:rPr>
          <w:rFonts w:ascii="Arial" w:hAnsi="Arial" w:cs="Arial"/>
          <w:sz w:val="28"/>
          <w:szCs w:val="28"/>
        </w:rPr>
      </w:pP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001571D6" w14:textId="51BCD956" w:rsidR="000D7603" w:rsidRPr="000D7603" w:rsidRDefault="006D2F2D" w:rsidP="00594FAC">
      <w:pPr>
        <w:spacing w:line="360" w:lineRule="auto"/>
        <w:rPr>
          <w:rFonts w:ascii="Arial" w:hAnsi="Arial" w:cs="Arial"/>
        </w:rPr>
      </w:pPr>
      <w:r w:rsidRPr="00594FAC">
        <w:rPr>
          <w:rFonts w:ascii="Arial" w:hAnsi="Arial" w:cs="Arial"/>
        </w:rPr>
        <w:br w:type="page"/>
      </w:r>
    </w:p>
    <w:p w14:paraId="6A1E7B02" w14:textId="77777777" w:rsidR="00993549" w:rsidRDefault="00993549" w:rsidP="00594FAC">
      <w:pPr>
        <w:spacing w:line="360" w:lineRule="auto"/>
        <w:rPr>
          <w:rFonts w:ascii="Arial" w:hAnsi="Arial" w:cs="Arial"/>
          <w:b/>
          <w:bCs/>
        </w:rPr>
      </w:pPr>
    </w:p>
    <w:p w14:paraId="2BB1CE40" w14:textId="03D6FFC2" w:rsidR="00B21FE6" w:rsidRDefault="00B21FE6" w:rsidP="00594FAC">
      <w:pPr>
        <w:spacing w:line="360" w:lineRule="auto"/>
        <w:rPr>
          <w:rFonts w:ascii="Arial" w:hAnsi="Arial" w:cs="Arial"/>
          <w:b/>
          <w:bCs/>
        </w:rPr>
      </w:pPr>
      <w:r w:rsidRPr="00594FAC">
        <w:rPr>
          <w:rFonts w:ascii="Arial" w:hAnsi="Arial" w:cs="Arial"/>
          <w:b/>
          <w:bCs/>
        </w:rPr>
        <w:t>Table of contents</w:t>
      </w:r>
    </w:p>
    <w:p w14:paraId="4140A5DD" w14:textId="77777777" w:rsidR="00D97723" w:rsidRDefault="00D97723" w:rsidP="00594FAC">
      <w:pPr>
        <w:spacing w:line="360" w:lineRule="auto"/>
        <w:rPr>
          <w:rFonts w:ascii="Arial" w:hAnsi="Arial" w:cs="Arial"/>
          <w:b/>
          <w:bCs/>
          <w:sz w:val="22"/>
        </w:rPr>
      </w:pPr>
    </w:p>
    <w:p w14:paraId="7BB7CFBE" w14:textId="77777777" w:rsidR="00993549" w:rsidRDefault="00993549" w:rsidP="00594FAC">
      <w:pPr>
        <w:spacing w:line="360" w:lineRule="auto"/>
        <w:rPr>
          <w:rFonts w:ascii="Arial" w:hAnsi="Arial" w:cs="Arial"/>
          <w:b/>
          <w:bCs/>
          <w:sz w:val="22"/>
        </w:rPr>
      </w:pPr>
    </w:p>
    <w:p w14:paraId="672D4DBE" w14:textId="77777777" w:rsidR="00993549" w:rsidRPr="00993549" w:rsidRDefault="00993549" w:rsidP="00594FAC">
      <w:pPr>
        <w:spacing w:line="360" w:lineRule="auto"/>
        <w:rPr>
          <w:rFonts w:ascii="Arial" w:hAnsi="Arial" w:cs="Arial"/>
          <w:b/>
          <w:bCs/>
          <w:sz w:val="22"/>
        </w:rPr>
      </w:pPr>
    </w:p>
    <w:p w14:paraId="5B756155" w14:textId="2254B457" w:rsidR="00D97723" w:rsidRPr="00993549" w:rsidRDefault="00993549" w:rsidP="00993549">
      <w:pPr>
        <w:spacing w:line="360" w:lineRule="auto"/>
        <w:jc w:val="both"/>
        <w:rPr>
          <w:rFonts w:ascii="Arial" w:hAnsi="Arial" w:cs="Arial"/>
          <w:b/>
          <w:bCs/>
          <w:sz w:val="22"/>
        </w:rPr>
      </w:pPr>
      <w:r w:rsidRPr="00993549">
        <w:rPr>
          <w:rFonts w:ascii="Arial" w:hAnsi="Arial" w:cs="Arial"/>
          <w:sz w:val="22"/>
        </w:rPr>
        <w:t xml:space="preserve">Task 1 </w:t>
      </w:r>
      <w:r w:rsidR="009258DC" w:rsidRPr="00993549">
        <w:rPr>
          <w:rFonts w:ascii="Arial" w:hAnsi="Arial" w:cs="Arial"/>
          <w:sz w:val="22"/>
        </w:rPr>
        <w:t>Reflection on the Importance of Principles of Health and Social Care</w:t>
      </w:r>
      <w:r w:rsidR="00D97723" w:rsidRPr="00993549">
        <w:rPr>
          <w:rFonts w:ascii="Arial" w:hAnsi="Arial" w:cs="Arial"/>
          <w:sz w:val="22"/>
        </w:rPr>
        <w:t>………………………………</w:t>
      </w:r>
      <w:r w:rsidR="009258DC" w:rsidRPr="00993549">
        <w:rPr>
          <w:rFonts w:ascii="Arial" w:hAnsi="Arial" w:cs="Arial"/>
          <w:sz w:val="22"/>
        </w:rPr>
        <w:t>………………………</w:t>
      </w:r>
      <w:r w:rsidR="00D97723" w:rsidRPr="00993549">
        <w:rPr>
          <w:rFonts w:ascii="Arial" w:hAnsi="Arial" w:cs="Arial"/>
          <w:sz w:val="22"/>
        </w:rPr>
        <w:t xml:space="preserve"> 03</w:t>
      </w:r>
    </w:p>
    <w:p w14:paraId="088B1219" w14:textId="1032B1AD" w:rsidR="009258DC" w:rsidRPr="00993549" w:rsidRDefault="00993549" w:rsidP="00993549">
      <w:pPr>
        <w:spacing w:line="360" w:lineRule="auto"/>
        <w:jc w:val="both"/>
        <w:rPr>
          <w:rFonts w:ascii="Arial" w:hAnsi="Arial" w:cs="Arial"/>
          <w:sz w:val="22"/>
        </w:rPr>
      </w:pPr>
      <w:r w:rsidRPr="00993549">
        <w:rPr>
          <w:rFonts w:ascii="Arial" w:hAnsi="Arial" w:cs="Arial"/>
          <w:sz w:val="22"/>
        </w:rPr>
        <w:t xml:space="preserve">Task 2 </w:t>
      </w:r>
      <w:r w:rsidR="009258DC" w:rsidRPr="00993549">
        <w:rPr>
          <w:rFonts w:ascii="Arial" w:hAnsi="Arial" w:cs="Arial"/>
          <w:sz w:val="22"/>
        </w:rPr>
        <w:t>Practical Examples of Concepts in Practice</w:t>
      </w:r>
    </w:p>
    <w:p w14:paraId="47BF477A" w14:textId="4D674A2E" w:rsidR="00D97723" w:rsidRPr="00993549" w:rsidRDefault="009258DC" w:rsidP="00993549">
      <w:pPr>
        <w:spacing w:line="360" w:lineRule="auto"/>
        <w:jc w:val="both"/>
        <w:rPr>
          <w:rFonts w:ascii="Arial" w:hAnsi="Arial" w:cs="Arial"/>
          <w:b/>
          <w:bCs/>
          <w:sz w:val="22"/>
        </w:rPr>
      </w:pPr>
      <w:r w:rsidRPr="00993549">
        <w:rPr>
          <w:rFonts w:ascii="Arial" w:hAnsi="Arial" w:cs="Arial"/>
          <w:sz w:val="22"/>
        </w:rPr>
        <w:t>…………………………………..</w:t>
      </w:r>
      <w:r w:rsidR="00D97723" w:rsidRPr="00993549">
        <w:rPr>
          <w:rFonts w:ascii="Arial" w:hAnsi="Arial" w:cs="Arial"/>
          <w:sz w:val="22"/>
        </w:rPr>
        <w:t>………………………. 04</w:t>
      </w:r>
    </w:p>
    <w:p w14:paraId="78E69711" w14:textId="4EDCFD93" w:rsidR="00D97723" w:rsidRPr="00993549" w:rsidRDefault="00993549" w:rsidP="00993549">
      <w:pPr>
        <w:spacing w:line="360" w:lineRule="auto"/>
        <w:jc w:val="both"/>
        <w:rPr>
          <w:rFonts w:ascii="Arial" w:hAnsi="Arial" w:cs="Arial"/>
          <w:sz w:val="22"/>
        </w:rPr>
      </w:pPr>
      <w:r w:rsidRPr="00993549">
        <w:rPr>
          <w:rFonts w:ascii="Arial" w:hAnsi="Arial" w:cs="Arial"/>
          <w:sz w:val="22"/>
        </w:rPr>
        <w:t xml:space="preserve">Task 3 </w:t>
      </w:r>
      <w:r w:rsidR="009258DC" w:rsidRPr="00993549">
        <w:rPr>
          <w:rFonts w:ascii="Arial" w:hAnsi="Arial" w:cs="Arial"/>
          <w:sz w:val="22"/>
        </w:rPr>
        <w:t>Self-Reflection as a Health and Social Care Professional</w:t>
      </w:r>
      <w:r w:rsidR="009258DC" w:rsidRPr="00993549">
        <w:rPr>
          <w:rFonts w:ascii="Arial" w:hAnsi="Arial" w:cs="Arial"/>
          <w:sz w:val="22"/>
        </w:rPr>
        <w:t xml:space="preserve"> </w:t>
      </w:r>
      <w:r w:rsidR="00D97723" w:rsidRPr="00993549">
        <w:rPr>
          <w:rFonts w:ascii="Arial" w:hAnsi="Arial" w:cs="Arial"/>
          <w:sz w:val="22"/>
        </w:rPr>
        <w:t>……………………………………</w:t>
      </w:r>
      <w:r w:rsidR="009258DC" w:rsidRPr="00993549">
        <w:rPr>
          <w:rFonts w:ascii="Arial" w:hAnsi="Arial" w:cs="Arial"/>
          <w:sz w:val="22"/>
        </w:rPr>
        <w:t>………………………</w:t>
      </w:r>
      <w:r w:rsidR="009F7E7D" w:rsidRPr="00993549">
        <w:rPr>
          <w:rFonts w:ascii="Arial" w:hAnsi="Arial" w:cs="Arial"/>
          <w:sz w:val="22"/>
        </w:rPr>
        <w:t xml:space="preserve"> 05</w:t>
      </w:r>
    </w:p>
    <w:p w14:paraId="7CEC7736" w14:textId="5DF68515" w:rsidR="009F7E7D" w:rsidRPr="00993549" w:rsidRDefault="009F7E7D" w:rsidP="00993549">
      <w:pPr>
        <w:spacing w:line="360" w:lineRule="auto"/>
        <w:jc w:val="both"/>
        <w:rPr>
          <w:rFonts w:ascii="Arial" w:hAnsi="Arial" w:cs="Arial"/>
          <w:sz w:val="22"/>
        </w:rPr>
      </w:pPr>
      <w:r w:rsidRPr="00993549">
        <w:rPr>
          <w:rFonts w:ascii="Arial" w:hAnsi="Arial" w:cs="Arial"/>
          <w:sz w:val="22"/>
        </w:rPr>
        <w:t>Conclusion ……………………………</w:t>
      </w:r>
      <w:r w:rsidR="009258DC" w:rsidRPr="00993549">
        <w:rPr>
          <w:rFonts w:ascii="Arial" w:hAnsi="Arial" w:cs="Arial"/>
          <w:sz w:val="22"/>
        </w:rPr>
        <w:t>……………</w:t>
      </w:r>
      <w:proofErr w:type="gramStart"/>
      <w:r w:rsidR="009258DC" w:rsidRPr="00993549">
        <w:rPr>
          <w:rFonts w:ascii="Arial" w:hAnsi="Arial" w:cs="Arial"/>
          <w:sz w:val="22"/>
        </w:rPr>
        <w:t>…..</w:t>
      </w:r>
      <w:proofErr w:type="gramEnd"/>
      <w:r w:rsidRPr="00993549">
        <w:rPr>
          <w:rFonts w:ascii="Arial" w:hAnsi="Arial" w:cs="Arial"/>
          <w:sz w:val="22"/>
        </w:rPr>
        <w:t xml:space="preserve"> 07</w:t>
      </w:r>
    </w:p>
    <w:p w14:paraId="51821D86" w14:textId="2EF20B80" w:rsidR="009258DC" w:rsidRPr="00993549" w:rsidRDefault="009258DC" w:rsidP="00993549">
      <w:pPr>
        <w:spacing w:line="360" w:lineRule="auto"/>
        <w:jc w:val="both"/>
        <w:rPr>
          <w:rFonts w:ascii="Arial" w:hAnsi="Arial" w:cs="Arial"/>
          <w:sz w:val="22"/>
        </w:rPr>
      </w:pPr>
      <w:r w:rsidRPr="00993549">
        <w:rPr>
          <w:rFonts w:ascii="Arial" w:hAnsi="Arial" w:cs="Arial"/>
          <w:sz w:val="22"/>
        </w:rPr>
        <w:t>References …………………………………………</w:t>
      </w:r>
      <w:proofErr w:type="gramStart"/>
      <w:r w:rsidRPr="00993549">
        <w:rPr>
          <w:rFonts w:ascii="Arial" w:hAnsi="Arial" w:cs="Arial"/>
          <w:sz w:val="22"/>
        </w:rPr>
        <w:t>…..</w:t>
      </w:r>
      <w:proofErr w:type="gramEnd"/>
      <w:r w:rsidRPr="00993549">
        <w:rPr>
          <w:rFonts w:ascii="Arial" w:hAnsi="Arial" w:cs="Arial"/>
          <w:sz w:val="22"/>
        </w:rPr>
        <w:t xml:space="preserve"> 09</w:t>
      </w:r>
    </w:p>
    <w:p w14:paraId="46324C18" w14:textId="77777777" w:rsidR="000D7603" w:rsidRDefault="000D7603" w:rsidP="00594FAC">
      <w:pPr>
        <w:spacing w:line="360" w:lineRule="auto"/>
        <w:rPr>
          <w:rFonts w:ascii="Arial" w:hAnsi="Arial" w:cs="Arial"/>
          <w:b/>
          <w:bCs/>
        </w:rPr>
      </w:pPr>
    </w:p>
    <w:p w14:paraId="52CFAA92" w14:textId="77777777" w:rsidR="000D7603" w:rsidRDefault="000D7603" w:rsidP="00594FAC">
      <w:pPr>
        <w:spacing w:line="360" w:lineRule="auto"/>
        <w:rPr>
          <w:rFonts w:ascii="Arial" w:hAnsi="Arial" w:cs="Arial"/>
          <w:b/>
          <w:bCs/>
        </w:rPr>
      </w:pPr>
    </w:p>
    <w:p w14:paraId="4C357B8B" w14:textId="77777777" w:rsidR="000D7603" w:rsidRDefault="000D7603" w:rsidP="00594FAC">
      <w:pPr>
        <w:spacing w:line="360" w:lineRule="auto"/>
        <w:rPr>
          <w:rFonts w:ascii="Arial" w:hAnsi="Arial" w:cs="Arial"/>
          <w:b/>
          <w:bCs/>
        </w:rPr>
      </w:pPr>
    </w:p>
    <w:p w14:paraId="0FDC1C8D" w14:textId="77777777" w:rsidR="000D7603" w:rsidRDefault="000D7603" w:rsidP="00594FAC">
      <w:pPr>
        <w:spacing w:line="360" w:lineRule="auto"/>
        <w:rPr>
          <w:rFonts w:ascii="Arial" w:hAnsi="Arial" w:cs="Arial"/>
          <w:b/>
          <w:bCs/>
        </w:rPr>
      </w:pPr>
    </w:p>
    <w:p w14:paraId="55FA1298" w14:textId="77777777" w:rsidR="000D7603" w:rsidRDefault="000D7603" w:rsidP="00594FAC">
      <w:pPr>
        <w:spacing w:line="360" w:lineRule="auto"/>
        <w:rPr>
          <w:rFonts w:ascii="Arial" w:hAnsi="Arial" w:cs="Arial"/>
          <w:b/>
          <w:bCs/>
        </w:rPr>
      </w:pPr>
    </w:p>
    <w:p w14:paraId="4F3DF37C" w14:textId="77777777" w:rsidR="000D7603" w:rsidRDefault="000D7603" w:rsidP="00594FAC">
      <w:pPr>
        <w:spacing w:line="360" w:lineRule="auto"/>
        <w:rPr>
          <w:rFonts w:ascii="Arial" w:hAnsi="Arial" w:cs="Arial"/>
          <w:b/>
          <w:bCs/>
        </w:rPr>
      </w:pPr>
    </w:p>
    <w:p w14:paraId="5FB6A59F" w14:textId="77777777" w:rsidR="000D7603" w:rsidRDefault="000D7603" w:rsidP="00594FAC">
      <w:pPr>
        <w:spacing w:line="360" w:lineRule="auto"/>
        <w:rPr>
          <w:rFonts w:ascii="Arial" w:hAnsi="Arial" w:cs="Arial"/>
          <w:b/>
          <w:bCs/>
        </w:rPr>
      </w:pPr>
    </w:p>
    <w:p w14:paraId="027A0A54" w14:textId="77777777" w:rsidR="000D7603" w:rsidRDefault="000D7603" w:rsidP="00594FAC">
      <w:pPr>
        <w:spacing w:line="360" w:lineRule="auto"/>
        <w:rPr>
          <w:rFonts w:ascii="Arial" w:hAnsi="Arial" w:cs="Arial"/>
          <w:b/>
          <w:bCs/>
        </w:rPr>
      </w:pPr>
    </w:p>
    <w:p w14:paraId="34EDC6A4" w14:textId="77777777" w:rsidR="000D7603" w:rsidRDefault="000D7603" w:rsidP="00594FAC">
      <w:pPr>
        <w:spacing w:line="360" w:lineRule="auto"/>
        <w:rPr>
          <w:rFonts w:ascii="Arial" w:hAnsi="Arial" w:cs="Arial"/>
          <w:b/>
          <w:bCs/>
        </w:rPr>
      </w:pPr>
    </w:p>
    <w:p w14:paraId="55D0F6EF" w14:textId="77777777" w:rsidR="000D7603" w:rsidRDefault="000D7603" w:rsidP="00594FAC">
      <w:pPr>
        <w:spacing w:line="360" w:lineRule="auto"/>
        <w:rPr>
          <w:rFonts w:ascii="Arial" w:hAnsi="Arial" w:cs="Arial"/>
          <w:b/>
          <w:bCs/>
        </w:rPr>
      </w:pPr>
    </w:p>
    <w:p w14:paraId="69BBA584" w14:textId="77777777" w:rsidR="000D7603" w:rsidRDefault="000D7603" w:rsidP="00594FAC">
      <w:pPr>
        <w:spacing w:line="360" w:lineRule="auto"/>
        <w:rPr>
          <w:rFonts w:ascii="Arial" w:hAnsi="Arial" w:cs="Arial"/>
          <w:b/>
          <w:bCs/>
        </w:rPr>
      </w:pPr>
    </w:p>
    <w:p w14:paraId="7AF96EE6" w14:textId="77777777" w:rsidR="000D7603" w:rsidRDefault="000D7603" w:rsidP="00594FAC">
      <w:pPr>
        <w:spacing w:line="360" w:lineRule="auto"/>
        <w:rPr>
          <w:rFonts w:ascii="Arial" w:hAnsi="Arial" w:cs="Arial"/>
          <w:b/>
          <w:bCs/>
        </w:rPr>
      </w:pPr>
    </w:p>
    <w:p w14:paraId="299734B0" w14:textId="77777777" w:rsidR="009258DC" w:rsidRDefault="009258DC" w:rsidP="009258DC">
      <w:pPr>
        <w:spacing w:line="360" w:lineRule="auto"/>
        <w:rPr>
          <w:rFonts w:ascii="Arial" w:hAnsi="Arial" w:cs="Arial"/>
          <w:b/>
          <w:bCs/>
        </w:rPr>
      </w:pPr>
    </w:p>
    <w:p w14:paraId="076A598D" w14:textId="77777777" w:rsidR="00993549" w:rsidRPr="009258DC" w:rsidRDefault="00993549" w:rsidP="009258DC">
      <w:pPr>
        <w:spacing w:line="360" w:lineRule="auto"/>
        <w:rPr>
          <w:rFonts w:ascii="Arial" w:hAnsi="Arial" w:cs="Arial"/>
          <w:sz w:val="22"/>
        </w:rPr>
      </w:pPr>
    </w:p>
    <w:p w14:paraId="607C0EA6" w14:textId="111F5CA9" w:rsidR="009258DC" w:rsidRDefault="00993549" w:rsidP="000D7603">
      <w:pPr>
        <w:spacing w:after="0" w:line="360" w:lineRule="auto"/>
        <w:rPr>
          <w:rFonts w:ascii="Arial" w:eastAsia="Arial" w:hAnsi="Arial" w:cs="Arial"/>
          <w:b/>
          <w:bCs/>
          <w:szCs w:val="24"/>
        </w:rPr>
      </w:pPr>
      <w:r>
        <w:rPr>
          <w:rFonts w:ascii="Arial" w:eastAsia="Arial" w:hAnsi="Arial" w:cs="Arial"/>
          <w:b/>
          <w:bCs/>
          <w:szCs w:val="24"/>
        </w:rPr>
        <w:t xml:space="preserve">Task 1: </w:t>
      </w:r>
      <w:r w:rsidR="009258DC" w:rsidRPr="009258DC">
        <w:rPr>
          <w:rFonts w:ascii="Arial" w:eastAsia="Arial" w:hAnsi="Arial" w:cs="Arial"/>
          <w:b/>
          <w:bCs/>
          <w:szCs w:val="24"/>
        </w:rPr>
        <w:t>Reflection on the Importance of Principles of Health and Social Care</w:t>
      </w:r>
      <w:r w:rsidR="009258DC" w:rsidRPr="009258DC">
        <w:rPr>
          <w:rFonts w:ascii="Arial" w:eastAsia="Arial" w:hAnsi="Arial" w:cs="Arial"/>
          <w:b/>
          <w:bCs/>
          <w:szCs w:val="24"/>
        </w:rPr>
        <w:t xml:space="preserve"> </w:t>
      </w:r>
    </w:p>
    <w:p w14:paraId="5E58E7FF" w14:textId="77777777" w:rsidR="009258DC" w:rsidRDefault="009258DC" w:rsidP="000D7603">
      <w:pPr>
        <w:spacing w:after="0" w:line="360" w:lineRule="auto"/>
        <w:rPr>
          <w:rFonts w:ascii="Arial" w:eastAsia="Arial" w:hAnsi="Arial" w:cs="Arial"/>
          <w:b/>
          <w:bCs/>
          <w:szCs w:val="24"/>
        </w:rPr>
      </w:pPr>
    </w:p>
    <w:p w14:paraId="78A194B6" w14:textId="53CEE6D7" w:rsidR="001F49CD" w:rsidRPr="001F49CD" w:rsidRDefault="001F49CD" w:rsidP="000A14A6">
      <w:pPr>
        <w:spacing w:after="0" w:line="360" w:lineRule="auto"/>
        <w:jc w:val="both"/>
        <w:rPr>
          <w:rFonts w:ascii="Arial" w:eastAsia="Arial" w:hAnsi="Arial" w:cs="Arial"/>
          <w:szCs w:val="24"/>
        </w:rPr>
      </w:pPr>
      <w:r w:rsidRPr="001F49CD">
        <w:rPr>
          <w:rFonts w:ascii="Arial" w:eastAsia="Arial" w:hAnsi="Arial" w:cs="Arial"/>
          <w:szCs w:val="24"/>
        </w:rPr>
        <w:t>Person</w:t>
      </w:r>
      <w:r w:rsidRPr="001F49CD">
        <w:rPr>
          <w:rFonts w:ascii="Arial" w:eastAsia="Arial" w:hAnsi="Arial" w:cs="Arial"/>
          <w:szCs w:val="24"/>
        </w:rPr>
        <w:noBreakHyphen/>
        <w:t xml:space="preserve">centred care is a key principle in health and social care, focusing on making </w:t>
      </w:r>
      <w:r w:rsidR="0004009F">
        <w:rPr>
          <w:rFonts w:ascii="Arial" w:eastAsia="Arial" w:hAnsi="Arial" w:cs="Arial"/>
          <w:szCs w:val="24"/>
        </w:rPr>
        <w:t>sure</w:t>
      </w:r>
      <w:r w:rsidRPr="001F49CD">
        <w:rPr>
          <w:rFonts w:ascii="Arial" w:eastAsia="Arial" w:hAnsi="Arial" w:cs="Arial"/>
          <w:szCs w:val="24"/>
        </w:rPr>
        <w:t xml:space="preserve"> that the individual is at the heart of every decision about their support. It means recognising each person’s unique preferences, values, and needs, and shaping care so it </w:t>
      </w:r>
      <w:r w:rsidR="0004009F" w:rsidRPr="001F49CD">
        <w:rPr>
          <w:rFonts w:ascii="Arial" w:eastAsia="Arial" w:hAnsi="Arial" w:cs="Arial"/>
          <w:szCs w:val="24"/>
        </w:rPr>
        <w:t>sincerely</w:t>
      </w:r>
      <w:r w:rsidRPr="001F49CD">
        <w:rPr>
          <w:rFonts w:ascii="Arial" w:eastAsia="Arial" w:hAnsi="Arial" w:cs="Arial"/>
          <w:szCs w:val="24"/>
        </w:rPr>
        <w:t xml:space="preserve"> reflects who they </w:t>
      </w:r>
      <w:r w:rsidR="00DA7CF8">
        <w:rPr>
          <w:rFonts w:ascii="Arial" w:eastAsia="Arial" w:hAnsi="Arial" w:cs="Arial"/>
          <w:szCs w:val="24"/>
        </w:rPr>
        <w:t>are</w:t>
      </w:r>
      <w:r w:rsidR="00B1482B">
        <w:rPr>
          <w:rFonts w:ascii="Arial" w:eastAsia="Arial" w:hAnsi="Arial" w:cs="Arial"/>
          <w:szCs w:val="24"/>
        </w:rPr>
        <w:t xml:space="preserve"> </w:t>
      </w:r>
      <w:r w:rsidR="00B1482B" w:rsidRPr="00B1482B">
        <w:rPr>
          <w:rFonts w:ascii="Arial" w:eastAsia="Arial" w:hAnsi="Arial" w:cs="Arial"/>
          <w:szCs w:val="24"/>
        </w:rPr>
        <w:t>(The Health Foundation,</w:t>
      </w:r>
      <w:r w:rsidR="00B1482B">
        <w:rPr>
          <w:rFonts w:ascii="Arial" w:eastAsia="Arial" w:hAnsi="Arial" w:cs="Arial"/>
          <w:szCs w:val="24"/>
        </w:rPr>
        <w:t xml:space="preserve"> </w:t>
      </w:r>
      <w:r w:rsidR="00B1482B" w:rsidRPr="00B1482B">
        <w:rPr>
          <w:rFonts w:ascii="Arial" w:eastAsia="Arial" w:hAnsi="Arial" w:cs="Arial"/>
          <w:szCs w:val="24"/>
        </w:rPr>
        <w:t>2016</w:t>
      </w:r>
      <w:r w:rsidR="00DA7CF8">
        <w:rPr>
          <w:rFonts w:ascii="Arial" w:eastAsia="Arial" w:hAnsi="Arial" w:cs="Arial"/>
          <w:szCs w:val="24"/>
        </w:rPr>
        <w:t>). The</w:t>
      </w:r>
      <w:r w:rsidRPr="001F49CD">
        <w:rPr>
          <w:rFonts w:ascii="Arial" w:eastAsia="Arial" w:hAnsi="Arial" w:cs="Arial"/>
          <w:szCs w:val="24"/>
        </w:rPr>
        <w:t xml:space="preserve"> Health Foundation (2016) explains that person</w:t>
      </w:r>
      <w:r w:rsidRPr="001F49CD">
        <w:rPr>
          <w:rFonts w:ascii="Arial" w:eastAsia="Arial" w:hAnsi="Arial" w:cs="Arial"/>
          <w:szCs w:val="24"/>
        </w:rPr>
        <w:noBreakHyphen/>
        <w:t>centred care encourages shared decision</w:t>
      </w:r>
      <w:r w:rsidRPr="001F49CD">
        <w:rPr>
          <w:rFonts w:ascii="Arial" w:eastAsia="Arial" w:hAnsi="Arial" w:cs="Arial"/>
          <w:szCs w:val="24"/>
        </w:rPr>
        <w:noBreakHyphen/>
        <w:t>making and helps people feel more in control of their own health and wellbeing. This approach is vital because it supports autonomy, increases satisfaction, and can lead to better health outcomes. When people are actively involved in their care, professionals can build stronger relationships, develop trust, and deliver services that are more responsive and effective.</w:t>
      </w:r>
    </w:p>
    <w:p w14:paraId="69D2FDF4" w14:textId="77777777" w:rsidR="001F49CD" w:rsidRPr="001F49CD" w:rsidRDefault="001F49CD" w:rsidP="000A14A6">
      <w:pPr>
        <w:spacing w:after="0" w:line="360" w:lineRule="auto"/>
        <w:jc w:val="both"/>
        <w:rPr>
          <w:rFonts w:ascii="Arial" w:eastAsia="Arial" w:hAnsi="Arial" w:cs="Arial"/>
          <w:szCs w:val="24"/>
        </w:rPr>
      </w:pPr>
      <w:r w:rsidRPr="001F49CD">
        <w:rPr>
          <w:rFonts w:ascii="Arial" w:eastAsia="Arial" w:hAnsi="Arial" w:cs="Arial"/>
          <w:szCs w:val="24"/>
        </w:rPr>
        <w:t>The value of person</w:t>
      </w:r>
      <w:r w:rsidRPr="001F49CD">
        <w:rPr>
          <w:rFonts w:ascii="Arial" w:eastAsia="Arial" w:hAnsi="Arial" w:cs="Arial"/>
          <w:szCs w:val="24"/>
        </w:rPr>
        <w:noBreakHyphen/>
        <w:t>centred care is widely acknowledged, especially in its ability to improve outcomes and raise the overall quality of care. It promotes independence by encouraging individuals to take part in decisions that affect them. O’Leary et al. (2016) found that patient</w:t>
      </w:r>
      <w:r w:rsidRPr="001F49CD">
        <w:rPr>
          <w:rFonts w:ascii="Arial" w:eastAsia="Arial" w:hAnsi="Arial" w:cs="Arial"/>
          <w:szCs w:val="24"/>
        </w:rPr>
        <w:noBreakHyphen/>
        <w:t>centred approaches increase engagement and strengthen decision</w:t>
      </w:r>
      <w:r w:rsidRPr="001F49CD">
        <w:rPr>
          <w:rFonts w:ascii="Arial" w:eastAsia="Arial" w:hAnsi="Arial" w:cs="Arial"/>
          <w:szCs w:val="24"/>
        </w:rPr>
        <w:noBreakHyphen/>
        <w:t>making abilities. This matters because people tend to feel more confident and satisfied when they are informed and included. In the UK, the Care Act 2014 reinforces this by placing a duty on professionals to promote wellbeing, including dignity, choice, and control. As a result, person</w:t>
      </w:r>
      <w:r w:rsidRPr="001F49CD">
        <w:rPr>
          <w:rFonts w:ascii="Arial" w:eastAsia="Arial" w:hAnsi="Arial" w:cs="Arial"/>
          <w:szCs w:val="24"/>
        </w:rPr>
        <w:noBreakHyphen/>
        <w:t>centred care is a crucial part of delivering high</w:t>
      </w:r>
      <w:r w:rsidRPr="001F49CD">
        <w:rPr>
          <w:rFonts w:ascii="Arial" w:eastAsia="Arial" w:hAnsi="Arial" w:cs="Arial"/>
          <w:szCs w:val="24"/>
        </w:rPr>
        <w:noBreakHyphen/>
        <w:t>quality and effective health and social care.</w:t>
      </w:r>
    </w:p>
    <w:p w14:paraId="7F768CE1" w14:textId="77777777" w:rsidR="00311DEC" w:rsidRDefault="00311DEC" w:rsidP="000A14A6">
      <w:pPr>
        <w:spacing w:after="0" w:line="360" w:lineRule="auto"/>
        <w:jc w:val="both"/>
        <w:rPr>
          <w:rFonts w:ascii="Arial" w:eastAsia="Arial" w:hAnsi="Arial" w:cs="Arial"/>
          <w:szCs w:val="24"/>
        </w:rPr>
      </w:pPr>
      <w:r w:rsidRPr="00311DEC">
        <w:rPr>
          <w:rFonts w:ascii="Arial" w:eastAsia="Arial" w:hAnsi="Arial" w:cs="Arial"/>
          <w:szCs w:val="24"/>
        </w:rPr>
        <w:t xml:space="preserve">Partnership working is a key principle in health and social care, involving cooperation between professionals, organisations, and the people who use services. Glasby and Dickinson (2014) describe it as a core aspect of integrated care, enabling different services to work together to address complex needs. This is particularly important because many individuals depend on support from multiple sectors, including healthcare, social care, and voluntary organisations. When partnership working is effective, communication improves, duplication of work is reduced, and care becomes more consistent. Research also shows that collaborative approaches lead to better outcomes by ensuring support is coordinated and tailored to each person’s needs (Reeves et al., 2017). The Health and Care Act 2022 further </w:t>
      </w:r>
      <w:proofErr w:type="gramStart"/>
      <w:r w:rsidRPr="00311DEC">
        <w:rPr>
          <w:rFonts w:ascii="Arial" w:eastAsia="Arial" w:hAnsi="Arial" w:cs="Arial"/>
          <w:szCs w:val="24"/>
        </w:rPr>
        <w:t>reinforces</w:t>
      </w:r>
      <w:proofErr w:type="gramEnd"/>
      <w:r w:rsidRPr="00311DEC">
        <w:rPr>
          <w:rFonts w:ascii="Arial" w:eastAsia="Arial" w:hAnsi="Arial" w:cs="Arial"/>
          <w:szCs w:val="24"/>
        </w:rPr>
        <w:t xml:space="preserve"> this by promoting integrated care systems across the UK. For these reasons, partnership </w:t>
      </w:r>
      <w:r w:rsidRPr="00311DEC">
        <w:rPr>
          <w:rFonts w:ascii="Arial" w:eastAsia="Arial" w:hAnsi="Arial" w:cs="Arial"/>
          <w:szCs w:val="24"/>
        </w:rPr>
        <w:lastRenderedPageBreak/>
        <w:t>working is essential for delivering safe, coordinated, and effective care that improves overall outcomes.</w:t>
      </w:r>
    </w:p>
    <w:p w14:paraId="74C998A4" w14:textId="77777777" w:rsidR="00311DEC" w:rsidRDefault="00311DEC" w:rsidP="000A14A6">
      <w:pPr>
        <w:spacing w:after="0" w:line="360" w:lineRule="auto"/>
        <w:jc w:val="both"/>
        <w:rPr>
          <w:rFonts w:ascii="Arial" w:eastAsia="Arial" w:hAnsi="Arial" w:cs="Arial"/>
          <w:szCs w:val="24"/>
        </w:rPr>
      </w:pPr>
    </w:p>
    <w:p w14:paraId="00EE015D" w14:textId="7994C459" w:rsidR="00AF39E7" w:rsidRDefault="00311DEC" w:rsidP="000A14A6">
      <w:pPr>
        <w:spacing w:after="0" w:line="360" w:lineRule="auto"/>
        <w:jc w:val="both"/>
        <w:rPr>
          <w:rFonts w:ascii="Arial" w:eastAsia="Arial" w:hAnsi="Arial" w:cs="Arial"/>
          <w:szCs w:val="24"/>
        </w:rPr>
      </w:pPr>
      <w:r w:rsidRPr="00311DEC">
        <w:rPr>
          <w:rFonts w:ascii="Arial" w:eastAsia="Arial" w:hAnsi="Arial" w:cs="Arial"/>
          <w:szCs w:val="24"/>
        </w:rPr>
        <w:t>Ethical practice is a crucial aspect of health and social care, guiding professionals to behave in ways that uphold dignity, respect, and safety. It is grounded in core ethical principles such as autonomy, beneficence, non</w:t>
      </w:r>
      <w:r w:rsidRPr="00311DEC">
        <w:rPr>
          <w:rFonts w:ascii="Arial" w:eastAsia="Arial" w:hAnsi="Arial" w:cs="Arial"/>
          <w:szCs w:val="24"/>
        </w:rPr>
        <w:noBreakHyphen/>
        <w:t>maleficence, and justice, which support practitioners in making fair and responsible choices (Barker, 2011). Part of ethical practice also involves addressing unsafe or inappropriate behaviour; for instance, whistleblowing is an important mechanism for protecting individuals from harm (Ash, 2013). Additionally, regulatory bodies require professionals to maintain confidentiality, integrity, and accountability. Together, these expectations show that ethical practice is both a legal and moral obligation, forming the foundation for delivering care that is safe, respectful, and of high quality.</w:t>
      </w:r>
    </w:p>
    <w:p w14:paraId="1E98D9A4" w14:textId="77777777" w:rsidR="00311DEC" w:rsidRDefault="00311DEC" w:rsidP="00993549">
      <w:pPr>
        <w:spacing w:after="0" w:line="360" w:lineRule="auto"/>
        <w:rPr>
          <w:rFonts w:ascii="Arial" w:eastAsia="Arial" w:hAnsi="Arial" w:cs="Arial"/>
          <w:szCs w:val="24"/>
        </w:rPr>
      </w:pPr>
    </w:p>
    <w:p w14:paraId="365B75F2" w14:textId="0F4A1475" w:rsidR="002279FE" w:rsidRPr="00DA7CF8" w:rsidRDefault="00993549" w:rsidP="00993549">
      <w:pPr>
        <w:spacing w:line="360" w:lineRule="auto"/>
        <w:rPr>
          <w:rFonts w:ascii="Arial" w:hAnsi="Arial" w:cs="Arial"/>
          <w:b/>
          <w:bCs/>
        </w:rPr>
      </w:pPr>
      <w:r>
        <w:rPr>
          <w:rFonts w:ascii="Arial" w:hAnsi="Arial" w:cs="Arial"/>
          <w:b/>
          <w:bCs/>
        </w:rPr>
        <w:t xml:space="preserve">Task 2: </w:t>
      </w:r>
      <w:r w:rsidR="009258DC" w:rsidRPr="009258DC">
        <w:rPr>
          <w:rFonts w:ascii="Arial" w:hAnsi="Arial" w:cs="Arial"/>
          <w:b/>
          <w:bCs/>
        </w:rPr>
        <w:t>Practical Examples of Concepts in Practice</w:t>
      </w:r>
    </w:p>
    <w:p w14:paraId="188069F1" w14:textId="77777777" w:rsidR="001C75C4" w:rsidRDefault="001C75C4" w:rsidP="000A14A6">
      <w:pPr>
        <w:spacing w:after="0" w:line="360" w:lineRule="auto"/>
        <w:jc w:val="both"/>
        <w:rPr>
          <w:rFonts w:ascii="Arial" w:eastAsia="Arial" w:hAnsi="Arial" w:cs="Arial"/>
          <w:szCs w:val="24"/>
        </w:rPr>
      </w:pPr>
      <w:r w:rsidRPr="001C75C4">
        <w:rPr>
          <w:rFonts w:ascii="Arial" w:eastAsia="Arial" w:hAnsi="Arial" w:cs="Arial"/>
          <w:szCs w:val="24"/>
        </w:rPr>
        <w:t>A service user living in a very disorganised home environment was facing significant challenges in managing daily routines and completing essential tasks. The amount of clutter created feelings of overwhelm, making it difficult for them to focus or find important items. As a result, their productivity and overall wellbeing were negatively affected. These difficulties were especially noticeable during activities that required sustained concentration, often leading to frustration and emotional distress. This situation demonstrated how strongly the physical environment can influence a person’s mental state and ability to function effectively. Research supports this, showing that cluttered spaces are linked to higher stress levels and increased emotional reactivity, as individuals may struggle to regulate their responses to environmental demands (Crone and Norberg, 2018).</w:t>
      </w:r>
    </w:p>
    <w:p w14:paraId="066895B2" w14:textId="77777777" w:rsidR="001C75C4" w:rsidRPr="001C75C4" w:rsidRDefault="001C75C4" w:rsidP="000A14A6">
      <w:pPr>
        <w:spacing w:after="0" w:line="360" w:lineRule="auto"/>
        <w:jc w:val="both"/>
        <w:rPr>
          <w:rFonts w:ascii="Arial" w:eastAsia="Arial" w:hAnsi="Arial" w:cs="Arial"/>
          <w:szCs w:val="24"/>
        </w:rPr>
      </w:pPr>
    </w:p>
    <w:p w14:paraId="6EFA4A8E" w14:textId="77777777" w:rsidR="000A14A6" w:rsidRDefault="001C75C4" w:rsidP="000A14A6">
      <w:pPr>
        <w:spacing w:after="0" w:line="360" w:lineRule="auto"/>
        <w:jc w:val="both"/>
        <w:rPr>
          <w:rFonts w:ascii="Arial" w:eastAsia="Arial" w:hAnsi="Arial" w:cs="Arial"/>
          <w:szCs w:val="24"/>
        </w:rPr>
      </w:pPr>
      <w:r w:rsidRPr="001C75C4">
        <w:rPr>
          <w:rFonts w:ascii="Arial" w:eastAsia="Arial" w:hAnsi="Arial" w:cs="Arial"/>
          <w:szCs w:val="24"/>
        </w:rPr>
        <w:t>From a professional standpoint, this experience highlighted the importance of using a person</w:t>
      </w:r>
      <w:r w:rsidRPr="001C75C4">
        <w:rPr>
          <w:rFonts w:ascii="Arial" w:eastAsia="Arial" w:hAnsi="Arial" w:cs="Arial"/>
          <w:szCs w:val="24"/>
        </w:rPr>
        <w:noBreakHyphen/>
        <w:t xml:space="preserve">centred approach when offering support. The intervention was shaped around the individual’s needs, preferences, and daily habits, rather than relying on a standardised method. Involving the service user in decisions about how their belongings were organised helped them regain a sense of control over their environment. This was particularly valuable, as it reduced feelings of overwhelm and </w:t>
      </w:r>
    </w:p>
    <w:p w14:paraId="116CFE6C" w14:textId="130B2020" w:rsidR="001C75C4" w:rsidRDefault="001C75C4" w:rsidP="000A14A6">
      <w:pPr>
        <w:spacing w:after="0" w:line="360" w:lineRule="auto"/>
        <w:jc w:val="both"/>
        <w:rPr>
          <w:rFonts w:ascii="Arial" w:eastAsia="Arial" w:hAnsi="Arial" w:cs="Arial"/>
          <w:szCs w:val="24"/>
        </w:rPr>
      </w:pPr>
      <w:r w:rsidRPr="001C75C4">
        <w:rPr>
          <w:rFonts w:ascii="Arial" w:eastAsia="Arial" w:hAnsi="Arial" w:cs="Arial"/>
          <w:szCs w:val="24"/>
        </w:rPr>
        <w:lastRenderedPageBreak/>
        <w:t>encouraged active participation. Evidence shows that shared decision</w:t>
      </w:r>
      <w:r w:rsidRPr="001C75C4">
        <w:rPr>
          <w:rFonts w:ascii="Arial" w:eastAsia="Arial" w:hAnsi="Arial" w:cs="Arial"/>
          <w:szCs w:val="24"/>
        </w:rPr>
        <w:noBreakHyphen/>
        <w:t>making enhances satisfaction and engagement (Eliacin et al., 2015), while personalised approaches can improve the effectiveness of interventions (Charalambous et al., 2010). This illustrates that person</w:t>
      </w:r>
      <w:r w:rsidRPr="001C75C4">
        <w:rPr>
          <w:rFonts w:ascii="Arial" w:eastAsia="Arial" w:hAnsi="Arial" w:cs="Arial"/>
          <w:szCs w:val="24"/>
        </w:rPr>
        <w:noBreakHyphen/>
        <w:t>centred care not only promotes autonomy but also leads to more meaningful and sustainable outcomes.</w:t>
      </w:r>
    </w:p>
    <w:p w14:paraId="3998B56F" w14:textId="77777777" w:rsidR="001C75C4" w:rsidRPr="001C75C4" w:rsidRDefault="001C75C4" w:rsidP="000A14A6">
      <w:pPr>
        <w:spacing w:after="0" w:line="360" w:lineRule="auto"/>
        <w:jc w:val="both"/>
        <w:rPr>
          <w:rFonts w:ascii="Arial" w:eastAsia="Arial" w:hAnsi="Arial" w:cs="Arial"/>
          <w:szCs w:val="24"/>
        </w:rPr>
      </w:pPr>
    </w:p>
    <w:p w14:paraId="5331AE8A" w14:textId="1E262DFE" w:rsidR="001C75C4" w:rsidRDefault="001C75C4" w:rsidP="000A14A6">
      <w:pPr>
        <w:spacing w:after="0" w:line="360" w:lineRule="auto"/>
        <w:jc w:val="both"/>
        <w:rPr>
          <w:rFonts w:ascii="Arial" w:eastAsia="Arial" w:hAnsi="Arial" w:cs="Arial"/>
          <w:szCs w:val="24"/>
        </w:rPr>
      </w:pPr>
      <w:r w:rsidRPr="001C75C4">
        <w:rPr>
          <w:rFonts w:ascii="Arial" w:eastAsia="Arial" w:hAnsi="Arial" w:cs="Arial"/>
          <w:szCs w:val="24"/>
        </w:rPr>
        <w:t>Reflecting on the situation, it became clear that the individual’s needs went beyond simply reorganising their physical space. Although the environmental changes improved functionality, there was also a strong connection between the home environment and the person’s emotional wellbeing. This emphasises the importance of partnership working within health and social care. Collaboration with other professionals, such as psychologists, could help address the emotional and behavioural aspects of disorganisation. Research shows that interprofessional collaboration enhances communication, coordination, and overall outcomes (Reeves et al., 2017). Additionally, the physical environment plays a key role in supporting mental health interventions and everyday functioning (Harrison et al., 2016). This suggests that combining environmental and psychological support can lead to more holistic and effective care, whereas working in isolation may result in fragmented support.</w:t>
      </w:r>
    </w:p>
    <w:p w14:paraId="749659B8" w14:textId="77777777" w:rsidR="000A14A6" w:rsidRPr="001C75C4" w:rsidRDefault="000A14A6" w:rsidP="000A14A6">
      <w:pPr>
        <w:spacing w:after="0" w:line="360" w:lineRule="auto"/>
        <w:jc w:val="both"/>
        <w:rPr>
          <w:rFonts w:ascii="Arial" w:eastAsia="Arial" w:hAnsi="Arial" w:cs="Arial"/>
          <w:szCs w:val="24"/>
        </w:rPr>
      </w:pPr>
    </w:p>
    <w:p w14:paraId="670C371F" w14:textId="518B4E5E" w:rsidR="001C75C4" w:rsidRPr="001C75C4" w:rsidRDefault="001C75C4" w:rsidP="000A14A6">
      <w:pPr>
        <w:spacing w:after="0" w:line="360" w:lineRule="auto"/>
        <w:jc w:val="both"/>
        <w:rPr>
          <w:rFonts w:ascii="Arial" w:eastAsia="Arial" w:hAnsi="Arial" w:cs="Arial"/>
          <w:szCs w:val="24"/>
        </w:rPr>
      </w:pPr>
      <w:r w:rsidRPr="001C75C4">
        <w:rPr>
          <w:rFonts w:ascii="Arial" w:eastAsia="Arial" w:hAnsi="Arial" w:cs="Arial"/>
          <w:szCs w:val="24"/>
        </w:rPr>
        <w:t>Ethical considerations were also central throughout the intervention. Providing support within someone’s home requires a high level of sensitivity, as individuals may feel exposed or judged. It was therefore essential to maintain confidentiality, respect personal space, and adopt a non</w:t>
      </w:r>
      <w:r w:rsidRPr="001C75C4">
        <w:rPr>
          <w:rFonts w:ascii="Arial" w:eastAsia="Arial" w:hAnsi="Arial" w:cs="Arial"/>
          <w:szCs w:val="24"/>
        </w:rPr>
        <w:noBreakHyphen/>
        <w:t>judgemental approach. This experience reinforced the importance of treating individuals with dignity and respect, particularly when dealing with sensitive issues. Research highlights that dignity, privacy, and respect are crucial for building trust and improving care experiences (Bagnasco et al., 2020). Overall, this situation demonstrated that ethical practice involves more than following professional guidelines</w:t>
      </w:r>
      <w:r>
        <w:rPr>
          <w:rFonts w:ascii="Arial" w:eastAsia="Arial" w:hAnsi="Arial" w:cs="Arial"/>
          <w:szCs w:val="24"/>
        </w:rPr>
        <w:t xml:space="preserve"> </w:t>
      </w:r>
      <w:r w:rsidRPr="001C75C4">
        <w:rPr>
          <w:rFonts w:ascii="Arial" w:eastAsia="Arial" w:hAnsi="Arial" w:cs="Arial"/>
          <w:szCs w:val="24"/>
        </w:rPr>
        <w:t>it also requires empathy, professionalism, and an awareness of the individual’s emotional wellbeing.</w:t>
      </w:r>
    </w:p>
    <w:p w14:paraId="64475599" w14:textId="77777777" w:rsidR="002279FE" w:rsidRDefault="002279FE" w:rsidP="00993549">
      <w:pPr>
        <w:spacing w:after="0" w:line="360" w:lineRule="auto"/>
        <w:rPr>
          <w:rFonts w:ascii="Arial" w:eastAsia="Arial" w:hAnsi="Arial" w:cs="Arial"/>
          <w:szCs w:val="24"/>
        </w:rPr>
      </w:pPr>
    </w:p>
    <w:p w14:paraId="0A3DB671" w14:textId="77777777" w:rsidR="000A14A6" w:rsidRDefault="000A14A6" w:rsidP="00993549">
      <w:pPr>
        <w:spacing w:after="0" w:line="360" w:lineRule="auto"/>
        <w:rPr>
          <w:rFonts w:ascii="Arial" w:eastAsia="Arial" w:hAnsi="Arial" w:cs="Arial"/>
          <w:szCs w:val="24"/>
        </w:rPr>
      </w:pPr>
    </w:p>
    <w:p w14:paraId="3E4FD1E3" w14:textId="77777777" w:rsidR="000A14A6" w:rsidRDefault="000A14A6" w:rsidP="00993549">
      <w:pPr>
        <w:spacing w:after="0" w:line="360" w:lineRule="auto"/>
        <w:rPr>
          <w:rFonts w:ascii="Arial" w:eastAsia="Arial" w:hAnsi="Arial" w:cs="Arial"/>
          <w:szCs w:val="24"/>
        </w:rPr>
      </w:pPr>
    </w:p>
    <w:p w14:paraId="3AB4ADDE" w14:textId="77777777" w:rsidR="000A14A6" w:rsidRDefault="000A14A6" w:rsidP="00993549">
      <w:pPr>
        <w:spacing w:after="0" w:line="360" w:lineRule="auto"/>
        <w:rPr>
          <w:rFonts w:ascii="Arial" w:eastAsia="Arial" w:hAnsi="Arial" w:cs="Arial"/>
          <w:szCs w:val="24"/>
        </w:rPr>
      </w:pPr>
    </w:p>
    <w:p w14:paraId="626D8222" w14:textId="77777777" w:rsidR="000A14A6" w:rsidRPr="002279FE" w:rsidRDefault="000A14A6" w:rsidP="00993549">
      <w:pPr>
        <w:spacing w:after="0" w:line="360" w:lineRule="auto"/>
        <w:rPr>
          <w:rFonts w:ascii="Arial" w:eastAsia="Arial" w:hAnsi="Arial" w:cs="Arial"/>
          <w:szCs w:val="24"/>
        </w:rPr>
      </w:pPr>
    </w:p>
    <w:p w14:paraId="2863374C" w14:textId="120E18A4" w:rsidR="009258DC" w:rsidRPr="009258DC" w:rsidRDefault="00993549" w:rsidP="00993549">
      <w:pPr>
        <w:spacing w:line="360" w:lineRule="auto"/>
        <w:ind w:right="248"/>
        <w:rPr>
          <w:rFonts w:ascii="Arial" w:hAnsi="Arial" w:cs="Arial"/>
          <w:b/>
          <w:bCs/>
        </w:rPr>
      </w:pPr>
      <w:r>
        <w:rPr>
          <w:rFonts w:ascii="Arial" w:hAnsi="Arial" w:cs="Arial"/>
          <w:b/>
          <w:bCs/>
        </w:rPr>
        <w:t xml:space="preserve">Task 3: </w:t>
      </w:r>
      <w:r w:rsidR="009258DC" w:rsidRPr="009258DC">
        <w:rPr>
          <w:rFonts w:ascii="Arial" w:hAnsi="Arial" w:cs="Arial"/>
          <w:b/>
          <w:bCs/>
        </w:rPr>
        <w:t xml:space="preserve">Self-Reflection as a Health and Social Care Professional </w:t>
      </w:r>
    </w:p>
    <w:p w14:paraId="549F173B" w14:textId="2B32ACD9" w:rsidR="00433636" w:rsidRPr="00433636" w:rsidRDefault="00433636" w:rsidP="00433636">
      <w:pPr>
        <w:spacing w:line="360" w:lineRule="auto"/>
        <w:ind w:right="248"/>
        <w:jc w:val="both"/>
        <w:rPr>
          <w:rFonts w:ascii="Arial" w:eastAsia="Arial" w:hAnsi="Arial" w:cs="Arial"/>
          <w:szCs w:val="24"/>
        </w:rPr>
      </w:pPr>
      <w:r w:rsidRPr="00433636">
        <w:rPr>
          <w:rFonts w:ascii="Arial" w:eastAsia="Arial" w:hAnsi="Arial" w:cs="Arial"/>
          <w:szCs w:val="24"/>
        </w:rPr>
        <w:t>Through my role as a personal organiser, I have developed a deeper and more nuanced understanding of how an individual’s home environment can significantly influence their wellbeing and their ability to manage everyday tasks. Working directly within someone’s personal space has allowed me to observe how environmental factors can either support or hinder daily functioning. In this particular case, it became evident that the disorganised living space was affecting the individual on multiple levels. The clutter and lack of structure were not only creating practical barriers</w:t>
      </w:r>
      <w:r>
        <w:rPr>
          <w:rFonts w:ascii="Arial" w:eastAsia="Arial" w:hAnsi="Arial" w:cs="Arial"/>
          <w:szCs w:val="24"/>
        </w:rPr>
        <w:t xml:space="preserve"> </w:t>
      </w:r>
      <w:r w:rsidRPr="00433636">
        <w:rPr>
          <w:rFonts w:ascii="Arial" w:eastAsia="Arial" w:hAnsi="Arial" w:cs="Arial"/>
          <w:szCs w:val="24"/>
        </w:rPr>
        <w:t>such as difficulty locating essential items or maintaining routines</w:t>
      </w:r>
      <w:r>
        <w:rPr>
          <w:rFonts w:ascii="Arial" w:eastAsia="Arial" w:hAnsi="Arial" w:cs="Arial"/>
          <w:szCs w:val="24"/>
        </w:rPr>
        <w:t xml:space="preserve"> </w:t>
      </w:r>
      <w:r w:rsidRPr="00433636">
        <w:rPr>
          <w:rFonts w:ascii="Arial" w:eastAsia="Arial" w:hAnsi="Arial" w:cs="Arial"/>
          <w:szCs w:val="24"/>
        </w:rPr>
        <w:t>but were also contributing to emotional strain and heightened stress. This experience highlighted the importance of applying core principles of health and social care, including person</w:t>
      </w:r>
      <w:r w:rsidRPr="00433636">
        <w:rPr>
          <w:rFonts w:ascii="Arial" w:eastAsia="Arial" w:hAnsi="Arial" w:cs="Arial"/>
          <w:szCs w:val="24"/>
        </w:rPr>
        <w:noBreakHyphen/>
        <w:t>centred care, partnership working, and ethical practice, to ensure that support is both effective and sensitive to the individual’s needs. A holistic perspective is essential, as it considers the interaction between personal and environmental factors that influence wellbeing (European Commission, 2015). Research further supports this view, showing that the organisation and design of a space can positively impact mental health and overall quality of life (Calvo and Peters, 2016). As a result, I have come to recognise that effective support must address both practical challenges and emotional needs to promote meaningful and sustainable change.</w:t>
      </w:r>
    </w:p>
    <w:p w14:paraId="764B0A79" w14:textId="059F14DE" w:rsidR="00433636" w:rsidRPr="00433636" w:rsidRDefault="00433636" w:rsidP="00433636">
      <w:pPr>
        <w:spacing w:line="360" w:lineRule="auto"/>
        <w:ind w:right="248"/>
        <w:jc w:val="both"/>
        <w:rPr>
          <w:rFonts w:ascii="Arial" w:eastAsia="Arial" w:hAnsi="Arial" w:cs="Arial"/>
          <w:szCs w:val="24"/>
        </w:rPr>
      </w:pPr>
      <w:r w:rsidRPr="00433636">
        <w:rPr>
          <w:rFonts w:ascii="Arial" w:eastAsia="Arial" w:hAnsi="Arial" w:cs="Arial"/>
          <w:szCs w:val="24"/>
        </w:rPr>
        <w:t>Reflecting on the case study, I realised that person</w:t>
      </w:r>
      <w:r w:rsidRPr="00433636">
        <w:rPr>
          <w:rFonts w:ascii="Arial" w:eastAsia="Arial" w:hAnsi="Arial" w:cs="Arial"/>
          <w:szCs w:val="24"/>
        </w:rPr>
        <w:noBreakHyphen/>
        <w:t>centred care was central to promoting autonomy, independence, and engagement throughout the intervention. Involving the individual in decision</w:t>
      </w:r>
      <w:r w:rsidRPr="00433636">
        <w:rPr>
          <w:rFonts w:ascii="Arial" w:eastAsia="Arial" w:hAnsi="Arial" w:cs="Arial"/>
          <w:szCs w:val="24"/>
        </w:rPr>
        <w:noBreakHyphen/>
        <w:t>making processes</w:t>
      </w:r>
      <w:r>
        <w:rPr>
          <w:rFonts w:ascii="Arial" w:eastAsia="Arial" w:hAnsi="Arial" w:cs="Arial"/>
          <w:szCs w:val="24"/>
        </w:rPr>
        <w:t xml:space="preserve">, </w:t>
      </w:r>
      <w:r w:rsidRPr="00433636">
        <w:rPr>
          <w:rFonts w:ascii="Arial" w:eastAsia="Arial" w:hAnsi="Arial" w:cs="Arial"/>
          <w:szCs w:val="24"/>
        </w:rPr>
        <w:t>such as choosing how items should be organised or determining which areas to prioritise</w:t>
      </w:r>
      <w:r>
        <w:rPr>
          <w:rFonts w:ascii="Arial" w:eastAsia="Arial" w:hAnsi="Arial" w:cs="Arial"/>
          <w:szCs w:val="24"/>
        </w:rPr>
        <w:t xml:space="preserve"> </w:t>
      </w:r>
      <w:r w:rsidRPr="00433636">
        <w:rPr>
          <w:rFonts w:ascii="Arial" w:eastAsia="Arial" w:hAnsi="Arial" w:cs="Arial"/>
          <w:szCs w:val="24"/>
        </w:rPr>
        <w:t>helped them regain a sense of ownership and control over their environment. This collaborative approach contributed positively to the outcome and supported the development of more sustainable habits. Research indicates that person</w:t>
      </w:r>
      <w:r w:rsidRPr="00433636">
        <w:rPr>
          <w:rFonts w:ascii="Arial" w:eastAsia="Arial" w:hAnsi="Arial" w:cs="Arial"/>
          <w:szCs w:val="24"/>
        </w:rPr>
        <w:noBreakHyphen/>
        <w:t xml:space="preserve">centred environments can strengthen autonomy and help individuals manage daily activities more effectively (van Loon et al., 2023). However, this experience also made me aware of areas where my practice could be improved. I recognised that I tended to focus primarily on practical solutions, sometimes without exploring the individual’s deeper preferences, motivations, or emotional responses. Maslow’s Hierarchy of Needs </w:t>
      </w:r>
      <w:r w:rsidRPr="00433636">
        <w:rPr>
          <w:rFonts w:ascii="Arial" w:eastAsia="Arial" w:hAnsi="Arial" w:cs="Arial"/>
          <w:szCs w:val="24"/>
        </w:rPr>
        <w:lastRenderedPageBreak/>
        <w:t>provides a useful framework for understanding this, as it emphasises that both basic and psychological needs must be met to support overall wellbeing (Jackson et al., 2014). Moving forward, I aim to adopt a more balanced approach that considers emotional needs alongside practical support, ensuring that interventions are holistic, meaningful, and aligned with the individual’s values and experiences.</w:t>
      </w:r>
    </w:p>
    <w:p w14:paraId="37DDAE35" w14:textId="77777777" w:rsidR="00433636" w:rsidRPr="00433636" w:rsidRDefault="00433636" w:rsidP="00433636">
      <w:pPr>
        <w:spacing w:line="360" w:lineRule="auto"/>
        <w:ind w:right="248"/>
        <w:jc w:val="both"/>
        <w:rPr>
          <w:rFonts w:ascii="Arial" w:eastAsia="Arial" w:hAnsi="Arial" w:cs="Arial"/>
          <w:szCs w:val="24"/>
        </w:rPr>
      </w:pPr>
      <w:r w:rsidRPr="00433636">
        <w:rPr>
          <w:rFonts w:ascii="Arial" w:eastAsia="Arial" w:hAnsi="Arial" w:cs="Arial"/>
          <w:szCs w:val="24"/>
        </w:rPr>
        <w:t>This experience also highlighted the limitations of working independently and reinforced the importance of partnership working in delivering effective care. Although I was able to improve the physical environment, I recognised that the individual may have benefited from additional professional input, particularly in addressing the emotional and behavioural aspects of disorganisation. This realisation emphasised the value of interprofessional collaboration, which has been shown to enhance communication, coordination, and overall outcomes (Reeves et al., 2019). Reflecting on my current practice, I acknowledged that I do not consistently engage with other professionals, which may restrict the level of support I can provide. This insight aligns with the principles of the Health and Care Act 2022, which promotes integrated care across services to ensure that individuals receive comprehensive and coordinated support. In future practice, I intend to seek opportunities for collaboration and strengthen my communication skills to contribute more effectively to multidisciplinary approaches. By doing so, I can help ensure that individuals receive support that addresses both their practical needs and their emotional wellbeing.</w:t>
      </w:r>
    </w:p>
    <w:p w14:paraId="4E70F09C" w14:textId="77777777" w:rsidR="00433636" w:rsidRPr="00433636" w:rsidRDefault="00433636" w:rsidP="00433636">
      <w:pPr>
        <w:spacing w:line="360" w:lineRule="auto"/>
        <w:ind w:right="248"/>
        <w:jc w:val="both"/>
        <w:rPr>
          <w:rFonts w:ascii="Arial" w:eastAsia="Arial" w:hAnsi="Arial" w:cs="Arial"/>
          <w:szCs w:val="24"/>
        </w:rPr>
      </w:pPr>
      <w:r w:rsidRPr="00433636">
        <w:rPr>
          <w:rFonts w:ascii="Arial" w:eastAsia="Arial" w:hAnsi="Arial" w:cs="Arial"/>
          <w:szCs w:val="24"/>
        </w:rPr>
        <w:t>Ethical practice was also a central consideration throughout this experience, particularly given the sensitive nature of working within someone’s home. Individuals may feel vulnerable, embarrassed, or judged when their living conditions are exposed, making it essential to approach the situation with respect, empathy, and professionalism. Maintaining confidentiality, respecting personal space, and adopting a non</w:t>
      </w:r>
      <w:r w:rsidRPr="00433636">
        <w:rPr>
          <w:rFonts w:ascii="Arial" w:eastAsia="Arial" w:hAnsi="Arial" w:cs="Arial"/>
          <w:szCs w:val="24"/>
        </w:rPr>
        <w:noBreakHyphen/>
        <w:t xml:space="preserve">judgemental attitude were crucial in building trust and ensuring that the individual felt safe and supported. This experience helped me understand the importance of balancing empathy with professional boundaries. Barker (2011) notes that ethical care involves recognising the individual’s experience while maintaining professional responsibility, and this balance must be carefully managed in practice. Similarly, </w:t>
      </w:r>
      <w:proofErr w:type="spellStart"/>
      <w:r w:rsidRPr="00433636">
        <w:rPr>
          <w:rFonts w:ascii="Arial" w:eastAsia="Arial" w:hAnsi="Arial" w:cs="Arial"/>
          <w:szCs w:val="24"/>
        </w:rPr>
        <w:t>Leathard</w:t>
      </w:r>
      <w:proofErr w:type="spellEnd"/>
      <w:r w:rsidRPr="00433636">
        <w:rPr>
          <w:rFonts w:ascii="Arial" w:eastAsia="Arial" w:hAnsi="Arial" w:cs="Arial"/>
          <w:szCs w:val="24"/>
        </w:rPr>
        <w:t xml:space="preserve"> and </w:t>
      </w:r>
      <w:proofErr w:type="spellStart"/>
      <w:r w:rsidRPr="00433636">
        <w:rPr>
          <w:rFonts w:ascii="Arial" w:eastAsia="Arial" w:hAnsi="Arial" w:cs="Arial"/>
          <w:szCs w:val="24"/>
        </w:rPr>
        <w:t>Goodinson</w:t>
      </w:r>
      <w:proofErr w:type="spellEnd"/>
      <w:r w:rsidRPr="00433636">
        <w:rPr>
          <w:rFonts w:ascii="Arial" w:eastAsia="Arial" w:hAnsi="Arial" w:cs="Arial"/>
          <w:szCs w:val="24"/>
        </w:rPr>
        <w:noBreakHyphen/>
        <w:t>McLaren (2007) emphasise that ethical decision</w:t>
      </w:r>
      <w:r w:rsidRPr="00433636">
        <w:rPr>
          <w:rFonts w:ascii="Arial" w:eastAsia="Arial" w:hAnsi="Arial" w:cs="Arial"/>
          <w:szCs w:val="24"/>
        </w:rPr>
        <w:noBreakHyphen/>
        <w:t xml:space="preserve">making requires practitioners to balance respect, responsibility, and </w:t>
      </w:r>
      <w:r w:rsidRPr="00433636">
        <w:rPr>
          <w:rFonts w:ascii="Arial" w:eastAsia="Arial" w:hAnsi="Arial" w:cs="Arial"/>
          <w:szCs w:val="24"/>
        </w:rPr>
        <w:lastRenderedPageBreak/>
        <w:t>professional limits. Strengthening this balance will be a key focus in my future practice, ensuring that I provide appropriate emotional support while maintaining clear professional boundaries. This approach also reflects the principles of the Care Act 2014, which promotes dignity, respect, and wellbeing in care delivery.</w:t>
      </w:r>
    </w:p>
    <w:p w14:paraId="5DCB63D7" w14:textId="77777777" w:rsidR="00433636" w:rsidRPr="00433636" w:rsidRDefault="00433636" w:rsidP="00433636">
      <w:pPr>
        <w:spacing w:line="360" w:lineRule="auto"/>
        <w:ind w:right="248"/>
        <w:jc w:val="both"/>
        <w:rPr>
          <w:rFonts w:ascii="Arial" w:eastAsia="Arial" w:hAnsi="Arial" w:cs="Arial"/>
          <w:szCs w:val="24"/>
        </w:rPr>
      </w:pPr>
      <w:r w:rsidRPr="00433636">
        <w:rPr>
          <w:rFonts w:ascii="Arial" w:eastAsia="Arial" w:hAnsi="Arial" w:cs="Arial"/>
          <w:szCs w:val="24"/>
        </w:rPr>
        <w:t>Finally, this experience has reinforced the importance of continuous professional development in enhancing my practice. While I have developed strong practical skills as a personal organiser, I recognise the need to expand my understanding of emotional and psychological support to meet individuals’ needs more effectively. Research highlights that a skilled and adaptable workforce is essential for delivering high</w:t>
      </w:r>
      <w:r w:rsidRPr="00433636">
        <w:rPr>
          <w:rFonts w:ascii="Arial" w:eastAsia="Arial" w:hAnsi="Arial" w:cs="Arial"/>
          <w:szCs w:val="24"/>
        </w:rPr>
        <w:noBreakHyphen/>
        <w:t>quality care (Anderson et al., 2021). Reflecting on this, I have identified key areas for development, including communication, empathy, and collaborative working. In my future career, I aim to integrate my organisational expertise with health and social care principles to provide more holistic and person</w:t>
      </w:r>
      <w:r w:rsidRPr="00433636">
        <w:rPr>
          <w:rFonts w:ascii="Arial" w:eastAsia="Arial" w:hAnsi="Arial" w:cs="Arial"/>
          <w:szCs w:val="24"/>
        </w:rPr>
        <w:noBreakHyphen/>
        <w:t>centred support, particularly for individuals who may be vulnerable or require additional assistance. By continuing to develop my skills and knowledge, I hope to contribute to improved wellbeing and more effective support for those I work with.</w:t>
      </w:r>
    </w:p>
    <w:p w14:paraId="07D9C0D2" w14:textId="77777777" w:rsidR="000A14A6" w:rsidRDefault="000A14A6" w:rsidP="00993549">
      <w:pPr>
        <w:spacing w:line="360" w:lineRule="auto"/>
        <w:ind w:right="248"/>
        <w:rPr>
          <w:rFonts w:ascii="Arial" w:eastAsia="Arial" w:hAnsi="Arial" w:cs="Arial"/>
          <w:szCs w:val="24"/>
        </w:rPr>
      </w:pPr>
    </w:p>
    <w:p w14:paraId="34415C08" w14:textId="77777777" w:rsidR="000A14A6" w:rsidRDefault="000A14A6" w:rsidP="00993549">
      <w:pPr>
        <w:spacing w:line="360" w:lineRule="auto"/>
        <w:ind w:right="248"/>
        <w:rPr>
          <w:rFonts w:ascii="Arial" w:eastAsia="Arial" w:hAnsi="Arial" w:cs="Arial"/>
          <w:szCs w:val="24"/>
        </w:rPr>
      </w:pPr>
    </w:p>
    <w:p w14:paraId="71C7835E" w14:textId="77777777" w:rsidR="000A14A6" w:rsidRDefault="000A14A6" w:rsidP="00993549">
      <w:pPr>
        <w:spacing w:line="360" w:lineRule="auto"/>
        <w:ind w:right="248"/>
        <w:rPr>
          <w:rFonts w:ascii="Arial" w:eastAsia="Arial" w:hAnsi="Arial" w:cs="Arial"/>
          <w:szCs w:val="24"/>
        </w:rPr>
      </w:pPr>
    </w:p>
    <w:p w14:paraId="53539854" w14:textId="77777777" w:rsidR="000A14A6" w:rsidRDefault="000A14A6" w:rsidP="00993549">
      <w:pPr>
        <w:spacing w:line="360" w:lineRule="auto"/>
        <w:ind w:right="248"/>
        <w:rPr>
          <w:rFonts w:ascii="Arial" w:eastAsia="Arial" w:hAnsi="Arial" w:cs="Arial"/>
          <w:szCs w:val="24"/>
        </w:rPr>
      </w:pPr>
    </w:p>
    <w:p w14:paraId="4487EB9A" w14:textId="77777777" w:rsidR="000A14A6" w:rsidRDefault="000A14A6" w:rsidP="00993549">
      <w:pPr>
        <w:spacing w:line="360" w:lineRule="auto"/>
        <w:ind w:right="248"/>
        <w:rPr>
          <w:rFonts w:ascii="Arial" w:eastAsia="Arial" w:hAnsi="Arial" w:cs="Arial"/>
          <w:szCs w:val="24"/>
        </w:rPr>
      </w:pPr>
    </w:p>
    <w:p w14:paraId="1808493A" w14:textId="77777777" w:rsidR="00433636" w:rsidRDefault="00433636" w:rsidP="00993549">
      <w:pPr>
        <w:spacing w:line="360" w:lineRule="auto"/>
        <w:ind w:right="248"/>
        <w:rPr>
          <w:rFonts w:ascii="Arial" w:eastAsia="Arial" w:hAnsi="Arial" w:cs="Arial"/>
          <w:szCs w:val="24"/>
        </w:rPr>
      </w:pPr>
    </w:p>
    <w:p w14:paraId="14251A84" w14:textId="77777777" w:rsidR="00433636" w:rsidRDefault="00433636" w:rsidP="00993549">
      <w:pPr>
        <w:spacing w:line="360" w:lineRule="auto"/>
        <w:ind w:right="248"/>
        <w:rPr>
          <w:rFonts w:ascii="Arial" w:eastAsia="Arial" w:hAnsi="Arial" w:cs="Arial"/>
          <w:szCs w:val="24"/>
        </w:rPr>
      </w:pPr>
    </w:p>
    <w:p w14:paraId="62BBEF6D" w14:textId="77777777" w:rsidR="00433636" w:rsidRDefault="00433636" w:rsidP="00993549">
      <w:pPr>
        <w:spacing w:line="360" w:lineRule="auto"/>
        <w:ind w:right="248"/>
        <w:rPr>
          <w:rFonts w:ascii="Arial" w:eastAsia="Arial" w:hAnsi="Arial" w:cs="Arial"/>
          <w:szCs w:val="24"/>
        </w:rPr>
      </w:pPr>
    </w:p>
    <w:p w14:paraId="616840B3" w14:textId="77777777" w:rsidR="00433636" w:rsidRDefault="00433636" w:rsidP="00993549">
      <w:pPr>
        <w:spacing w:line="360" w:lineRule="auto"/>
        <w:ind w:right="248"/>
        <w:rPr>
          <w:rFonts w:ascii="Arial" w:eastAsia="Arial" w:hAnsi="Arial" w:cs="Arial"/>
          <w:szCs w:val="24"/>
        </w:rPr>
      </w:pPr>
    </w:p>
    <w:p w14:paraId="1205669C" w14:textId="77777777" w:rsidR="00433636" w:rsidRDefault="00433636" w:rsidP="00993549">
      <w:pPr>
        <w:spacing w:line="360" w:lineRule="auto"/>
        <w:ind w:right="248"/>
        <w:rPr>
          <w:rFonts w:ascii="Arial" w:eastAsia="Arial" w:hAnsi="Arial" w:cs="Arial"/>
          <w:szCs w:val="24"/>
        </w:rPr>
      </w:pPr>
    </w:p>
    <w:p w14:paraId="12993079" w14:textId="77777777" w:rsidR="00433636" w:rsidRDefault="00433636" w:rsidP="00993549">
      <w:pPr>
        <w:spacing w:line="360" w:lineRule="auto"/>
        <w:ind w:right="248"/>
        <w:rPr>
          <w:rFonts w:ascii="Arial" w:eastAsia="Arial" w:hAnsi="Arial" w:cs="Arial"/>
          <w:szCs w:val="24"/>
        </w:rPr>
      </w:pPr>
    </w:p>
    <w:p w14:paraId="0F265CA6" w14:textId="77777777" w:rsidR="00433636" w:rsidRDefault="00433636" w:rsidP="00993549">
      <w:pPr>
        <w:spacing w:line="360" w:lineRule="auto"/>
        <w:ind w:right="248"/>
        <w:rPr>
          <w:rFonts w:ascii="Arial" w:eastAsia="Arial" w:hAnsi="Arial" w:cs="Arial"/>
          <w:szCs w:val="24"/>
        </w:rPr>
      </w:pPr>
    </w:p>
    <w:p w14:paraId="69650E07" w14:textId="77777777" w:rsidR="00433636" w:rsidRPr="000D7603" w:rsidRDefault="00433636" w:rsidP="00993549">
      <w:pPr>
        <w:spacing w:line="360" w:lineRule="auto"/>
        <w:ind w:right="248"/>
        <w:rPr>
          <w:rFonts w:ascii="Arial" w:eastAsia="Arial" w:hAnsi="Arial" w:cs="Arial"/>
          <w:szCs w:val="24"/>
        </w:rPr>
      </w:pPr>
    </w:p>
    <w:p w14:paraId="5A4D465C" w14:textId="5F638AD7" w:rsidR="006524ED" w:rsidRPr="000D7603" w:rsidRDefault="006D2F2D" w:rsidP="00993549">
      <w:pPr>
        <w:spacing w:line="360" w:lineRule="auto"/>
        <w:rPr>
          <w:rFonts w:ascii="Arial" w:hAnsi="Arial" w:cs="Arial"/>
          <w:b/>
          <w:bCs/>
          <w:szCs w:val="24"/>
        </w:rPr>
      </w:pPr>
      <w:r w:rsidRPr="000D7603">
        <w:rPr>
          <w:rFonts w:ascii="Arial" w:hAnsi="Arial" w:cs="Arial"/>
          <w:b/>
          <w:bCs/>
          <w:szCs w:val="24"/>
        </w:rPr>
        <w:t>Conclusion</w:t>
      </w:r>
    </w:p>
    <w:p w14:paraId="75F4245F" w14:textId="2703792C" w:rsidR="00123794" w:rsidRDefault="000A14A6" w:rsidP="00594FAC">
      <w:pPr>
        <w:spacing w:line="360" w:lineRule="auto"/>
        <w:rPr>
          <w:rFonts w:ascii="Arial" w:hAnsi="Arial" w:cs="Arial"/>
          <w:szCs w:val="24"/>
        </w:rPr>
      </w:pPr>
      <w:r w:rsidRPr="000A14A6">
        <w:rPr>
          <w:rFonts w:ascii="Arial" w:hAnsi="Arial" w:cs="Arial"/>
          <w:szCs w:val="24"/>
        </w:rPr>
        <w:t>In conclusion, this assessment has demonstrated the importance of applying core principles of health and social care—person</w:t>
      </w:r>
      <w:r w:rsidRPr="000A14A6">
        <w:rPr>
          <w:rFonts w:ascii="Arial" w:hAnsi="Arial" w:cs="Arial"/>
          <w:szCs w:val="24"/>
        </w:rPr>
        <w:noBreakHyphen/>
        <w:t>centred care, partnership working, and ethical practice—across theoretical learning and practical application. Task 1 established the foundational concepts, while Task 2 showed how these principles operate in real</w:t>
      </w:r>
      <w:r w:rsidRPr="000A14A6">
        <w:rPr>
          <w:rFonts w:ascii="Arial" w:hAnsi="Arial" w:cs="Arial"/>
          <w:szCs w:val="24"/>
        </w:rPr>
        <w:noBreakHyphen/>
        <w:t>life situations, particularly in relation to how the home environment affects wellbeing and daily functioning. Task 3 enabled critical reflection on my own practice, highlighting the need for a holistic approach that considers both psychological and environmental factors, as well as the value of interprofessional collaboration in line with legislation such as the Care Act 2014 and the Health and Care Act 2022. Overall, this assessment has strengthened my understanding of the importance of empathy, communication, and continuous professional development, which I aim to apply in future practice to deliver respectful, ethical, and person</w:t>
      </w:r>
      <w:r w:rsidRPr="000A14A6">
        <w:rPr>
          <w:rFonts w:ascii="Arial" w:hAnsi="Arial" w:cs="Arial"/>
          <w:szCs w:val="24"/>
        </w:rPr>
        <w:noBreakHyphen/>
        <w:t>centred care that supports improved wellbeing and quality of life.</w:t>
      </w:r>
    </w:p>
    <w:p w14:paraId="3298D7ED" w14:textId="77777777" w:rsidR="00123794" w:rsidRDefault="00123794" w:rsidP="00594FAC">
      <w:pPr>
        <w:spacing w:line="360" w:lineRule="auto"/>
        <w:rPr>
          <w:rFonts w:ascii="Arial" w:hAnsi="Arial" w:cs="Arial"/>
          <w:szCs w:val="24"/>
        </w:rPr>
      </w:pPr>
    </w:p>
    <w:p w14:paraId="217D95AF" w14:textId="77777777" w:rsidR="00123794" w:rsidRDefault="00123794" w:rsidP="00594FAC">
      <w:pPr>
        <w:spacing w:line="360" w:lineRule="auto"/>
        <w:rPr>
          <w:rFonts w:ascii="Arial" w:hAnsi="Arial" w:cs="Arial"/>
          <w:szCs w:val="24"/>
        </w:rPr>
      </w:pPr>
    </w:p>
    <w:p w14:paraId="1C590D82" w14:textId="77777777" w:rsidR="009258DC" w:rsidRDefault="009258DC" w:rsidP="00594FAC">
      <w:pPr>
        <w:spacing w:line="360" w:lineRule="auto"/>
        <w:rPr>
          <w:rFonts w:ascii="Arial" w:hAnsi="Arial" w:cs="Arial"/>
          <w:szCs w:val="24"/>
        </w:rPr>
      </w:pPr>
    </w:p>
    <w:p w14:paraId="767213BB" w14:textId="77777777" w:rsidR="000A14A6" w:rsidRDefault="000A14A6" w:rsidP="00594FAC">
      <w:pPr>
        <w:spacing w:line="360" w:lineRule="auto"/>
        <w:rPr>
          <w:rFonts w:ascii="Arial" w:hAnsi="Arial" w:cs="Arial"/>
          <w:szCs w:val="24"/>
        </w:rPr>
      </w:pPr>
    </w:p>
    <w:p w14:paraId="7283DFE8" w14:textId="77777777" w:rsidR="000A14A6" w:rsidRDefault="000A14A6" w:rsidP="00594FAC">
      <w:pPr>
        <w:spacing w:line="360" w:lineRule="auto"/>
        <w:rPr>
          <w:rFonts w:ascii="Arial" w:hAnsi="Arial" w:cs="Arial"/>
          <w:szCs w:val="24"/>
        </w:rPr>
      </w:pPr>
    </w:p>
    <w:p w14:paraId="385FD623" w14:textId="77777777" w:rsidR="000A14A6" w:rsidRDefault="000A14A6" w:rsidP="00594FAC">
      <w:pPr>
        <w:spacing w:line="360" w:lineRule="auto"/>
        <w:rPr>
          <w:rFonts w:ascii="Arial" w:hAnsi="Arial" w:cs="Arial"/>
          <w:szCs w:val="24"/>
        </w:rPr>
      </w:pPr>
    </w:p>
    <w:p w14:paraId="4DE97E1D" w14:textId="77777777" w:rsidR="000A14A6" w:rsidRDefault="000A14A6" w:rsidP="00594FAC">
      <w:pPr>
        <w:spacing w:line="360" w:lineRule="auto"/>
        <w:rPr>
          <w:rFonts w:ascii="Arial" w:hAnsi="Arial" w:cs="Arial"/>
          <w:szCs w:val="24"/>
        </w:rPr>
      </w:pPr>
    </w:p>
    <w:p w14:paraId="0C4BC1A1" w14:textId="77777777" w:rsidR="000A14A6" w:rsidRDefault="000A14A6" w:rsidP="00594FAC">
      <w:pPr>
        <w:spacing w:line="360" w:lineRule="auto"/>
        <w:rPr>
          <w:rFonts w:ascii="Arial" w:hAnsi="Arial" w:cs="Arial"/>
          <w:szCs w:val="24"/>
        </w:rPr>
      </w:pPr>
    </w:p>
    <w:p w14:paraId="05B9046E" w14:textId="77777777" w:rsidR="000A14A6" w:rsidRDefault="000A14A6" w:rsidP="00594FAC">
      <w:pPr>
        <w:spacing w:line="360" w:lineRule="auto"/>
        <w:rPr>
          <w:rFonts w:ascii="Arial" w:hAnsi="Arial" w:cs="Arial"/>
          <w:szCs w:val="24"/>
        </w:rPr>
      </w:pPr>
    </w:p>
    <w:p w14:paraId="5996CC21" w14:textId="77777777" w:rsidR="000A14A6" w:rsidRDefault="000A14A6" w:rsidP="00594FAC">
      <w:pPr>
        <w:spacing w:line="360" w:lineRule="auto"/>
        <w:rPr>
          <w:rFonts w:ascii="Arial" w:hAnsi="Arial" w:cs="Arial"/>
          <w:szCs w:val="24"/>
        </w:rPr>
      </w:pPr>
    </w:p>
    <w:p w14:paraId="761212D0" w14:textId="77777777" w:rsidR="000A14A6" w:rsidRDefault="000A14A6" w:rsidP="00594FAC">
      <w:pPr>
        <w:spacing w:line="360" w:lineRule="auto"/>
        <w:rPr>
          <w:rFonts w:ascii="Arial" w:hAnsi="Arial" w:cs="Arial"/>
          <w:szCs w:val="24"/>
        </w:rPr>
      </w:pPr>
    </w:p>
    <w:p w14:paraId="4A93960F" w14:textId="77777777" w:rsidR="000A14A6" w:rsidRDefault="000A14A6" w:rsidP="00594FAC">
      <w:pPr>
        <w:spacing w:line="360" w:lineRule="auto"/>
        <w:rPr>
          <w:rFonts w:ascii="Arial" w:hAnsi="Arial" w:cs="Arial"/>
          <w:szCs w:val="24"/>
        </w:rPr>
      </w:pPr>
    </w:p>
    <w:p w14:paraId="1BFF9703" w14:textId="77777777" w:rsidR="000A14A6" w:rsidRDefault="000A14A6" w:rsidP="00594FAC">
      <w:pPr>
        <w:spacing w:line="360" w:lineRule="auto"/>
        <w:rPr>
          <w:rFonts w:ascii="Arial" w:hAnsi="Arial" w:cs="Arial"/>
          <w:szCs w:val="24"/>
        </w:rPr>
      </w:pPr>
    </w:p>
    <w:p w14:paraId="3CFA63B7" w14:textId="77777777" w:rsidR="000A14A6" w:rsidRDefault="000A14A6" w:rsidP="00594FAC">
      <w:pPr>
        <w:spacing w:line="360" w:lineRule="auto"/>
        <w:rPr>
          <w:rFonts w:ascii="Arial" w:hAnsi="Arial" w:cs="Arial"/>
          <w:szCs w:val="24"/>
        </w:rPr>
      </w:pPr>
    </w:p>
    <w:p w14:paraId="5A789721" w14:textId="735E3176" w:rsidR="006D2F2D" w:rsidRPr="001D345E" w:rsidRDefault="009258DC" w:rsidP="00594FAC">
      <w:pPr>
        <w:spacing w:line="360" w:lineRule="auto"/>
        <w:rPr>
          <w:rFonts w:ascii="Arial" w:hAnsi="Arial" w:cs="Arial"/>
          <w:b/>
          <w:bCs/>
          <w:szCs w:val="24"/>
        </w:rPr>
      </w:pPr>
      <w:r>
        <w:rPr>
          <w:rFonts w:ascii="Arial" w:hAnsi="Arial" w:cs="Arial"/>
          <w:szCs w:val="24"/>
        </w:rPr>
        <w:t xml:space="preserve">  </w:t>
      </w:r>
      <w:r w:rsidR="00123794">
        <w:rPr>
          <w:rFonts w:ascii="Arial" w:hAnsi="Arial" w:cs="Arial"/>
          <w:b/>
          <w:bCs/>
          <w:szCs w:val="24"/>
        </w:rPr>
        <w:t xml:space="preserve"> </w:t>
      </w:r>
      <w:r w:rsidR="006D2F2D" w:rsidRPr="001D345E">
        <w:rPr>
          <w:rFonts w:ascii="Arial" w:hAnsi="Arial" w:cs="Arial"/>
          <w:b/>
          <w:bCs/>
          <w:szCs w:val="24"/>
        </w:rPr>
        <w:t>Reference</w:t>
      </w:r>
      <w:r w:rsidR="001D345E" w:rsidRPr="001D345E">
        <w:rPr>
          <w:rFonts w:ascii="Arial" w:hAnsi="Arial" w:cs="Arial"/>
          <w:b/>
          <w:bCs/>
          <w:szCs w:val="24"/>
        </w:rPr>
        <w:t>s</w:t>
      </w:r>
    </w:p>
    <w:p w14:paraId="6FDBBC30" w14:textId="14B1EB4D" w:rsidR="004612F7" w:rsidRPr="009B272D" w:rsidRDefault="004612F7" w:rsidP="00A33817">
      <w:pPr>
        <w:pStyle w:val="PargrafodaLista"/>
        <w:spacing w:after="0" w:line="240" w:lineRule="auto"/>
        <w:rPr>
          <w:rFonts w:eastAsia="Times New Roman" w:cs="Times New Roman"/>
          <w:szCs w:val="24"/>
          <w:lang w:eastAsia="en-GB"/>
        </w:rPr>
      </w:pPr>
    </w:p>
    <w:p w14:paraId="03384259"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Ash, A. (2013) </w:t>
      </w:r>
      <w:r w:rsidRPr="006851D1">
        <w:rPr>
          <w:rFonts w:eastAsia="Times New Roman" w:cs="Times New Roman"/>
          <w:i/>
          <w:iCs/>
          <w:szCs w:val="24"/>
          <w:lang w:eastAsia="en-GB"/>
        </w:rPr>
        <w:t>Whistleblowing and patient safety</w:t>
      </w:r>
      <w:r w:rsidRPr="006851D1">
        <w:rPr>
          <w:rFonts w:eastAsia="Times New Roman" w:cs="Times New Roman"/>
          <w:szCs w:val="24"/>
          <w:lang w:eastAsia="en-GB"/>
        </w:rPr>
        <w:t>.</w:t>
      </w:r>
    </w:p>
    <w:p w14:paraId="2055F92C"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Bagnasco, A., Zanini, M., Dasso, N., Rossi, S., Timmins, F., Galanti, M.C., Aleo, G., Catania, G. and Sasso, L. (2020) ‘Dignity, privacy, respect and choice—A scoping review of measurement of these concepts within acute healthcare practice’, </w:t>
      </w:r>
      <w:r w:rsidRPr="006851D1">
        <w:rPr>
          <w:rFonts w:eastAsia="Times New Roman" w:cs="Times New Roman"/>
          <w:i/>
          <w:iCs/>
          <w:szCs w:val="24"/>
          <w:lang w:eastAsia="en-GB"/>
        </w:rPr>
        <w:t>Journal of Clinical Nursing</w:t>
      </w:r>
      <w:r w:rsidRPr="006851D1">
        <w:rPr>
          <w:rFonts w:eastAsia="Times New Roman" w:cs="Times New Roman"/>
          <w:szCs w:val="24"/>
          <w:lang w:eastAsia="en-GB"/>
        </w:rPr>
        <w:t xml:space="preserve">, 29(11–12), pp. 1832–1857. Available at: </w:t>
      </w:r>
      <w:hyperlink r:id="rId9" w:tgtFrame="_new" w:history="1">
        <w:r w:rsidRPr="006851D1">
          <w:rPr>
            <w:rStyle w:val="Hyperlink"/>
            <w:rFonts w:eastAsia="Times New Roman" w:cs="Times New Roman"/>
            <w:szCs w:val="24"/>
            <w:lang w:eastAsia="en-GB"/>
          </w:rPr>
          <w:t>https://doi.org/10.1111/jocn.15245</w:t>
        </w:r>
      </w:hyperlink>
      <w:r w:rsidRPr="006851D1">
        <w:rPr>
          <w:rFonts w:eastAsia="Times New Roman" w:cs="Times New Roman"/>
          <w:szCs w:val="24"/>
          <w:lang w:eastAsia="en-GB"/>
        </w:rPr>
        <w:t xml:space="preserve"> (Accessed: 6 April 2026).</w:t>
      </w:r>
    </w:p>
    <w:p w14:paraId="1D44C03D"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Barker, P.J. (2011) </w:t>
      </w:r>
      <w:r w:rsidRPr="006851D1">
        <w:rPr>
          <w:rFonts w:eastAsia="Times New Roman" w:cs="Times New Roman"/>
          <w:i/>
          <w:iCs/>
          <w:szCs w:val="24"/>
          <w:lang w:eastAsia="en-GB"/>
        </w:rPr>
        <w:t>Mental health ethics: The human context</w:t>
      </w:r>
      <w:r w:rsidRPr="006851D1">
        <w:rPr>
          <w:rFonts w:eastAsia="Times New Roman" w:cs="Times New Roman"/>
          <w:szCs w:val="24"/>
          <w:lang w:eastAsia="en-GB"/>
        </w:rPr>
        <w:t xml:space="preserve">. London: Routledge. Available at: </w:t>
      </w:r>
      <w:hyperlink r:id="rId10" w:tgtFrame="_new" w:history="1">
        <w:r w:rsidRPr="006851D1">
          <w:rPr>
            <w:rStyle w:val="Hyperlink"/>
            <w:rFonts w:eastAsia="Times New Roman" w:cs="Times New Roman"/>
            <w:szCs w:val="24"/>
            <w:lang w:eastAsia="en-GB"/>
          </w:rPr>
          <w:t>https://doi.org/10.4324/9780203839058</w:t>
        </w:r>
      </w:hyperlink>
      <w:r w:rsidRPr="006851D1">
        <w:rPr>
          <w:rFonts w:eastAsia="Times New Roman" w:cs="Times New Roman"/>
          <w:szCs w:val="24"/>
          <w:lang w:eastAsia="en-GB"/>
        </w:rPr>
        <w:t xml:space="preserve"> (Accessed: 6 April 2026).</w:t>
      </w:r>
    </w:p>
    <w:p w14:paraId="718FB7ED"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Calvo, R.A. and Peters, D. (2016) ‘Designing for mental wellbeing: Towards a more holistic approach in the treatment and prevention of mental illness’, </w:t>
      </w:r>
      <w:r w:rsidRPr="006851D1">
        <w:rPr>
          <w:rFonts w:eastAsia="Times New Roman" w:cs="Times New Roman"/>
          <w:i/>
          <w:iCs/>
          <w:szCs w:val="24"/>
          <w:lang w:eastAsia="en-GB"/>
        </w:rPr>
        <w:t>Proceedings of the ACM</w:t>
      </w:r>
      <w:r w:rsidRPr="006851D1">
        <w:rPr>
          <w:rFonts w:eastAsia="Times New Roman" w:cs="Times New Roman"/>
          <w:szCs w:val="24"/>
          <w:lang w:eastAsia="en-GB"/>
        </w:rPr>
        <w:t xml:space="preserve">. Available at: </w:t>
      </w:r>
      <w:hyperlink r:id="rId11" w:tgtFrame="_new" w:history="1">
        <w:r w:rsidRPr="006851D1">
          <w:rPr>
            <w:rStyle w:val="Hyperlink"/>
            <w:rFonts w:eastAsia="Times New Roman" w:cs="Times New Roman"/>
            <w:szCs w:val="24"/>
            <w:lang w:eastAsia="en-GB"/>
          </w:rPr>
          <w:t>https://dl.acm.org/doi/epdf/10.1145/2783446.2783586</w:t>
        </w:r>
      </w:hyperlink>
      <w:r w:rsidRPr="006851D1">
        <w:rPr>
          <w:rFonts w:eastAsia="Times New Roman" w:cs="Times New Roman"/>
          <w:szCs w:val="24"/>
          <w:lang w:eastAsia="en-GB"/>
        </w:rPr>
        <w:t xml:space="preserve"> (Accessed: 6 April 2026).</w:t>
      </w:r>
    </w:p>
    <w:p w14:paraId="31900226"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Charalambous, A., Katajisto, J., Välimäki, M., Leino-</w:t>
      </w:r>
      <w:proofErr w:type="spellStart"/>
      <w:r w:rsidRPr="006851D1">
        <w:rPr>
          <w:rFonts w:eastAsia="Times New Roman" w:cs="Times New Roman"/>
          <w:szCs w:val="24"/>
          <w:lang w:eastAsia="en-GB"/>
        </w:rPr>
        <w:t>Kilpi</w:t>
      </w:r>
      <w:proofErr w:type="spellEnd"/>
      <w:r w:rsidRPr="006851D1">
        <w:rPr>
          <w:rFonts w:eastAsia="Times New Roman" w:cs="Times New Roman"/>
          <w:szCs w:val="24"/>
          <w:lang w:eastAsia="en-GB"/>
        </w:rPr>
        <w:t xml:space="preserve">, H. and Suhonen, R. (2010) ‘Individualised care and the professional practice environment: nurses’ perceptions’, </w:t>
      </w:r>
      <w:r w:rsidRPr="006851D1">
        <w:rPr>
          <w:rFonts w:eastAsia="Times New Roman" w:cs="Times New Roman"/>
          <w:i/>
          <w:iCs/>
          <w:szCs w:val="24"/>
          <w:lang w:eastAsia="en-GB"/>
        </w:rPr>
        <w:t>International Nursing Review</w:t>
      </w:r>
      <w:r w:rsidRPr="006851D1">
        <w:rPr>
          <w:rFonts w:eastAsia="Times New Roman" w:cs="Times New Roman"/>
          <w:szCs w:val="24"/>
          <w:lang w:eastAsia="en-GB"/>
        </w:rPr>
        <w:t xml:space="preserve">, 57(4), pp. 500–507. Available at: </w:t>
      </w:r>
      <w:hyperlink r:id="rId12" w:tgtFrame="_new" w:history="1">
        <w:r w:rsidRPr="006851D1">
          <w:rPr>
            <w:rStyle w:val="Hyperlink"/>
            <w:rFonts w:eastAsia="Times New Roman" w:cs="Times New Roman"/>
            <w:szCs w:val="24"/>
            <w:lang w:eastAsia="en-GB"/>
          </w:rPr>
          <w:t>https://doi.org/10.1111/j.1466-7657.2010.00831.x</w:t>
        </w:r>
      </w:hyperlink>
      <w:r w:rsidRPr="006851D1">
        <w:rPr>
          <w:rFonts w:eastAsia="Times New Roman" w:cs="Times New Roman"/>
          <w:szCs w:val="24"/>
          <w:lang w:eastAsia="en-GB"/>
        </w:rPr>
        <w:t xml:space="preserve"> (Accessed: 6 April 2026).</w:t>
      </w:r>
    </w:p>
    <w:p w14:paraId="7CAF39CD"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Crone, C. and Norberg, M.M. (2018) ‘Scared and surrounded by clutter: The influence of emotional reactivity’, </w:t>
      </w:r>
      <w:r w:rsidRPr="006851D1">
        <w:rPr>
          <w:rFonts w:eastAsia="Times New Roman" w:cs="Times New Roman"/>
          <w:i/>
          <w:iCs/>
          <w:szCs w:val="24"/>
          <w:lang w:eastAsia="en-GB"/>
        </w:rPr>
        <w:t>Journal of Affective Disorders</w:t>
      </w:r>
      <w:r w:rsidRPr="006851D1">
        <w:rPr>
          <w:rFonts w:eastAsia="Times New Roman" w:cs="Times New Roman"/>
          <w:szCs w:val="24"/>
          <w:lang w:eastAsia="en-GB"/>
        </w:rPr>
        <w:t xml:space="preserve">, 235, pp. 285–292. Available at: </w:t>
      </w:r>
      <w:hyperlink r:id="rId13" w:tgtFrame="_new" w:history="1">
        <w:r w:rsidRPr="006851D1">
          <w:rPr>
            <w:rStyle w:val="Hyperlink"/>
            <w:rFonts w:eastAsia="Times New Roman" w:cs="Times New Roman"/>
            <w:szCs w:val="24"/>
            <w:lang w:eastAsia="en-GB"/>
          </w:rPr>
          <w:t>https://doi.org/10.1016/j.jad.2018.04.066</w:t>
        </w:r>
      </w:hyperlink>
      <w:r w:rsidRPr="006851D1">
        <w:rPr>
          <w:rFonts w:eastAsia="Times New Roman" w:cs="Times New Roman"/>
          <w:szCs w:val="24"/>
          <w:lang w:eastAsia="en-GB"/>
        </w:rPr>
        <w:t xml:space="preserve"> (Accessed: 6 April 2026).</w:t>
      </w:r>
    </w:p>
    <w:p w14:paraId="6949710B"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Eliacin, J., Salyers, M.P., Kukla, M. and Matthias, M.S. (2015) ‘Factors influencing patients’ preferences and perceived involvement in shared decision-making in mental health care’, </w:t>
      </w:r>
      <w:r w:rsidRPr="006851D1">
        <w:rPr>
          <w:rFonts w:eastAsia="Times New Roman" w:cs="Times New Roman"/>
          <w:i/>
          <w:iCs/>
          <w:szCs w:val="24"/>
          <w:lang w:eastAsia="en-GB"/>
        </w:rPr>
        <w:t>Journal of Mental Health</w:t>
      </w:r>
      <w:r w:rsidRPr="006851D1">
        <w:rPr>
          <w:rFonts w:eastAsia="Times New Roman" w:cs="Times New Roman"/>
          <w:szCs w:val="24"/>
          <w:lang w:eastAsia="en-GB"/>
        </w:rPr>
        <w:t xml:space="preserve">, 24(1), pp. 24–28. Available at: </w:t>
      </w:r>
      <w:hyperlink r:id="rId14" w:tgtFrame="_new" w:history="1">
        <w:r w:rsidRPr="006851D1">
          <w:rPr>
            <w:rStyle w:val="Hyperlink"/>
            <w:rFonts w:eastAsia="Times New Roman" w:cs="Times New Roman"/>
            <w:szCs w:val="24"/>
            <w:lang w:eastAsia="en-GB"/>
          </w:rPr>
          <w:t>https://doi.org/10.3109/09638237.2014.954695</w:t>
        </w:r>
      </w:hyperlink>
      <w:r w:rsidRPr="006851D1">
        <w:rPr>
          <w:rFonts w:eastAsia="Times New Roman" w:cs="Times New Roman"/>
          <w:szCs w:val="24"/>
          <w:lang w:eastAsia="en-GB"/>
        </w:rPr>
        <w:t xml:space="preserve"> (Accessed: 6 April 2026).</w:t>
      </w:r>
    </w:p>
    <w:p w14:paraId="4182B1B3"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European Commission (2015) </w:t>
      </w:r>
      <w:r w:rsidRPr="006851D1">
        <w:rPr>
          <w:rFonts w:eastAsia="Times New Roman" w:cs="Times New Roman"/>
          <w:i/>
          <w:iCs/>
          <w:szCs w:val="24"/>
          <w:lang w:eastAsia="en-GB"/>
        </w:rPr>
        <w:t>Developing a new understanding of enabling health and wellbeing in Europe</w:t>
      </w:r>
      <w:r w:rsidRPr="006851D1">
        <w:rPr>
          <w:rFonts w:eastAsia="Times New Roman" w:cs="Times New Roman"/>
          <w:szCs w:val="24"/>
          <w:lang w:eastAsia="en-GB"/>
        </w:rPr>
        <w:t>. Available at: https://health.ec.europa.eu/system/files/2016-11/health_glance_2015_en_0.pdf (Accessed: 6 April 2026).</w:t>
      </w:r>
    </w:p>
    <w:p w14:paraId="4DE7FFC9"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Frank, L. (2013) ‘Person-</w:t>
      </w:r>
      <w:proofErr w:type="spellStart"/>
      <w:r w:rsidRPr="006851D1">
        <w:rPr>
          <w:rFonts w:eastAsia="Times New Roman" w:cs="Times New Roman"/>
          <w:szCs w:val="24"/>
          <w:lang w:eastAsia="en-GB"/>
        </w:rPr>
        <w:t>centered</w:t>
      </w:r>
      <w:proofErr w:type="spellEnd"/>
      <w:r w:rsidRPr="006851D1">
        <w:rPr>
          <w:rFonts w:eastAsia="Times New Roman" w:cs="Times New Roman"/>
          <w:szCs w:val="24"/>
          <w:lang w:eastAsia="en-GB"/>
        </w:rPr>
        <w:t xml:space="preserve"> care, autonomy, and the definition of health’, </w:t>
      </w:r>
      <w:r w:rsidRPr="006851D1">
        <w:rPr>
          <w:rFonts w:eastAsia="Times New Roman" w:cs="Times New Roman"/>
          <w:i/>
          <w:iCs/>
          <w:szCs w:val="24"/>
          <w:lang w:eastAsia="en-GB"/>
        </w:rPr>
        <w:t>American Journal of Bioethics</w:t>
      </w:r>
      <w:r w:rsidRPr="006851D1">
        <w:rPr>
          <w:rFonts w:eastAsia="Times New Roman" w:cs="Times New Roman"/>
          <w:szCs w:val="24"/>
          <w:lang w:eastAsia="en-GB"/>
        </w:rPr>
        <w:t xml:space="preserve">, 13(8), pp. 59–61. Available at: </w:t>
      </w:r>
      <w:hyperlink r:id="rId15" w:tgtFrame="_new" w:history="1">
        <w:r w:rsidRPr="006851D1">
          <w:rPr>
            <w:rStyle w:val="Hyperlink"/>
            <w:rFonts w:eastAsia="Times New Roman" w:cs="Times New Roman"/>
            <w:szCs w:val="24"/>
            <w:lang w:eastAsia="en-GB"/>
          </w:rPr>
          <w:t>https://doi.org/10.1080/15265161.2013.802068</w:t>
        </w:r>
      </w:hyperlink>
      <w:r w:rsidRPr="006851D1">
        <w:rPr>
          <w:rFonts w:eastAsia="Times New Roman" w:cs="Times New Roman"/>
          <w:szCs w:val="24"/>
          <w:lang w:eastAsia="en-GB"/>
        </w:rPr>
        <w:t xml:space="preserve"> (Accessed: 6 April 2026).</w:t>
      </w:r>
    </w:p>
    <w:p w14:paraId="584CA11A"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Glasby, J. and Dickinson, H. (2014) </w:t>
      </w:r>
      <w:r w:rsidRPr="006851D1">
        <w:rPr>
          <w:rFonts w:eastAsia="Times New Roman" w:cs="Times New Roman"/>
          <w:i/>
          <w:iCs/>
          <w:szCs w:val="24"/>
          <w:lang w:eastAsia="en-GB"/>
        </w:rPr>
        <w:t>Partnership working in health and social care: What is integrated care and how can we deliver it?</w:t>
      </w:r>
      <w:r w:rsidRPr="006851D1">
        <w:rPr>
          <w:rFonts w:eastAsia="Times New Roman" w:cs="Times New Roman"/>
          <w:szCs w:val="24"/>
          <w:lang w:eastAsia="en-GB"/>
        </w:rPr>
        <w:t xml:space="preserve"> 2nd </w:t>
      </w:r>
      <w:proofErr w:type="spellStart"/>
      <w:r w:rsidRPr="006851D1">
        <w:rPr>
          <w:rFonts w:eastAsia="Times New Roman" w:cs="Times New Roman"/>
          <w:szCs w:val="24"/>
          <w:lang w:eastAsia="en-GB"/>
        </w:rPr>
        <w:t>edn</w:t>
      </w:r>
      <w:proofErr w:type="spellEnd"/>
      <w:r w:rsidRPr="006851D1">
        <w:rPr>
          <w:rFonts w:eastAsia="Times New Roman" w:cs="Times New Roman"/>
          <w:szCs w:val="24"/>
          <w:lang w:eastAsia="en-GB"/>
        </w:rPr>
        <w:t>. Bristol: Policy Press.</w:t>
      </w:r>
    </w:p>
    <w:p w14:paraId="0ECD4F8B"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Harrison, M., Angarola, R., Forsyth, K. and Irvine, L. (2016) ‘Defining the environment to support occupational therapy intervention in mental health practice’, </w:t>
      </w:r>
      <w:r w:rsidRPr="006851D1">
        <w:rPr>
          <w:rFonts w:eastAsia="Times New Roman" w:cs="Times New Roman"/>
          <w:i/>
          <w:iCs/>
          <w:szCs w:val="24"/>
          <w:lang w:eastAsia="en-GB"/>
        </w:rPr>
        <w:t>British Journal of Occupational Therapy</w:t>
      </w:r>
      <w:r w:rsidRPr="006851D1">
        <w:rPr>
          <w:rFonts w:eastAsia="Times New Roman" w:cs="Times New Roman"/>
          <w:szCs w:val="24"/>
          <w:lang w:eastAsia="en-GB"/>
        </w:rPr>
        <w:t xml:space="preserve">, 79(1), pp. 57–59. Available at: </w:t>
      </w:r>
      <w:hyperlink r:id="rId16" w:tgtFrame="_new" w:history="1">
        <w:r w:rsidRPr="006851D1">
          <w:rPr>
            <w:rStyle w:val="Hyperlink"/>
            <w:rFonts w:eastAsia="Times New Roman" w:cs="Times New Roman"/>
            <w:szCs w:val="24"/>
            <w:lang w:eastAsia="en-GB"/>
          </w:rPr>
          <w:t>https://doi.org/10.1177/0308022614562787</w:t>
        </w:r>
      </w:hyperlink>
      <w:r w:rsidRPr="006851D1">
        <w:rPr>
          <w:rFonts w:eastAsia="Times New Roman" w:cs="Times New Roman"/>
          <w:szCs w:val="24"/>
          <w:lang w:eastAsia="en-GB"/>
        </w:rPr>
        <w:t xml:space="preserve"> (Accessed: 6 April 2026).</w:t>
      </w:r>
    </w:p>
    <w:p w14:paraId="75714CF4"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Jackson, J.C., Santoro, M.J., Ely, T.M., Boehm, L., Kiehl, A.L., Anderson, L.S. and Ely, E.W. (2014) ‘Improving patient care through the prism of psychology’, </w:t>
      </w:r>
      <w:r w:rsidRPr="006851D1">
        <w:rPr>
          <w:rFonts w:eastAsia="Times New Roman" w:cs="Times New Roman"/>
          <w:i/>
          <w:iCs/>
          <w:szCs w:val="24"/>
          <w:lang w:eastAsia="en-GB"/>
        </w:rPr>
        <w:t>Journal of Critical Care</w:t>
      </w:r>
      <w:r w:rsidRPr="006851D1">
        <w:rPr>
          <w:rFonts w:eastAsia="Times New Roman" w:cs="Times New Roman"/>
          <w:szCs w:val="24"/>
          <w:lang w:eastAsia="en-GB"/>
        </w:rPr>
        <w:t xml:space="preserve">, 29(3), pp. 438–444. Available at: </w:t>
      </w:r>
      <w:hyperlink r:id="rId17" w:tgtFrame="_new" w:history="1">
        <w:r w:rsidRPr="006851D1">
          <w:rPr>
            <w:rStyle w:val="Hyperlink"/>
            <w:rFonts w:eastAsia="Times New Roman" w:cs="Times New Roman"/>
            <w:szCs w:val="24"/>
            <w:lang w:eastAsia="en-GB"/>
          </w:rPr>
          <w:t>https://doi.org/10.1016/j.jcrc.2014.01.009</w:t>
        </w:r>
      </w:hyperlink>
      <w:r w:rsidRPr="006851D1">
        <w:rPr>
          <w:rFonts w:eastAsia="Times New Roman" w:cs="Times New Roman"/>
          <w:szCs w:val="24"/>
          <w:lang w:eastAsia="en-GB"/>
        </w:rPr>
        <w:t xml:space="preserve"> (Accessed: 6 April 2026).</w:t>
      </w:r>
    </w:p>
    <w:p w14:paraId="16A21518" w14:textId="77777777" w:rsidR="006851D1" w:rsidRPr="006851D1" w:rsidRDefault="006851D1" w:rsidP="006851D1">
      <w:pPr>
        <w:spacing w:after="0" w:line="240" w:lineRule="auto"/>
        <w:ind w:left="360"/>
        <w:rPr>
          <w:rFonts w:eastAsia="Times New Roman" w:cs="Times New Roman"/>
          <w:szCs w:val="24"/>
          <w:lang w:eastAsia="en-GB"/>
        </w:rPr>
      </w:pPr>
      <w:proofErr w:type="spellStart"/>
      <w:r w:rsidRPr="006851D1">
        <w:rPr>
          <w:rFonts w:eastAsia="Times New Roman" w:cs="Times New Roman"/>
          <w:szCs w:val="24"/>
          <w:lang w:eastAsia="en-GB"/>
        </w:rPr>
        <w:t>Leathard</w:t>
      </w:r>
      <w:proofErr w:type="spellEnd"/>
      <w:r w:rsidRPr="006851D1">
        <w:rPr>
          <w:rFonts w:eastAsia="Times New Roman" w:cs="Times New Roman"/>
          <w:szCs w:val="24"/>
          <w:lang w:eastAsia="en-GB"/>
        </w:rPr>
        <w:t xml:space="preserve">, A. and Goodinson-McLaren, S. (2007) </w:t>
      </w:r>
      <w:r w:rsidRPr="006851D1">
        <w:rPr>
          <w:rFonts w:eastAsia="Times New Roman" w:cs="Times New Roman"/>
          <w:i/>
          <w:iCs/>
          <w:szCs w:val="24"/>
          <w:lang w:eastAsia="en-GB"/>
        </w:rPr>
        <w:t>Ethics: Contemporary challenges in health and social care</w:t>
      </w:r>
      <w:r w:rsidRPr="006851D1">
        <w:rPr>
          <w:rFonts w:eastAsia="Times New Roman" w:cs="Times New Roman"/>
          <w:szCs w:val="24"/>
          <w:lang w:eastAsia="en-GB"/>
        </w:rPr>
        <w:t>. Bristol: Policy Press.</w:t>
      </w:r>
    </w:p>
    <w:p w14:paraId="630FF549"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Nederland, T. (2009) ‘Partnership working in action’, </w:t>
      </w:r>
      <w:r w:rsidRPr="006851D1">
        <w:rPr>
          <w:rFonts w:eastAsia="Times New Roman" w:cs="Times New Roman"/>
          <w:i/>
          <w:iCs/>
          <w:szCs w:val="24"/>
          <w:lang w:eastAsia="en-GB"/>
        </w:rPr>
        <w:t>International Journal of Integrated Care</w:t>
      </w:r>
      <w:r w:rsidRPr="006851D1">
        <w:rPr>
          <w:rFonts w:eastAsia="Times New Roman" w:cs="Times New Roman"/>
          <w:szCs w:val="24"/>
          <w:lang w:eastAsia="en-GB"/>
        </w:rPr>
        <w:t xml:space="preserve">, 9(4). Available at: </w:t>
      </w:r>
      <w:hyperlink r:id="rId18" w:tgtFrame="_new" w:history="1">
        <w:r w:rsidRPr="006851D1">
          <w:rPr>
            <w:rStyle w:val="Hyperlink"/>
            <w:rFonts w:eastAsia="Times New Roman" w:cs="Times New Roman"/>
            <w:szCs w:val="24"/>
            <w:lang w:eastAsia="en-GB"/>
          </w:rPr>
          <w:t>https://doi.org/10.5334/ijic.326</w:t>
        </w:r>
      </w:hyperlink>
      <w:r w:rsidRPr="006851D1">
        <w:rPr>
          <w:rFonts w:eastAsia="Times New Roman" w:cs="Times New Roman"/>
          <w:szCs w:val="24"/>
          <w:lang w:eastAsia="en-GB"/>
        </w:rPr>
        <w:t xml:space="preserve"> (Accessed: 6 April 2026).</w:t>
      </w:r>
    </w:p>
    <w:p w14:paraId="7641DADE"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O’Leary, K.J., Killarney, A., Hansen, L.O., Jones, S., Malladi, M., Marks, K. and Shah, H.M. (2016) ‘Effect of patient-centred bedside rounds’, </w:t>
      </w:r>
      <w:r w:rsidRPr="006851D1">
        <w:rPr>
          <w:rFonts w:eastAsia="Times New Roman" w:cs="Times New Roman"/>
          <w:i/>
          <w:iCs/>
          <w:szCs w:val="24"/>
          <w:lang w:eastAsia="en-GB"/>
        </w:rPr>
        <w:t>BMJ Quality &amp; Safety</w:t>
      </w:r>
      <w:r w:rsidRPr="006851D1">
        <w:rPr>
          <w:rFonts w:eastAsia="Times New Roman" w:cs="Times New Roman"/>
          <w:szCs w:val="24"/>
          <w:lang w:eastAsia="en-GB"/>
        </w:rPr>
        <w:t xml:space="preserve">, 25(12), </w:t>
      </w:r>
      <w:r w:rsidRPr="006851D1">
        <w:rPr>
          <w:rFonts w:eastAsia="Times New Roman" w:cs="Times New Roman"/>
          <w:szCs w:val="24"/>
          <w:lang w:eastAsia="en-GB"/>
        </w:rPr>
        <w:lastRenderedPageBreak/>
        <w:t xml:space="preserve">pp. 921–928. Available at: </w:t>
      </w:r>
      <w:hyperlink r:id="rId19" w:tgtFrame="_new" w:history="1">
        <w:r w:rsidRPr="006851D1">
          <w:rPr>
            <w:rStyle w:val="Hyperlink"/>
            <w:rFonts w:eastAsia="Times New Roman" w:cs="Times New Roman"/>
            <w:szCs w:val="24"/>
            <w:lang w:eastAsia="en-GB"/>
          </w:rPr>
          <w:t>https://doi.org/10.1136/bmjqs-2015-004561</w:t>
        </w:r>
      </w:hyperlink>
      <w:r w:rsidRPr="006851D1">
        <w:rPr>
          <w:rFonts w:eastAsia="Times New Roman" w:cs="Times New Roman"/>
          <w:szCs w:val="24"/>
          <w:lang w:eastAsia="en-GB"/>
        </w:rPr>
        <w:t xml:space="preserve"> (Accessed: 6 April 2026).</w:t>
      </w:r>
    </w:p>
    <w:p w14:paraId="57765F52"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Reeves, S., </w:t>
      </w:r>
      <w:proofErr w:type="spellStart"/>
      <w:r w:rsidRPr="006851D1">
        <w:rPr>
          <w:rFonts w:eastAsia="Times New Roman" w:cs="Times New Roman"/>
          <w:szCs w:val="24"/>
          <w:lang w:eastAsia="en-GB"/>
        </w:rPr>
        <w:t>Pelone</w:t>
      </w:r>
      <w:proofErr w:type="spellEnd"/>
      <w:r w:rsidRPr="006851D1">
        <w:rPr>
          <w:rFonts w:eastAsia="Times New Roman" w:cs="Times New Roman"/>
          <w:szCs w:val="24"/>
          <w:lang w:eastAsia="en-GB"/>
        </w:rPr>
        <w:t xml:space="preserve">, F., Harrison, R., Goldman, J. and </w:t>
      </w:r>
      <w:proofErr w:type="spellStart"/>
      <w:r w:rsidRPr="006851D1">
        <w:rPr>
          <w:rFonts w:eastAsia="Times New Roman" w:cs="Times New Roman"/>
          <w:szCs w:val="24"/>
          <w:lang w:eastAsia="en-GB"/>
        </w:rPr>
        <w:t>Zwarenstein</w:t>
      </w:r>
      <w:proofErr w:type="spellEnd"/>
      <w:r w:rsidRPr="006851D1">
        <w:rPr>
          <w:rFonts w:eastAsia="Times New Roman" w:cs="Times New Roman"/>
          <w:szCs w:val="24"/>
          <w:lang w:eastAsia="en-GB"/>
        </w:rPr>
        <w:t xml:space="preserve">, M. (2017) ‘Interprofessional collaboration’, </w:t>
      </w:r>
      <w:r w:rsidRPr="006851D1">
        <w:rPr>
          <w:rFonts w:eastAsia="Times New Roman" w:cs="Times New Roman"/>
          <w:i/>
          <w:iCs/>
          <w:szCs w:val="24"/>
          <w:lang w:eastAsia="en-GB"/>
        </w:rPr>
        <w:t>Journal of Interprofessional Care</w:t>
      </w:r>
      <w:r w:rsidRPr="006851D1">
        <w:rPr>
          <w:rFonts w:eastAsia="Times New Roman" w:cs="Times New Roman"/>
          <w:szCs w:val="24"/>
          <w:lang w:eastAsia="en-GB"/>
        </w:rPr>
        <w:t xml:space="preserve">, 31(5), pp. 603–613. Available at: </w:t>
      </w:r>
      <w:hyperlink r:id="rId20" w:tgtFrame="_new" w:history="1">
        <w:r w:rsidRPr="006851D1">
          <w:rPr>
            <w:rStyle w:val="Hyperlink"/>
            <w:rFonts w:eastAsia="Times New Roman" w:cs="Times New Roman"/>
            <w:szCs w:val="24"/>
            <w:lang w:eastAsia="en-GB"/>
          </w:rPr>
          <w:t>https://doi.org/10.1080/13561820.2017.1310050</w:t>
        </w:r>
      </w:hyperlink>
      <w:r w:rsidRPr="006851D1">
        <w:rPr>
          <w:rFonts w:eastAsia="Times New Roman" w:cs="Times New Roman"/>
          <w:szCs w:val="24"/>
          <w:lang w:eastAsia="en-GB"/>
        </w:rPr>
        <w:t xml:space="preserve"> (Accessed: 6 April 2026).</w:t>
      </w:r>
    </w:p>
    <w:p w14:paraId="7333C38C"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The Health Foundation (2016) </w:t>
      </w:r>
      <w:r w:rsidRPr="006851D1">
        <w:rPr>
          <w:rFonts w:eastAsia="Times New Roman" w:cs="Times New Roman"/>
          <w:i/>
          <w:iCs/>
          <w:szCs w:val="24"/>
          <w:lang w:eastAsia="en-GB"/>
        </w:rPr>
        <w:t>Person-centred care: From ideas to action</w:t>
      </w:r>
      <w:r w:rsidRPr="006851D1">
        <w:rPr>
          <w:rFonts w:eastAsia="Times New Roman" w:cs="Times New Roman"/>
          <w:szCs w:val="24"/>
          <w:lang w:eastAsia="en-GB"/>
        </w:rPr>
        <w:t xml:space="preserve">. Available at: </w:t>
      </w:r>
      <w:hyperlink r:id="rId21" w:tgtFrame="_new" w:history="1">
        <w:r w:rsidRPr="006851D1">
          <w:rPr>
            <w:rStyle w:val="Hyperlink"/>
            <w:rFonts w:eastAsia="Times New Roman" w:cs="Times New Roman"/>
            <w:szCs w:val="24"/>
            <w:lang w:eastAsia="en-GB"/>
          </w:rPr>
          <w:t>https://www.health.org.uk/sites/default/files/PersonCentredCareFromIdeasToAction.pdf</w:t>
        </w:r>
      </w:hyperlink>
      <w:r w:rsidRPr="006851D1">
        <w:rPr>
          <w:rFonts w:eastAsia="Times New Roman" w:cs="Times New Roman"/>
          <w:szCs w:val="24"/>
          <w:lang w:eastAsia="en-GB"/>
        </w:rPr>
        <w:t xml:space="preserve"> (Accessed: 6 April 2026).</w:t>
      </w:r>
    </w:p>
    <w:p w14:paraId="23E1CE3E"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UK Government (2014) </w:t>
      </w:r>
      <w:r w:rsidRPr="006851D1">
        <w:rPr>
          <w:rFonts w:eastAsia="Times New Roman" w:cs="Times New Roman"/>
          <w:i/>
          <w:iCs/>
          <w:szCs w:val="24"/>
          <w:lang w:eastAsia="en-GB"/>
        </w:rPr>
        <w:t>Care Act 2014</w:t>
      </w:r>
      <w:r w:rsidRPr="006851D1">
        <w:rPr>
          <w:rFonts w:eastAsia="Times New Roman" w:cs="Times New Roman"/>
          <w:szCs w:val="24"/>
          <w:lang w:eastAsia="en-GB"/>
        </w:rPr>
        <w:t xml:space="preserve">. Available at: </w:t>
      </w:r>
      <w:hyperlink r:id="rId22" w:tgtFrame="_new" w:history="1">
        <w:r w:rsidRPr="006851D1">
          <w:rPr>
            <w:rStyle w:val="Hyperlink"/>
            <w:rFonts w:eastAsia="Times New Roman" w:cs="Times New Roman"/>
            <w:szCs w:val="24"/>
            <w:lang w:eastAsia="en-GB"/>
          </w:rPr>
          <w:t>https://www.legislation.gov.uk/ukpga/2014/23/section/1</w:t>
        </w:r>
      </w:hyperlink>
      <w:r w:rsidRPr="006851D1">
        <w:rPr>
          <w:rFonts w:eastAsia="Times New Roman" w:cs="Times New Roman"/>
          <w:szCs w:val="24"/>
          <w:lang w:eastAsia="en-GB"/>
        </w:rPr>
        <w:t xml:space="preserve"> (Accessed: 6 April 2026).</w:t>
      </w:r>
    </w:p>
    <w:p w14:paraId="28B1E815"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UK Government (2022) </w:t>
      </w:r>
      <w:r w:rsidRPr="006851D1">
        <w:rPr>
          <w:rFonts w:eastAsia="Times New Roman" w:cs="Times New Roman"/>
          <w:i/>
          <w:iCs/>
          <w:szCs w:val="24"/>
          <w:lang w:eastAsia="en-GB"/>
        </w:rPr>
        <w:t>Health and Care Act 2022</w:t>
      </w:r>
      <w:r w:rsidRPr="006851D1">
        <w:rPr>
          <w:rFonts w:eastAsia="Times New Roman" w:cs="Times New Roman"/>
          <w:szCs w:val="24"/>
          <w:lang w:eastAsia="en-GB"/>
        </w:rPr>
        <w:t xml:space="preserve">. Available at: </w:t>
      </w:r>
      <w:hyperlink r:id="rId23" w:tgtFrame="_new" w:history="1">
        <w:r w:rsidRPr="006851D1">
          <w:rPr>
            <w:rStyle w:val="Hyperlink"/>
            <w:rFonts w:eastAsia="Times New Roman" w:cs="Times New Roman"/>
            <w:szCs w:val="24"/>
            <w:lang w:eastAsia="en-GB"/>
          </w:rPr>
          <w:t>https://www.legislation.gov.uk/ukpga/2022/31/section/26</w:t>
        </w:r>
      </w:hyperlink>
      <w:r w:rsidRPr="006851D1">
        <w:rPr>
          <w:rFonts w:eastAsia="Times New Roman" w:cs="Times New Roman"/>
          <w:szCs w:val="24"/>
          <w:lang w:eastAsia="en-GB"/>
        </w:rPr>
        <w:t xml:space="preserve"> (Accessed: 6 April 2026).</w:t>
      </w:r>
    </w:p>
    <w:p w14:paraId="4C213303"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van Loon, J., Janssen, M., Janssen, B., de </w:t>
      </w:r>
      <w:proofErr w:type="spellStart"/>
      <w:r w:rsidRPr="006851D1">
        <w:rPr>
          <w:rFonts w:eastAsia="Times New Roman" w:cs="Times New Roman"/>
          <w:szCs w:val="24"/>
          <w:lang w:eastAsia="en-GB"/>
        </w:rPr>
        <w:t>Rooij</w:t>
      </w:r>
      <w:proofErr w:type="spellEnd"/>
      <w:r w:rsidRPr="006851D1">
        <w:rPr>
          <w:rFonts w:eastAsia="Times New Roman" w:cs="Times New Roman"/>
          <w:szCs w:val="24"/>
          <w:lang w:eastAsia="en-GB"/>
        </w:rPr>
        <w:t xml:space="preserve">, I. and </w:t>
      </w:r>
      <w:proofErr w:type="spellStart"/>
      <w:r w:rsidRPr="006851D1">
        <w:rPr>
          <w:rFonts w:eastAsia="Times New Roman" w:cs="Times New Roman"/>
          <w:szCs w:val="24"/>
          <w:lang w:eastAsia="en-GB"/>
        </w:rPr>
        <w:t>Luijkx</w:t>
      </w:r>
      <w:proofErr w:type="spellEnd"/>
      <w:r w:rsidRPr="006851D1">
        <w:rPr>
          <w:rFonts w:eastAsia="Times New Roman" w:cs="Times New Roman"/>
          <w:szCs w:val="24"/>
          <w:lang w:eastAsia="en-GB"/>
        </w:rPr>
        <w:t xml:space="preserve">, K. (2023) ‘Developing a person-centred care environment’, </w:t>
      </w:r>
      <w:r w:rsidRPr="006851D1">
        <w:rPr>
          <w:rFonts w:eastAsia="Times New Roman" w:cs="Times New Roman"/>
          <w:i/>
          <w:iCs/>
          <w:szCs w:val="24"/>
          <w:lang w:eastAsia="en-GB"/>
        </w:rPr>
        <w:t>BMC Geriatrics</w:t>
      </w:r>
      <w:r w:rsidRPr="006851D1">
        <w:rPr>
          <w:rFonts w:eastAsia="Times New Roman" w:cs="Times New Roman"/>
          <w:szCs w:val="24"/>
          <w:lang w:eastAsia="en-GB"/>
        </w:rPr>
        <w:t xml:space="preserve">, 23(1). Available at: </w:t>
      </w:r>
      <w:hyperlink r:id="rId24" w:tgtFrame="_new" w:history="1">
        <w:r w:rsidRPr="006851D1">
          <w:rPr>
            <w:rStyle w:val="Hyperlink"/>
            <w:rFonts w:eastAsia="Times New Roman" w:cs="Times New Roman"/>
            <w:szCs w:val="24"/>
            <w:lang w:eastAsia="en-GB"/>
          </w:rPr>
          <w:t>https://doi.org/10.1186/s12877-023-04434-8</w:t>
        </w:r>
      </w:hyperlink>
      <w:r w:rsidRPr="006851D1">
        <w:rPr>
          <w:rFonts w:eastAsia="Times New Roman" w:cs="Times New Roman"/>
          <w:szCs w:val="24"/>
          <w:lang w:eastAsia="en-GB"/>
        </w:rPr>
        <w:t xml:space="preserve"> (Accessed: 6 April 2026).</w:t>
      </w:r>
    </w:p>
    <w:p w14:paraId="30AEDB93"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Wei, H., Horns, P., Sears, S.F., Huang, K., Smith, C.M. and Wei, T.L. (2022) ‘A systematic meta-review of interprofessional collaboration’, </w:t>
      </w:r>
      <w:r w:rsidRPr="006851D1">
        <w:rPr>
          <w:rFonts w:eastAsia="Times New Roman" w:cs="Times New Roman"/>
          <w:i/>
          <w:iCs/>
          <w:szCs w:val="24"/>
          <w:lang w:eastAsia="en-GB"/>
        </w:rPr>
        <w:t>Journal of Interprofessional Care</w:t>
      </w:r>
      <w:r w:rsidRPr="006851D1">
        <w:rPr>
          <w:rFonts w:eastAsia="Times New Roman" w:cs="Times New Roman"/>
          <w:szCs w:val="24"/>
          <w:lang w:eastAsia="en-GB"/>
        </w:rPr>
        <w:t xml:space="preserve">, 36(5), pp. 735–749. Available at: </w:t>
      </w:r>
      <w:hyperlink r:id="rId25" w:tgtFrame="_new" w:history="1">
        <w:r w:rsidRPr="006851D1">
          <w:rPr>
            <w:rStyle w:val="Hyperlink"/>
            <w:rFonts w:eastAsia="Times New Roman" w:cs="Times New Roman"/>
            <w:szCs w:val="24"/>
            <w:lang w:eastAsia="en-GB"/>
          </w:rPr>
          <w:t>https://doi.org/10.1080/13561820.2021.1973975</w:t>
        </w:r>
      </w:hyperlink>
      <w:r w:rsidRPr="006851D1">
        <w:rPr>
          <w:rFonts w:eastAsia="Times New Roman" w:cs="Times New Roman"/>
          <w:szCs w:val="24"/>
          <w:lang w:eastAsia="en-GB"/>
        </w:rPr>
        <w:t xml:space="preserve"> (Accessed: 6 April 2026).</w:t>
      </w:r>
    </w:p>
    <w:p w14:paraId="3F2A55F1"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Taylor &amp; Francis (2019) ‘Interprofessional collaboration article’. Available at: </w:t>
      </w:r>
      <w:hyperlink r:id="rId26" w:tgtFrame="_new" w:history="1">
        <w:r w:rsidRPr="006851D1">
          <w:rPr>
            <w:rStyle w:val="Hyperlink"/>
            <w:rFonts w:eastAsia="Times New Roman" w:cs="Times New Roman"/>
            <w:szCs w:val="24"/>
            <w:lang w:eastAsia="en-GB"/>
          </w:rPr>
          <w:t>https://www.tandfonline.com/doi/epdf/10.1080/13561820.2019.1694496</w:t>
        </w:r>
      </w:hyperlink>
      <w:r w:rsidRPr="006851D1">
        <w:rPr>
          <w:rFonts w:eastAsia="Times New Roman" w:cs="Times New Roman"/>
          <w:szCs w:val="24"/>
          <w:lang w:eastAsia="en-GB"/>
        </w:rPr>
        <w:t xml:space="preserve"> (Accessed: 6 April 2026).</w:t>
      </w:r>
    </w:p>
    <w:p w14:paraId="22438D4E" w14:textId="77777777" w:rsidR="00123794" w:rsidRPr="00F95A23" w:rsidRDefault="00123794" w:rsidP="00F95A23">
      <w:pPr>
        <w:spacing w:after="0" w:line="240" w:lineRule="auto"/>
        <w:ind w:left="360"/>
        <w:rPr>
          <w:rFonts w:eastAsia="Times New Roman" w:cs="Times New Roman"/>
          <w:szCs w:val="24"/>
          <w:lang w:eastAsia="en-GB"/>
        </w:rPr>
      </w:pPr>
    </w:p>
    <w:sectPr w:rsidR="00123794" w:rsidRPr="00F95A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16BB2" w14:textId="77777777" w:rsidR="00A65FBC" w:rsidRDefault="00A65FBC" w:rsidP="00B21FE6">
      <w:pPr>
        <w:spacing w:after="0" w:line="240" w:lineRule="auto"/>
      </w:pPr>
      <w:r>
        <w:separator/>
      </w:r>
    </w:p>
  </w:endnote>
  <w:endnote w:type="continuationSeparator" w:id="0">
    <w:p w14:paraId="6917BE97" w14:textId="77777777" w:rsidR="00A65FBC" w:rsidRDefault="00A65FBC"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C963A" w14:textId="77777777" w:rsidR="00A65FBC" w:rsidRDefault="00A65FBC" w:rsidP="00B21FE6">
      <w:pPr>
        <w:spacing w:after="0" w:line="240" w:lineRule="auto"/>
      </w:pPr>
      <w:r>
        <w:separator/>
      </w:r>
    </w:p>
  </w:footnote>
  <w:footnote w:type="continuationSeparator" w:id="0">
    <w:p w14:paraId="066520E8" w14:textId="77777777" w:rsidR="00A65FBC" w:rsidRDefault="00A65FBC"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B5643"/>
    <w:multiLevelType w:val="hybridMultilevel"/>
    <w:tmpl w:val="5F5E2DE0"/>
    <w:lvl w:ilvl="0" w:tplc="BC3262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401765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4009F"/>
    <w:rsid w:val="00052089"/>
    <w:rsid w:val="0008551B"/>
    <w:rsid w:val="000A14A6"/>
    <w:rsid w:val="000D7603"/>
    <w:rsid w:val="000F779F"/>
    <w:rsid w:val="00123794"/>
    <w:rsid w:val="001333C2"/>
    <w:rsid w:val="00182BD4"/>
    <w:rsid w:val="001959B4"/>
    <w:rsid w:val="001B6553"/>
    <w:rsid w:val="001C75C4"/>
    <w:rsid w:val="001D345E"/>
    <w:rsid w:val="001D6394"/>
    <w:rsid w:val="001F49CD"/>
    <w:rsid w:val="00220640"/>
    <w:rsid w:val="0022558B"/>
    <w:rsid w:val="00225FD6"/>
    <w:rsid w:val="00226821"/>
    <w:rsid w:val="002279FE"/>
    <w:rsid w:val="002B690F"/>
    <w:rsid w:val="002C233D"/>
    <w:rsid w:val="002D39BD"/>
    <w:rsid w:val="00311DEC"/>
    <w:rsid w:val="00317E3D"/>
    <w:rsid w:val="00342CDC"/>
    <w:rsid w:val="00350D4F"/>
    <w:rsid w:val="00387208"/>
    <w:rsid w:val="003D24EB"/>
    <w:rsid w:val="003F2D3C"/>
    <w:rsid w:val="00433636"/>
    <w:rsid w:val="0044060B"/>
    <w:rsid w:val="004612F7"/>
    <w:rsid w:val="004F5B88"/>
    <w:rsid w:val="00501DC4"/>
    <w:rsid w:val="00527A28"/>
    <w:rsid w:val="00537BE9"/>
    <w:rsid w:val="005618A1"/>
    <w:rsid w:val="0058218C"/>
    <w:rsid w:val="00594FAC"/>
    <w:rsid w:val="005F059A"/>
    <w:rsid w:val="00610A5B"/>
    <w:rsid w:val="006524ED"/>
    <w:rsid w:val="006851D1"/>
    <w:rsid w:val="006B360C"/>
    <w:rsid w:val="006D2F2D"/>
    <w:rsid w:val="006E1FF9"/>
    <w:rsid w:val="006E38AB"/>
    <w:rsid w:val="007065DE"/>
    <w:rsid w:val="007104C3"/>
    <w:rsid w:val="007307B5"/>
    <w:rsid w:val="00734498"/>
    <w:rsid w:val="00752B54"/>
    <w:rsid w:val="0077041E"/>
    <w:rsid w:val="00785886"/>
    <w:rsid w:val="007F3A6A"/>
    <w:rsid w:val="0087253E"/>
    <w:rsid w:val="00887FBB"/>
    <w:rsid w:val="008B433E"/>
    <w:rsid w:val="008C0557"/>
    <w:rsid w:val="008E586D"/>
    <w:rsid w:val="008F1A36"/>
    <w:rsid w:val="008F6D4B"/>
    <w:rsid w:val="00900ACB"/>
    <w:rsid w:val="009258DC"/>
    <w:rsid w:val="00947120"/>
    <w:rsid w:val="00956212"/>
    <w:rsid w:val="00993549"/>
    <w:rsid w:val="009B2079"/>
    <w:rsid w:val="009B272D"/>
    <w:rsid w:val="009E5C5F"/>
    <w:rsid w:val="009F7E7D"/>
    <w:rsid w:val="00A11336"/>
    <w:rsid w:val="00A33817"/>
    <w:rsid w:val="00A65FBC"/>
    <w:rsid w:val="00AE7DDA"/>
    <w:rsid w:val="00AF0FAD"/>
    <w:rsid w:val="00AF39E7"/>
    <w:rsid w:val="00AF7275"/>
    <w:rsid w:val="00B1482B"/>
    <w:rsid w:val="00B21FE6"/>
    <w:rsid w:val="00B43B96"/>
    <w:rsid w:val="00B47EAF"/>
    <w:rsid w:val="00B50B26"/>
    <w:rsid w:val="00B933FA"/>
    <w:rsid w:val="00BA4303"/>
    <w:rsid w:val="00BB6759"/>
    <w:rsid w:val="00BC79FE"/>
    <w:rsid w:val="00C05489"/>
    <w:rsid w:val="00C14732"/>
    <w:rsid w:val="00C558B0"/>
    <w:rsid w:val="00C72F6B"/>
    <w:rsid w:val="00CB1F47"/>
    <w:rsid w:val="00D00A38"/>
    <w:rsid w:val="00D545BA"/>
    <w:rsid w:val="00D66C96"/>
    <w:rsid w:val="00D97723"/>
    <w:rsid w:val="00DA6BD1"/>
    <w:rsid w:val="00DA7CF8"/>
    <w:rsid w:val="00E2174D"/>
    <w:rsid w:val="00E2593B"/>
    <w:rsid w:val="00E33EBA"/>
    <w:rsid w:val="00E431ED"/>
    <w:rsid w:val="00E81204"/>
    <w:rsid w:val="00EA742E"/>
    <w:rsid w:val="00EB354D"/>
    <w:rsid w:val="00F41810"/>
    <w:rsid w:val="00F81510"/>
    <w:rsid w:val="00F95A23"/>
    <w:rsid w:val="00FA3C59"/>
    <w:rsid w:val="00FA6248"/>
    <w:rsid w:val="00FA7E56"/>
    <w:rsid w:val="00FE39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8DC"/>
    <w:pPr>
      <w:spacing w:line="256" w:lineRule="auto"/>
    </w:pPr>
    <w:rPr>
      <w:rFonts w:ascii="Times New Roman" w:hAnsi="Times New Roman"/>
      <w:sz w:val="24"/>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6D2F2D"/>
    <w:pPr>
      <w:ind w:left="720"/>
      <w:contextualSpacing/>
    </w:pPr>
  </w:style>
  <w:style w:type="paragraph" w:styleId="Cabealho">
    <w:name w:val="header"/>
    <w:basedOn w:val="Normal"/>
    <w:link w:val="CabealhoChar"/>
    <w:uiPriority w:val="99"/>
    <w:unhideWhenUsed/>
    <w:rsid w:val="00B21FE6"/>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B21FE6"/>
    <w:rPr>
      <w:rFonts w:ascii="Times New Roman" w:hAnsi="Times New Roman"/>
      <w:sz w:val="24"/>
    </w:rPr>
  </w:style>
  <w:style w:type="paragraph" w:styleId="Rodap">
    <w:name w:val="footer"/>
    <w:basedOn w:val="Normal"/>
    <w:link w:val="RodapChar"/>
    <w:uiPriority w:val="99"/>
    <w:unhideWhenUsed/>
    <w:rsid w:val="00B21FE6"/>
    <w:pPr>
      <w:tabs>
        <w:tab w:val="center" w:pos="4513"/>
        <w:tab w:val="right" w:pos="9026"/>
      </w:tabs>
      <w:spacing w:after="0" w:line="240" w:lineRule="auto"/>
    </w:pPr>
  </w:style>
  <w:style w:type="character" w:customStyle="1" w:styleId="RodapChar">
    <w:name w:val="Rodapé Char"/>
    <w:basedOn w:val="Fontepargpadro"/>
    <w:link w:val="Rodap"/>
    <w:uiPriority w:val="99"/>
    <w:rsid w:val="00B21FE6"/>
    <w:rPr>
      <w:rFonts w:ascii="Times New Roman" w:hAnsi="Times New Roman"/>
      <w:sz w:val="24"/>
    </w:rPr>
  </w:style>
  <w:style w:type="character" w:styleId="Hyperlink">
    <w:name w:val="Hyperlink"/>
    <w:basedOn w:val="Fontepargpadro"/>
    <w:uiPriority w:val="99"/>
    <w:unhideWhenUsed/>
    <w:rsid w:val="007065DE"/>
    <w:rPr>
      <w:color w:val="0563C1" w:themeColor="hyperlink"/>
      <w:u w:val="single"/>
    </w:rPr>
  </w:style>
  <w:style w:type="character" w:styleId="MenoPendente">
    <w:name w:val="Unresolved Mention"/>
    <w:basedOn w:val="Fontepargpadro"/>
    <w:uiPriority w:val="99"/>
    <w:semiHidden/>
    <w:unhideWhenUsed/>
    <w:rsid w:val="007065DE"/>
    <w:rPr>
      <w:color w:val="605E5C"/>
      <w:shd w:val="clear" w:color="auto" w:fill="E1DFDD"/>
    </w:rPr>
  </w:style>
  <w:style w:type="paragraph" w:styleId="NormalWeb">
    <w:name w:val="Normal (Web)"/>
    <w:basedOn w:val="Normal"/>
    <w:uiPriority w:val="99"/>
    <w:unhideWhenUsed/>
    <w:rsid w:val="005F059A"/>
    <w:pPr>
      <w:spacing w:before="100" w:beforeAutospacing="1" w:after="100" w:afterAutospacing="1" w:line="240" w:lineRule="auto"/>
    </w:pPr>
    <w:rPr>
      <w:rFonts w:eastAsia="Times New Roman" w:cs="Times New Roman"/>
      <w:szCs w:val="24"/>
      <w:lang w:eastAsia="en-GB"/>
    </w:rPr>
  </w:style>
  <w:style w:type="character" w:styleId="nfase">
    <w:name w:val="Emphasis"/>
    <w:basedOn w:val="Fontepargpadro"/>
    <w:uiPriority w:val="20"/>
    <w:qFormat/>
    <w:rsid w:val="005F05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16/j.jad.2018.04.066" TargetMode="External"/><Relationship Id="rId18" Type="http://schemas.openxmlformats.org/officeDocument/2006/relationships/hyperlink" Target="https://doi.org/10.5334/ijic.326" TargetMode="External"/><Relationship Id="rId26" Type="http://schemas.openxmlformats.org/officeDocument/2006/relationships/hyperlink" Target="https://www.tandfonline.com/doi/epdf/10.1080/13561820.2019.1694496" TargetMode="External"/><Relationship Id="rId3" Type="http://schemas.openxmlformats.org/officeDocument/2006/relationships/settings" Target="settings.xml"/><Relationship Id="rId21" Type="http://schemas.openxmlformats.org/officeDocument/2006/relationships/hyperlink" Target="https://www.health.org.uk/sites/default/files/PersonCentredCareFromIdeasToAction.pdf" TargetMode="External"/><Relationship Id="rId7" Type="http://schemas.openxmlformats.org/officeDocument/2006/relationships/image" Target="media/image1.png"/><Relationship Id="rId12" Type="http://schemas.openxmlformats.org/officeDocument/2006/relationships/hyperlink" Target="https://doi.org/10.1111/j.1466-7657.2010.00831.x" TargetMode="External"/><Relationship Id="rId17" Type="http://schemas.openxmlformats.org/officeDocument/2006/relationships/hyperlink" Target="https://doi.org/10.1016/j.jcrc.2014.01.009" TargetMode="External"/><Relationship Id="rId25" Type="http://schemas.openxmlformats.org/officeDocument/2006/relationships/hyperlink" Target="https://doi.org/10.1080/13561820.2021.1973975" TargetMode="External"/><Relationship Id="rId2" Type="http://schemas.openxmlformats.org/officeDocument/2006/relationships/styles" Target="styles.xml"/><Relationship Id="rId16" Type="http://schemas.openxmlformats.org/officeDocument/2006/relationships/hyperlink" Target="https://doi.org/10.1177/0308022614562787" TargetMode="External"/><Relationship Id="rId20" Type="http://schemas.openxmlformats.org/officeDocument/2006/relationships/hyperlink" Target="https://doi.org/10.1080/13561820.2017.13100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l.acm.org/doi/epdf/10.1145/2783446.2783586" TargetMode="External"/><Relationship Id="rId24" Type="http://schemas.openxmlformats.org/officeDocument/2006/relationships/hyperlink" Target="https://doi.org/10.1186/s12877-023-04434-8" TargetMode="External"/><Relationship Id="rId5" Type="http://schemas.openxmlformats.org/officeDocument/2006/relationships/footnotes" Target="footnotes.xml"/><Relationship Id="rId15" Type="http://schemas.openxmlformats.org/officeDocument/2006/relationships/hyperlink" Target="https://doi.org/10.1080/15265161.2013.802068" TargetMode="External"/><Relationship Id="rId23" Type="http://schemas.openxmlformats.org/officeDocument/2006/relationships/hyperlink" Target="https://www.legislation.gov.uk/ukpga/2022/31/section/26" TargetMode="External"/><Relationship Id="rId28" Type="http://schemas.openxmlformats.org/officeDocument/2006/relationships/theme" Target="theme/theme1.xml"/><Relationship Id="rId10" Type="http://schemas.openxmlformats.org/officeDocument/2006/relationships/hyperlink" Target="https://doi.org/10.4324/9780203839058" TargetMode="External"/><Relationship Id="rId19" Type="http://schemas.openxmlformats.org/officeDocument/2006/relationships/hyperlink" Target="https://doi.org/10.1136/bmjqs-2015-004561" TargetMode="External"/><Relationship Id="rId4" Type="http://schemas.openxmlformats.org/officeDocument/2006/relationships/webSettings" Target="webSettings.xml"/><Relationship Id="rId9" Type="http://schemas.openxmlformats.org/officeDocument/2006/relationships/hyperlink" Target="https://doi.org/10.1111/jocn.15245" TargetMode="External"/><Relationship Id="rId14" Type="http://schemas.openxmlformats.org/officeDocument/2006/relationships/hyperlink" Target="https://doi.org/10.3109/09638237.2014.954695" TargetMode="External"/><Relationship Id="rId22" Type="http://schemas.openxmlformats.org/officeDocument/2006/relationships/hyperlink" Target="https://www.legislation.gov.uk/ukpga/2014/23/section/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2729</TotalTime>
  <Pages>11</Pages>
  <Words>3171</Words>
  <Characters>18081</Characters>
  <Application>Microsoft Office Word</Application>
  <DocSecurity>0</DocSecurity>
  <Lines>150</Lines>
  <Paragraphs>42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familia familia</cp:lastModifiedBy>
  <cp:revision>6</cp:revision>
  <dcterms:created xsi:type="dcterms:W3CDTF">2026-04-07T13:09:00Z</dcterms:created>
  <dcterms:modified xsi:type="dcterms:W3CDTF">2026-04-09T10:39:00Z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94ab3e38-4aa5-4e56-b211-59fabee59e77</vt:lpwstr>
  </property>
</Properties>
</file>