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139BBC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301E6">
              <w:rPr>
                <w:b/>
                <w:color w:val="auto"/>
                <w:sz w:val="32"/>
              </w:rPr>
              <w:t>Sas</w:t>
            </w:r>
            <w:r w:rsidR="00076728">
              <w:rPr>
                <w:b/>
                <w:color w:val="auto"/>
                <w:sz w:val="32"/>
              </w:rPr>
              <w:t>kia</w:t>
            </w:r>
            <w:r w:rsidR="00E301E6">
              <w:rPr>
                <w:b/>
                <w:color w:val="auto"/>
                <w:sz w:val="32"/>
              </w:rPr>
              <w:t xml:space="preserve"> Lattka</w:t>
            </w:r>
            <w:r w:rsidR="005A1BA3">
              <w:rPr>
                <w:b/>
                <w:color w:val="auto"/>
                <w:sz w:val="32"/>
              </w:rPr>
              <w:t>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868188" w:rsidR="005A1BA3" w:rsidRDefault="005A1BA3" w:rsidP="0022001B">
            <w:pPr>
              <w:overflowPunct/>
              <w:autoSpaceDE/>
              <w:autoSpaceDN/>
              <w:adjustRightInd/>
              <w:ind w:right="-330"/>
              <w:textAlignment w:val="auto"/>
              <w:rPr>
                <w:b/>
                <w:color w:val="auto"/>
                <w:sz w:val="32"/>
              </w:rPr>
            </w:pPr>
            <w:r>
              <w:rPr>
                <w:b/>
                <w:color w:val="auto"/>
                <w:sz w:val="32"/>
              </w:rPr>
              <w:t>_______________</w:t>
            </w:r>
            <w:r w:rsidR="00E301E6">
              <w:rPr>
                <w:b/>
                <w:color w:val="auto"/>
                <w:sz w:val="32"/>
              </w:rPr>
              <w:t>2131736</w:t>
            </w:r>
            <w:r>
              <w:rPr>
                <w:b/>
                <w:color w:val="auto"/>
                <w:sz w:val="32"/>
              </w:rPr>
              <w:t>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6B91B84"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Throughout the initial stages of being attested as a Police Constable, I have developed an understanding of the importance of building resilience and minimising stress through learned coping strategies and the need to apply them in readiness to undertake my role. The purpose of this reflection is to identify the experiences that resulted in feelings of stress and explore the coping strategies that were utilised to minimise stress and encourage resilience. I will be using Gibbs’ reflective cycle to navigate through this reflection.</w:t>
      </w:r>
    </w:p>
    <w:p w14:paraId="06614E2E" w14:textId="00ECCB89"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This framework uses six stages consisting of a description of the event, thoughts, and feelings I had during this time, an evaluation and analysis phase to develop a greater understanding, a conclusion to review learning by theorising differing outcomes and finally an action plan stage, where I would determine how I would manage a situation mirroring the one already experienced should it arise in the future </w:t>
      </w:r>
      <w:r w:rsidR="006927E5" w:rsidRPr="006927E5">
        <w:rPr>
          <w:rFonts w:asciiTheme="minorHAnsi" w:eastAsiaTheme="minorHAnsi" w:hAnsiTheme="minorHAnsi" w:cstheme="minorBidi"/>
          <w:color w:val="auto"/>
          <w:sz w:val="22"/>
          <w:szCs w:val="22"/>
          <w:lang w:eastAsia="en-US"/>
        </w:rPr>
        <w:t>(The University of Edinburgh, 2020)</w:t>
      </w:r>
      <w:r w:rsidR="006927E5">
        <w:rPr>
          <w:rFonts w:asciiTheme="minorHAnsi" w:eastAsiaTheme="minorHAnsi" w:hAnsiTheme="minorHAnsi" w:cstheme="minorBidi"/>
          <w:color w:val="auto"/>
          <w:sz w:val="22"/>
          <w:szCs w:val="22"/>
          <w:lang w:eastAsia="en-US"/>
        </w:rPr>
        <w:t xml:space="preserve">. </w:t>
      </w:r>
      <w:r w:rsidRPr="00BC2533">
        <w:rPr>
          <w:rFonts w:asciiTheme="minorHAnsi" w:eastAsiaTheme="minorHAnsi" w:hAnsiTheme="minorHAnsi" w:cstheme="minorBidi"/>
          <w:color w:val="auto"/>
          <w:sz w:val="22"/>
          <w:szCs w:val="22"/>
          <w:lang w:eastAsia="en-US"/>
        </w:rPr>
        <w:t>This model can also be shown to be utilized within a policing context as it can aid with reflection and allow the development of understanding from situations that were unprepared for or those concluding in a negative result (College of Policing, 20</w:t>
      </w:r>
      <w:r w:rsidR="00564542">
        <w:rPr>
          <w:rFonts w:asciiTheme="minorHAnsi" w:eastAsiaTheme="minorHAnsi" w:hAnsiTheme="minorHAnsi" w:cstheme="minorBidi"/>
          <w:color w:val="auto"/>
          <w:sz w:val="22"/>
          <w:szCs w:val="22"/>
          <w:lang w:eastAsia="en-US"/>
        </w:rPr>
        <w:t>20</w:t>
      </w:r>
      <w:r w:rsidRPr="00BC2533">
        <w:rPr>
          <w:rFonts w:asciiTheme="minorHAnsi" w:eastAsiaTheme="minorHAnsi" w:hAnsiTheme="minorHAnsi" w:cstheme="minorBidi"/>
          <w:color w:val="auto"/>
          <w:sz w:val="22"/>
          <w:szCs w:val="22"/>
          <w:lang w:eastAsia="en-US"/>
        </w:rPr>
        <w:t>).</w:t>
      </w:r>
    </w:p>
    <w:p w14:paraId="5E00E92A"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Through reflection, I can identify and describe the primary source of stress has been navigating through a change in the workplace by being a transgender officer and undergoing a change in pronouns in an organisational environment for the first time. In addition to this, a secondary source of stress that became prevalent during training was that of having to undertake examinations to progress through the course. Stress can be defined as an event or situation that can result in an individual experiencing a negative physiological reaction, resulting in anxiety (Folkman, 2020).</w:t>
      </w:r>
    </w:p>
    <w:p w14:paraId="63FDE1C6"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Stress can manifest itself in a variety of ways and can differ between individuals. Research has found that stress can appear in a form of fatigue, forming an inability to maintain concentration and therefore, a lower level of performance or disengagement (Achieve medical center, 2021). Stress can also manifest itself in the working environment. Studies have been carried out involving the work of police officers specifically and have demonstrated the link between the role of a police officer and the increased risk of developing cardiovascular related health issues (Magnavita, et al., 2018). </w:t>
      </w:r>
    </w:p>
    <w:p w14:paraId="1DCB49E4"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When reflecting on my feelings, I became familiar with emotions of discomfort as I navigated through a gender transition for the first time surrounded by new colleagues and within a new social environment. Additionally, I recollect feeling moments of anxiety particularly when studying for the examinations and enduring pressure to learn the legislation expected to be understood by police </w:t>
      </w:r>
      <w:r w:rsidRPr="00BC2533">
        <w:rPr>
          <w:rFonts w:asciiTheme="minorHAnsi" w:eastAsiaTheme="minorHAnsi" w:hAnsiTheme="minorHAnsi" w:cstheme="minorBidi"/>
          <w:color w:val="auto"/>
          <w:sz w:val="22"/>
          <w:szCs w:val="22"/>
          <w:lang w:eastAsia="en-US"/>
        </w:rPr>
        <w:lastRenderedPageBreak/>
        <w:t>constables. During this time especially, I experienced a fear of becoming a victim of hate crime when the moment arose to perform my duties following the completion of my training. The prevalence of hate crime amongst police officers has been explored in a study that identifies officers being considered as ideal victims for enduring hate crime in relation to their own protected characteristics (Mawby &amp; Zempi, 2018).</w:t>
      </w:r>
    </w:p>
    <w:p w14:paraId="1ADE64F4"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For me personally, I believe resilience is essential in policing. Resilience can be defined as experiencing an adverse event but having the ability to adapt or maintain the same level of mental wellbeing following the adversity experienced (Herrman, et al., 2011).</w:t>
      </w:r>
    </w:p>
    <w:p w14:paraId="60D3B629"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There have been many coping strategies that I have applied that have resulted in the minimalization of stress and development of resilience. An example of a coping strategy used has been enrolling myself on a personal training program at my local gym. This coping strategy has been beneficial in minimising stress and building resilience as it has enabled me to take accountability for my physical health and equally, improve confidence and limit self-isolation (Ellis, 2020).</w:t>
      </w:r>
    </w:p>
    <w:p w14:paraId="350034B6"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I acquired this approach with enthusiasm as not only did sustaining personal physical activity support the building of self-confidence to interact within a new social environment and the development of resilience toward adversity, but it has also aided as a coping strategy for the pressures experienced during the examination period, by increasing memory function and performance (University College London, 2020). </w:t>
      </w:r>
    </w:p>
    <w:p w14:paraId="63F30095"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Furthermore, a subsequent coping strategy I adopted during the six-month period to primarily help me during the exam stress has been obtaining an adequate amount of sleep. Prior to the commencement of training, I had previously struggled with this and therefore began to research strategies to introduce improvement. One strategy I found most helpful was that of sleeping in a room in complete darkness, ensuring the utilization of black out blinds to shield any light disturbances (Fry, 2022). In addition to this, I found that scheduling my revision time was just as important as having a good amount of rest as the quality of a person’s sleep can have a direct impact on their cognitive ability to perform (Ahrberg, et al., 2012). To implement this, I would set a time limit where I would ensure I would seize revision and aim to settle down to sleep. </w:t>
      </w:r>
    </w:p>
    <w:p w14:paraId="7C6A457E"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Through the evaluating and analysing phase of the reflective cycle, I can identify that I have achieved a developed an understanding of the importance of resourcing coping strategies to build resilience and the impact of positive coping strategies can have on professional performance, such the influence of improved sleep quality on memory function resulting in improved cognitive ability. </w:t>
      </w:r>
    </w:p>
    <w:p w14:paraId="13F8EC29" w14:textId="77777777"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 xml:space="preserve">In conclusion, I feel I have learnt the importance of ensuring I have effective coping mechanisms in place to minimise stress and have enhanced knowledge on the strong relationship coping mechanisms have on building resilience. Additionally, I feel my experience of learned coping mechanisms will place me in a positive position to show resilience to possible adversity that I may endure. However, I feel my experience has also highlighted my initial lack of openness regarding my feelings of isolation during the commencement of the training phase. Consequently, a future action plan I will put in place for myself would be to discuss feelings with colleagues to prevent feelings of seclusion. Finally, I also plan to continue fitness activities and maintain the positive sleep methods that I have adopted to support future shift working patterns and the academic requirements of the course. </w:t>
      </w:r>
    </w:p>
    <w:p w14:paraId="472C411D" w14:textId="668CAADC" w:rsidR="00BC2533" w:rsidRPr="00BC2533" w:rsidRDefault="00BC2533" w:rsidP="00BC253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BC2533">
        <w:rPr>
          <w:rFonts w:asciiTheme="minorHAnsi" w:eastAsiaTheme="minorHAnsi" w:hAnsiTheme="minorHAnsi" w:cstheme="minorBidi"/>
          <w:color w:val="auto"/>
          <w:sz w:val="22"/>
          <w:szCs w:val="22"/>
          <w:lang w:eastAsia="en-US"/>
        </w:rPr>
        <w:t>Word count: 102</w:t>
      </w:r>
      <w:r w:rsidR="006927E5">
        <w:rPr>
          <w:rFonts w:asciiTheme="minorHAnsi" w:eastAsiaTheme="minorHAnsi" w:hAnsiTheme="minorHAnsi" w:cstheme="minorBidi"/>
          <w:color w:val="auto"/>
          <w:sz w:val="22"/>
          <w:szCs w:val="22"/>
          <w:lang w:eastAsia="en-US"/>
        </w:rPr>
        <w:t>6</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04BB72DA" w:rsidR="00450C83" w:rsidRDefault="00450C83" w:rsidP="00450C83">
      <w:pPr>
        <w:jc w:val="both"/>
        <w:rPr>
          <w:b/>
          <w:sz w:val="24"/>
          <w:szCs w:val="24"/>
        </w:rPr>
      </w:pPr>
      <w:r w:rsidRPr="00450C83">
        <w:rPr>
          <w:b/>
          <w:sz w:val="24"/>
          <w:szCs w:val="24"/>
        </w:rPr>
        <w:t>ANSWER:</w:t>
      </w:r>
    </w:p>
    <w:p w14:paraId="2631CF44" w14:textId="31B5AD49" w:rsidR="00AB5C85" w:rsidRDefault="00AB5C85" w:rsidP="00450C83">
      <w:pPr>
        <w:jc w:val="both"/>
        <w:rPr>
          <w:b/>
          <w:sz w:val="24"/>
          <w:szCs w:val="24"/>
        </w:rPr>
      </w:pPr>
    </w:p>
    <w:p w14:paraId="21C5A2FC" w14:textId="77777777" w:rsidR="00AB5C85" w:rsidRDefault="00AB5C85" w:rsidP="00450C83">
      <w:pPr>
        <w:jc w:val="both"/>
        <w:rPr>
          <w:b/>
          <w:sz w:val="24"/>
          <w:szCs w:val="24"/>
        </w:rPr>
      </w:pPr>
    </w:p>
    <w:p w14:paraId="1C15F335"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In this essay I will discuss a policing incident that I attended with my tutor that involved conflict. To do this I will descriptively explore the incident through reflection, maintaining mindful of confidentiality and data protection procedures. </w:t>
      </w:r>
    </w:p>
    <w:p w14:paraId="112003EF"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To guide my reflective narrative, the Gibbs model of reflection (Gibbs, 1988) will be used to reflect upon the execution of effective communication skills that are fundamentally used within policing practice. I will also include theories and models to underpin the causes of conflict and policing interventions, including the use of necessary force, statistical research, and legislative context to guide a rational for the outcome of the incident described and to illustrate my developed understanding for applying core principles of the policing code of practice. </w:t>
      </w:r>
    </w:p>
    <w:p w14:paraId="1443ACD6"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Conflict can be described as an individual, organisational, social, or international opposition of values, beliefs or wishes that often result in hostile behaviour and pose a challenge to decision making (Ho-Won Jeong, 2008, pp.5–7). </w:t>
      </w:r>
    </w:p>
    <w:p w14:paraId="034A4C63"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During a planned public order patrol at night, myself and my tutor were made aware of an incident that occurred that involved an argument between two males that had escalated into a fight within the city’s main area of social nightlife. Upon attending the location, it was clear to see the disruption </w:t>
      </w:r>
      <w:r w:rsidRPr="00AB5C85">
        <w:rPr>
          <w:rFonts w:asciiTheme="minorHAnsi" w:eastAsiaTheme="minorHAnsi" w:hAnsiTheme="minorHAnsi" w:cstheme="minorBidi"/>
          <w:color w:val="auto"/>
          <w:sz w:val="22"/>
          <w:szCs w:val="22"/>
          <w:lang w:eastAsia="en-US"/>
        </w:rPr>
        <w:lastRenderedPageBreak/>
        <w:t xml:space="preserve">that was ongoing. Therefore, myself and my tutor immediately approached to intercept this. During this incident, I had to apply use of force when dealing with the situation alongside my tutor which subsequently resulted in the arrest of the two males involved for the assault of a police office and drunk and disorderly public order offences. Following this event taking place, I also had to use my use of force tactics to control a on looker who was a relation to the males and who was persistent in trying to obstruct the police carrying out the arrests. It was during this time that I felt a sense of nervousness with it being the first time dealing with an incident of this nature, but also ensuring that I continued to dynamically risk assess the circumstances and environment around me. </w:t>
      </w:r>
    </w:p>
    <w:p w14:paraId="54611FBF"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When firstly looking at the social contexts of the drunk and disorderly aspect of the incident, a Penalty Notice Disorder (PNDs) is a method to deal with this issue. These are disposal alternatives for dealing with the lower-level crime or anti-social behaviour, first introduced by the Criminal Justice and Police Act 2001 (Roberts, 2005).</w:t>
      </w:r>
    </w:p>
    <w:p w14:paraId="2D0BBB8E"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In relation to Drunk and Disorderly behaviour, a PND would be given under the Licensing Act 1872 which outlines the penalty offence of being drunk in a public place, highway or in a licensed premises (Ministry of Justice, 2014). Interestingly, the Office for National Statistics describe that the majority of the Penalty Notice for Disorder they were issuing that year were due to behaviour linked to drunk and disorderly misconduct in the year 2018 (Office for National Statistics, 2019). Additionally, research shows that issues related to alcohol incur a cost approximately £1.6 billion a year in England alone and can also be shown to have a substantial effect regarding social contexts, as alcohol related incidents cause a strain on other emergency services such as hospital A&amp;E departments (Horsefield, 2021).</w:t>
      </w:r>
    </w:p>
    <w:p w14:paraId="362706E9" w14:textId="77777777" w:rsidR="00AB5C85" w:rsidRPr="00AB5C85" w:rsidRDefault="00AB5C85" w:rsidP="00AB5C85">
      <w:pPr>
        <w:rPr>
          <w:rFonts w:asciiTheme="minorHAnsi" w:hAnsiTheme="minorHAnsi" w:cstheme="minorHAnsi"/>
          <w:sz w:val="22"/>
          <w:szCs w:val="22"/>
        </w:rPr>
      </w:pPr>
      <w:r w:rsidRPr="00AB5C85">
        <w:rPr>
          <w:rFonts w:asciiTheme="minorHAnsi" w:hAnsiTheme="minorHAnsi" w:cstheme="minorHAnsi"/>
          <w:sz w:val="22"/>
          <w:szCs w:val="22"/>
        </w:rPr>
        <w:t xml:space="preserve">Secondly, when further analysing the social contexts of this incident in relation to the assault of a police officer, a report produced in 2013 highlights the relationship between alcohol consumption and assault of police officers </w:t>
      </w:r>
      <w:r w:rsidRPr="00AB5C85">
        <w:rPr>
          <w:rFonts w:asciiTheme="minorHAnsi" w:eastAsiaTheme="minorHAnsi" w:hAnsiTheme="minorHAnsi" w:cstheme="minorBidi"/>
          <w:color w:val="auto"/>
          <w:sz w:val="22"/>
          <w:szCs w:val="22"/>
          <w:lang w:eastAsia="en-US"/>
        </w:rPr>
        <w:t>(Robertson, 2013).</w:t>
      </w:r>
      <w:r w:rsidRPr="00AB5C85">
        <w:rPr>
          <w:rFonts w:asciiTheme="minorHAnsi" w:hAnsiTheme="minorHAnsi" w:cstheme="minorHAnsi"/>
          <w:sz w:val="22"/>
          <w:szCs w:val="22"/>
        </w:rPr>
        <w:t xml:space="preserve"> The report made up of data from Northeast police forces identifies through previous findings, that as an individual’s alcohol consumption increases so does the likelihood of them being involved in a violent offence.</w:t>
      </w:r>
    </w:p>
    <w:p w14:paraId="1240E7B2" w14:textId="77777777" w:rsidR="00AB5C85" w:rsidRPr="00AB5C85" w:rsidRDefault="00AB5C85" w:rsidP="00AB5C85">
      <w:pPr>
        <w:rPr>
          <w:rFonts w:asciiTheme="minorHAnsi" w:hAnsiTheme="minorHAnsi" w:cstheme="minorHAnsi"/>
          <w:sz w:val="22"/>
          <w:szCs w:val="22"/>
        </w:rPr>
      </w:pPr>
    </w:p>
    <w:p w14:paraId="5F056357"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When studying the relationship between alcohol and the offence of assault of a police officer, a report by Robinson (2013) and the data from the North East police forces identifies that 97% of officers felt at risk when carrying out their night-time patrols in 2013 and outlines the that new officers are being prepared for the likelihood of experiencing an assault from alcohol related incidents before they have reached a period of 12-months service in the force (Robertson, 2013) This can be shown to have huge social context effects especially during any police recruitment campaigns.</w:t>
      </w:r>
    </w:p>
    <w:p w14:paraId="6CC0EBFA"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The legislative context for this incident can be divided in two parts, as it included two individuals and two offences. The first being assault police whereby a person is clearly demonstrating having done this when assaulting a constable who is at the time executing his or her duty (Police Act 1996). This offence is stated under section 89 of the Police Act 1996 and more recently under the Assaults on Emergency Workers Act 2018.</w:t>
      </w:r>
    </w:p>
    <w:p w14:paraId="4029BAD3"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Being intoxicated is the only behaviour in which a police officer can declare their perception of if an individual was or was not intoxicated. The legislative context for the offence, is that whereby a person commits an office if whilst being intoxicated by alcohol they engage in disorderly behaviour in a public place (Criminal Justice Act 1967). When exploring language issues of this incident, the predominant issue would involve a person’s ability to communicate when under the influence of alcohol. Alcohol impacts the brain’s ability to work at a normal function by affecting its neuro </w:t>
      </w:r>
      <w:r w:rsidRPr="00AB5C85">
        <w:rPr>
          <w:rFonts w:asciiTheme="minorHAnsi" w:eastAsiaTheme="minorHAnsi" w:hAnsiTheme="minorHAnsi" w:cstheme="minorBidi"/>
          <w:color w:val="auto"/>
          <w:sz w:val="22"/>
          <w:szCs w:val="22"/>
          <w:lang w:eastAsia="en-US"/>
        </w:rPr>
        <w:lastRenderedPageBreak/>
        <w:t>pathways and therefore effecting a person’s behaviour and ability to process thoughts (NIAAA, 2011).  Furthermore, it can also be suggested that following alcohol consumption, emotions are heightened, and the use of alcohol is often used as an excuse for displaying inappropriate behaviour (Pedersen, Copes and Sandberg, 2016).</w:t>
      </w:r>
    </w:p>
    <w:p w14:paraId="1BF104CD"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Upon reviewing elements of effective communication, it can be identified that the use of active listening, negotiation skills and clear verbal communication were essential as the incident transpired rapidly, tactical verbal communication was essential to de-escalate the altercation between the two males and to prevent other members of the public becoming involved. I demonstrated this by using the ‘Five Step Appeal’ approach. This approach ensures that a person is given a fair opportunity to obey officers’ requests (College of Policing, 2020). The process starts with a request to comply before the further stage of a simple appeal then a reasoned appeal explaining why the individual should obey the officer’s request. The stage then continues as the officer offers a personal appeal, in my case this was explaining to the male the potential of his actions could result in an arrest, following this a final appeal is made where it is the final chance for the individual to offer co-operation with officers before action is taken.</w:t>
      </w:r>
    </w:p>
    <w:p w14:paraId="0851DF47"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Additionally, a further fundamental element of communication used within the incident included effective negation skills to persuade the family member of the individuals not to get involved in the incident. Similarly, I used emotional awareness to identify that the family member was distressed and therefore negotiated with her to move away from the scene to discuss concerns which enabled reassurance to be provided and a rapport to be established.  </w:t>
      </w:r>
    </w:p>
    <w:p w14:paraId="47EF601D"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Upon determining whether the use of force was necessary within the described conflict situation, this was primarily governed by my ability to apply the National Decision Model (NDM) (College of Policing, 2014). The NDM is a framework created to be used by police officers when approaching the decision-making process. It consists of six stages starting with the officer taking into consideration the forces code of ethics. The next step is to gather information and intelligence before going on to assess risk and possible threat whilst forming a strategy. The following two steps consist of the consideration of powers and policies and the identification of options and contingencies available to the officer before the final step of </w:t>
      </w:r>
      <w:proofErr w:type="gramStart"/>
      <w:r w:rsidRPr="00AB5C85">
        <w:rPr>
          <w:rFonts w:asciiTheme="minorHAnsi" w:eastAsiaTheme="minorHAnsi" w:hAnsiTheme="minorHAnsi" w:cstheme="minorBidi"/>
          <w:color w:val="auto"/>
          <w:sz w:val="22"/>
          <w:szCs w:val="22"/>
          <w:lang w:eastAsia="en-US"/>
        </w:rPr>
        <w:t>taking action</w:t>
      </w:r>
      <w:proofErr w:type="gramEnd"/>
      <w:r w:rsidRPr="00AB5C85">
        <w:rPr>
          <w:rFonts w:asciiTheme="minorHAnsi" w:eastAsiaTheme="minorHAnsi" w:hAnsiTheme="minorHAnsi" w:cstheme="minorBidi"/>
          <w:color w:val="auto"/>
          <w:sz w:val="22"/>
          <w:szCs w:val="22"/>
          <w:lang w:eastAsia="en-US"/>
        </w:rPr>
        <w:t xml:space="preserve"> and later reviewing the incident, identifying possible improvements to be made in the future should a similar situation occur.</w:t>
      </w:r>
    </w:p>
    <w:p w14:paraId="454710A7"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By using this model, I concluded that use of force was necessary to prevent further injury to themselves or members of the public due to the male’s unwillingness to cooperate and the level of aggression displayed by the individuals involved. During this incident it was important that I maintained my professionalism and that my communication was clear throughout the interaction, allowing the accused an opportunity to calm down. The importance of this can be described in the College of Policing’s safety manual that describes the use of the Betari’s Box model. The model outlines how an incident can easily become a repetitive cycle of communication or aggression as an officer’s attitude can have a great influence on their own behaviour and professional practice, which in turn can impact an individual’s attitude and behaviour towards an officer and the social environment around them (College of Policing, 2020).</w:t>
      </w:r>
    </w:p>
    <w:p w14:paraId="5256A185"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Upon reflection and analysis of the incident, I believe that the use of force was necessary due to the level of potential risk involved. To validate this decision, the core principles, and codes of practice being Code G of the Police and Criminal Evidence Act (PACE) were considered, including those explained through the acronym JPLANE that directs police actions to be justified, proportionate, lawful, accountable, necessary, and ethical (College of Policing, 2022). </w:t>
      </w:r>
    </w:p>
    <w:p w14:paraId="607F56C3" w14:textId="1B1B8763" w:rsid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lastRenderedPageBreak/>
        <w:t xml:space="preserve">Human rights were also considered during this incident. For example, Article 5: Right to liberty and security of the Human Rights Act 1998 was implemented to ensure that those arrested shall be informed of the reason for their arrest in a language in which they understand (Equality and Human Rights Commission, 2010). This was carried out during the arrest of both the male individuals, alongside providing them with the necessity of arrest to prevent physical harm to another. When considering actions for the future, I will continue to apply the NDM when approaching conflict and endeavour to ensure that the code of ethics is always upheld. </w:t>
      </w:r>
    </w:p>
    <w:p w14:paraId="0A259DE3" w14:textId="0B0B55FD" w:rsid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CEE922B" w14:textId="299BBB76"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Word count: 1606</w:t>
      </w:r>
    </w:p>
    <w:p w14:paraId="109A7E4D" w14:textId="11EC18CE" w:rsidR="00AB5C85" w:rsidRDefault="00AB5C85" w:rsidP="00450C83">
      <w:pPr>
        <w:jc w:val="both"/>
        <w:rPr>
          <w:b/>
          <w:sz w:val="24"/>
          <w:szCs w:val="24"/>
        </w:rPr>
      </w:pPr>
    </w:p>
    <w:p w14:paraId="29805F98" w14:textId="3CE00C02" w:rsidR="00AB5C85" w:rsidRDefault="00AB5C85" w:rsidP="00450C83">
      <w:pPr>
        <w:jc w:val="both"/>
        <w:rPr>
          <w:b/>
          <w:sz w:val="24"/>
          <w:szCs w:val="24"/>
        </w:rPr>
      </w:pPr>
    </w:p>
    <w:p w14:paraId="7A396EA2" w14:textId="085628C1" w:rsidR="00AB5C85" w:rsidRDefault="00AB5C85" w:rsidP="00450C83">
      <w:pPr>
        <w:jc w:val="both"/>
        <w:rPr>
          <w:b/>
          <w:sz w:val="24"/>
          <w:szCs w:val="24"/>
        </w:rPr>
      </w:pPr>
    </w:p>
    <w:p w14:paraId="6C6616CD" w14:textId="2385BA80" w:rsidR="00AB5C85" w:rsidRDefault="00AB5C85" w:rsidP="00450C83">
      <w:pPr>
        <w:jc w:val="both"/>
        <w:rPr>
          <w:b/>
          <w:sz w:val="24"/>
          <w:szCs w:val="24"/>
        </w:rPr>
      </w:pPr>
    </w:p>
    <w:p w14:paraId="5C507613" w14:textId="15CE8BE0" w:rsidR="00AB5C85" w:rsidRDefault="00AB5C85" w:rsidP="00450C83">
      <w:pPr>
        <w:jc w:val="both"/>
        <w:rPr>
          <w:b/>
          <w:sz w:val="24"/>
          <w:szCs w:val="24"/>
        </w:rPr>
      </w:pPr>
    </w:p>
    <w:p w14:paraId="2FD8C31A" w14:textId="29C19529" w:rsidR="00AB5C85" w:rsidRDefault="00AB5C85" w:rsidP="00450C83">
      <w:pPr>
        <w:jc w:val="both"/>
        <w:rPr>
          <w:b/>
          <w:sz w:val="24"/>
          <w:szCs w:val="24"/>
        </w:rPr>
      </w:pPr>
    </w:p>
    <w:p w14:paraId="02842223" w14:textId="221E3CD5" w:rsidR="00AB5C85" w:rsidRDefault="00AB5C85" w:rsidP="00450C83">
      <w:pPr>
        <w:jc w:val="both"/>
        <w:rPr>
          <w:b/>
          <w:sz w:val="24"/>
          <w:szCs w:val="24"/>
        </w:rPr>
      </w:pPr>
    </w:p>
    <w:p w14:paraId="7D107FFC" w14:textId="7D0AD7C3" w:rsidR="00AB5C85" w:rsidRDefault="00AB5C85" w:rsidP="00450C83">
      <w:pPr>
        <w:jc w:val="both"/>
        <w:rPr>
          <w:b/>
          <w:sz w:val="24"/>
          <w:szCs w:val="24"/>
        </w:rPr>
      </w:pPr>
    </w:p>
    <w:p w14:paraId="24043F5D" w14:textId="51FF9F70" w:rsidR="00AB5C85" w:rsidRDefault="00AB5C85" w:rsidP="00450C83">
      <w:pPr>
        <w:jc w:val="both"/>
        <w:rPr>
          <w:b/>
          <w:sz w:val="24"/>
          <w:szCs w:val="24"/>
        </w:rPr>
      </w:pPr>
    </w:p>
    <w:p w14:paraId="56945E8F" w14:textId="14FC69BF" w:rsidR="00AB5C85" w:rsidRDefault="00AB5C85" w:rsidP="00450C83">
      <w:pPr>
        <w:jc w:val="both"/>
        <w:rPr>
          <w:b/>
          <w:sz w:val="24"/>
          <w:szCs w:val="24"/>
        </w:rPr>
      </w:pPr>
    </w:p>
    <w:p w14:paraId="3271770A" w14:textId="45F08C61" w:rsidR="00AB5C85" w:rsidRDefault="00AB5C85" w:rsidP="00450C83">
      <w:pPr>
        <w:jc w:val="both"/>
        <w:rPr>
          <w:b/>
          <w:sz w:val="24"/>
          <w:szCs w:val="24"/>
        </w:rPr>
      </w:pPr>
    </w:p>
    <w:p w14:paraId="38464599" w14:textId="7AE8C8AF" w:rsidR="00AB5C85" w:rsidRDefault="00AB5C85" w:rsidP="00450C83">
      <w:pPr>
        <w:jc w:val="both"/>
        <w:rPr>
          <w:b/>
          <w:sz w:val="24"/>
          <w:szCs w:val="24"/>
        </w:rPr>
      </w:pPr>
    </w:p>
    <w:p w14:paraId="4F67D410" w14:textId="5D3F58A1" w:rsidR="00AB5C85" w:rsidRDefault="00AB5C85" w:rsidP="00450C83">
      <w:pPr>
        <w:jc w:val="both"/>
        <w:rPr>
          <w:b/>
          <w:sz w:val="24"/>
          <w:szCs w:val="24"/>
        </w:rPr>
      </w:pPr>
    </w:p>
    <w:p w14:paraId="62380B20" w14:textId="1B0FC762" w:rsidR="00AB5C85" w:rsidRDefault="00AB5C85" w:rsidP="00450C83">
      <w:pPr>
        <w:jc w:val="both"/>
        <w:rPr>
          <w:b/>
          <w:sz w:val="24"/>
          <w:szCs w:val="24"/>
        </w:rPr>
      </w:pPr>
    </w:p>
    <w:p w14:paraId="4760BEA3" w14:textId="657E4A5B" w:rsidR="00AB5C85" w:rsidRDefault="00AB5C85" w:rsidP="00450C83">
      <w:pPr>
        <w:jc w:val="both"/>
        <w:rPr>
          <w:b/>
          <w:sz w:val="24"/>
          <w:szCs w:val="24"/>
        </w:rPr>
      </w:pPr>
    </w:p>
    <w:p w14:paraId="38F7686A" w14:textId="066D7ECE" w:rsidR="00AB5C85" w:rsidRDefault="00AB5C85" w:rsidP="00450C83">
      <w:pPr>
        <w:jc w:val="both"/>
        <w:rPr>
          <w:b/>
          <w:sz w:val="24"/>
          <w:szCs w:val="24"/>
        </w:rPr>
      </w:pPr>
    </w:p>
    <w:p w14:paraId="31A66593" w14:textId="57938FD8" w:rsidR="00AB5C85" w:rsidRDefault="00AB5C85" w:rsidP="00450C83">
      <w:pPr>
        <w:jc w:val="both"/>
        <w:rPr>
          <w:b/>
          <w:sz w:val="24"/>
          <w:szCs w:val="24"/>
        </w:rPr>
      </w:pPr>
    </w:p>
    <w:p w14:paraId="53022A55" w14:textId="151EE90E" w:rsidR="00AB5C85" w:rsidRDefault="00AB5C85" w:rsidP="00450C83">
      <w:pPr>
        <w:jc w:val="both"/>
        <w:rPr>
          <w:b/>
          <w:sz w:val="24"/>
          <w:szCs w:val="24"/>
        </w:rPr>
      </w:pPr>
    </w:p>
    <w:p w14:paraId="5DDF8052" w14:textId="624AB981" w:rsidR="00AB5C85" w:rsidRDefault="00AB5C85" w:rsidP="00450C83">
      <w:pPr>
        <w:jc w:val="both"/>
        <w:rPr>
          <w:b/>
          <w:sz w:val="24"/>
          <w:szCs w:val="24"/>
        </w:rPr>
      </w:pPr>
    </w:p>
    <w:p w14:paraId="67BB8365" w14:textId="1FACAB5C" w:rsidR="00AB5C85" w:rsidRDefault="00AB5C85" w:rsidP="00450C83">
      <w:pPr>
        <w:jc w:val="both"/>
        <w:rPr>
          <w:b/>
          <w:sz w:val="24"/>
          <w:szCs w:val="24"/>
        </w:rPr>
      </w:pPr>
    </w:p>
    <w:p w14:paraId="3E36B0F4" w14:textId="77777777" w:rsidR="00AB5C85" w:rsidRPr="00450C83" w:rsidRDefault="00AB5C85"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39931084"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To structure my answer, the Gibbs model (Gibbs, 1988) will be utilised to describe and aid in my reflection of an event involving a policing incident. </w:t>
      </w:r>
    </w:p>
    <w:p w14:paraId="59ED632E"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While on duty with my tutor, we were notified of an incident that had occurred involving an argument between neighbours whereby during this altercation, the male neighbour who in this case was the aggrieved had reported harassment involving being called a “Batty Boy” by the female residing next door. The reporting person perceived this to be a homophobic slur aimed at his sexuality together with being referred to as “the wife “of his male partner of whom also lived at the address. </w:t>
      </w:r>
    </w:p>
    <w:p w14:paraId="0302C3A4"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There was a series of incidents involved including damage to outdoor plants and a dog at the property which concerned the female suspect as she feared the dog would attack her cat. As both neighbours front doors were in </w:t>
      </w:r>
      <w:proofErr w:type="gramStart"/>
      <w:r w:rsidRPr="00AB5C85">
        <w:rPr>
          <w:rFonts w:asciiTheme="minorHAnsi" w:eastAsiaTheme="minorHAnsi" w:hAnsiTheme="minorHAnsi" w:cstheme="minorBidi"/>
          <w:color w:val="auto"/>
          <w:sz w:val="22"/>
          <w:szCs w:val="22"/>
          <w:lang w:eastAsia="en-US"/>
        </w:rPr>
        <w:t>close proximity</w:t>
      </w:r>
      <w:proofErr w:type="gramEnd"/>
      <w:r w:rsidRPr="00AB5C85">
        <w:rPr>
          <w:rFonts w:asciiTheme="minorHAnsi" w:eastAsiaTheme="minorHAnsi" w:hAnsiTheme="minorHAnsi" w:cstheme="minorBidi"/>
          <w:color w:val="auto"/>
          <w:sz w:val="22"/>
          <w:szCs w:val="22"/>
          <w:lang w:eastAsia="en-US"/>
        </w:rPr>
        <w:t>, another argument occurred as the victim’s dog would use the toilet below the female’s front window.</w:t>
      </w:r>
    </w:p>
    <w:p w14:paraId="1C181B95"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Whilst we attended the address, I was feeling nervous as I was initially unsure about how to approach the suspect regarding the allegation but was guided by my tutor. We first introduced ourselves to the victim and listened to his account that displayed his feelings of being targeted due to his sexuality. As a result, this incident was identified as a hate crime. Hate crime can be defined as:</w:t>
      </w:r>
    </w:p>
    <w:p w14:paraId="63E6F507"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lastRenderedPageBreak/>
        <w:t>“Any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 (Metropolitan Police, 2019)</w:t>
      </w:r>
    </w:p>
    <w:p w14:paraId="2E52EC7B"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These incidents are primarily either conducted verbally or physically and can involve the victim perceiving to be referred to in a derogatory manner, such as in the incident I had attended. </w:t>
      </w:r>
    </w:p>
    <w:p w14:paraId="3E46E37B"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During this incident it was vital that procedures were followed in line with the codes of practice to support the victim in this case. Recently, guidance from the college of policing on how police officers should deal with victims of hate crime has been revised. The guidance details ensuring that officers complete a thorough investigation and manage the risks of the victim accordingly (College of Policing, 2020). When reviewing this type of incident in a social context it can be suggested that several hate crimes are subject to underreporting by the victims (Palmer and Kutateladze, 2021). It is said that this Is due to victims concerns that these incidents will be disregarded as hate crimes and that they will be subject to repercussions for reporting. Upon studying the </w:t>
      </w:r>
      <w:proofErr w:type="gramStart"/>
      <w:r w:rsidRPr="00AB5C85">
        <w:rPr>
          <w:rFonts w:asciiTheme="minorHAnsi" w:eastAsiaTheme="minorHAnsi" w:hAnsiTheme="minorHAnsi" w:cstheme="minorBidi"/>
          <w:color w:val="auto"/>
          <w:sz w:val="22"/>
          <w:szCs w:val="22"/>
          <w:lang w:eastAsia="en-US"/>
        </w:rPr>
        <w:t>Home</w:t>
      </w:r>
      <w:proofErr w:type="gramEnd"/>
      <w:r w:rsidRPr="00AB5C85">
        <w:rPr>
          <w:rFonts w:asciiTheme="minorHAnsi" w:eastAsiaTheme="minorHAnsi" w:hAnsiTheme="minorHAnsi" w:cstheme="minorBidi"/>
          <w:color w:val="auto"/>
          <w:sz w:val="22"/>
          <w:szCs w:val="22"/>
          <w:lang w:eastAsia="en-US"/>
        </w:rPr>
        <w:t xml:space="preserve"> Office report and analysing the statistics, it can be seen how many hate crime related incidents are recorded by police in comparison to previous years (Home Office, 2020). The report indicates that there was an increase of eight percent regarding the recording of these crimes within the years 2019-2020. In addition to this the statistics show that the act of carrying out a crime involving hate towards an individual’s sexual orientation had increased by 19 percent in comparison to the previous year. </w:t>
      </w:r>
    </w:p>
    <w:p w14:paraId="4091B362"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It was identified during our visit that there was no cultural or language issues and it was confirmed that both parties first language was English. </w:t>
      </w:r>
    </w:p>
    <w:p w14:paraId="309B9E4E"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When looking at the legislation and the offence committed, this was a Section 5 public order offence. This offence occurs when a person causes “Harassment, alarm or distress” to another, carrying out disorderly, threatening, or abusive words or behaviour as it was in this incident (Public Order Act 1986). For this offence to apply, the incident would have to take place within sight or hearing of a person likely to be subject to the harassment, alarm or distress and can be committed in a public or private place, whereby the act was committed in the public area of their shared communal pathway.</w:t>
      </w:r>
    </w:p>
    <w:p w14:paraId="5D14D8CC"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When reflecting on responsibilities and procedures in relation to victims and witnesses through the criminal justice system, the force ensures that this is done with extreme care. This is shown by the necessity of every officer using victim codes when updating their occurrences following attending an incident where there is a victim involved. </w:t>
      </w:r>
    </w:p>
    <w:p w14:paraId="03CDE860"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The victim code process involves a series of 12 rights provided to the victim and states that the victim in these cases is to be offered help through the CJS process, be treated equally, fairly, and can make informed choices with them being respected (College of Policing, 2021). </w:t>
      </w:r>
    </w:p>
    <w:p w14:paraId="0D584B53"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When further reflecting on this incident, right 3 of the Victim Code explains that victims of enhanced rights, which incorporates those who have been subject to a hate related crime should be provided with their crime reference number, be in with the investigating officer and be updated as to what the next step in the process is. </w:t>
      </w:r>
    </w:p>
    <w:p w14:paraId="0F4E5538"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t xml:space="preserve">During our visit it was determined that restorative justice would be used an outcome of this incident. </w:t>
      </w:r>
    </w:p>
    <w:p w14:paraId="4B28034F"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B5C85">
        <w:rPr>
          <w:rFonts w:asciiTheme="minorHAnsi" w:eastAsiaTheme="minorHAnsi" w:hAnsiTheme="minorHAnsi" w:cstheme="minorBidi"/>
          <w:color w:val="auto"/>
          <w:sz w:val="22"/>
          <w:szCs w:val="22"/>
          <w:lang w:eastAsia="en-US"/>
        </w:rPr>
        <w:lastRenderedPageBreak/>
        <w:t>Restorative justice (RJ) is a process whereby both Involved parties must agree on the use of this method. This can result in mediation through communication between the victim and the offender with the aim to achieve resolution (The Crown Prosecution Service, 2019). This route was thought to be particularly beneficial as the parties involved were neighbours and where the victim was not aiming to seek prosecution at this time, only if the problem was to continue or escalate. Through the RJ process an agreement is made whereby conditions are placed such as to have no contact via social media or to not behave in an abusive manner towards the victim. These conditions are then signed by both parties if they agree and then if broken by the offender, the matter can escalate into an outcome such as arrest.</w:t>
      </w:r>
    </w:p>
    <w:p w14:paraId="6819DC73"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When further looking at services available to support victims, this is outlined by right 4 of the victim’s code of practice. Through this right an officer must conduct and record an initial needs assessment of the victim and with permission share information with other agencies such as Victim Support on behalf of the victim. This is done primarily to prevent them reliving the event. This was done following attending the incident as the risk assessment was carried out indicating that the victim was eligible for enhanced rights. A Personal Protection Notice (PPN) was also submitted for the victim. This form notifies and records adults at risk and was submitted due to the victim being classed as vulnerable following the nature of the crime (Franklin, 2021).</w:t>
      </w:r>
    </w:p>
    <w:p w14:paraId="432B0417"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 xml:space="preserve">Right 7 of the code explains that the victim may make a victim personal statement (VPS) if he wishes should this matter have escalated and resulted in court. Although this incident did not result in the need of court attendance, should the rules of the restorative justice contract be broken, the victim would be entitled to this. A VPS is a document written in the voice of the victim explaining how the incident or crime has affected them.  </w:t>
      </w:r>
    </w:p>
    <w:p w14:paraId="69580A60" w14:textId="1A95D752"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 xml:space="preserve">Upon reflecting on our attendance and using RJ as an outcome, we had to be careful with this as at the time it was initiated, we were leaving the property of the victim and were met by the offender who was now also standing outside. Both me and my tutor took this opportunity to engage with both the victim and offender as they were in the same space and attempted resolution. </w:t>
      </w:r>
    </w:p>
    <w:p w14:paraId="2DEF1C31" w14:textId="31D8C975"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During this exchange the victim put across his views and the offender followed to explain hers. Following this we entered the offender’s property to allow her to sign her Restorative justice conditions as this method was preferred by the victim. On reviewing this it can be seen how doing this at this time could have had an alternative and negative affect should it have escalated; however, it can be seen as a positive that their first encounter following the reported incident was one where police were present.</w:t>
      </w:r>
    </w:p>
    <w:p w14:paraId="491955D9"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 xml:space="preserve">During this incident policing values were incorporated and shown. Policing values relate to the police Code of Ethics. The Code of Ethics initially launched in 2014 and acts as a framework for the standard of behaviour police officers and staff should follow (College of Policing, 2014). </w:t>
      </w:r>
    </w:p>
    <w:p w14:paraId="39A22203"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t xml:space="preserve">The code lists standards such as ‘Duties and Responsibilities’. This is essential as officers must carry out their duties to the best of their ability and training and is essential when completing records of incidents as these can often be used for prosecution of offenders (College of Policing, 2014). Furthermore, exercising ‘Equality and Diversity’ is essential in everyday life and is even more prevalent when dealing with incidents such as hate crime. Victims must feel as though the police treat people equally irrespective of other parts of their lives and continue to promote a diverse society. </w:t>
      </w:r>
    </w:p>
    <w:p w14:paraId="1BFF9ACB"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bCs/>
          <w:color w:val="auto"/>
          <w:sz w:val="22"/>
          <w:szCs w:val="22"/>
          <w:lang w:eastAsia="en-US"/>
        </w:rPr>
      </w:pPr>
    </w:p>
    <w:p w14:paraId="37E21F16"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bCs/>
          <w:color w:val="auto"/>
          <w:sz w:val="22"/>
          <w:szCs w:val="22"/>
          <w:lang w:eastAsia="en-US"/>
        </w:rPr>
      </w:pPr>
      <w:r w:rsidRPr="00AB5C85">
        <w:rPr>
          <w:rFonts w:asciiTheme="minorHAnsi" w:eastAsiaTheme="minorHAnsi" w:hAnsiTheme="minorHAnsi" w:cstheme="minorHAnsi"/>
          <w:bCs/>
          <w:color w:val="auto"/>
          <w:sz w:val="22"/>
          <w:szCs w:val="22"/>
          <w:lang w:eastAsia="en-US"/>
        </w:rPr>
        <w:lastRenderedPageBreak/>
        <w:t>When reflecting on the incident I believe I followed the correct policies when dealing with a hate crime incident and referring it to the hate crime unit. During this the victim was supported and as with most cases, we as the officers were victim led regarding determining the outcome he wanted. When considering an action plan, I would like to educate myself further on alternatives to arrest, the RJ process and what future scenarios could it be applied as an appropriate method.</w:t>
      </w:r>
    </w:p>
    <w:p w14:paraId="78CF5173" w14:textId="77777777" w:rsidR="00AB5C85" w:rsidRPr="00AB5C85" w:rsidRDefault="00AB5C85" w:rsidP="00AB5C85">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p>
    <w:p w14:paraId="416EFA95" w14:textId="41399D9B" w:rsidR="00025650" w:rsidRPr="00AB5C85" w:rsidRDefault="00AB5C85" w:rsidP="00025650">
      <w:pPr>
        <w:jc w:val="both"/>
        <w:rPr>
          <w:rFonts w:asciiTheme="minorHAnsi" w:hAnsiTheme="minorHAnsi" w:cstheme="minorHAnsi"/>
          <w:sz w:val="22"/>
          <w:szCs w:val="22"/>
        </w:rPr>
      </w:pPr>
      <w:r w:rsidRPr="00AB5C85">
        <w:rPr>
          <w:rFonts w:asciiTheme="minorHAnsi" w:hAnsiTheme="minorHAnsi" w:cstheme="minorHAnsi"/>
          <w:sz w:val="22"/>
          <w:szCs w:val="22"/>
        </w:rPr>
        <w:t>Word count: 1565</w:t>
      </w:r>
    </w:p>
    <w:p w14:paraId="598FFEC5" w14:textId="77777777" w:rsidR="00025650" w:rsidRPr="00AB5C85" w:rsidRDefault="00025650" w:rsidP="00025650">
      <w:pPr>
        <w:jc w:val="both"/>
        <w:rPr>
          <w:rFonts w:asciiTheme="minorHAnsi" w:hAnsiTheme="minorHAnsi" w:cstheme="minorHAnsi"/>
          <w:sz w:val="22"/>
          <w:szCs w:val="22"/>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34F05375"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Throughout this workbook I will be using Gibbs reflective cycle (Gibbs, 1988) to navigate my answer, using the strategies to allow a formative and detailed response.</w:t>
      </w:r>
    </w:p>
    <w:p w14:paraId="02BE88AC" w14:textId="77777777" w:rsidR="00AB5C85" w:rsidRPr="00AB5C85" w:rsidRDefault="00AB5C85" w:rsidP="00AB5C85">
      <w:pPr>
        <w:textAlignment w:val="auto"/>
        <w:rPr>
          <w:rFonts w:asciiTheme="minorHAnsi" w:hAnsiTheme="minorHAnsi" w:cstheme="minorHAnsi"/>
          <w:sz w:val="22"/>
          <w:szCs w:val="22"/>
        </w:rPr>
      </w:pPr>
    </w:p>
    <w:p w14:paraId="628DF34E"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The incident that I am reflecting on involved using a build-up of intelligence regarding a male who was suspected of supplying drugs. Following a series of intelligence being submitted and investigation taking place prior to this, a warrant was issued to search his home address under a Section 23 Misuse of Drugs Act.</w:t>
      </w:r>
    </w:p>
    <w:p w14:paraId="7ABBDE19" w14:textId="77777777" w:rsidR="00AB5C85" w:rsidRPr="00AB5C85" w:rsidRDefault="00AB5C85" w:rsidP="00AB5C85">
      <w:pPr>
        <w:textAlignment w:val="auto"/>
        <w:rPr>
          <w:rFonts w:asciiTheme="minorHAnsi" w:hAnsiTheme="minorHAnsi" w:cstheme="minorHAnsi"/>
          <w:sz w:val="22"/>
          <w:szCs w:val="22"/>
        </w:rPr>
      </w:pPr>
    </w:p>
    <w:p w14:paraId="14446DAE"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The Section 23 Misuse of Drugs Act warrant provides police who are lawfully on a private premises to search the premises if there are reasonable grounds to suspect controlled drugs would be found (Police National Legal Database, 2022). Search warrants are issued by the court after being applied for by a police officer, typically leading the case. A search warrant gives the police the power to enter the premises by reasonable force, if necessary and conduct a search of the address and seize items found relating to the offence for which the warrant is issued (Law Commission, 2020). </w:t>
      </w:r>
    </w:p>
    <w:p w14:paraId="203064C9" w14:textId="77777777" w:rsidR="00AB5C85" w:rsidRPr="00AB5C85" w:rsidRDefault="00AB5C85" w:rsidP="00AB5C85">
      <w:pPr>
        <w:textAlignment w:val="auto"/>
        <w:rPr>
          <w:rFonts w:asciiTheme="minorHAnsi" w:hAnsiTheme="minorHAnsi" w:cstheme="minorHAnsi"/>
          <w:sz w:val="22"/>
          <w:szCs w:val="22"/>
        </w:rPr>
      </w:pPr>
    </w:p>
    <w:p w14:paraId="7B972BD0"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In this incident entry by force was not required as myself and my tutor approached the front door of the residence and were granted entry upon being greeted by the offender’s mum who lived at the property. At this point it was identified that no language issues were present as all residing at the address had a first language of English. </w:t>
      </w:r>
    </w:p>
    <w:p w14:paraId="7178BEA0" w14:textId="77777777" w:rsidR="00AB5C85" w:rsidRPr="00AB5C85" w:rsidRDefault="00AB5C85" w:rsidP="00AB5C85">
      <w:pPr>
        <w:textAlignment w:val="auto"/>
        <w:rPr>
          <w:rFonts w:asciiTheme="minorHAnsi" w:hAnsiTheme="minorHAnsi" w:cstheme="minorHAnsi"/>
          <w:sz w:val="22"/>
          <w:szCs w:val="22"/>
        </w:rPr>
      </w:pPr>
    </w:p>
    <w:p w14:paraId="4035E7E7"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lastRenderedPageBreak/>
        <w:t xml:space="preserve">When first attending the address, I was apprehensive as I had never conducted a search before this, and therefore I wanted to ensure that I carried it out appropriately in line with the forces policy. </w:t>
      </w:r>
    </w:p>
    <w:p w14:paraId="6F0E526C" w14:textId="77777777" w:rsidR="00AB5C85" w:rsidRPr="00AB5C85" w:rsidRDefault="00AB5C85" w:rsidP="00AB5C85">
      <w:pPr>
        <w:textAlignment w:val="auto"/>
        <w:rPr>
          <w:rFonts w:asciiTheme="minorHAnsi" w:hAnsiTheme="minorHAnsi" w:cstheme="minorHAnsi"/>
          <w:sz w:val="22"/>
          <w:szCs w:val="22"/>
        </w:rPr>
      </w:pPr>
    </w:p>
    <w:p w14:paraId="137CDA58" w14:textId="0F14BE8C"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During this incident I applied the National </w:t>
      </w:r>
      <w:proofErr w:type="gramStart"/>
      <w:r w:rsidRPr="00AB5C85">
        <w:rPr>
          <w:rFonts w:asciiTheme="minorHAnsi" w:hAnsiTheme="minorHAnsi" w:cstheme="minorHAnsi"/>
          <w:sz w:val="22"/>
          <w:szCs w:val="22"/>
        </w:rPr>
        <w:t>Decision Making</w:t>
      </w:r>
      <w:proofErr w:type="gramEnd"/>
      <w:r w:rsidRPr="00AB5C85">
        <w:rPr>
          <w:rFonts w:asciiTheme="minorHAnsi" w:hAnsiTheme="minorHAnsi" w:cstheme="minorHAnsi"/>
          <w:sz w:val="22"/>
          <w:szCs w:val="22"/>
        </w:rPr>
        <w:t xml:space="preserve"> Model (NDM) throughout my approach. The NDM is a framework used to assist officers in decision making whilst incorporating the forces Code of Ethics (College of Policing, 2014). My personal use of the NDM started initially during a team briefing regarding the incident, during this I familiarised myself with the occurrence, those involved and the drug paraphernalia we were searching for. Furthermore the ‘Gathering information and intelligence’ stage can be shown to have been utilised following </w:t>
      </w:r>
      <w:r w:rsidR="00241784">
        <w:rPr>
          <w:rFonts w:asciiTheme="minorHAnsi" w:hAnsiTheme="minorHAnsi" w:cstheme="minorHAnsi"/>
          <w:sz w:val="22"/>
          <w:szCs w:val="22"/>
        </w:rPr>
        <w:t>checks via the Police National Computer (</w:t>
      </w:r>
      <w:r w:rsidRPr="00AB5C85">
        <w:rPr>
          <w:rFonts w:asciiTheme="minorHAnsi" w:hAnsiTheme="minorHAnsi" w:cstheme="minorHAnsi"/>
          <w:sz w:val="22"/>
          <w:szCs w:val="22"/>
        </w:rPr>
        <w:t>PNC</w:t>
      </w:r>
      <w:r w:rsidR="00241784">
        <w:rPr>
          <w:rFonts w:asciiTheme="minorHAnsi" w:hAnsiTheme="minorHAnsi" w:cstheme="minorHAnsi"/>
          <w:sz w:val="22"/>
          <w:szCs w:val="22"/>
        </w:rPr>
        <w:t>)</w:t>
      </w:r>
      <w:r w:rsidRPr="00AB5C85">
        <w:rPr>
          <w:rFonts w:asciiTheme="minorHAnsi" w:hAnsiTheme="minorHAnsi" w:cstheme="minorHAnsi"/>
          <w:sz w:val="22"/>
          <w:szCs w:val="22"/>
        </w:rPr>
        <w:t>. The checks were carried out on the vehicles at the address and information was additionally gathered by visiting the residence beforehand to determine facts about the property such as the type of front door that was installed, this being important should we have had to force entry.</w:t>
      </w:r>
    </w:p>
    <w:p w14:paraId="37D12508" w14:textId="77777777" w:rsidR="00AB5C85" w:rsidRPr="00AB5C85" w:rsidRDefault="00AB5C85" w:rsidP="00AB5C85">
      <w:pPr>
        <w:textAlignment w:val="auto"/>
        <w:rPr>
          <w:rFonts w:asciiTheme="minorHAnsi" w:hAnsiTheme="minorHAnsi" w:cstheme="minorHAnsi"/>
          <w:sz w:val="22"/>
          <w:szCs w:val="22"/>
        </w:rPr>
      </w:pPr>
    </w:p>
    <w:p w14:paraId="6D866D2F"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I further utilised this model when gaining entry to the home, it was fundamental that I began to assess the risk upon arrival as the house was occupied by those I had not met, and it must always be considered that those whose property it is are aware where potential weapons and exits routes are whereas the officer attending does not. This is when I decided to assess, looking for exits whilst making my way through the home.</w:t>
      </w:r>
    </w:p>
    <w:p w14:paraId="591796A3" w14:textId="77777777" w:rsidR="00AB5C85" w:rsidRPr="00AB5C85" w:rsidRDefault="00AB5C85" w:rsidP="00AB5C85">
      <w:pPr>
        <w:textAlignment w:val="auto"/>
        <w:rPr>
          <w:rFonts w:asciiTheme="minorHAnsi" w:hAnsiTheme="minorHAnsi" w:cstheme="minorHAnsi"/>
          <w:sz w:val="22"/>
          <w:szCs w:val="22"/>
        </w:rPr>
      </w:pPr>
    </w:p>
    <w:p w14:paraId="78FAE113" w14:textId="050573BB"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The NDM was further applied when made aware that alongside the suspect, the mum and </w:t>
      </w:r>
      <w:r w:rsidR="00241784" w:rsidRPr="00AB5C85">
        <w:rPr>
          <w:rFonts w:asciiTheme="minorHAnsi" w:hAnsiTheme="minorHAnsi" w:cstheme="minorHAnsi"/>
          <w:sz w:val="22"/>
          <w:szCs w:val="22"/>
        </w:rPr>
        <w:t>a</w:t>
      </w:r>
      <w:r w:rsidRPr="00AB5C85">
        <w:rPr>
          <w:rFonts w:asciiTheme="minorHAnsi" w:hAnsiTheme="minorHAnsi" w:cstheme="minorHAnsi"/>
          <w:sz w:val="22"/>
          <w:szCs w:val="22"/>
        </w:rPr>
        <w:t xml:space="preserve"> sister </w:t>
      </w:r>
      <w:r w:rsidR="00241784">
        <w:rPr>
          <w:rFonts w:asciiTheme="minorHAnsi" w:hAnsiTheme="minorHAnsi" w:cstheme="minorHAnsi"/>
          <w:sz w:val="22"/>
          <w:szCs w:val="22"/>
        </w:rPr>
        <w:t xml:space="preserve">that was under 18 and therefore classed as a child </w:t>
      </w:r>
      <w:r w:rsidRPr="00AB5C85">
        <w:rPr>
          <w:rFonts w:asciiTheme="minorHAnsi" w:hAnsiTheme="minorHAnsi" w:cstheme="minorHAnsi"/>
          <w:sz w:val="22"/>
          <w:szCs w:val="22"/>
        </w:rPr>
        <w:t xml:space="preserve">was also at the address. Initially the search was planned to take place within school hours to avoid the disturbance to the school aged children. It was during this time that it was decided to gather all family members in the living room and the procedure and reason for the search was explained. Options considered here was the need to detain the suspect in handcuffs to prevent him from escaping or becoming violent to officers. Upon reflection I believe it was a positive to allow the suspect and his family to stay within the same room as it kept the sister calm to be with her brother. </w:t>
      </w:r>
    </w:p>
    <w:p w14:paraId="4B998B64" w14:textId="77777777" w:rsidR="00AB5C85" w:rsidRPr="00AB5C85" w:rsidRDefault="00AB5C85" w:rsidP="00AB5C85">
      <w:pPr>
        <w:textAlignment w:val="auto"/>
        <w:rPr>
          <w:rFonts w:asciiTheme="minorHAnsi" w:hAnsiTheme="minorHAnsi" w:cstheme="minorHAnsi"/>
          <w:sz w:val="22"/>
          <w:szCs w:val="22"/>
        </w:rPr>
      </w:pPr>
    </w:p>
    <w:p w14:paraId="5C854DF9"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Regarding this incident and the seriousness of the offence being possession with intent to supply a class B drug, discretion was unable to be used here. The offence being Section 4 Misuse of Drugs Act 1971 (Misuse of Drugs Act 1971). This act makes it illegal to produce, supply, offer to supply or be concerned in the supply of a control drug to another person. For this offence to be committed it must be proved that any controlled drug found is not for personal use as this would then be classed as the lower offence of possession of a class B drug. </w:t>
      </w:r>
    </w:p>
    <w:p w14:paraId="010D30B6" w14:textId="77777777" w:rsidR="00AB5C85" w:rsidRPr="00AB5C85" w:rsidRDefault="00AB5C85" w:rsidP="00AB5C85">
      <w:pPr>
        <w:textAlignment w:val="auto"/>
        <w:rPr>
          <w:rFonts w:asciiTheme="minorHAnsi" w:hAnsiTheme="minorHAnsi" w:cstheme="minorHAnsi"/>
          <w:sz w:val="22"/>
          <w:szCs w:val="22"/>
        </w:rPr>
      </w:pPr>
    </w:p>
    <w:p w14:paraId="72127521"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To prove this there must be enough evidence to show that the suspect has an intent to supply (Crown Prosecution Service, 2021). This could be shown within items recovered from the property such as mobile phones with potential messages concerning drug sales, large quantities of controlled drugs or items such as drug wraps for the preparation of sale as was the case in this incident. </w:t>
      </w:r>
    </w:p>
    <w:p w14:paraId="492469FA" w14:textId="77777777" w:rsidR="00AB5C85" w:rsidRPr="00AB5C85" w:rsidRDefault="00AB5C85" w:rsidP="00AB5C85">
      <w:pPr>
        <w:textAlignment w:val="auto"/>
        <w:rPr>
          <w:rFonts w:asciiTheme="minorHAnsi" w:hAnsiTheme="minorHAnsi" w:cstheme="minorHAnsi"/>
          <w:sz w:val="22"/>
          <w:szCs w:val="22"/>
        </w:rPr>
      </w:pPr>
    </w:p>
    <w:p w14:paraId="15026BEC"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When looking at the social context of the offence, possession with intent to supply, the statistics suggest that the number of individuals distributing has increased in 2019/2020 in comparison to previous years (Allen and Tunnicliffe, 2021). The rise of communities seeing the use of dealing of drugs within their area is increased from 9.0% in 2018/2019 to 11% in the years 2019/2020. </w:t>
      </w:r>
    </w:p>
    <w:p w14:paraId="18F2F6E2" w14:textId="77777777" w:rsidR="00AB5C85" w:rsidRPr="00AB5C85" w:rsidRDefault="00AB5C85" w:rsidP="00AB5C85">
      <w:pPr>
        <w:textAlignment w:val="auto"/>
        <w:rPr>
          <w:rFonts w:asciiTheme="minorHAnsi" w:hAnsiTheme="minorHAnsi" w:cstheme="minorHAnsi"/>
          <w:sz w:val="22"/>
          <w:szCs w:val="22"/>
        </w:rPr>
      </w:pPr>
    </w:p>
    <w:p w14:paraId="3BF5EDC8" w14:textId="77777777" w:rsidR="00AB5C85" w:rsidRPr="00AB5C85" w:rsidRDefault="00AB5C85" w:rsidP="00AB5C85">
      <w:pPr>
        <w:textAlignment w:val="auto"/>
        <w:rPr>
          <w:rFonts w:asciiTheme="minorHAnsi" w:hAnsiTheme="minorHAnsi" w:cstheme="minorHAnsi"/>
          <w:sz w:val="22"/>
          <w:szCs w:val="22"/>
        </w:rPr>
      </w:pPr>
    </w:p>
    <w:p w14:paraId="64AFD58A"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Regarding my responsibilities relating to the Criminal Procedure and Investigations Act 1996 (CPIA), these responsibilities were prevalent throughout the investigation. The CPIA is a procedure to be followed by police officers whereby the ‘disclosure officer’ takes responsibility for retaining and </w:t>
      </w:r>
      <w:r w:rsidRPr="00AB5C85">
        <w:rPr>
          <w:rFonts w:asciiTheme="minorHAnsi" w:hAnsiTheme="minorHAnsi" w:cstheme="minorHAnsi"/>
          <w:sz w:val="22"/>
          <w:szCs w:val="22"/>
        </w:rPr>
        <w:lastRenderedPageBreak/>
        <w:t xml:space="preserve">examining material and classifying it into evidential or non-evidential material which is collected throughout the investigation (Crown Prosecution Service, 2022). </w:t>
      </w:r>
    </w:p>
    <w:p w14:paraId="489FFEB3" w14:textId="77777777" w:rsidR="00AB5C85" w:rsidRPr="00AB5C85" w:rsidRDefault="00AB5C85" w:rsidP="00AB5C85">
      <w:pPr>
        <w:textAlignment w:val="auto"/>
        <w:rPr>
          <w:rFonts w:asciiTheme="minorHAnsi" w:hAnsiTheme="minorHAnsi" w:cstheme="minorHAnsi"/>
          <w:sz w:val="22"/>
          <w:szCs w:val="22"/>
        </w:rPr>
      </w:pPr>
    </w:p>
    <w:p w14:paraId="3CFB04A0"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During this incident the CPIA can be related to the seized evidence found on the property such as the quantity of controlled drugs found, wrap bags and a mobile phone suspected to be involved with the case. In addition to this a quantity of bank notes was also seized however, this was regarded as non-evidential as it did not belong to the suspect and therefore returned. </w:t>
      </w:r>
    </w:p>
    <w:p w14:paraId="04ED41AD" w14:textId="77777777" w:rsidR="00AB5C85" w:rsidRPr="00AB5C85" w:rsidRDefault="00AB5C85" w:rsidP="00AB5C85">
      <w:pPr>
        <w:textAlignment w:val="auto"/>
        <w:rPr>
          <w:rFonts w:asciiTheme="minorHAnsi" w:hAnsiTheme="minorHAnsi" w:cstheme="minorHAnsi"/>
          <w:sz w:val="22"/>
          <w:szCs w:val="22"/>
        </w:rPr>
      </w:pPr>
    </w:p>
    <w:p w14:paraId="1CFD2B45"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The recording and retaining of significant information can also be demonstrated during the search as per policy, a record of items seized was conducted within a search booklet. This allowed to keep data regarding evidence that was found and offer the members of the household the opportunity to claim what belonged to them, in turn aiding the evidential disclosure process. Following this, the owners’ details are noted and signed by the individual whereby a copy of the search record is left at the address with the other being retained for the investigation. </w:t>
      </w:r>
    </w:p>
    <w:p w14:paraId="3771A9FE" w14:textId="77777777" w:rsidR="00AB5C85" w:rsidRPr="00AB5C85" w:rsidRDefault="00AB5C85" w:rsidP="00AB5C85">
      <w:pPr>
        <w:textAlignment w:val="auto"/>
        <w:rPr>
          <w:rFonts w:asciiTheme="minorHAnsi" w:hAnsiTheme="minorHAnsi" w:cstheme="minorHAnsi"/>
          <w:sz w:val="22"/>
          <w:szCs w:val="22"/>
        </w:rPr>
      </w:pPr>
    </w:p>
    <w:p w14:paraId="1E934A65"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Upon discussing the police values the one most prevalent during this incident would be ‘Authority, respect and courtesy’ in which officers must show to carry out their actions with a professional attitude (College of Policing, 2014). This was essential during the attended incident especially when communicating with the suspect and his family members. It was important to show authority and our purpose for being at the address but also be respectful when carrying out the search, ensuring to be detailed but causing as little disruption as possible alongside being courteous as we were still in their home. </w:t>
      </w:r>
    </w:p>
    <w:p w14:paraId="1399C55C" w14:textId="77777777" w:rsidR="00AB5C85" w:rsidRPr="00AB5C85" w:rsidRDefault="00AB5C85" w:rsidP="00AB5C85">
      <w:pPr>
        <w:textAlignment w:val="auto"/>
        <w:rPr>
          <w:rFonts w:asciiTheme="minorHAnsi" w:hAnsiTheme="minorHAnsi" w:cstheme="minorHAnsi"/>
          <w:sz w:val="22"/>
          <w:szCs w:val="22"/>
        </w:rPr>
      </w:pPr>
    </w:p>
    <w:p w14:paraId="0D350489"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The policing value of showing authority, respect and courtesy was engaged during the incident despite the possibility of bias. Bias can be described as a tendency to favour one situation or person over another (Psychology Today, 2019). This can be formed due to pre-made stereotypes we have rather than basing our judgment on the facts, this is often referred to as unconscious bias. </w:t>
      </w:r>
    </w:p>
    <w:p w14:paraId="45FBB264" w14:textId="77777777" w:rsidR="00AB5C85" w:rsidRPr="00AB5C85" w:rsidRDefault="00AB5C85" w:rsidP="00AB5C85">
      <w:pPr>
        <w:textAlignment w:val="auto"/>
        <w:rPr>
          <w:rFonts w:asciiTheme="minorHAnsi" w:hAnsiTheme="minorHAnsi" w:cstheme="minorHAnsi"/>
          <w:sz w:val="22"/>
          <w:szCs w:val="22"/>
        </w:rPr>
      </w:pPr>
    </w:p>
    <w:p w14:paraId="63F79020"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On analysation of this occurrence, it had the potential for attending officers and myself to form biases regarding the suspect having previously viewing any ‘warning markers’ he had. Although it is an appropriate action to carry out for officer safety reasons, this should not cloud the officer’s judgement or change the way when dealing with the individual as per policing value respect and courtesy must still be shown. </w:t>
      </w:r>
    </w:p>
    <w:p w14:paraId="2B6107C0" w14:textId="77777777" w:rsidR="00AB5C85" w:rsidRPr="00AB5C85" w:rsidRDefault="00AB5C85" w:rsidP="00AB5C85">
      <w:pPr>
        <w:textAlignment w:val="auto"/>
        <w:rPr>
          <w:rFonts w:asciiTheme="minorHAnsi" w:hAnsiTheme="minorHAnsi" w:cstheme="minorHAnsi"/>
          <w:sz w:val="22"/>
          <w:szCs w:val="22"/>
        </w:rPr>
      </w:pPr>
    </w:p>
    <w:p w14:paraId="44730859"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 xml:space="preserve">Furthermore, when analysing myself on further biases during this incident, this is difficult as I aim to always approach a situation with the knowledge of the affect unconscious biases can have on decision making and therefore proactively aim not to succumb to this or make judgements. </w:t>
      </w:r>
    </w:p>
    <w:p w14:paraId="0C140FA2" w14:textId="77777777" w:rsidR="00AB5C85" w:rsidRPr="00AB5C85" w:rsidRDefault="00AB5C85" w:rsidP="00AB5C85">
      <w:pPr>
        <w:textAlignment w:val="auto"/>
        <w:rPr>
          <w:rFonts w:asciiTheme="minorHAnsi" w:hAnsiTheme="minorHAnsi" w:cstheme="minorHAnsi"/>
          <w:sz w:val="22"/>
          <w:szCs w:val="22"/>
        </w:rPr>
      </w:pPr>
    </w:p>
    <w:p w14:paraId="70ECDBE2" w14:textId="77777777" w:rsidR="00AB5C85" w:rsidRPr="00AB5C85" w:rsidRDefault="00AB5C85" w:rsidP="00AB5C85">
      <w:pPr>
        <w:textAlignment w:val="auto"/>
        <w:rPr>
          <w:rFonts w:asciiTheme="minorHAnsi" w:hAnsiTheme="minorHAnsi" w:cstheme="minorHAnsi"/>
          <w:sz w:val="22"/>
          <w:szCs w:val="22"/>
        </w:rPr>
      </w:pPr>
      <w:r w:rsidRPr="00AB5C85">
        <w:rPr>
          <w:rFonts w:asciiTheme="minorHAnsi" w:hAnsiTheme="minorHAnsi" w:cstheme="minorHAnsi"/>
          <w:sz w:val="22"/>
          <w:szCs w:val="22"/>
        </w:rPr>
        <w:t>In conclusion and to discuss the final stages of the NDM being the ‘taking action’ stage and reviewing the incident, I believe I dealt with this well, with it being my first search and first-time exhibiting evidence, I asked many questions and was paired with my sergeant to learn about the exhibiting evidence process and how to record these items correctly. I also believe that I used the NDM efficiently on attendance especially when assessing the risk and during the search. As a reflection, searching is a definite skill I would like to develop throughout the formative years in my career with the ambition of becoming SEARCH trained in the future. I would also like to attend more incidents involving a warrant to develop on my knowledge and confidence.</w:t>
      </w:r>
    </w:p>
    <w:p w14:paraId="55E8513B" w14:textId="733EEFDD" w:rsidR="00025650" w:rsidRPr="00AB5C85" w:rsidRDefault="00025650" w:rsidP="00025650">
      <w:pPr>
        <w:jc w:val="both"/>
        <w:rPr>
          <w:rFonts w:asciiTheme="minorHAnsi" w:hAnsiTheme="minorHAnsi" w:cstheme="minorHAnsi"/>
          <w:sz w:val="22"/>
          <w:szCs w:val="22"/>
        </w:rPr>
      </w:pPr>
    </w:p>
    <w:p w14:paraId="5084F562" w14:textId="494CA527" w:rsidR="00AB5C85" w:rsidRPr="00AB5C85" w:rsidRDefault="00AB5C85" w:rsidP="00025650">
      <w:pPr>
        <w:jc w:val="both"/>
        <w:rPr>
          <w:rFonts w:asciiTheme="minorHAnsi" w:hAnsiTheme="minorHAnsi" w:cstheme="minorHAnsi"/>
          <w:sz w:val="22"/>
          <w:szCs w:val="22"/>
        </w:rPr>
      </w:pPr>
      <w:r w:rsidRPr="00AB5C85">
        <w:rPr>
          <w:rFonts w:asciiTheme="minorHAnsi" w:hAnsiTheme="minorHAnsi" w:cstheme="minorHAnsi"/>
          <w:sz w:val="22"/>
          <w:szCs w:val="22"/>
        </w:rPr>
        <w:t>Word count: 14</w:t>
      </w:r>
      <w:r w:rsidR="00241784">
        <w:rPr>
          <w:rFonts w:asciiTheme="minorHAnsi" w:hAnsiTheme="minorHAnsi" w:cstheme="minorHAnsi"/>
          <w:sz w:val="22"/>
          <w:szCs w:val="22"/>
        </w:rPr>
        <w:t>74</w:t>
      </w:r>
    </w:p>
    <w:p w14:paraId="4C811AD3" w14:textId="77777777" w:rsidR="00025650" w:rsidRPr="00AB5C85" w:rsidRDefault="00025650" w:rsidP="00025650">
      <w:pPr>
        <w:jc w:val="both"/>
        <w:rPr>
          <w:rFonts w:asciiTheme="minorHAnsi" w:hAnsiTheme="minorHAnsi" w:cstheme="minorHAnsi"/>
          <w:sz w:val="22"/>
          <w:szCs w:val="22"/>
        </w:rPr>
      </w:pPr>
    </w:p>
    <w:p w14:paraId="0FEEFB0E" w14:textId="77777777" w:rsidR="00025650" w:rsidRPr="00AB5C85" w:rsidRDefault="00025650" w:rsidP="00025650">
      <w:pPr>
        <w:jc w:val="both"/>
        <w:rPr>
          <w:rFonts w:asciiTheme="minorHAnsi" w:hAnsiTheme="minorHAnsi" w:cstheme="minorHAnsi"/>
          <w:sz w:val="22"/>
          <w:szCs w:val="22"/>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p w14:paraId="18D7B1D4" w14:textId="77777777" w:rsidR="004B155C" w:rsidRDefault="004B155C" w:rsidP="00FF7EBB">
      <w:pPr>
        <w:jc w:val="both"/>
        <w:rPr>
          <w:sz w:val="24"/>
          <w:szCs w:val="24"/>
        </w:rPr>
      </w:pPr>
    </w:p>
    <w:p w14:paraId="6EDBB665" w14:textId="1145A171" w:rsidR="00092970" w:rsidRDefault="004B155C" w:rsidP="00FF7EBB">
      <w:pPr>
        <w:jc w:val="both"/>
        <w:rPr>
          <w:sz w:val="24"/>
          <w:szCs w:val="24"/>
        </w:rPr>
      </w:pPr>
      <w:proofErr w:type="gramStart"/>
      <w:r w:rsidRPr="004B155C">
        <w:rPr>
          <w:sz w:val="24"/>
          <w:szCs w:val="24"/>
        </w:rPr>
        <w:t>In order to</w:t>
      </w:r>
      <w:proofErr w:type="gramEnd"/>
      <w:r w:rsidRPr="004B155C">
        <w:rPr>
          <w:sz w:val="24"/>
          <w:szCs w:val="24"/>
        </w:rPr>
        <w:t xml:space="preserve"> formulate my personal development plan, I will ensure that all areas for development follow the SMART model being – Specific, Measurable, Achievable, realistic and timely. </w:t>
      </w:r>
    </w:p>
    <w:p w14:paraId="752083BA" w14:textId="77777777" w:rsidR="004B155C" w:rsidRPr="004B155C" w:rsidRDefault="004B155C"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3D1572" w:rsidRPr="003D1572" w14:paraId="7F9154EC" w14:textId="77777777" w:rsidTr="00451B24">
        <w:tc>
          <w:tcPr>
            <w:tcW w:w="2318" w:type="dxa"/>
            <w:tcBorders>
              <w:top w:val="single" w:sz="4" w:space="0" w:color="auto"/>
              <w:left w:val="single" w:sz="4" w:space="0" w:color="auto"/>
              <w:bottom w:val="single" w:sz="4" w:space="0" w:color="auto"/>
              <w:right w:val="single" w:sz="4" w:space="0" w:color="auto"/>
            </w:tcBorders>
          </w:tcPr>
          <w:p w14:paraId="45B5AF1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b/>
                <w:color w:val="auto"/>
                <w:sz w:val="22"/>
                <w:szCs w:val="22"/>
                <w:lang w:eastAsia="en-US"/>
              </w:rPr>
            </w:pPr>
          </w:p>
          <w:p w14:paraId="660AFC0A"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3D1572">
              <w:rPr>
                <w:rFonts w:asciiTheme="minorHAnsi" w:eastAsiaTheme="minorHAnsi" w:hAnsiTheme="minorHAnsi" w:cstheme="minorBidi"/>
                <w:b/>
                <w:bCs/>
                <w:color w:val="auto"/>
                <w:sz w:val="22"/>
                <w:szCs w:val="22"/>
                <w:lang w:eastAsia="en-US"/>
              </w:rPr>
              <w:t xml:space="preserve">Identified area for development </w:t>
            </w:r>
          </w:p>
          <w:p w14:paraId="4E74010B"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b/>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5358F509"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b/>
                <w:color w:val="auto"/>
                <w:sz w:val="22"/>
                <w:szCs w:val="22"/>
                <w:lang w:eastAsia="en-US"/>
              </w:rPr>
            </w:pPr>
          </w:p>
          <w:p w14:paraId="16BD45A5"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b/>
                <w:color w:val="auto"/>
                <w:sz w:val="22"/>
                <w:szCs w:val="22"/>
                <w:lang w:eastAsia="en-US"/>
              </w:rPr>
            </w:pPr>
            <w:r w:rsidRPr="003D1572">
              <w:rPr>
                <w:rFonts w:asciiTheme="minorHAnsi" w:eastAsiaTheme="minorHAnsi" w:hAnsiTheme="minorHAnsi" w:cstheme="minorBidi"/>
                <w:b/>
                <w:color w:val="auto"/>
                <w:sz w:val="22"/>
                <w:szCs w:val="22"/>
                <w:lang w:eastAsia="en-US"/>
              </w:rPr>
              <w:t>How it will be achieved</w:t>
            </w:r>
          </w:p>
        </w:tc>
        <w:tc>
          <w:tcPr>
            <w:tcW w:w="2230" w:type="dxa"/>
            <w:tcBorders>
              <w:top w:val="single" w:sz="4" w:space="0" w:color="auto"/>
              <w:left w:val="single" w:sz="4" w:space="0" w:color="auto"/>
              <w:bottom w:val="single" w:sz="4" w:space="0" w:color="auto"/>
              <w:right w:val="single" w:sz="4" w:space="0" w:color="auto"/>
            </w:tcBorders>
          </w:tcPr>
          <w:p w14:paraId="76258994"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b/>
                <w:color w:val="auto"/>
                <w:sz w:val="22"/>
                <w:szCs w:val="22"/>
                <w:lang w:eastAsia="en-US"/>
              </w:rPr>
            </w:pPr>
          </w:p>
          <w:p w14:paraId="191BED47"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3D1572">
              <w:rPr>
                <w:rFonts w:asciiTheme="minorHAnsi" w:eastAsiaTheme="minorHAnsi" w:hAnsiTheme="minorHAnsi" w:cstheme="minorBidi"/>
                <w:b/>
                <w:bCs/>
                <w:color w:val="auto"/>
                <w:sz w:val="22"/>
                <w:szCs w:val="22"/>
                <w:lang w:eastAsia="en-US"/>
              </w:rPr>
              <w:t>Who can provide support?</w:t>
            </w:r>
          </w:p>
        </w:tc>
        <w:tc>
          <w:tcPr>
            <w:tcW w:w="2230" w:type="dxa"/>
            <w:tcBorders>
              <w:top w:val="single" w:sz="4" w:space="0" w:color="auto"/>
              <w:left w:val="single" w:sz="4" w:space="0" w:color="auto"/>
              <w:bottom w:val="single" w:sz="4" w:space="0" w:color="auto"/>
              <w:right w:val="single" w:sz="4" w:space="0" w:color="auto"/>
            </w:tcBorders>
          </w:tcPr>
          <w:p w14:paraId="5F6A6FAB"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p>
          <w:p w14:paraId="114AD9C7"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b/>
                <w:bCs/>
                <w:color w:val="auto"/>
                <w:sz w:val="22"/>
                <w:szCs w:val="22"/>
                <w:lang w:eastAsia="en-US"/>
              </w:rPr>
              <w:t xml:space="preserve">Timeline </w:t>
            </w:r>
          </w:p>
        </w:tc>
      </w:tr>
      <w:tr w:rsidR="003D1572" w:rsidRPr="003D1572" w14:paraId="0AC4A5AD" w14:textId="77777777" w:rsidTr="00451B24">
        <w:tc>
          <w:tcPr>
            <w:tcW w:w="2318" w:type="dxa"/>
            <w:tcBorders>
              <w:top w:val="single" w:sz="4" w:space="0" w:color="auto"/>
              <w:left w:val="single" w:sz="4" w:space="0" w:color="auto"/>
              <w:bottom w:val="single" w:sz="4" w:space="0" w:color="auto"/>
              <w:right w:val="single" w:sz="4" w:space="0" w:color="auto"/>
            </w:tcBorders>
          </w:tcPr>
          <w:p w14:paraId="6E0C79A1"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0" w:name="_Hlk115205763"/>
            <w:bookmarkStart w:id="1" w:name="_Hlk115205840"/>
            <w:r w:rsidRPr="003D1572">
              <w:rPr>
                <w:rFonts w:asciiTheme="minorHAnsi" w:eastAsiaTheme="minorHAnsi" w:hAnsiTheme="minorHAnsi" w:cstheme="minorBidi"/>
                <w:color w:val="auto"/>
                <w:sz w:val="22"/>
                <w:szCs w:val="22"/>
                <w:lang w:eastAsia="en-US"/>
              </w:rPr>
              <w:t>Gain confidence in conducting stop searches.</w:t>
            </w:r>
          </w:p>
          <w:p w14:paraId="6FA30DBF"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D5346C1"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ECE4961"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AE20454"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BCCC82F"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A28795C"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DC4806F"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367FFD23" w14:textId="2B2948F5"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To achieve this, I will ensure I am knowledgeable in the GOWISELY process and take the lead on carrying out a stop search. On completion, I will ask my tutor for feedback on my technique.</w:t>
            </w:r>
          </w:p>
          <w:p w14:paraId="671F073F"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C65EC6E"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In addition to this I will carry out further reading on the forces stop search policy and familiarise myself with the technique of quadrant searching.</w:t>
            </w:r>
          </w:p>
        </w:tc>
        <w:tc>
          <w:tcPr>
            <w:tcW w:w="2230" w:type="dxa"/>
            <w:tcBorders>
              <w:top w:val="single" w:sz="4" w:space="0" w:color="auto"/>
              <w:left w:val="single" w:sz="4" w:space="0" w:color="auto"/>
              <w:bottom w:val="single" w:sz="4" w:space="0" w:color="auto"/>
              <w:right w:val="single" w:sz="4" w:space="0" w:color="auto"/>
            </w:tcBorders>
          </w:tcPr>
          <w:p w14:paraId="5D2C0B0E"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During this time, my tutor and sergeant can provide me with support.</w:t>
            </w:r>
          </w:p>
        </w:tc>
        <w:tc>
          <w:tcPr>
            <w:tcW w:w="2230" w:type="dxa"/>
            <w:tcBorders>
              <w:top w:val="single" w:sz="4" w:space="0" w:color="auto"/>
              <w:left w:val="single" w:sz="4" w:space="0" w:color="auto"/>
              <w:bottom w:val="single" w:sz="4" w:space="0" w:color="auto"/>
              <w:right w:val="single" w:sz="4" w:space="0" w:color="auto"/>
            </w:tcBorders>
          </w:tcPr>
          <w:p w14:paraId="7DB102C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As my tutorship will last for a period of 12 weeks, I would like to have achieved and be confident in conducting this process by the end of week four. </w:t>
            </w:r>
          </w:p>
        </w:tc>
      </w:tr>
      <w:tr w:rsidR="003D1572" w:rsidRPr="003D1572" w14:paraId="747AB3A5" w14:textId="77777777" w:rsidTr="00451B24">
        <w:tc>
          <w:tcPr>
            <w:tcW w:w="2318" w:type="dxa"/>
            <w:tcBorders>
              <w:top w:val="single" w:sz="4" w:space="0" w:color="auto"/>
              <w:left w:val="single" w:sz="4" w:space="0" w:color="auto"/>
              <w:bottom w:val="single" w:sz="4" w:space="0" w:color="auto"/>
              <w:right w:val="single" w:sz="4" w:space="0" w:color="auto"/>
            </w:tcBorders>
          </w:tcPr>
          <w:p w14:paraId="35148A6E"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00F7AB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Gain experience of transporting a prisoner to custody.</w:t>
            </w:r>
          </w:p>
          <w:p w14:paraId="1CE3E01A"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D1917A4"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6ACD261"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F0FD157"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CDEEB6A"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EFA488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2BD492C"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22ACE691"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lastRenderedPageBreak/>
              <w:t xml:space="preserve">This will be achieved as the tutorship progresses. However, to further aid my plans to develop, I can request that I visit custody with my tutor beforehand to get an idea of what is </w:t>
            </w:r>
            <w:r w:rsidRPr="003D1572">
              <w:rPr>
                <w:rFonts w:asciiTheme="minorHAnsi" w:eastAsiaTheme="minorHAnsi" w:hAnsiTheme="minorHAnsi" w:cstheme="minorBidi"/>
                <w:color w:val="auto"/>
                <w:sz w:val="22"/>
                <w:szCs w:val="22"/>
                <w:lang w:eastAsia="en-US"/>
              </w:rPr>
              <w:lastRenderedPageBreak/>
              <w:t>expected of me on arrival and throughout the process.</w:t>
            </w:r>
          </w:p>
        </w:tc>
        <w:tc>
          <w:tcPr>
            <w:tcW w:w="2230" w:type="dxa"/>
            <w:tcBorders>
              <w:top w:val="single" w:sz="4" w:space="0" w:color="auto"/>
              <w:left w:val="single" w:sz="4" w:space="0" w:color="auto"/>
              <w:bottom w:val="single" w:sz="4" w:space="0" w:color="auto"/>
              <w:right w:val="single" w:sz="4" w:space="0" w:color="auto"/>
            </w:tcBorders>
          </w:tcPr>
          <w:p w14:paraId="5E160A63"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lastRenderedPageBreak/>
              <w:t xml:space="preserve">My tutor will be my main source of support for this area of development. However, I can also gain valuable knowledge for my development from the custody sergeant </w:t>
            </w:r>
            <w:r w:rsidRPr="003D1572">
              <w:rPr>
                <w:rFonts w:asciiTheme="minorHAnsi" w:eastAsiaTheme="minorHAnsi" w:hAnsiTheme="minorHAnsi" w:cstheme="minorBidi"/>
                <w:color w:val="auto"/>
                <w:sz w:val="22"/>
                <w:szCs w:val="22"/>
                <w:lang w:eastAsia="en-US"/>
              </w:rPr>
              <w:lastRenderedPageBreak/>
              <w:t>having completed my first visit.</w:t>
            </w:r>
          </w:p>
          <w:p w14:paraId="0E995D45"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In addition to this, information on the collage of policing website covering detention, the importance of having a necessity to arrest and information covering PACE Code G alongside Section 24 PACE can all support me in this area of development.</w:t>
            </w:r>
          </w:p>
          <w:p w14:paraId="2C9BE9B9"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tc>
        <w:tc>
          <w:tcPr>
            <w:tcW w:w="2230" w:type="dxa"/>
            <w:tcBorders>
              <w:top w:val="single" w:sz="4" w:space="0" w:color="auto"/>
              <w:left w:val="single" w:sz="4" w:space="0" w:color="auto"/>
              <w:bottom w:val="single" w:sz="4" w:space="0" w:color="auto"/>
              <w:right w:val="single" w:sz="4" w:space="0" w:color="auto"/>
            </w:tcBorders>
          </w:tcPr>
          <w:p w14:paraId="746226E2"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lastRenderedPageBreak/>
              <w:t>By the end of my tutorship period.</w:t>
            </w:r>
          </w:p>
        </w:tc>
      </w:tr>
      <w:tr w:rsidR="003D1572" w:rsidRPr="003D1572" w14:paraId="075C49A3" w14:textId="77777777" w:rsidTr="00451B24">
        <w:trPr>
          <w:trHeight w:val="1975"/>
        </w:trPr>
        <w:tc>
          <w:tcPr>
            <w:tcW w:w="2318" w:type="dxa"/>
            <w:tcBorders>
              <w:top w:val="single" w:sz="4" w:space="0" w:color="auto"/>
              <w:left w:val="single" w:sz="4" w:space="0" w:color="auto"/>
              <w:bottom w:val="single" w:sz="4" w:space="0" w:color="auto"/>
              <w:right w:val="single" w:sz="4" w:space="0" w:color="auto"/>
            </w:tcBorders>
          </w:tcPr>
          <w:p w14:paraId="224AB169"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684D559"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0F986C1"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Learn how to conduct and complete a victim personal statement </w:t>
            </w:r>
          </w:p>
          <w:p w14:paraId="0FB388A3"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58D859E"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14BE546"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7A79767"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368369E"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00409F6"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5FF15E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5F842B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02453BA"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CACD9F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7E32B8EF"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I will achieve this by discussing with my tutor and learning from them before putting it into practice where applicable in a case.</w:t>
            </w:r>
          </w:p>
        </w:tc>
        <w:tc>
          <w:tcPr>
            <w:tcW w:w="2230" w:type="dxa"/>
            <w:tcBorders>
              <w:top w:val="single" w:sz="4" w:space="0" w:color="auto"/>
              <w:left w:val="single" w:sz="4" w:space="0" w:color="auto"/>
              <w:bottom w:val="single" w:sz="4" w:space="0" w:color="auto"/>
              <w:right w:val="single" w:sz="4" w:space="0" w:color="auto"/>
            </w:tcBorders>
          </w:tcPr>
          <w:p w14:paraId="7AEDB1B7"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My tutor can provide me with support alongside my sergeant.</w:t>
            </w:r>
          </w:p>
        </w:tc>
        <w:tc>
          <w:tcPr>
            <w:tcW w:w="2230" w:type="dxa"/>
            <w:tcBorders>
              <w:top w:val="single" w:sz="4" w:space="0" w:color="auto"/>
              <w:left w:val="single" w:sz="4" w:space="0" w:color="auto"/>
              <w:bottom w:val="single" w:sz="4" w:space="0" w:color="auto"/>
              <w:right w:val="single" w:sz="4" w:space="0" w:color="auto"/>
            </w:tcBorders>
          </w:tcPr>
          <w:p w14:paraId="0BC7B44B"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I would like to have completed this by the end of my tutorship phase. </w:t>
            </w:r>
          </w:p>
        </w:tc>
      </w:tr>
      <w:bookmarkEnd w:id="0"/>
      <w:tr w:rsidR="003D1572" w:rsidRPr="003D1572" w14:paraId="1DF3FC04" w14:textId="77777777" w:rsidTr="00451B24">
        <w:trPr>
          <w:trHeight w:val="2541"/>
        </w:trPr>
        <w:tc>
          <w:tcPr>
            <w:tcW w:w="2318" w:type="dxa"/>
            <w:tcBorders>
              <w:top w:val="single" w:sz="4" w:space="0" w:color="auto"/>
              <w:left w:val="single" w:sz="4" w:space="0" w:color="auto"/>
              <w:bottom w:val="single" w:sz="4" w:space="0" w:color="auto"/>
              <w:right w:val="single" w:sz="4" w:space="0" w:color="auto"/>
            </w:tcBorders>
          </w:tcPr>
          <w:p w14:paraId="7A81A204"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lastRenderedPageBreak/>
              <w:t>Improve my confidence on transmitting and receiving information via the radio</w:t>
            </w:r>
          </w:p>
        </w:tc>
        <w:tc>
          <w:tcPr>
            <w:tcW w:w="2249" w:type="dxa"/>
            <w:tcBorders>
              <w:top w:val="single" w:sz="4" w:space="0" w:color="auto"/>
              <w:left w:val="single" w:sz="4" w:space="0" w:color="auto"/>
              <w:bottom w:val="single" w:sz="4" w:space="0" w:color="auto"/>
              <w:right w:val="single" w:sz="4" w:space="0" w:color="auto"/>
            </w:tcBorders>
          </w:tcPr>
          <w:p w14:paraId="5A316F4F"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This will be achieved by ensuring that I take the lead when requesting information from the control room for example, requesting a person or vehicle check being carried out. I can also achieve this by ensuring I use my initiative when hearing information being relayed to me and then checking back with my tutor that I have received it correctly. </w:t>
            </w:r>
          </w:p>
        </w:tc>
        <w:tc>
          <w:tcPr>
            <w:tcW w:w="2230" w:type="dxa"/>
            <w:tcBorders>
              <w:top w:val="single" w:sz="4" w:space="0" w:color="auto"/>
              <w:left w:val="single" w:sz="4" w:space="0" w:color="auto"/>
              <w:bottom w:val="single" w:sz="4" w:space="0" w:color="auto"/>
              <w:right w:val="single" w:sz="4" w:space="0" w:color="auto"/>
            </w:tcBorders>
          </w:tcPr>
          <w:p w14:paraId="35880D4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My tutor can provide support with this but also guides provided during the initial 6 months of training on airwaves communication can assist with the correct way to communicate with colleagues over the air. </w:t>
            </w:r>
          </w:p>
        </w:tc>
        <w:tc>
          <w:tcPr>
            <w:tcW w:w="2230" w:type="dxa"/>
            <w:tcBorders>
              <w:top w:val="single" w:sz="4" w:space="0" w:color="auto"/>
              <w:left w:val="single" w:sz="4" w:space="0" w:color="auto"/>
              <w:bottom w:val="single" w:sz="4" w:space="0" w:color="auto"/>
              <w:right w:val="single" w:sz="4" w:space="0" w:color="auto"/>
            </w:tcBorders>
          </w:tcPr>
          <w:p w14:paraId="3F7245FE"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I would like to have achieved this and seen an improvement in both ability and confidence within the first 4 weeks of my tutorship. </w:t>
            </w:r>
          </w:p>
        </w:tc>
      </w:tr>
      <w:tr w:rsidR="003D1572" w:rsidRPr="003D1572" w14:paraId="2BB81FEF" w14:textId="77777777" w:rsidTr="00451B24">
        <w:trPr>
          <w:trHeight w:val="2541"/>
        </w:trPr>
        <w:tc>
          <w:tcPr>
            <w:tcW w:w="2318" w:type="dxa"/>
            <w:tcBorders>
              <w:top w:val="single" w:sz="4" w:space="0" w:color="auto"/>
              <w:left w:val="single" w:sz="4" w:space="0" w:color="auto"/>
              <w:bottom w:val="single" w:sz="4" w:space="0" w:color="auto"/>
              <w:right w:val="single" w:sz="4" w:space="0" w:color="auto"/>
            </w:tcBorders>
          </w:tcPr>
          <w:p w14:paraId="3417D7A8"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Further my knowledge in how to deal with traffic offences via traffic offence reports (TORs)</w:t>
            </w:r>
          </w:p>
          <w:p w14:paraId="11B91656"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tc>
        <w:tc>
          <w:tcPr>
            <w:tcW w:w="2249" w:type="dxa"/>
            <w:tcBorders>
              <w:top w:val="single" w:sz="4" w:space="0" w:color="auto"/>
              <w:left w:val="single" w:sz="4" w:space="0" w:color="auto"/>
              <w:bottom w:val="single" w:sz="4" w:space="0" w:color="auto"/>
              <w:right w:val="single" w:sz="4" w:space="0" w:color="auto"/>
            </w:tcBorders>
          </w:tcPr>
          <w:p w14:paraId="049A8D9B"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This will be achieved by going on patrol with my tutor but also by requesting a traffic attachment.</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383714CD"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My tutor can provide support with this along with also gaining experience from colleagues specialised within this area if an attachment is undertaken. </w:t>
            </w:r>
          </w:p>
        </w:tc>
        <w:tc>
          <w:tcPr>
            <w:tcW w:w="2230" w:type="dxa"/>
            <w:tcBorders>
              <w:top w:val="single" w:sz="4" w:space="0" w:color="auto"/>
              <w:left w:val="single" w:sz="4" w:space="0" w:color="auto"/>
              <w:bottom w:val="single" w:sz="4" w:space="0" w:color="auto"/>
              <w:right w:val="single" w:sz="4" w:space="0" w:color="auto"/>
            </w:tcBorders>
          </w:tcPr>
          <w:p w14:paraId="3425DDBB" w14:textId="77777777" w:rsidR="003D1572" w:rsidRPr="003D1572" w:rsidRDefault="003D1572" w:rsidP="003D15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3D1572">
              <w:rPr>
                <w:rFonts w:asciiTheme="minorHAnsi" w:eastAsiaTheme="minorHAnsi" w:hAnsiTheme="minorHAnsi" w:cstheme="minorBidi"/>
                <w:color w:val="auto"/>
                <w:sz w:val="22"/>
                <w:szCs w:val="22"/>
                <w:lang w:eastAsia="en-US"/>
              </w:rPr>
              <w:t xml:space="preserve">I would like to have achieved this by the end of my 12-week tutorship period in preparation for my independent patrol status. </w:t>
            </w:r>
          </w:p>
        </w:tc>
      </w:tr>
      <w:bookmarkEnd w:id="1"/>
    </w:tbl>
    <w:p w14:paraId="7C3F9562" w14:textId="77777777" w:rsidR="003D1572" w:rsidRDefault="003D1572">
      <w:pPr>
        <w:overflowPunct/>
        <w:autoSpaceDE/>
        <w:autoSpaceDN/>
        <w:adjustRightInd/>
        <w:textAlignment w:val="auto"/>
        <w:rPr>
          <w:b/>
          <w:bCs/>
          <w:sz w:val="24"/>
          <w:szCs w:val="24"/>
        </w:rPr>
      </w:pPr>
    </w:p>
    <w:p w14:paraId="7DF140BE" w14:textId="357A6010" w:rsidR="00536FA9" w:rsidRPr="003D1572" w:rsidRDefault="003D1572">
      <w:pPr>
        <w:overflowPunct/>
        <w:autoSpaceDE/>
        <w:autoSpaceDN/>
        <w:adjustRightInd/>
        <w:textAlignment w:val="auto"/>
        <w:rPr>
          <w:sz w:val="24"/>
          <w:szCs w:val="24"/>
        </w:rPr>
      </w:pPr>
      <w:r w:rsidRPr="003D1572">
        <w:rPr>
          <w:sz w:val="24"/>
          <w:szCs w:val="24"/>
        </w:rPr>
        <w:t>Word count: 503</w:t>
      </w:r>
      <w:r w:rsidR="00536FA9" w:rsidRPr="003D1572">
        <w:rPr>
          <w:sz w:val="24"/>
          <w:szCs w:val="24"/>
        </w:rPr>
        <w:br w:type="page"/>
      </w:r>
    </w:p>
    <w:p w14:paraId="41CB4E54" w14:textId="77777777" w:rsidR="003D1572" w:rsidRDefault="003D1572">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10D3844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4B7BCFF" w14:textId="77777777" w:rsidR="00957C3C"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p>
    <w:p w14:paraId="0B4137E9" w14:textId="78AF3601"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Achieve medical center (2021). </w:t>
      </w:r>
      <w:r w:rsidRPr="00C34D22">
        <w:rPr>
          <w:rFonts w:asciiTheme="minorHAnsi" w:eastAsiaTheme="minorHAnsi" w:hAnsiTheme="minorHAnsi" w:cstheme="minorHAnsi"/>
          <w:i/>
          <w:iCs/>
          <w:noProof/>
          <w:color w:val="auto"/>
          <w:sz w:val="22"/>
          <w:szCs w:val="22"/>
          <w:lang w:val="en-US" w:eastAsia="en-US"/>
        </w:rPr>
        <w:t xml:space="preserve">How Does Stress Manifest Itself?. </w:t>
      </w:r>
      <w:r w:rsidRPr="00C34D22">
        <w:rPr>
          <w:rFonts w:asciiTheme="minorHAnsi" w:eastAsiaTheme="minorHAnsi" w:hAnsiTheme="minorHAnsi" w:cstheme="minorHAnsi"/>
          <w:noProof/>
          <w:color w:val="auto"/>
          <w:sz w:val="22"/>
          <w:szCs w:val="22"/>
          <w:lang w:val="en-US" w:eastAsia="en-US"/>
        </w:rPr>
        <w:t xml:space="preserve">[Online] </w:t>
      </w:r>
      <w:r w:rsidRPr="00C34D22">
        <w:rPr>
          <w:rFonts w:asciiTheme="minorHAnsi" w:eastAsiaTheme="minorHAnsi" w:hAnsiTheme="minorHAnsi" w:cstheme="minorHAnsi"/>
          <w:noProof/>
          <w:color w:val="auto"/>
          <w:sz w:val="22"/>
          <w:szCs w:val="22"/>
          <w:lang w:val="en-US" w:eastAsia="en-US"/>
        </w:rPr>
        <w:br/>
        <w:t xml:space="preserve">Available at: </w:t>
      </w:r>
      <w:hyperlink r:id="rId20" w:history="1">
        <w:r w:rsidRPr="00925696">
          <w:rPr>
            <w:rStyle w:val="Hyperlink"/>
            <w:rFonts w:asciiTheme="minorHAnsi" w:eastAsiaTheme="minorHAnsi" w:hAnsiTheme="minorHAnsi" w:cstheme="minorHAnsi"/>
            <w:noProof/>
            <w:sz w:val="22"/>
            <w:szCs w:val="22"/>
            <w:lang w:val="en-US" w:eastAsia="en-US"/>
          </w:rPr>
          <w:t>https://www.achievemedicalcenter.com/blog-post/how-does-stress-manifest-itself</w:t>
        </w:r>
      </w:hyperlink>
      <w:r>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lang w:val="en-US" w:eastAsia="en-US"/>
        </w:rPr>
        <w:br/>
        <w:t>(Accessed 29 Septemeber 2022).</w:t>
      </w:r>
    </w:p>
    <w:p w14:paraId="600A8FC1" w14:textId="77777777"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Ahrberg, K. et al. (2012) </w:t>
      </w:r>
      <w:r w:rsidRPr="007C60B0">
        <w:rPr>
          <w:rFonts w:asciiTheme="minorHAnsi" w:eastAsiaTheme="minorHAnsi" w:hAnsiTheme="minorHAnsi" w:cstheme="minorHAnsi"/>
          <w:i/>
          <w:iCs/>
          <w:noProof/>
          <w:color w:val="auto"/>
          <w:sz w:val="22"/>
          <w:szCs w:val="22"/>
          <w:lang w:val="en-US" w:eastAsia="en-US"/>
        </w:rPr>
        <w:t>The interaction between sleep quality and academic performance</w:t>
      </w:r>
      <w:r w:rsidRPr="00C34D22">
        <w:rPr>
          <w:rFonts w:asciiTheme="minorHAnsi" w:eastAsiaTheme="minorHAnsi" w:hAnsiTheme="minorHAnsi" w:cstheme="minorHAnsi"/>
          <w:noProof/>
          <w:color w:val="auto"/>
          <w:sz w:val="22"/>
          <w:szCs w:val="22"/>
          <w:lang w:val="en-US" w:eastAsia="en-US"/>
        </w:rPr>
        <w:t xml:space="preserve">. </w:t>
      </w:r>
      <w:r w:rsidRPr="00C34D22">
        <w:rPr>
          <w:rFonts w:asciiTheme="minorHAnsi" w:eastAsiaTheme="minorHAnsi" w:hAnsiTheme="minorHAnsi" w:cstheme="minorHAnsi"/>
          <w:i/>
          <w:iCs/>
          <w:noProof/>
          <w:color w:val="auto"/>
          <w:sz w:val="22"/>
          <w:szCs w:val="22"/>
          <w:lang w:val="en-US" w:eastAsia="en-US"/>
        </w:rPr>
        <w:t xml:space="preserve">Journal of Psychiatric Research, </w:t>
      </w:r>
      <w:r w:rsidRPr="00C34D22">
        <w:rPr>
          <w:rFonts w:asciiTheme="minorHAnsi" w:eastAsiaTheme="minorHAnsi" w:hAnsiTheme="minorHAnsi" w:cstheme="minorHAnsi"/>
          <w:noProof/>
          <w:color w:val="auto"/>
          <w:sz w:val="22"/>
          <w:szCs w:val="22"/>
          <w:lang w:val="en-US" w:eastAsia="en-US"/>
        </w:rPr>
        <w:t>46(12), pp. Pages 1618-1622.</w:t>
      </w:r>
    </w:p>
    <w:p w14:paraId="1039BC1A" w14:textId="5D27774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Allen, G. and Tunnicliffe, R. (2021). </w:t>
      </w:r>
      <w:r w:rsidRPr="00C34D22">
        <w:rPr>
          <w:rFonts w:asciiTheme="minorHAnsi" w:hAnsiTheme="minorHAnsi" w:cstheme="minorHAnsi"/>
          <w:i/>
          <w:iCs/>
          <w:sz w:val="22"/>
          <w:szCs w:val="22"/>
        </w:rPr>
        <w:t>Drug Crime: Statistics for England and Wales</w:t>
      </w:r>
      <w:r w:rsidRPr="00C34D22">
        <w:rPr>
          <w:rFonts w:asciiTheme="minorHAnsi" w:hAnsiTheme="minorHAnsi" w:cstheme="minorHAnsi"/>
          <w:sz w:val="22"/>
          <w:szCs w:val="22"/>
        </w:rPr>
        <w:t xml:space="preserve">. pp.25–28. Available at: </w:t>
      </w:r>
      <w:hyperlink r:id="rId21" w:history="1">
        <w:r w:rsidRPr="00925696">
          <w:rPr>
            <w:rStyle w:val="Hyperlink"/>
            <w:rFonts w:asciiTheme="minorHAnsi" w:hAnsiTheme="minorHAnsi" w:cstheme="minorHAnsi"/>
            <w:sz w:val="22"/>
            <w:szCs w:val="22"/>
          </w:rPr>
          <w:t>https://researchbriefings.files.parliament.uk/documents/CBP-9039/CBP-9039.pdf</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11F1F4E2" w14:textId="77777777"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Chapman, S. (2018). </w:t>
      </w:r>
      <w:r w:rsidRPr="00C34D22">
        <w:rPr>
          <w:rFonts w:asciiTheme="minorHAnsi" w:hAnsiTheme="minorHAnsi" w:cstheme="minorHAnsi"/>
          <w:i/>
          <w:iCs/>
          <w:sz w:val="22"/>
          <w:szCs w:val="22"/>
        </w:rPr>
        <w:t>National Police Public Order Training Curriculum</w:t>
      </w:r>
      <w:r w:rsidRPr="00C34D22">
        <w:rPr>
          <w:rFonts w:asciiTheme="minorHAnsi" w:hAnsiTheme="minorHAnsi" w:cstheme="minorHAnsi"/>
          <w:sz w:val="22"/>
          <w:szCs w:val="22"/>
        </w:rPr>
        <w:t xml:space="preserve">. College of Policing. Available at: </w:t>
      </w:r>
      <w:hyperlink r:id="rId22" w:history="1">
        <w:r w:rsidRPr="00925696">
          <w:rPr>
            <w:rStyle w:val="Hyperlink"/>
            <w:rFonts w:asciiTheme="minorHAnsi" w:hAnsiTheme="minorHAnsi" w:cstheme="minorHAnsi"/>
            <w:sz w:val="22"/>
            <w:szCs w:val="22"/>
          </w:rPr>
          <w:t>https://www.whatdotheyknow.com/request/482472/response/1166062/attach/4/FOIA%202018%200031%20disclosure%202.pdf?cookie_passthrough=1</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21 Oct. 2022</w:t>
      </w:r>
      <w:r>
        <w:rPr>
          <w:rFonts w:asciiTheme="minorHAnsi" w:hAnsiTheme="minorHAnsi" w:cstheme="minorHAnsi"/>
          <w:sz w:val="22"/>
          <w:szCs w:val="22"/>
        </w:rPr>
        <w:t>)</w:t>
      </w:r>
      <w:r w:rsidRPr="00C34D22">
        <w:rPr>
          <w:rFonts w:asciiTheme="minorHAnsi" w:hAnsiTheme="minorHAnsi" w:cstheme="minorHAnsi"/>
          <w:sz w:val="22"/>
          <w:szCs w:val="22"/>
        </w:rPr>
        <w:t>.</w:t>
      </w:r>
    </w:p>
    <w:p w14:paraId="0A4C47DD" w14:textId="2A5957C0"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College of Policing, (2020). </w:t>
      </w:r>
      <w:r w:rsidRPr="00C34D22">
        <w:rPr>
          <w:rFonts w:asciiTheme="minorHAnsi" w:eastAsiaTheme="minorHAnsi" w:hAnsiTheme="minorHAnsi" w:cstheme="minorHAnsi"/>
          <w:i/>
          <w:iCs/>
          <w:noProof/>
          <w:color w:val="auto"/>
          <w:sz w:val="22"/>
          <w:szCs w:val="22"/>
          <w:lang w:val="en-US" w:eastAsia="en-US"/>
        </w:rPr>
        <w:t>Resources for reflective practice.</w:t>
      </w:r>
      <w:r w:rsidRPr="00C34D22">
        <w:rPr>
          <w:rFonts w:asciiTheme="minorHAnsi" w:eastAsiaTheme="minorHAnsi" w:hAnsiTheme="minorHAnsi" w:cstheme="minorHAnsi"/>
          <w:noProof/>
          <w:color w:val="auto"/>
          <w:sz w:val="22"/>
          <w:szCs w:val="22"/>
          <w:lang w:val="en-US" w:eastAsia="en-US"/>
        </w:rPr>
        <w:br/>
        <w:t xml:space="preserve">Available at: </w:t>
      </w:r>
      <w:hyperlink r:id="rId23" w:history="1">
        <w:r w:rsidRPr="00925696">
          <w:rPr>
            <w:rStyle w:val="Hyperlink"/>
            <w:rFonts w:asciiTheme="minorHAnsi" w:eastAsiaTheme="minorHAnsi" w:hAnsiTheme="minorHAnsi" w:cstheme="minorHAnsi"/>
            <w:noProof/>
            <w:sz w:val="22"/>
            <w:szCs w:val="22"/>
            <w:lang w:val="en-US" w:eastAsia="en-US"/>
          </w:rPr>
          <w:t>https://assets.college.police.uk/s3fs-public/2020-11/Resources_for_reflective_practice_v1_0.pdf</w:t>
        </w:r>
      </w:hyperlink>
      <w:r>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lang w:val="en-US" w:eastAsia="en-US"/>
        </w:rPr>
        <w:br/>
        <w:t>(Accessed 28 Septemeber 2022).</w:t>
      </w:r>
    </w:p>
    <w:p w14:paraId="2B6DA0E2" w14:textId="4D95767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College Of Policing (2014). </w:t>
      </w:r>
      <w:r w:rsidRPr="00C34D22">
        <w:rPr>
          <w:rFonts w:asciiTheme="minorHAnsi" w:hAnsiTheme="minorHAnsi" w:cstheme="minorHAnsi"/>
          <w:i/>
          <w:iCs/>
          <w:sz w:val="22"/>
          <w:szCs w:val="22"/>
        </w:rPr>
        <w:t>National Decision Model</w:t>
      </w:r>
      <w:r w:rsidRPr="00C34D22">
        <w:rPr>
          <w:rFonts w:asciiTheme="minorHAnsi" w:hAnsiTheme="minorHAnsi" w:cstheme="minorHAnsi"/>
          <w:sz w:val="22"/>
          <w:szCs w:val="22"/>
        </w:rPr>
        <w:t xml:space="preserve">. College of Policing. Available at: </w:t>
      </w:r>
      <w:hyperlink r:id="rId24" w:history="1">
        <w:r w:rsidRPr="00925696">
          <w:rPr>
            <w:rStyle w:val="Hyperlink"/>
            <w:rFonts w:asciiTheme="minorHAnsi" w:hAnsiTheme="minorHAnsi" w:cstheme="minorHAnsi"/>
            <w:sz w:val="22"/>
            <w:szCs w:val="22"/>
          </w:rPr>
          <w:t>https://www.college.police.uk/app/national-decision-model/national-decision-model</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21 Oct. 2022</w:t>
      </w:r>
      <w:r>
        <w:rPr>
          <w:rFonts w:asciiTheme="minorHAnsi" w:hAnsiTheme="minorHAnsi" w:cstheme="minorHAnsi"/>
          <w:sz w:val="22"/>
          <w:szCs w:val="22"/>
        </w:rPr>
        <w:t>)</w:t>
      </w:r>
      <w:r w:rsidRPr="00C34D22">
        <w:rPr>
          <w:rFonts w:asciiTheme="minorHAnsi" w:hAnsiTheme="minorHAnsi" w:cstheme="minorHAnsi"/>
          <w:sz w:val="22"/>
          <w:szCs w:val="22"/>
        </w:rPr>
        <w:t>.</w:t>
      </w:r>
    </w:p>
    <w:p w14:paraId="27C1CF67" w14:textId="5760A005"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College of Policing (2014). </w:t>
      </w:r>
      <w:r w:rsidRPr="00C34D22">
        <w:rPr>
          <w:rFonts w:asciiTheme="minorHAnsi" w:hAnsiTheme="minorHAnsi" w:cstheme="minorHAnsi"/>
          <w:i/>
          <w:iCs/>
          <w:sz w:val="22"/>
          <w:szCs w:val="22"/>
        </w:rPr>
        <w:t>Code of Ethics</w:t>
      </w:r>
      <w:r w:rsidRPr="00C34D22">
        <w:rPr>
          <w:rFonts w:asciiTheme="minorHAnsi" w:hAnsiTheme="minorHAnsi" w:cstheme="minorHAnsi"/>
          <w:sz w:val="22"/>
          <w:szCs w:val="22"/>
        </w:rPr>
        <w:t xml:space="preserve">. College of Policing. Available at: </w:t>
      </w:r>
      <w:hyperlink r:id="rId25" w:history="1">
        <w:r w:rsidRPr="00925696">
          <w:rPr>
            <w:rStyle w:val="Hyperlink"/>
            <w:rFonts w:asciiTheme="minorHAnsi" w:hAnsiTheme="minorHAnsi" w:cstheme="minorHAnsi"/>
            <w:sz w:val="22"/>
            <w:szCs w:val="22"/>
          </w:rPr>
          <w:t>https://www.college.police.uk/ethics/code-of-ethics</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513E58F7" w14:textId="5EB8ABF0"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College of Policing (2020). </w:t>
      </w:r>
      <w:r w:rsidRPr="00C34D22">
        <w:rPr>
          <w:rFonts w:asciiTheme="minorHAnsi" w:hAnsiTheme="minorHAnsi" w:cstheme="minorHAnsi"/>
          <w:i/>
          <w:iCs/>
          <w:sz w:val="22"/>
          <w:szCs w:val="22"/>
        </w:rPr>
        <w:t>Conflict management skills</w:t>
      </w:r>
      <w:r w:rsidRPr="00C34D22">
        <w:rPr>
          <w:rFonts w:asciiTheme="minorHAnsi" w:hAnsiTheme="minorHAnsi" w:cstheme="minorHAnsi"/>
          <w:sz w:val="22"/>
          <w:szCs w:val="22"/>
        </w:rPr>
        <w:t xml:space="preserve">. College of Policing. Available at: </w:t>
      </w:r>
      <w:hyperlink r:id="rId26" w:history="1">
        <w:r w:rsidRPr="00925696">
          <w:rPr>
            <w:rStyle w:val="Hyperlink"/>
            <w:rFonts w:asciiTheme="minorHAnsi" w:hAnsiTheme="minorHAnsi" w:cstheme="minorHAnsi"/>
            <w:sz w:val="22"/>
            <w:szCs w:val="22"/>
          </w:rPr>
          <w:t>https://www.college.police.uk/guidance/conflict-management/conflict-management-skills</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21 Oct. 2022</w:t>
      </w:r>
      <w:r>
        <w:rPr>
          <w:rFonts w:asciiTheme="minorHAnsi" w:hAnsiTheme="minorHAnsi" w:cstheme="minorHAnsi"/>
          <w:sz w:val="22"/>
          <w:szCs w:val="22"/>
        </w:rPr>
        <w:t>)</w:t>
      </w:r>
      <w:r w:rsidRPr="00C34D22">
        <w:rPr>
          <w:rFonts w:asciiTheme="minorHAnsi" w:hAnsiTheme="minorHAnsi" w:cstheme="minorHAnsi"/>
          <w:sz w:val="22"/>
          <w:szCs w:val="22"/>
        </w:rPr>
        <w:t>.</w:t>
      </w:r>
    </w:p>
    <w:p w14:paraId="5FE7DE8F" w14:textId="43AB3C4A"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lastRenderedPageBreak/>
        <w:t xml:space="preserve">College of Policing (2020). </w:t>
      </w:r>
      <w:r w:rsidRPr="00C34D22">
        <w:rPr>
          <w:rFonts w:asciiTheme="minorHAnsi" w:hAnsiTheme="minorHAnsi" w:cstheme="minorHAnsi"/>
          <w:i/>
          <w:iCs/>
          <w:sz w:val="22"/>
          <w:szCs w:val="22"/>
        </w:rPr>
        <w:t>New national hate crime guidance published</w:t>
      </w:r>
      <w:r w:rsidRPr="00C34D22">
        <w:rPr>
          <w:rFonts w:asciiTheme="minorHAnsi" w:hAnsiTheme="minorHAnsi" w:cstheme="minorHAnsi"/>
          <w:sz w:val="22"/>
          <w:szCs w:val="22"/>
        </w:rPr>
        <w:t xml:space="preserve">. College of Policing. Available at: </w:t>
      </w:r>
      <w:hyperlink r:id="rId27" w:history="1">
        <w:r w:rsidRPr="00925696">
          <w:rPr>
            <w:rStyle w:val="Hyperlink"/>
            <w:rFonts w:asciiTheme="minorHAnsi" w:hAnsiTheme="minorHAnsi" w:cstheme="minorHAnsi"/>
            <w:sz w:val="22"/>
            <w:szCs w:val="22"/>
          </w:rPr>
          <w:t>https://www.college.police.uk/article/new-national-hate-crime-guidance-published</w:t>
        </w:r>
      </w:hyperlink>
      <w:r>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22 Oct. 2022</w:t>
      </w:r>
      <w:r>
        <w:rPr>
          <w:rFonts w:asciiTheme="minorHAnsi" w:hAnsiTheme="minorHAnsi" w:cstheme="minorHAnsi"/>
          <w:sz w:val="22"/>
          <w:szCs w:val="22"/>
        </w:rPr>
        <w:t>)</w:t>
      </w:r>
      <w:r w:rsidRPr="00C34D22">
        <w:rPr>
          <w:rFonts w:asciiTheme="minorHAnsi" w:hAnsiTheme="minorHAnsi" w:cstheme="minorHAnsi"/>
          <w:sz w:val="22"/>
          <w:szCs w:val="22"/>
        </w:rPr>
        <w:t>.</w:t>
      </w:r>
    </w:p>
    <w:p w14:paraId="5D520431" w14:textId="3C79522F"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College of Policing (2021). </w:t>
      </w:r>
      <w:r w:rsidRPr="00C34D22">
        <w:rPr>
          <w:rFonts w:asciiTheme="minorHAnsi" w:hAnsiTheme="minorHAnsi" w:cstheme="minorHAnsi"/>
          <w:i/>
          <w:iCs/>
          <w:sz w:val="22"/>
          <w:szCs w:val="22"/>
        </w:rPr>
        <w:t>Victims’ Code for policing</w:t>
      </w:r>
      <w:r w:rsidRPr="00C34D22">
        <w:rPr>
          <w:rFonts w:asciiTheme="minorHAnsi" w:hAnsiTheme="minorHAnsi" w:cstheme="minorHAnsi"/>
          <w:sz w:val="22"/>
          <w:szCs w:val="22"/>
        </w:rPr>
        <w:t xml:space="preserve">. College of Policing. Available at: </w:t>
      </w:r>
      <w:hyperlink r:id="rId28" w:history="1">
        <w:r w:rsidRPr="00925696">
          <w:rPr>
            <w:rStyle w:val="Hyperlink"/>
            <w:rFonts w:asciiTheme="minorHAnsi" w:hAnsiTheme="minorHAnsi" w:cstheme="minorHAnsi"/>
            <w:sz w:val="22"/>
            <w:szCs w:val="22"/>
          </w:rPr>
          <w:t>https://www.college.police.uk/guidance/victims-code/victims-rights-policing</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2E77A963" w14:textId="663ACB43"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College of Policing (2022). </w:t>
      </w:r>
      <w:r w:rsidRPr="00C34D22">
        <w:rPr>
          <w:rFonts w:asciiTheme="minorHAnsi" w:hAnsiTheme="minorHAnsi" w:cstheme="minorHAnsi"/>
          <w:i/>
          <w:iCs/>
          <w:sz w:val="22"/>
          <w:szCs w:val="22"/>
        </w:rPr>
        <w:t>Police use of force</w:t>
      </w:r>
      <w:r w:rsidRPr="00C34D22">
        <w:rPr>
          <w:rFonts w:asciiTheme="minorHAnsi" w:hAnsiTheme="minorHAnsi" w:cstheme="minorHAnsi"/>
          <w:sz w:val="22"/>
          <w:szCs w:val="22"/>
        </w:rPr>
        <w:t xml:space="preserve">. [online] College of Policing. Available at: </w:t>
      </w:r>
      <w:hyperlink r:id="rId29" w:history="1">
        <w:r w:rsidRPr="00925696">
          <w:rPr>
            <w:rStyle w:val="Hyperlink"/>
            <w:rFonts w:asciiTheme="minorHAnsi" w:hAnsiTheme="minorHAnsi" w:cstheme="minorHAnsi"/>
            <w:sz w:val="22"/>
            <w:szCs w:val="22"/>
          </w:rPr>
          <w:t>https://www.college.police.uk/app/public-order/core-principles-and-legislation/police-use-force</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23 Oct. 2022</w:t>
      </w:r>
      <w:r>
        <w:rPr>
          <w:rFonts w:asciiTheme="minorHAnsi" w:hAnsiTheme="minorHAnsi" w:cstheme="minorHAnsi"/>
          <w:sz w:val="22"/>
          <w:szCs w:val="22"/>
        </w:rPr>
        <w:t>)</w:t>
      </w:r>
      <w:r w:rsidRPr="00C34D22">
        <w:rPr>
          <w:rFonts w:asciiTheme="minorHAnsi" w:hAnsiTheme="minorHAnsi" w:cstheme="minorHAnsi"/>
          <w:sz w:val="22"/>
          <w:szCs w:val="22"/>
        </w:rPr>
        <w:t>.</w:t>
      </w:r>
    </w:p>
    <w:p w14:paraId="3FAA0FC9" w14:textId="01D93C44"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Crown Prosecution Service (2021). </w:t>
      </w:r>
      <w:r w:rsidRPr="00C34D22">
        <w:rPr>
          <w:rFonts w:asciiTheme="minorHAnsi" w:hAnsiTheme="minorHAnsi" w:cstheme="minorHAnsi"/>
          <w:i/>
          <w:iCs/>
          <w:sz w:val="22"/>
          <w:szCs w:val="22"/>
        </w:rPr>
        <w:t>Drug Offences | The Crown Prosecution Service</w:t>
      </w:r>
      <w:r>
        <w:rPr>
          <w:rFonts w:asciiTheme="minorHAnsi" w:hAnsiTheme="minorHAnsi" w:cstheme="minorHAnsi"/>
          <w:sz w:val="22"/>
          <w:szCs w:val="22"/>
        </w:rPr>
        <w:t xml:space="preserve"> </w:t>
      </w:r>
      <w:r w:rsidRPr="00C34D22">
        <w:rPr>
          <w:rFonts w:asciiTheme="minorHAnsi" w:hAnsiTheme="minorHAnsi" w:cstheme="minorHAnsi"/>
          <w:sz w:val="22"/>
          <w:szCs w:val="22"/>
        </w:rPr>
        <w:t xml:space="preserve">www.cps.gov.uk. Available at: </w:t>
      </w:r>
      <w:hyperlink r:id="rId30" w:history="1">
        <w:r w:rsidRPr="00925696">
          <w:rPr>
            <w:rStyle w:val="Hyperlink"/>
            <w:rFonts w:asciiTheme="minorHAnsi" w:hAnsiTheme="minorHAnsi" w:cstheme="minorHAnsi"/>
            <w:sz w:val="22"/>
            <w:szCs w:val="22"/>
          </w:rPr>
          <w:t>https://www.cps.gov.uk/legal-guidance/drug-offences#:~:text=Possession%20with%20intent%20to%20supply</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7A2C5D2B" w14:textId="17295AEF"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Crown Prosecution Service (2022). </w:t>
      </w:r>
      <w:r w:rsidRPr="00C34D22">
        <w:rPr>
          <w:rFonts w:asciiTheme="minorHAnsi" w:hAnsiTheme="minorHAnsi" w:cstheme="minorHAnsi"/>
          <w:i/>
          <w:iCs/>
          <w:sz w:val="22"/>
          <w:szCs w:val="22"/>
        </w:rPr>
        <w:t>Disclosure Manual: Chapter 4 - Relevance, Recording and Retention | The Crown Prosecution Service</w:t>
      </w:r>
      <w:r w:rsidRPr="00C34D22">
        <w:rPr>
          <w:rFonts w:asciiTheme="minorHAnsi" w:hAnsiTheme="minorHAnsi" w:cstheme="minorHAnsi"/>
          <w:sz w:val="22"/>
          <w:szCs w:val="22"/>
        </w:rPr>
        <w:t xml:space="preserve">. [online] www.cps.gov.uk. Available at: </w:t>
      </w:r>
      <w:hyperlink r:id="rId31" w:history="1">
        <w:r w:rsidRPr="00925696">
          <w:rPr>
            <w:rStyle w:val="Hyperlink"/>
            <w:rFonts w:asciiTheme="minorHAnsi" w:hAnsiTheme="minorHAnsi" w:cstheme="minorHAnsi"/>
            <w:sz w:val="22"/>
            <w:szCs w:val="22"/>
          </w:rPr>
          <w:t>https://www.cps.gov.uk/legal-guidance/disclosure-manual-chapter-4-relevance-recording-and-retention</w:t>
        </w:r>
      </w:hyperlink>
      <w:r>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12FF41F2" w14:textId="77777777"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Ellis, P. (2020) </w:t>
      </w:r>
      <w:r w:rsidRPr="00C34D22">
        <w:rPr>
          <w:rFonts w:asciiTheme="minorHAnsi" w:eastAsiaTheme="minorHAnsi" w:hAnsiTheme="minorHAnsi" w:cstheme="minorHAnsi"/>
          <w:i/>
          <w:iCs/>
          <w:noProof/>
          <w:color w:val="auto"/>
          <w:sz w:val="22"/>
          <w:szCs w:val="22"/>
          <w:lang w:val="en-US" w:eastAsia="en-US"/>
        </w:rPr>
        <w:t xml:space="preserve">How Getting Shredded Helped This Trans Man Find His Confidence </w:t>
      </w:r>
      <w:r w:rsidRPr="00C34D22">
        <w:rPr>
          <w:rFonts w:asciiTheme="minorHAnsi" w:eastAsiaTheme="minorHAnsi" w:hAnsiTheme="minorHAnsi" w:cstheme="minorHAnsi"/>
          <w:noProof/>
          <w:color w:val="auto"/>
          <w:sz w:val="22"/>
          <w:szCs w:val="22"/>
          <w:lang w:val="en-US" w:eastAsia="en-US"/>
        </w:rPr>
        <w:t>[Interview] (25 January 2020).</w:t>
      </w:r>
    </w:p>
    <w:p w14:paraId="65919630" w14:textId="53F50F2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Equality and Human Rights Commission (2010). </w:t>
      </w:r>
      <w:r w:rsidRPr="00C34D22">
        <w:rPr>
          <w:rFonts w:asciiTheme="minorHAnsi" w:hAnsiTheme="minorHAnsi" w:cstheme="minorHAnsi"/>
          <w:i/>
          <w:iCs/>
          <w:sz w:val="22"/>
          <w:szCs w:val="22"/>
        </w:rPr>
        <w:t>Article 5: Right to liberty and security | Equality and Human Rights Commission</w:t>
      </w:r>
      <w:r w:rsidRPr="00C34D22">
        <w:rPr>
          <w:rFonts w:asciiTheme="minorHAnsi" w:hAnsiTheme="minorHAnsi" w:cstheme="minorHAnsi"/>
          <w:sz w:val="22"/>
          <w:szCs w:val="22"/>
        </w:rPr>
        <w:t xml:space="preserve">. [online] Equalityhumanrights.com. Available at: </w:t>
      </w:r>
      <w:hyperlink r:id="rId32" w:history="1">
        <w:r w:rsidR="00AE2DD7" w:rsidRPr="00925696">
          <w:rPr>
            <w:rStyle w:val="Hyperlink"/>
            <w:rFonts w:asciiTheme="minorHAnsi" w:hAnsiTheme="minorHAnsi" w:cstheme="minorHAnsi"/>
            <w:sz w:val="22"/>
            <w:szCs w:val="22"/>
          </w:rPr>
          <w:t>https://www.equalityhumanrights.com/en/human-rights-act/article-5-right-liberty-and-security</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21 Oct. 2022</w:t>
      </w:r>
      <w:r>
        <w:rPr>
          <w:rFonts w:asciiTheme="minorHAnsi" w:hAnsiTheme="minorHAnsi" w:cstheme="minorHAnsi"/>
          <w:sz w:val="22"/>
          <w:szCs w:val="22"/>
        </w:rPr>
        <w:t>)</w:t>
      </w:r>
      <w:r w:rsidRPr="00C34D22">
        <w:rPr>
          <w:rFonts w:asciiTheme="minorHAnsi" w:hAnsiTheme="minorHAnsi" w:cstheme="minorHAnsi"/>
          <w:sz w:val="22"/>
          <w:szCs w:val="22"/>
        </w:rPr>
        <w:t>.</w:t>
      </w:r>
    </w:p>
    <w:p w14:paraId="1D3B8EE6" w14:textId="71FFC7DD"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Franklin, S. (2021). </w:t>
      </w:r>
      <w:r w:rsidRPr="00C34D22">
        <w:rPr>
          <w:rFonts w:asciiTheme="minorHAnsi" w:hAnsiTheme="minorHAnsi" w:cstheme="minorHAnsi"/>
          <w:i/>
          <w:iCs/>
          <w:sz w:val="22"/>
          <w:szCs w:val="22"/>
        </w:rPr>
        <w:t>ADULTS AT RISK</w:t>
      </w:r>
      <w:r w:rsidRPr="00C34D22">
        <w:rPr>
          <w:rFonts w:asciiTheme="minorHAnsi" w:hAnsiTheme="minorHAnsi" w:cstheme="minorHAnsi"/>
          <w:sz w:val="22"/>
          <w:szCs w:val="22"/>
        </w:rPr>
        <w:t xml:space="preserve">. Available at: </w:t>
      </w:r>
      <w:hyperlink r:id="rId33" w:history="1">
        <w:r w:rsidR="00AE2DD7" w:rsidRPr="00925696">
          <w:rPr>
            <w:rStyle w:val="Hyperlink"/>
            <w:rFonts w:asciiTheme="minorHAnsi" w:hAnsiTheme="minorHAnsi" w:cstheme="minorHAnsi"/>
            <w:sz w:val="22"/>
            <w:szCs w:val="22"/>
          </w:rPr>
          <w:t>https://www.south-wales.police.uk/SysSiteAssets/media/downloads/south-wales/about-us/policies-and-procedures/english/adults-at-risk---english.pdf</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10E5D0C5" w14:textId="1B6DC6C8"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Fry, A. (2022) </w:t>
      </w:r>
      <w:r w:rsidRPr="00C34D22">
        <w:rPr>
          <w:rFonts w:asciiTheme="minorHAnsi" w:eastAsiaTheme="minorHAnsi" w:hAnsiTheme="minorHAnsi" w:cstheme="minorHAnsi"/>
          <w:i/>
          <w:iCs/>
          <w:noProof/>
          <w:color w:val="auto"/>
          <w:sz w:val="22"/>
          <w:szCs w:val="22"/>
          <w:lang w:val="en-US" w:eastAsia="en-US"/>
        </w:rPr>
        <w:t>How To Make Your Room Dark.</w:t>
      </w:r>
      <w:r w:rsidRPr="00C34D22">
        <w:rPr>
          <w:rFonts w:asciiTheme="minorHAnsi" w:eastAsiaTheme="minorHAnsi" w:hAnsiTheme="minorHAnsi" w:cstheme="minorHAnsi"/>
          <w:noProof/>
          <w:color w:val="auto"/>
          <w:sz w:val="22"/>
          <w:szCs w:val="22"/>
          <w:lang w:val="en-US" w:eastAsia="en-US"/>
        </w:rPr>
        <w:t xml:space="preserve"> </w:t>
      </w:r>
      <w:r w:rsidRPr="00C34D22">
        <w:rPr>
          <w:rFonts w:asciiTheme="minorHAnsi" w:eastAsiaTheme="minorHAnsi" w:hAnsiTheme="minorHAnsi" w:cstheme="minorHAnsi"/>
          <w:noProof/>
          <w:color w:val="auto"/>
          <w:sz w:val="22"/>
          <w:szCs w:val="22"/>
          <w:lang w:val="en-US" w:eastAsia="en-US"/>
        </w:rPr>
        <w:br/>
        <w:t xml:space="preserve">Available at: </w:t>
      </w:r>
      <w:hyperlink r:id="rId34" w:history="1">
        <w:r w:rsidR="00AE2DD7" w:rsidRPr="00925696">
          <w:rPr>
            <w:rStyle w:val="Hyperlink"/>
            <w:rFonts w:asciiTheme="minorHAnsi" w:eastAsiaTheme="minorHAnsi" w:hAnsiTheme="minorHAnsi" w:cstheme="minorHAnsi"/>
            <w:noProof/>
            <w:sz w:val="22"/>
            <w:szCs w:val="22"/>
            <w:lang w:val="en-US" w:eastAsia="en-US"/>
          </w:rPr>
          <w:t>https://www.sleepfoundation.org/bedroom-environment/making-your-room-dark</w:t>
        </w:r>
      </w:hyperlink>
      <w:r w:rsidR="00AE2DD7">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lang w:val="en-US" w:eastAsia="en-US"/>
        </w:rPr>
        <w:br/>
        <w:t>(Accessed 29 September 2022).</w:t>
      </w:r>
    </w:p>
    <w:p w14:paraId="5B86C66B" w14:textId="77777777"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C34D22">
        <w:rPr>
          <w:rFonts w:asciiTheme="minorHAnsi" w:eastAsiaTheme="minorHAnsi" w:hAnsiTheme="minorHAnsi" w:cstheme="minorHAnsi"/>
          <w:color w:val="auto"/>
          <w:sz w:val="22"/>
          <w:szCs w:val="22"/>
          <w:lang w:eastAsia="en-US"/>
        </w:rPr>
        <w:t xml:space="preserve">Folkman, S. (2020) Stress: Appraisal and Coping. </w:t>
      </w:r>
      <w:proofErr w:type="spellStart"/>
      <w:r w:rsidRPr="00C34D22">
        <w:rPr>
          <w:rFonts w:asciiTheme="minorHAnsi" w:eastAsiaTheme="minorHAnsi" w:hAnsiTheme="minorHAnsi" w:cstheme="minorHAnsi"/>
          <w:color w:val="auto"/>
          <w:sz w:val="22"/>
          <w:szCs w:val="22"/>
          <w:lang w:eastAsia="en-US"/>
        </w:rPr>
        <w:t>Encyclopedia</w:t>
      </w:r>
      <w:proofErr w:type="spellEnd"/>
      <w:r w:rsidRPr="00C34D22">
        <w:rPr>
          <w:rFonts w:asciiTheme="minorHAnsi" w:eastAsiaTheme="minorHAnsi" w:hAnsiTheme="minorHAnsi" w:cstheme="minorHAnsi"/>
          <w:color w:val="auto"/>
          <w:sz w:val="22"/>
          <w:szCs w:val="22"/>
          <w:lang w:eastAsia="en-US"/>
        </w:rPr>
        <w:t xml:space="preserve"> of </w:t>
      </w:r>
      <w:proofErr w:type="spellStart"/>
      <w:r w:rsidRPr="00C34D22">
        <w:rPr>
          <w:rFonts w:asciiTheme="minorHAnsi" w:eastAsiaTheme="minorHAnsi" w:hAnsiTheme="minorHAnsi" w:cstheme="minorHAnsi"/>
          <w:color w:val="auto"/>
          <w:sz w:val="22"/>
          <w:szCs w:val="22"/>
          <w:lang w:eastAsia="en-US"/>
        </w:rPr>
        <w:t>Behavioral</w:t>
      </w:r>
      <w:proofErr w:type="spellEnd"/>
      <w:r w:rsidRPr="00C34D22">
        <w:rPr>
          <w:rFonts w:asciiTheme="minorHAnsi" w:eastAsiaTheme="minorHAnsi" w:hAnsiTheme="minorHAnsi" w:cstheme="minorHAnsi"/>
          <w:color w:val="auto"/>
          <w:sz w:val="22"/>
          <w:szCs w:val="22"/>
          <w:lang w:eastAsia="en-US"/>
        </w:rPr>
        <w:t xml:space="preserve"> </w:t>
      </w:r>
      <w:proofErr w:type="gramStart"/>
      <w:r w:rsidRPr="00C34D22">
        <w:rPr>
          <w:rFonts w:asciiTheme="minorHAnsi" w:eastAsiaTheme="minorHAnsi" w:hAnsiTheme="minorHAnsi" w:cstheme="minorHAnsi"/>
          <w:color w:val="auto"/>
          <w:sz w:val="22"/>
          <w:szCs w:val="22"/>
          <w:lang w:eastAsia="en-US"/>
        </w:rPr>
        <w:t>Medicine ,</w:t>
      </w:r>
      <w:proofErr w:type="gramEnd"/>
      <w:r w:rsidRPr="00C34D22">
        <w:rPr>
          <w:rFonts w:asciiTheme="minorHAnsi" w:eastAsiaTheme="minorHAnsi" w:hAnsiTheme="minorHAnsi" w:cstheme="minorHAnsi"/>
          <w:color w:val="auto"/>
          <w:sz w:val="22"/>
          <w:szCs w:val="22"/>
          <w:lang w:eastAsia="en-US"/>
        </w:rPr>
        <w:t xml:space="preserve"> p. 2177–2179</w:t>
      </w:r>
    </w:p>
    <w:p w14:paraId="5C76E131" w14:textId="77777777" w:rsidR="00957C3C" w:rsidRDefault="00957C3C" w:rsidP="00957C3C">
      <w:pPr>
        <w:pStyle w:val="NormalWeb"/>
        <w:spacing w:before="0" w:beforeAutospacing="0" w:after="240" w:afterAutospacing="0" w:line="360" w:lineRule="auto"/>
        <w:rPr>
          <w:rFonts w:asciiTheme="minorHAnsi" w:hAnsiTheme="minorHAnsi" w:cstheme="minorHAnsi"/>
          <w:sz w:val="22"/>
          <w:szCs w:val="22"/>
        </w:rPr>
      </w:pPr>
    </w:p>
    <w:p w14:paraId="57AA0B56" w14:textId="77777777"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lastRenderedPageBreak/>
        <w:t xml:space="preserve">Gibbs, G. (1988). </w:t>
      </w:r>
      <w:r w:rsidRPr="00C34D22">
        <w:rPr>
          <w:rFonts w:asciiTheme="minorHAnsi" w:hAnsiTheme="minorHAnsi" w:cstheme="minorHAnsi"/>
          <w:i/>
          <w:iCs/>
          <w:sz w:val="22"/>
          <w:szCs w:val="22"/>
        </w:rPr>
        <w:t>Learning by Doing: A Guide to Teaching and Learning Methods</w:t>
      </w:r>
      <w:r w:rsidRPr="00C34D22">
        <w:rPr>
          <w:rFonts w:asciiTheme="minorHAnsi" w:hAnsiTheme="minorHAnsi" w:cstheme="minorHAnsi"/>
          <w:sz w:val="22"/>
          <w:szCs w:val="22"/>
        </w:rPr>
        <w:t>. London: Further Education Unit.</w:t>
      </w:r>
    </w:p>
    <w:p w14:paraId="3181C9B8" w14:textId="77777777"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Herrman, H. et al. (2011)  What is Resilience?. </w:t>
      </w:r>
      <w:r w:rsidRPr="00C34D22">
        <w:rPr>
          <w:rFonts w:asciiTheme="minorHAnsi" w:eastAsiaTheme="minorHAnsi" w:hAnsiTheme="minorHAnsi" w:cstheme="minorHAnsi"/>
          <w:i/>
          <w:iCs/>
          <w:noProof/>
          <w:color w:val="auto"/>
          <w:sz w:val="22"/>
          <w:szCs w:val="22"/>
          <w:lang w:val="en-US" w:eastAsia="en-US"/>
        </w:rPr>
        <w:t xml:space="preserve">The Canadian Journal of Psychiatry, </w:t>
      </w:r>
      <w:r w:rsidRPr="00C34D22">
        <w:rPr>
          <w:rFonts w:asciiTheme="minorHAnsi" w:eastAsiaTheme="minorHAnsi" w:hAnsiTheme="minorHAnsi" w:cstheme="minorHAnsi"/>
          <w:noProof/>
          <w:color w:val="auto"/>
          <w:sz w:val="22"/>
          <w:szCs w:val="22"/>
          <w:lang w:val="en-US" w:eastAsia="en-US"/>
        </w:rPr>
        <w:t>56(5), pp. 258 - 265.</w:t>
      </w:r>
    </w:p>
    <w:p w14:paraId="1F470277" w14:textId="118DE5B7"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Ho-Won Jeong (2008). </w:t>
      </w:r>
      <w:r w:rsidRPr="00C34D22">
        <w:rPr>
          <w:rFonts w:asciiTheme="minorHAnsi" w:hAnsiTheme="minorHAnsi" w:cstheme="minorHAnsi"/>
          <w:i/>
          <w:iCs/>
          <w:sz w:val="22"/>
          <w:szCs w:val="22"/>
        </w:rPr>
        <w:t>Understanding conflict and conflict analysis</w:t>
      </w:r>
      <w:r w:rsidRPr="00C34D22">
        <w:rPr>
          <w:rFonts w:asciiTheme="minorHAnsi" w:hAnsiTheme="minorHAnsi" w:cstheme="minorHAnsi"/>
          <w:sz w:val="22"/>
          <w:szCs w:val="22"/>
        </w:rPr>
        <w:t xml:space="preserve">. [online] Los Angeles: Sage, pp.5–7. Available at: </w:t>
      </w:r>
      <w:hyperlink r:id="rId35" w:history="1">
        <w:r w:rsidR="00AE2DD7" w:rsidRPr="00925696">
          <w:rPr>
            <w:rStyle w:val="Hyperlink"/>
            <w:rFonts w:asciiTheme="minorHAnsi" w:hAnsiTheme="minorHAnsi" w:cstheme="minorHAnsi"/>
            <w:sz w:val="22"/>
            <w:szCs w:val="22"/>
          </w:rPr>
          <w:t>https://books.google.co.uk/books?hl=en&amp;lr=&amp;id=6tBl2nylydAC&amp;oi=fnd&amp;pg=PP2&amp;dq=conflict&amp;ots=cXcD5e6Y2i&amp;sig=NKNk47knYseZHnCK0VFZmBN9pWI&amp;redir_esc=y#v=onepage&amp;q=conflict&amp;f=false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12 Oct. 2022</w:t>
      </w:r>
      <w:r>
        <w:rPr>
          <w:rFonts w:asciiTheme="minorHAnsi" w:hAnsiTheme="minorHAnsi" w:cstheme="minorHAnsi"/>
          <w:sz w:val="22"/>
          <w:szCs w:val="22"/>
        </w:rPr>
        <w:t>)</w:t>
      </w:r>
      <w:r w:rsidRPr="00C34D22">
        <w:rPr>
          <w:rFonts w:asciiTheme="minorHAnsi" w:hAnsiTheme="minorHAnsi" w:cstheme="minorHAnsi"/>
          <w:sz w:val="22"/>
          <w:szCs w:val="22"/>
        </w:rPr>
        <w:t>.</w:t>
      </w:r>
    </w:p>
    <w:p w14:paraId="023654EB" w14:textId="19A492AD"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Home Office (2020). </w:t>
      </w:r>
      <w:r w:rsidRPr="00C34D22">
        <w:rPr>
          <w:rFonts w:asciiTheme="minorHAnsi" w:hAnsiTheme="minorHAnsi" w:cstheme="minorHAnsi"/>
          <w:i/>
          <w:iCs/>
          <w:sz w:val="22"/>
          <w:szCs w:val="22"/>
        </w:rPr>
        <w:t xml:space="preserve">Hate crime, </w:t>
      </w:r>
      <w:proofErr w:type="gramStart"/>
      <w:r w:rsidRPr="00C34D22">
        <w:rPr>
          <w:rFonts w:asciiTheme="minorHAnsi" w:hAnsiTheme="minorHAnsi" w:cstheme="minorHAnsi"/>
          <w:i/>
          <w:iCs/>
          <w:sz w:val="22"/>
          <w:szCs w:val="22"/>
        </w:rPr>
        <w:t>England</w:t>
      </w:r>
      <w:proofErr w:type="gramEnd"/>
      <w:r w:rsidRPr="00C34D22">
        <w:rPr>
          <w:rFonts w:asciiTheme="minorHAnsi" w:hAnsiTheme="minorHAnsi" w:cstheme="minorHAnsi"/>
          <w:i/>
          <w:iCs/>
          <w:sz w:val="22"/>
          <w:szCs w:val="22"/>
        </w:rPr>
        <w:t xml:space="preserve"> and Wales, 2019 to 2020</w:t>
      </w:r>
      <w:r w:rsidRPr="00C34D22">
        <w:rPr>
          <w:rFonts w:asciiTheme="minorHAnsi" w:hAnsiTheme="minorHAnsi" w:cstheme="minorHAnsi"/>
          <w:sz w:val="22"/>
          <w:szCs w:val="22"/>
        </w:rPr>
        <w:t xml:space="preserve">. [online] </w:t>
      </w:r>
      <w:r w:rsidRPr="00C34D22">
        <w:rPr>
          <w:rFonts w:asciiTheme="minorHAnsi" w:hAnsiTheme="minorHAnsi" w:cstheme="minorHAnsi"/>
          <w:i/>
          <w:iCs/>
          <w:sz w:val="22"/>
          <w:szCs w:val="22"/>
        </w:rPr>
        <w:t>GOV.UK</w:t>
      </w:r>
      <w:r w:rsidRPr="00C34D22">
        <w:rPr>
          <w:rFonts w:asciiTheme="minorHAnsi" w:hAnsiTheme="minorHAnsi" w:cstheme="minorHAnsi"/>
          <w:sz w:val="22"/>
          <w:szCs w:val="22"/>
        </w:rPr>
        <w:t xml:space="preserve">. Available at: </w:t>
      </w:r>
      <w:hyperlink r:id="rId36" w:history="1">
        <w:r w:rsidR="00AE2DD7" w:rsidRPr="00925696">
          <w:rPr>
            <w:rStyle w:val="Hyperlink"/>
            <w:rFonts w:asciiTheme="minorHAnsi" w:hAnsiTheme="minorHAnsi" w:cstheme="minorHAnsi"/>
            <w:sz w:val="22"/>
            <w:szCs w:val="22"/>
          </w:rPr>
          <w:t>https://www.gov.uk/government/statistics/hate-crime-england-and-wales-2019-to-2020/hate-crime-england-and-wales-2019-to-2020</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79646BFF" w14:textId="533BBEEB"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Horsefield, O. (2021). </w:t>
      </w:r>
      <w:r w:rsidRPr="00C34D22">
        <w:rPr>
          <w:rFonts w:asciiTheme="minorHAnsi" w:hAnsiTheme="minorHAnsi" w:cstheme="minorHAnsi"/>
          <w:i/>
          <w:iCs/>
          <w:sz w:val="22"/>
          <w:szCs w:val="22"/>
        </w:rPr>
        <w:t>Alcohol-related violence: a summary of research presented at the 2021 British Society of Criminology conference</w:t>
      </w:r>
      <w:r w:rsidRPr="00C34D22">
        <w:rPr>
          <w:rFonts w:asciiTheme="minorHAnsi" w:hAnsiTheme="minorHAnsi" w:cstheme="minorHAnsi"/>
          <w:sz w:val="22"/>
          <w:szCs w:val="22"/>
        </w:rPr>
        <w:t xml:space="preserve">. [online] Institute of Alcohol Studies. Available at: </w:t>
      </w:r>
      <w:hyperlink r:id="rId37" w:history="1">
        <w:r w:rsidR="00AE2DD7" w:rsidRPr="00925696">
          <w:rPr>
            <w:rStyle w:val="Hyperlink"/>
            <w:rFonts w:asciiTheme="minorHAnsi" w:hAnsiTheme="minorHAnsi" w:cstheme="minorHAnsi"/>
            <w:sz w:val="22"/>
            <w:szCs w:val="22"/>
          </w:rPr>
          <w:t>https://www.ias.org.uk/2021/09/01/alcohol-related-violence-a-summary-of-research-presented-at-the-2021-british-society-of-criminology-conference/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13 Oct. 2022</w:t>
      </w:r>
      <w:r>
        <w:rPr>
          <w:rFonts w:asciiTheme="minorHAnsi" w:hAnsiTheme="minorHAnsi" w:cstheme="minorHAnsi"/>
          <w:sz w:val="22"/>
          <w:szCs w:val="22"/>
        </w:rPr>
        <w:t>)</w:t>
      </w:r>
      <w:r w:rsidRPr="00C34D22">
        <w:rPr>
          <w:rFonts w:asciiTheme="minorHAnsi" w:hAnsiTheme="minorHAnsi" w:cstheme="minorHAnsi"/>
          <w:sz w:val="22"/>
          <w:szCs w:val="22"/>
        </w:rPr>
        <w:t>.</w:t>
      </w:r>
    </w:p>
    <w:p w14:paraId="1C90116C" w14:textId="0B9DF3F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Kilgallon, M. and Wright, M. (2022). </w:t>
      </w:r>
      <w:r w:rsidRPr="00C34D22">
        <w:rPr>
          <w:rFonts w:asciiTheme="minorHAnsi" w:hAnsiTheme="minorHAnsi" w:cstheme="minorHAnsi"/>
          <w:i/>
          <w:iCs/>
          <w:sz w:val="22"/>
          <w:szCs w:val="22"/>
        </w:rPr>
        <w:t xml:space="preserve">Behavioural Skills for Effective </w:t>
      </w:r>
      <w:proofErr w:type="gramStart"/>
      <w:r w:rsidRPr="00C34D22">
        <w:rPr>
          <w:rFonts w:asciiTheme="minorHAnsi" w:hAnsiTheme="minorHAnsi" w:cstheme="minorHAnsi"/>
          <w:i/>
          <w:iCs/>
          <w:sz w:val="22"/>
          <w:szCs w:val="22"/>
        </w:rPr>
        <w:t>Policing :</w:t>
      </w:r>
      <w:proofErr w:type="gramEnd"/>
      <w:r w:rsidRPr="00C34D22">
        <w:rPr>
          <w:rFonts w:asciiTheme="minorHAnsi" w:hAnsiTheme="minorHAnsi" w:cstheme="minorHAnsi"/>
          <w:i/>
          <w:iCs/>
          <w:sz w:val="22"/>
          <w:szCs w:val="22"/>
        </w:rPr>
        <w:t xml:space="preserve"> The Service Speaks</w:t>
      </w:r>
      <w:r w:rsidRPr="00C34D22">
        <w:rPr>
          <w:rFonts w:asciiTheme="minorHAnsi" w:hAnsiTheme="minorHAnsi" w:cstheme="minorHAnsi"/>
          <w:sz w:val="22"/>
          <w:szCs w:val="22"/>
        </w:rPr>
        <w:t xml:space="preserve">. 1st ed. St </w:t>
      </w:r>
      <w:proofErr w:type="gramStart"/>
      <w:r w:rsidRPr="00C34D22">
        <w:rPr>
          <w:rFonts w:asciiTheme="minorHAnsi" w:hAnsiTheme="minorHAnsi" w:cstheme="minorHAnsi"/>
          <w:sz w:val="22"/>
          <w:szCs w:val="22"/>
        </w:rPr>
        <w:t>Albans :</w:t>
      </w:r>
      <w:proofErr w:type="gramEnd"/>
      <w:r w:rsidRPr="00C34D22">
        <w:rPr>
          <w:rFonts w:asciiTheme="minorHAnsi" w:hAnsiTheme="minorHAnsi" w:cstheme="minorHAnsi"/>
          <w:sz w:val="22"/>
          <w:szCs w:val="22"/>
        </w:rPr>
        <w:t xml:space="preserve"> Critical Publishing. Available at: </w:t>
      </w:r>
      <w:hyperlink r:id="rId38" w:history="1">
        <w:r w:rsidR="00AE2DD7" w:rsidRPr="00925696">
          <w:rPr>
            <w:rStyle w:val="Hyperlink"/>
            <w:rFonts w:asciiTheme="minorHAnsi" w:hAnsiTheme="minorHAnsi" w:cstheme="minorHAnsi"/>
            <w:sz w:val="22"/>
            <w:szCs w:val="22"/>
          </w:rPr>
          <w:t>https://web-p-ebscohost-com.ezproxy.uwtsd.ac.uk/ehost/ebookviewer/ebook/bmxlYmtfXzMyNzMwMTFfX0FO0?sid=53742de3-91c8-47df-9aa6-dc605297ead4@redis&amp;vid=0&amp;format=EK&amp;lpid=navPoint-5&amp;rid=0</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12 Oct. 2022</w:t>
      </w:r>
      <w:r>
        <w:rPr>
          <w:rFonts w:asciiTheme="minorHAnsi" w:hAnsiTheme="minorHAnsi" w:cstheme="minorHAnsi"/>
          <w:sz w:val="22"/>
          <w:szCs w:val="22"/>
        </w:rPr>
        <w:t>)</w:t>
      </w:r>
      <w:r w:rsidRPr="00C34D22">
        <w:rPr>
          <w:rFonts w:asciiTheme="minorHAnsi" w:hAnsiTheme="minorHAnsi" w:cstheme="minorHAnsi"/>
          <w:sz w:val="22"/>
          <w:szCs w:val="22"/>
        </w:rPr>
        <w:t>.</w:t>
      </w:r>
    </w:p>
    <w:p w14:paraId="5DF9297C" w14:textId="1AF75946"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Law Commission (2020). </w:t>
      </w:r>
      <w:r w:rsidRPr="00C34D22">
        <w:rPr>
          <w:rFonts w:asciiTheme="minorHAnsi" w:hAnsiTheme="minorHAnsi" w:cstheme="minorHAnsi"/>
          <w:i/>
          <w:iCs/>
          <w:sz w:val="22"/>
          <w:szCs w:val="22"/>
        </w:rPr>
        <w:t>Search Warrants</w:t>
      </w:r>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GOV.UK</w:t>
      </w:r>
      <w:r w:rsidRPr="00C34D22">
        <w:rPr>
          <w:rFonts w:asciiTheme="minorHAnsi" w:hAnsiTheme="minorHAnsi" w:cstheme="minorHAnsi"/>
          <w:sz w:val="22"/>
          <w:szCs w:val="22"/>
        </w:rPr>
        <w:t xml:space="preserve">. Available at: </w:t>
      </w:r>
      <w:hyperlink r:id="rId39" w:history="1">
        <w:r w:rsidR="00AE2DD7" w:rsidRPr="00925696">
          <w:rPr>
            <w:rStyle w:val="Hyperlink"/>
            <w:rFonts w:asciiTheme="minorHAnsi" w:hAnsiTheme="minorHAnsi" w:cstheme="minorHAnsi"/>
            <w:sz w:val="22"/>
            <w:szCs w:val="22"/>
          </w:rPr>
          <w:t>https://www.gov.uk/government/publications/search-warrants</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3AB95E4D" w14:textId="77777777"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Magnavita, N., Capitanelli, I., Garbarino , S. &amp; Pira , E. (2018) Work-related stress as a cardiovascular risk factor in police officers: a systematic review of evidence. </w:t>
      </w:r>
      <w:r w:rsidRPr="00C34D22">
        <w:rPr>
          <w:rFonts w:asciiTheme="minorHAnsi" w:eastAsiaTheme="minorHAnsi" w:hAnsiTheme="minorHAnsi" w:cstheme="minorHAnsi"/>
          <w:i/>
          <w:iCs/>
          <w:noProof/>
          <w:color w:val="auto"/>
          <w:sz w:val="22"/>
          <w:szCs w:val="22"/>
          <w:lang w:val="en-US" w:eastAsia="en-US"/>
        </w:rPr>
        <w:t xml:space="preserve">International Archives of Occupational and Environmental Health, </w:t>
      </w:r>
      <w:r w:rsidRPr="00C34D22">
        <w:rPr>
          <w:rFonts w:asciiTheme="minorHAnsi" w:eastAsiaTheme="minorHAnsi" w:hAnsiTheme="minorHAnsi" w:cstheme="minorHAnsi"/>
          <w:noProof/>
          <w:color w:val="auto"/>
          <w:sz w:val="22"/>
          <w:szCs w:val="22"/>
          <w:lang w:val="en-US" w:eastAsia="en-US"/>
        </w:rPr>
        <w:t>Volume 91, p. 377–389.</w:t>
      </w:r>
    </w:p>
    <w:p w14:paraId="79805AD2" w14:textId="77777777" w:rsidR="00AE2DD7" w:rsidRDefault="00AE2DD7"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p>
    <w:p w14:paraId="29DE7FE8" w14:textId="146B7551"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Mawby, R. C. &amp; Zempi, I. (2018) Police officers’ experiences as victims of hate crime. </w:t>
      </w:r>
      <w:r w:rsidRPr="00C34D22">
        <w:rPr>
          <w:rFonts w:asciiTheme="minorHAnsi" w:eastAsiaTheme="minorHAnsi" w:hAnsiTheme="minorHAnsi" w:cstheme="minorHAnsi"/>
          <w:i/>
          <w:iCs/>
          <w:noProof/>
          <w:color w:val="auto"/>
          <w:sz w:val="22"/>
          <w:szCs w:val="22"/>
          <w:lang w:val="en-US" w:eastAsia="en-US"/>
        </w:rPr>
        <w:t xml:space="preserve">Policing : an international journal of police strategies &amp; management, </w:t>
      </w:r>
      <w:r w:rsidRPr="00C34D22">
        <w:rPr>
          <w:rFonts w:asciiTheme="minorHAnsi" w:eastAsiaTheme="minorHAnsi" w:hAnsiTheme="minorHAnsi" w:cstheme="minorHAnsi"/>
          <w:noProof/>
          <w:color w:val="auto"/>
          <w:sz w:val="22"/>
          <w:szCs w:val="22"/>
          <w:lang w:val="en-US" w:eastAsia="en-US"/>
        </w:rPr>
        <w:t>Volume 41(5), pp. 526-538.</w:t>
      </w:r>
    </w:p>
    <w:p w14:paraId="57DDC338" w14:textId="0B7F378B"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Metropolitan Police (2019). </w:t>
      </w:r>
      <w:r w:rsidRPr="00C34D22">
        <w:rPr>
          <w:rFonts w:asciiTheme="minorHAnsi" w:hAnsiTheme="minorHAnsi" w:cstheme="minorHAnsi"/>
          <w:i/>
          <w:iCs/>
          <w:sz w:val="22"/>
          <w:szCs w:val="22"/>
        </w:rPr>
        <w:t>What is hate crime?</w:t>
      </w:r>
      <w:r w:rsidRPr="00C34D22">
        <w:rPr>
          <w:rFonts w:asciiTheme="minorHAnsi" w:hAnsiTheme="minorHAnsi" w:cstheme="minorHAnsi"/>
          <w:sz w:val="22"/>
          <w:szCs w:val="22"/>
        </w:rPr>
        <w:t xml:space="preserve"> Police.uk. Available at: </w:t>
      </w:r>
      <w:hyperlink r:id="rId40" w:history="1">
        <w:r w:rsidR="00AE2DD7" w:rsidRPr="00925696">
          <w:rPr>
            <w:rStyle w:val="Hyperlink"/>
            <w:rFonts w:asciiTheme="minorHAnsi" w:hAnsiTheme="minorHAnsi" w:cstheme="minorHAnsi"/>
            <w:sz w:val="22"/>
            <w:szCs w:val="22"/>
          </w:rPr>
          <w:t>https://www.met.police.uk/advice/advice-and-information/hco/hate-crime/what-is-hate-crime/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22 Oct. 2022</w:t>
      </w:r>
      <w:r>
        <w:rPr>
          <w:rFonts w:asciiTheme="minorHAnsi" w:hAnsiTheme="minorHAnsi" w:cstheme="minorHAnsi"/>
          <w:sz w:val="22"/>
          <w:szCs w:val="22"/>
        </w:rPr>
        <w:t>)</w:t>
      </w:r>
      <w:r w:rsidRPr="00C34D22">
        <w:rPr>
          <w:rFonts w:asciiTheme="minorHAnsi" w:hAnsiTheme="minorHAnsi" w:cstheme="minorHAnsi"/>
          <w:sz w:val="22"/>
          <w:szCs w:val="22"/>
        </w:rPr>
        <w:t>.</w:t>
      </w:r>
    </w:p>
    <w:p w14:paraId="7197104F" w14:textId="639E4AC1"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lastRenderedPageBreak/>
        <w:t xml:space="preserve">MindTools (2019). </w:t>
      </w:r>
      <w:r w:rsidRPr="00C34D22">
        <w:rPr>
          <w:rFonts w:asciiTheme="minorHAnsi" w:hAnsiTheme="minorHAnsi" w:cstheme="minorHAnsi"/>
          <w:i/>
          <w:iCs/>
          <w:sz w:val="22"/>
          <w:szCs w:val="22"/>
        </w:rPr>
        <w:t xml:space="preserve">Gibbs’ Reflective Cycle Helping People Learn </w:t>
      </w:r>
      <w:proofErr w:type="gramStart"/>
      <w:r w:rsidRPr="00C34D22">
        <w:rPr>
          <w:rFonts w:asciiTheme="minorHAnsi" w:hAnsiTheme="minorHAnsi" w:cstheme="minorHAnsi"/>
          <w:i/>
          <w:iCs/>
          <w:sz w:val="22"/>
          <w:szCs w:val="22"/>
        </w:rPr>
        <w:t>From</w:t>
      </w:r>
      <w:proofErr w:type="gramEnd"/>
      <w:r w:rsidRPr="00C34D22">
        <w:rPr>
          <w:rFonts w:asciiTheme="minorHAnsi" w:hAnsiTheme="minorHAnsi" w:cstheme="minorHAnsi"/>
          <w:i/>
          <w:iCs/>
          <w:sz w:val="22"/>
          <w:szCs w:val="22"/>
        </w:rPr>
        <w:t xml:space="preserve"> Experience</w:t>
      </w:r>
      <w:r w:rsidRPr="00C34D22">
        <w:rPr>
          <w:rFonts w:asciiTheme="minorHAnsi" w:hAnsiTheme="minorHAnsi" w:cstheme="minorHAnsi"/>
          <w:sz w:val="22"/>
          <w:szCs w:val="22"/>
        </w:rPr>
        <w:t xml:space="preserve">. Mindtools. Available at: </w:t>
      </w:r>
      <w:hyperlink r:id="rId41" w:history="1">
        <w:r w:rsidR="00AE2DD7" w:rsidRPr="00925696">
          <w:rPr>
            <w:rStyle w:val="Hyperlink"/>
            <w:rFonts w:asciiTheme="minorHAnsi" w:hAnsiTheme="minorHAnsi" w:cstheme="minorHAnsi"/>
            <w:sz w:val="22"/>
            <w:szCs w:val="22"/>
          </w:rPr>
          <w:t>https://www.mindtools.com/pages/article/reflective-cycle.htm</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4B59A627" w14:textId="41AFAB8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Ministry of Justice (2014). </w:t>
      </w:r>
      <w:r w:rsidRPr="00C34D22">
        <w:rPr>
          <w:rFonts w:asciiTheme="minorHAnsi" w:hAnsiTheme="minorHAnsi" w:cstheme="minorHAnsi"/>
          <w:i/>
          <w:iCs/>
          <w:sz w:val="22"/>
          <w:szCs w:val="22"/>
        </w:rPr>
        <w:t>Penalty Notices for Disorder (PNDs) guidance</w:t>
      </w:r>
      <w:r>
        <w:rPr>
          <w:rFonts w:asciiTheme="minorHAnsi" w:hAnsiTheme="minorHAnsi" w:cstheme="minorHAnsi"/>
          <w:sz w:val="22"/>
          <w:szCs w:val="22"/>
        </w:rPr>
        <w:t xml:space="preserve">. </w:t>
      </w:r>
      <w:r w:rsidRPr="00C34D22">
        <w:rPr>
          <w:rFonts w:asciiTheme="minorHAnsi" w:hAnsiTheme="minorHAnsi" w:cstheme="minorHAnsi"/>
          <w:sz w:val="22"/>
          <w:szCs w:val="22"/>
        </w:rPr>
        <w:t xml:space="preserve">Available at: </w:t>
      </w:r>
      <w:hyperlink r:id="rId42" w:history="1">
        <w:r w:rsidR="00AE2DD7" w:rsidRPr="00925696">
          <w:rPr>
            <w:rStyle w:val="Hyperlink"/>
            <w:rFonts w:asciiTheme="minorHAnsi" w:hAnsiTheme="minorHAnsi" w:cstheme="minorHAnsi"/>
            <w:sz w:val="22"/>
            <w:szCs w:val="22"/>
          </w:rPr>
          <w:t>https://assets.publishing.service.gov.uk/government/uploads/system/uploads/attachment_data/file/403812/penalty-notice-disorder-police-guidance.pdf</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13 Oct. 2022</w:t>
      </w:r>
      <w:r>
        <w:rPr>
          <w:rFonts w:asciiTheme="minorHAnsi" w:hAnsiTheme="minorHAnsi" w:cstheme="minorHAnsi"/>
          <w:sz w:val="22"/>
          <w:szCs w:val="22"/>
        </w:rPr>
        <w:t>)</w:t>
      </w:r>
      <w:r w:rsidRPr="00C34D22">
        <w:rPr>
          <w:rFonts w:asciiTheme="minorHAnsi" w:hAnsiTheme="minorHAnsi" w:cstheme="minorHAnsi"/>
          <w:sz w:val="22"/>
          <w:szCs w:val="22"/>
        </w:rPr>
        <w:t>.</w:t>
      </w:r>
    </w:p>
    <w:p w14:paraId="4947FEF5" w14:textId="453ED4D5"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i/>
          <w:iCs/>
          <w:sz w:val="22"/>
          <w:szCs w:val="22"/>
        </w:rPr>
        <w:t>Misuse of Drugs Act 1971</w:t>
      </w:r>
      <w:r w:rsidRPr="00C34D22">
        <w:rPr>
          <w:rFonts w:asciiTheme="minorHAnsi" w:hAnsiTheme="minorHAnsi" w:cstheme="minorHAnsi"/>
          <w:sz w:val="22"/>
          <w:szCs w:val="22"/>
        </w:rPr>
        <w:t xml:space="preserve">.4 Available at: </w:t>
      </w:r>
      <w:hyperlink r:id="rId43" w:history="1">
        <w:r w:rsidR="00AE2DD7" w:rsidRPr="00925696">
          <w:rPr>
            <w:rStyle w:val="Hyperlink"/>
            <w:rFonts w:asciiTheme="minorHAnsi" w:hAnsiTheme="minorHAnsi" w:cstheme="minorHAnsi"/>
            <w:sz w:val="22"/>
            <w:szCs w:val="22"/>
          </w:rPr>
          <w:t>https://www.legislation.gov.uk/ukpga/1971/38/section/4</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6A0CE035" w14:textId="7F8D3226"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NIAAA (2011). </w:t>
      </w:r>
      <w:r w:rsidRPr="00C34D22">
        <w:rPr>
          <w:rFonts w:asciiTheme="minorHAnsi" w:hAnsiTheme="minorHAnsi" w:cstheme="minorHAnsi"/>
          <w:i/>
          <w:iCs/>
          <w:sz w:val="22"/>
          <w:szCs w:val="22"/>
        </w:rPr>
        <w:t>Alcohol’s Effects on the Body</w:t>
      </w:r>
      <w:r w:rsidRPr="00C34D22">
        <w:rPr>
          <w:rFonts w:asciiTheme="minorHAnsi" w:hAnsiTheme="minorHAnsi" w:cstheme="minorHAnsi"/>
          <w:sz w:val="22"/>
          <w:szCs w:val="22"/>
        </w:rPr>
        <w:t xml:space="preserve">. National Institute on Alcohol Abuse and Alcoholism (NIAAA). Available at: </w:t>
      </w:r>
      <w:hyperlink r:id="rId44" w:history="1">
        <w:r w:rsidR="00AE2DD7" w:rsidRPr="00925696">
          <w:rPr>
            <w:rStyle w:val="Hyperlink"/>
            <w:rFonts w:asciiTheme="minorHAnsi" w:hAnsiTheme="minorHAnsi" w:cstheme="minorHAnsi"/>
            <w:sz w:val="22"/>
            <w:szCs w:val="22"/>
          </w:rPr>
          <w:t>https://www.niaaa.nih.gov/alcohols-effects-health/alcohols-effects-body#:~:text=Alcohol%20interferes%20with%20the%20brain</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0B023DFA" w14:textId="1AE47F82"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nidirect Government Services (2017). </w:t>
      </w:r>
      <w:r w:rsidRPr="00C34D22">
        <w:rPr>
          <w:rFonts w:asciiTheme="minorHAnsi" w:hAnsiTheme="minorHAnsi" w:cstheme="minorHAnsi"/>
          <w:i/>
          <w:iCs/>
          <w:sz w:val="22"/>
          <w:szCs w:val="22"/>
        </w:rPr>
        <w:t>What happens when you drink alcohol</w:t>
      </w:r>
      <w:r>
        <w:rPr>
          <w:rFonts w:asciiTheme="minorHAnsi" w:hAnsiTheme="minorHAnsi" w:cstheme="minorHAnsi"/>
          <w:sz w:val="22"/>
          <w:szCs w:val="22"/>
        </w:rPr>
        <w:t xml:space="preserve">. </w:t>
      </w:r>
      <w:proofErr w:type="spellStart"/>
      <w:r w:rsidRPr="00C34D22">
        <w:rPr>
          <w:rFonts w:asciiTheme="minorHAnsi" w:hAnsiTheme="minorHAnsi" w:cstheme="minorHAnsi"/>
          <w:sz w:val="22"/>
          <w:szCs w:val="22"/>
        </w:rPr>
        <w:t>nidrect</w:t>
      </w:r>
      <w:proofErr w:type="spellEnd"/>
      <w:r w:rsidRPr="00C34D22">
        <w:rPr>
          <w:rFonts w:asciiTheme="minorHAnsi" w:hAnsiTheme="minorHAnsi" w:cstheme="minorHAnsi"/>
          <w:sz w:val="22"/>
          <w:szCs w:val="22"/>
        </w:rPr>
        <w:t xml:space="preserve">. Available at: </w:t>
      </w:r>
      <w:hyperlink r:id="rId45" w:history="1">
        <w:r w:rsidR="00AE2DD7" w:rsidRPr="00925696">
          <w:rPr>
            <w:rStyle w:val="Hyperlink"/>
            <w:rFonts w:asciiTheme="minorHAnsi" w:hAnsiTheme="minorHAnsi" w:cstheme="minorHAnsi"/>
            <w:sz w:val="22"/>
            <w:szCs w:val="22"/>
          </w:rPr>
          <w:t>https://www.nidirect.gov.uk/articles/what-happens-when-you-drink-alcohol</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701068CC" w14:textId="2EDD098F"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Office for National Statistics (2019). </w:t>
      </w:r>
      <w:r w:rsidRPr="00C34D22">
        <w:rPr>
          <w:rFonts w:asciiTheme="minorHAnsi" w:hAnsiTheme="minorHAnsi" w:cstheme="minorHAnsi"/>
          <w:i/>
          <w:iCs/>
          <w:sz w:val="22"/>
          <w:szCs w:val="22"/>
        </w:rPr>
        <w:t>Crime in England and Wales: year ending December 2018</w:t>
      </w:r>
      <w:r w:rsidRPr="00C34D22">
        <w:rPr>
          <w:rFonts w:asciiTheme="minorHAnsi" w:hAnsiTheme="minorHAnsi" w:cstheme="minorHAnsi"/>
          <w:sz w:val="22"/>
          <w:szCs w:val="22"/>
        </w:rPr>
        <w:t xml:space="preserve">. Office for National Statistics (ONS). Available at: </w:t>
      </w:r>
      <w:hyperlink r:id="rId46" w:history="1">
        <w:r w:rsidR="00AE2DD7" w:rsidRPr="00925696">
          <w:rPr>
            <w:rStyle w:val="Hyperlink"/>
            <w:rFonts w:asciiTheme="minorHAnsi" w:hAnsiTheme="minorHAnsi" w:cstheme="minorHAnsi"/>
            <w:sz w:val="22"/>
            <w:szCs w:val="22"/>
          </w:rPr>
          <w:t>https://www.ons.gov.uk/peoplepopulationandcommunity/crimeandjustice/bulletins/crimeinenglandandwales/yearendingdecember2018</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13 Oct. 2022</w:t>
      </w:r>
      <w:r>
        <w:rPr>
          <w:rFonts w:asciiTheme="minorHAnsi" w:hAnsiTheme="minorHAnsi" w:cstheme="minorHAnsi"/>
          <w:sz w:val="22"/>
          <w:szCs w:val="22"/>
        </w:rPr>
        <w:t>)</w:t>
      </w:r>
      <w:r w:rsidRPr="00C34D22">
        <w:rPr>
          <w:rFonts w:asciiTheme="minorHAnsi" w:hAnsiTheme="minorHAnsi" w:cstheme="minorHAnsi"/>
          <w:sz w:val="22"/>
          <w:szCs w:val="22"/>
        </w:rPr>
        <w:t>.</w:t>
      </w:r>
    </w:p>
    <w:p w14:paraId="4091572A" w14:textId="77777777"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Paterson, A. (2021) Trauma and Resilience in Contemporary Australian Policing. In: s.l.:Springer, Singapore, p. 139–166.</w:t>
      </w:r>
    </w:p>
    <w:p w14:paraId="31C70626" w14:textId="2EAB3F99"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Palmer, N.A. and Kutateladze, B.L. (2021). What Prosecutors and the Police Should Do About Underreporting of Anti-LGBTQ Hate Crime</w:t>
      </w:r>
      <w:r>
        <w:rPr>
          <w:rFonts w:asciiTheme="minorHAnsi" w:hAnsiTheme="minorHAnsi" w:cstheme="minorHAnsi"/>
          <w:sz w:val="22"/>
          <w:szCs w:val="22"/>
        </w:rPr>
        <w:t xml:space="preserve">. </w:t>
      </w:r>
      <w:r w:rsidRPr="00C34D22">
        <w:rPr>
          <w:rFonts w:asciiTheme="minorHAnsi" w:hAnsiTheme="minorHAnsi" w:cstheme="minorHAnsi"/>
          <w:sz w:val="22"/>
          <w:szCs w:val="22"/>
        </w:rPr>
        <w:t xml:space="preserve">pp.1190–1204. Available at: </w:t>
      </w:r>
      <w:hyperlink r:id="rId47" w:history="1">
        <w:r w:rsidR="00AE2DD7" w:rsidRPr="00925696">
          <w:rPr>
            <w:rStyle w:val="Hyperlink"/>
            <w:rFonts w:asciiTheme="minorHAnsi" w:hAnsiTheme="minorHAnsi" w:cstheme="minorHAnsi"/>
            <w:sz w:val="22"/>
            <w:szCs w:val="22"/>
          </w:rPr>
          <w:t>https://link-springer-com.ezproxy.uwtsd.ac.uk/article/10.1007/s13178-021-00596-5#citeas</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3B43C08A" w14:textId="4895E66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Pedersen, W., Copes, H. and Sandberg, S. (2016). </w:t>
      </w:r>
      <w:r w:rsidRPr="00C34D22">
        <w:rPr>
          <w:rFonts w:asciiTheme="minorHAnsi" w:hAnsiTheme="minorHAnsi" w:cstheme="minorHAnsi"/>
          <w:i/>
          <w:iCs/>
          <w:sz w:val="22"/>
          <w:szCs w:val="22"/>
        </w:rPr>
        <w:t>Alcohol and violence in nightlife and party settings: A qualitative study</w:t>
      </w:r>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Research Gate</w:t>
      </w:r>
      <w:r w:rsidRPr="00C34D22">
        <w:rPr>
          <w:rFonts w:asciiTheme="minorHAnsi" w:hAnsiTheme="minorHAnsi" w:cstheme="minorHAnsi"/>
          <w:sz w:val="22"/>
          <w:szCs w:val="22"/>
        </w:rPr>
        <w:t xml:space="preserve">. Available at: </w:t>
      </w:r>
      <w:hyperlink r:id="rId48" w:history="1">
        <w:r w:rsidR="00AE2DD7" w:rsidRPr="00925696">
          <w:rPr>
            <w:rStyle w:val="Hyperlink"/>
            <w:rFonts w:asciiTheme="minorHAnsi" w:hAnsiTheme="minorHAnsi" w:cstheme="minorHAnsi"/>
            <w:sz w:val="22"/>
            <w:szCs w:val="22"/>
          </w:rPr>
          <w:t>https://www.researchgate.net/publication/301218553_Alcohol_and_violence_in_nightlife_and_party_settings_A_qualitative_study</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313E34B7" w14:textId="7B3E626B"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i/>
          <w:iCs/>
          <w:sz w:val="22"/>
          <w:szCs w:val="22"/>
        </w:rPr>
        <w:t>Police Act 1996</w:t>
      </w:r>
      <w:r w:rsidRPr="00C34D22">
        <w:rPr>
          <w:rFonts w:asciiTheme="minorHAnsi" w:hAnsiTheme="minorHAnsi" w:cstheme="minorHAnsi"/>
          <w:sz w:val="22"/>
          <w:szCs w:val="22"/>
        </w:rPr>
        <w:t xml:space="preserve">.89 Available at: </w:t>
      </w:r>
      <w:hyperlink r:id="rId49" w:history="1">
        <w:r w:rsidR="00AE2DD7" w:rsidRPr="00925696">
          <w:rPr>
            <w:rStyle w:val="Hyperlink"/>
            <w:rFonts w:asciiTheme="minorHAnsi" w:hAnsiTheme="minorHAnsi" w:cstheme="minorHAnsi"/>
            <w:sz w:val="22"/>
            <w:szCs w:val="22"/>
          </w:rPr>
          <w:t>https://www.legislation.gov.uk/ukpga/1996/16/section/89</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3A792E5E" w14:textId="0FC71A9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lastRenderedPageBreak/>
        <w:t xml:space="preserve">Police National Legal Database (2022). </w:t>
      </w:r>
      <w:proofErr w:type="gramStart"/>
      <w:r w:rsidRPr="00C34D22">
        <w:rPr>
          <w:rFonts w:asciiTheme="minorHAnsi" w:hAnsiTheme="minorHAnsi" w:cstheme="minorHAnsi"/>
          <w:i/>
          <w:iCs/>
          <w:sz w:val="22"/>
          <w:szCs w:val="22"/>
        </w:rPr>
        <w:t>Article  ·</w:t>
      </w:r>
      <w:proofErr w:type="gramEnd"/>
      <w:r w:rsidRPr="00C34D22">
        <w:rPr>
          <w:rFonts w:asciiTheme="minorHAnsi" w:hAnsiTheme="minorHAnsi" w:cstheme="minorHAnsi"/>
          <w:i/>
          <w:iCs/>
          <w:sz w:val="22"/>
          <w:szCs w:val="22"/>
        </w:rPr>
        <w:t xml:space="preserve"> PNLD</w:t>
      </w:r>
      <w:r w:rsidRPr="00C34D22">
        <w:rPr>
          <w:rFonts w:asciiTheme="minorHAnsi" w:hAnsiTheme="minorHAnsi" w:cstheme="minorHAnsi"/>
          <w:sz w:val="22"/>
          <w:szCs w:val="22"/>
        </w:rPr>
        <w:t xml:space="preserve">. www.pnld.co.uk. Available at: </w:t>
      </w:r>
      <w:hyperlink r:id="rId50" w:history="1">
        <w:r w:rsidR="00AE2DD7" w:rsidRPr="00925696">
          <w:rPr>
            <w:rStyle w:val="Hyperlink"/>
            <w:rFonts w:asciiTheme="minorHAnsi" w:hAnsiTheme="minorHAnsi" w:cstheme="minorHAnsi"/>
            <w:sz w:val="22"/>
            <w:szCs w:val="22"/>
          </w:rPr>
          <w:t>https://www.pnld.co.uk/article/?id=59d1e555-d29b-ec11-b400-6045bd0f1765#:~:text=Section%2023(2)%20of%20the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55F4967A" w14:textId="795FA23F"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Psychology Today (2019). </w:t>
      </w:r>
      <w:r w:rsidRPr="00C34D22">
        <w:rPr>
          <w:rFonts w:asciiTheme="minorHAnsi" w:hAnsiTheme="minorHAnsi" w:cstheme="minorHAnsi"/>
          <w:i/>
          <w:iCs/>
          <w:sz w:val="22"/>
          <w:szCs w:val="22"/>
        </w:rPr>
        <w:t>Bias | Psychology Today UK</w:t>
      </w:r>
      <w:r w:rsidRPr="00C34D22">
        <w:rPr>
          <w:rFonts w:asciiTheme="minorHAnsi" w:hAnsiTheme="minorHAnsi" w:cstheme="minorHAnsi"/>
          <w:sz w:val="22"/>
          <w:szCs w:val="22"/>
        </w:rPr>
        <w:t xml:space="preserve">. Psychology Today. Available at: </w:t>
      </w:r>
      <w:hyperlink r:id="rId51" w:history="1">
        <w:r w:rsidR="00AE2DD7" w:rsidRPr="00925696">
          <w:rPr>
            <w:rStyle w:val="Hyperlink"/>
            <w:rFonts w:asciiTheme="minorHAnsi" w:hAnsiTheme="minorHAnsi" w:cstheme="minorHAnsi"/>
            <w:sz w:val="22"/>
            <w:szCs w:val="22"/>
          </w:rPr>
          <w:t>https://www.psychologytoday.com/gb/basics/bias</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233DA75B" w14:textId="7D6955AC"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i/>
          <w:iCs/>
          <w:sz w:val="22"/>
          <w:szCs w:val="22"/>
        </w:rPr>
        <w:t>Public Order Act 1986</w:t>
      </w:r>
      <w:r w:rsidRPr="00C34D22">
        <w:rPr>
          <w:rFonts w:asciiTheme="minorHAnsi" w:hAnsiTheme="minorHAnsi" w:cstheme="minorHAnsi"/>
          <w:sz w:val="22"/>
          <w:szCs w:val="22"/>
        </w:rPr>
        <w:t xml:space="preserve">.5 Available at: </w:t>
      </w:r>
      <w:hyperlink r:id="rId52" w:history="1">
        <w:r w:rsidR="00AE2DD7" w:rsidRPr="00925696">
          <w:rPr>
            <w:rStyle w:val="Hyperlink"/>
            <w:rFonts w:asciiTheme="minorHAnsi" w:hAnsiTheme="minorHAnsi" w:cstheme="minorHAnsi"/>
            <w:sz w:val="22"/>
            <w:szCs w:val="22"/>
          </w:rPr>
          <w:t>https://www.legislation.gov.uk/ukpga/1986/64</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0F4A0A28" w14:textId="3DF6F2A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Roberts, R. (2005). </w:t>
      </w:r>
      <w:r w:rsidRPr="00C34D22">
        <w:rPr>
          <w:rFonts w:asciiTheme="minorHAnsi" w:hAnsiTheme="minorHAnsi" w:cstheme="minorHAnsi"/>
          <w:i/>
          <w:iCs/>
          <w:sz w:val="22"/>
          <w:szCs w:val="22"/>
        </w:rPr>
        <w:t>More penalties, less justice | Centre for Crime and Justice Studies</w:t>
      </w:r>
      <w:r w:rsidRPr="00C34D22">
        <w:rPr>
          <w:rFonts w:asciiTheme="minorHAnsi" w:hAnsiTheme="minorHAnsi" w:cstheme="minorHAnsi"/>
          <w:sz w:val="22"/>
          <w:szCs w:val="22"/>
        </w:rPr>
        <w:t xml:space="preserve">. www.crimeandjustice.org.uk. Available at: </w:t>
      </w:r>
      <w:hyperlink r:id="rId53" w:history="1">
        <w:r w:rsidR="00AE2DD7" w:rsidRPr="00925696">
          <w:rPr>
            <w:rStyle w:val="Hyperlink"/>
            <w:rFonts w:asciiTheme="minorHAnsi" w:hAnsiTheme="minorHAnsi" w:cstheme="minorHAnsi"/>
            <w:sz w:val="22"/>
            <w:szCs w:val="22"/>
          </w:rPr>
          <w:t>https://www.crimeandjustice.org.uk/resources/more-penalties-less-justice#:~:text=The%20</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22 Oct. 2022</w:t>
      </w:r>
      <w:r>
        <w:rPr>
          <w:rFonts w:asciiTheme="minorHAnsi" w:hAnsiTheme="minorHAnsi" w:cstheme="minorHAnsi"/>
          <w:sz w:val="22"/>
          <w:szCs w:val="22"/>
        </w:rPr>
        <w:t>)</w:t>
      </w:r>
      <w:r w:rsidRPr="00C34D22">
        <w:rPr>
          <w:rFonts w:asciiTheme="minorHAnsi" w:hAnsiTheme="minorHAnsi" w:cstheme="minorHAnsi"/>
          <w:sz w:val="22"/>
          <w:szCs w:val="22"/>
        </w:rPr>
        <w:t>.</w:t>
      </w:r>
    </w:p>
    <w:p w14:paraId="26744792" w14:textId="48C77EA3"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Robertson, K. (2013). </w:t>
      </w:r>
      <w:r w:rsidRPr="00C34D22">
        <w:rPr>
          <w:rFonts w:asciiTheme="minorHAnsi" w:hAnsiTheme="minorHAnsi" w:cstheme="minorHAnsi"/>
          <w:i/>
          <w:iCs/>
          <w:sz w:val="22"/>
          <w:szCs w:val="22"/>
        </w:rPr>
        <w:t xml:space="preserve">The impact of alcohol on Policing in the </w:t>
      </w:r>
      <w:proofErr w:type="gramStart"/>
      <w:r w:rsidRPr="00C34D22">
        <w:rPr>
          <w:rFonts w:asciiTheme="minorHAnsi" w:hAnsiTheme="minorHAnsi" w:cstheme="minorHAnsi"/>
          <w:i/>
          <w:iCs/>
          <w:sz w:val="22"/>
          <w:szCs w:val="22"/>
        </w:rPr>
        <w:t>North East</w:t>
      </w:r>
      <w:proofErr w:type="gramEnd"/>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Institute of Alcohol Studies</w:t>
      </w:r>
      <w:r w:rsidRPr="00C34D22">
        <w:rPr>
          <w:rFonts w:asciiTheme="minorHAnsi" w:hAnsiTheme="minorHAnsi" w:cstheme="minorHAnsi"/>
          <w:sz w:val="22"/>
          <w:szCs w:val="22"/>
        </w:rPr>
        <w:t xml:space="preserve">. Available at: </w:t>
      </w:r>
      <w:hyperlink r:id="rId54" w:history="1">
        <w:r w:rsidR="00AE2DD7" w:rsidRPr="00925696">
          <w:rPr>
            <w:rStyle w:val="Hyperlink"/>
            <w:rFonts w:asciiTheme="minorHAnsi" w:hAnsiTheme="minorHAnsi" w:cstheme="minorHAnsi"/>
            <w:sz w:val="22"/>
            <w:szCs w:val="22"/>
          </w:rPr>
          <w:t>https://www.ias.org.uk/uploads/pdf/News%20stories/balance-report-march2013.pdf</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15 Oct. 2022</w:t>
      </w:r>
      <w:r>
        <w:rPr>
          <w:rFonts w:asciiTheme="minorHAnsi" w:hAnsiTheme="minorHAnsi" w:cstheme="minorHAnsi"/>
          <w:sz w:val="22"/>
          <w:szCs w:val="22"/>
        </w:rPr>
        <w:t>)</w:t>
      </w:r>
      <w:r w:rsidRPr="00C34D22">
        <w:rPr>
          <w:rFonts w:asciiTheme="minorHAnsi" w:hAnsiTheme="minorHAnsi" w:cstheme="minorHAnsi"/>
          <w:sz w:val="22"/>
          <w:szCs w:val="22"/>
        </w:rPr>
        <w:t>.</w:t>
      </w:r>
    </w:p>
    <w:p w14:paraId="1F055299" w14:textId="77777777"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Smit, A., Slagmolen, N. &amp; Brepoels, M. (2016) </w:t>
      </w:r>
      <w:r w:rsidRPr="00C34D22">
        <w:rPr>
          <w:rFonts w:asciiTheme="minorHAnsi" w:eastAsiaTheme="minorHAnsi" w:hAnsiTheme="minorHAnsi" w:cstheme="minorHAnsi"/>
          <w:i/>
          <w:iCs/>
          <w:noProof/>
          <w:color w:val="auto"/>
          <w:sz w:val="22"/>
          <w:szCs w:val="22"/>
          <w:lang w:val="en-US" w:eastAsia="en-US"/>
        </w:rPr>
        <w:t xml:space="preserve">Stories of resilience : resilience in the practice of police work. </w:t>
      </w:r>
      <w:r w:rsidRPr="00C34D22">
        <w:rPr>
          <w:rFonts w:asciiTheme="minorHAnsi" w:eastAsiaTheme="minorHAnsi" w:hAnsiTheme="minorHAnsi" w:cstheme="minorHAnsi"/>
          <w:noProof/>
          <w:color w:val="auto"/>
          <w:sz w:val="22"/>
          <w:szCs w:val="22"/>
          <w:lang w:val="en-US" w:eastAsia="en-US"/>
        </w:rPr>
        <w:t>11th ed. Hague, Netherlands: Eleven International Publishing.</w:t>
      </w:r>
    </w:p>
    <w:p w14:paraId="380E0B14" w14:textId="0B83FDD0"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The Crown Prosecution Service (2019). </w:t>
      </w:r>
      <w:r w:rsidRPr="00C34D22">
        <w:rPr>
          <w:rFonts w:asciiTheme="minorHAnsi" w:hAnsiTheme="minorHAnsi" w:cstheme="minorHAnsi"/>
          <w:i/>
          <w:iCs/>
          <w:sz w:val="22"/>
          <w:szCs w:val="22"/>
        </w:rPr>
        <w:t>Restorative Justice</w:t>
      </w:r>
      <w:r w:rsidRPr="00C34D22">
        <w:rPr>
          <w:rFonts w:asciiTheme="minorHAnsi" w:hAnsiTheme="minorHAnsi" w:cstheme="minorHAnsi"/>
          <w:sz w:val="22"/>
          <w:szCs w:val="22"/>
        </w:rPr>
        <w:t xml:space="preserve">.  Cps.gov.uk. Available at: </w:t>
      </w:r>
      <w:hyperlink r:id="rId55" w:history="1">
        <w:r w:rsidR="00AE2DD7" w:rsidRPr="00925696">
          <w:rPr>
            <w:rStyle w:val="Hyperlink"/>
            <w:rFonts w:asciiTheme="minorHAnsi" w:hAnsiTheme="minorHAnsi" w:cstheme="minorHAnsi"/>
            <w:sz w:val="22"/>
            <w:szCs w:val="22"/>
          </w:rPr>
          <w:t>https://www.cps.gov.uk/legal-guidance/restorative-justice</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24 Oct. 2022</w:t>
      </w:r>
      <w:r>
        <w:rPr>
          <w:rFonts w:asciiTheme="minorHAnsi" w:hAnsiTheme="minorHAnsi" w:cstheme="minorHAnsi"/>
          <w:sz w:val="22"/>
          <w:szCs w:val="22"/>
        </w:rPr>
        <w:t>)</w:t>
      </w:r>
      <w:r w:rsidRPr="00C34D22">
        <w:rPr>
          <w:rFonts w:asciiTheme="minorHAnsi" w:hAnsiTheme="minorHAnsi" w:cstheme="minorHAnsi"/>
          <w:sz w:val="22"/>
          <w:szCs w:val="22"/>
        </w:rPr>
        <w:t>.</w:t>
      </w:r>
    </w:p>
    <w:p w14:paraId="0DCBD064" w14:textId="2C2791EB"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The Institute of Alcohol Studies</w:t>
      </w:r>
      <w:r>
        <w:rPr>
          <w:rFonts w:asciiTheme="minorHAnsi" w:hAnsiTheme="minorHAnsi" w:cstheme="minorHAnsi"/>
          <w:sz w:val="22"/>
          <w:szCs w:val="22"/>
        </w:rPr>
        <w:t xml:space="preserve">. </w:t>
      </w:r>
      <w:r w:rsidRPr="00C34D22">
        <w:rPr>
          <w:rFonts w:asciiTheme="minorHAnsi" w:hAnsiTheme="minorHAnsi" w:cstheme="minorHAnsi"/>
          <w:i/>
          <w:iCs/>
          <w:sz w:val="22"/>
          <w:szCs w:val="22"/>
        </w:rPr>
        <w:t xml:space="preserve">Alcohol, </w:t>
      </w:r>
      <w:proofErr w:type="gramStart"/>
      <w:r w:rsidRPr="00C34D22">
        <w:rPr>
          <w:rFonts w:asciiTheme="minorHAnsi" w:hAnsiTheme="minorHAnsi" w:cstheme="minorHAnsi"/>
          <w:i/>
          <w:iCs/>
          <w:sz w:val="22"/>
          <w:szCs w:val="22"/>
        </w:rPr>
        <w:t>Violence</w:t>
      </w:r>
      <w:proofErr w:type="gramEnd"/>
      <w:r w:rsidRPr="00C34D22">
        <w:rPr>
          <w:rFonts w:asciiTheme="minorHAnsi" w:hAnsiTheme="minorHAnsi" w:cstheme="minorHAnsi"/>
          <w:i/>
          <w:iCs/>
          <w:sz w:val="22"/>
          <w:szCs w:val="22"/>
        </w:rPr>
        <w:t xml:space="preserve"> and crime</w:t>
      </w:r>
      <w:r w:rsidRPr="00C34D22">
        <w:rPr>
          <w:rFonts w:asciiTheme="minorHAnsi" w:hAnsiTheme="minorHAnsi" w:cstheme="minorHAnsi"/>
          <w:sz w:val="22"/>
          <w:szCs w:val="22"/>
        </w:rPr>
        <w:t xml:space="preserve">. </w:t>
      </w:r>
      <w:r w:rsidRPr="00C34D22">
        <w:rPr>
          <w:rFonts w:asciiTheme="minorHAnsi" w:hAnsiTheme="minorHAnsi" w:cstheme="minorHAnsi"/>
          <w:i/>
          <w:iCs/>
          <w:sz w:val="22"/>
          <w:szCs w:val="22"/>
        </w:rPr>
        <w:t>Institute of Alcohol Studies</w:t>
      </w:r>
      <w:r w:rsidRPr="00C34D22">
        <w:rPr>
          <w:rFonts w:asciiTheme="minorHAnsi" w:hAnsiTheme="minorHAnsi" w:cstheme="minorHAnsi"/>
          <w:sz w:val="22"/>
          <w:szCs w:val="22"/>
        </w:rPr>
        <w:t xml:space="preserve">, pp.1–8. Available at: </w:t>
      </w:r>
      <w:hyperlink r:id="rId56" w:history="1">
        <w:r w:rsidR="00AE2DD7" w:rsidRPr="00925696">
          <w:rPr>
            <w:rStyle w:val="Hyperlink"/>
            <w:rFonts w:asciiTheme="minorHAnsi" w:hAnsiTheme="minorHAnsi" w:cstheme="minorHAnsi"/>
            <w:sz w:val="22"/>
            <w:szCs w:val="22"/>
          </w:rPr>
          <w:t>https://www.ias.org.uk/wp-content/uploads/2021/02/Alcohol-violence-and-crime.pdf</w:t>
        </w:r>
      </w:hyperlink>
      <w:r w:rsidR="00AE2DD7">
        <w:rPr>
          <w:rFonts w:asciiTheme="minorHAnsi" w:hAnsiTheme="minorHAnsi" w:cstheme="minorHAnsi"/>
          <w:sz w:val="22"/>
          <w:szCs w:val="22"/>
        </w:rPr>
        <w:t xml:space="preserve"> </w:t>
      </w:r>
      <w:r w:rsidRPr="00C34D22">
        <w:rPr>
          <w:rFonts w:asciiTheme="minorHAnsi" w:hAnsiTheme="minorHAnsi" w:cstheme="minorHAnsi"/>
          <w:sz w:val="22"/>
          <w:szCs w:val="22"/>
        </w:rPr>
        <w:t xml:space="preserve"> </w:t>
      </w:r>
      <w:r>
        <w:rPr>
          <w:rFonts w:asciiTheme="minorHAnsi" w:hAnsiTheme="minorHAnsi" w:cstheme="minorHAnsi"/>
          <w:sz w:val="22"/>
          <w:szCs w:val="22"/>
        </w:rPr>
        <w:t>(</w:t>
      </w:r>
      <w:r w:rsidRPr="00C34D22">
        <w:rPr>
          <w:rFonts w:asciiTheme="minorHAnsi" w:hAnsiTheme="minorHAnsi" w:cstheme="minorHAnsi"/>
          <w:sz w:val="22"/>
          <w:szCs w:val="22"/>
        </w:rPr>
        <w:t>Accessed 13 Oct. 2022</w:t>
      </w:r>
      <w:r>
        <w:rPr>
          <w:rFonts w:asciiTheme="minorHAnsi" w:hAnsiTheme="minorHAnsi" w:cstheme="minorHAnsi"/>
          <w:sz w:val="22"/>
          <w:szCs w:val="22"/>
        </w:rPr>
        <w:t>)</w:t>
      </w:r>
      <w:r w:rsidRPr="00C34D22">
        <w:rPr>
          <w:rFonts w:asciiTheme="minorHAnsi" w:hAnsiTheme="minorHAnsi" w:cstheme="minorHAnsi"/>
          <w:sz w:val="22"/>
          <w:szCs w:val="22"/>
        </w:rPr>
        <w:t>.</w:t>
      </w:r>
    </w:p>
    <w:p w14:paraId="5F0642CD" w14:textId="03837D20" w:rsidR="00957C3C" w:rsidRPr="00C34D22" w:rsidRDefault="00957C3C" w:rsidP="00957C3C">
      <w:pPr>
        <w:overflowPunct/>
        <w:autoSpaceDE/>
        <w:autoSpaceDN/>
        <w:adjustRightInd/>
        <w:spacing w:after="160" w:line="259" w:lineRule="auto"/>
        <w:textAlignment w:val="auto"/>
        <w:rPr>
          <w:rFonts w:asciiTheme="minorHAnsi" w:eastAsiaTheme="minorHAnsi" w:hAnsiTheme="minorHAnsi" w:cstheme="minorHAnsi"/>
          <w:noProof/>
          <w:color w:val="auto"/>
          <w:sz w:val="22"/>
          <w:szCs w:val="22"/>
          <w:lang w:val="en-US" w:eastAsia="en-US"/>
        </w:rPr>
      </w:pPr>
      <w:r w:rsidRPr="00C34D22">
        <w:rPr>
          <w:rFonts w:asciiTheme="minorHAnsi" w:eastAsiaTheme="minorHAnsi" w:hAnsiTheme="minorHAnsi" w:cstheme="minorHAnsi"/>
          <w:noProof/>
          <w:color w:val="auto"/>
          <w:sz w:val="22"/>
          <w:szCs w:val="22"/>
          <w:lang w:val="en-US" w:eastAsia="en-US"/>
        </w:rPr>
        <w:t xml:space="preserve">University College London (2020) </w:t>
      </w:r>
      <w:r w:rsidRPr="00C34D22">
        <w:rPr>
          <w:rFonts w:asciiTheme="minorHAnsi" w:eastAsiaTheme="minorHAnsi" w:hAnsiTheme="minorHAnsi" w:cstheme="minorHAnsi"/>
          <w:i/>
          <w:iCs/>
          <w:noProof/>
          <w:color w:val="auto"/>
          <w:sz w:val="22"/>
          <w:szCs w:val="22"/>
          <w:lang w:val="en-US" w:eastAsia="en-US"/>
        </w:rPr>
        <w:t>Study-boosting benefits of exercise.</w:t>
      </w:r>
      <w:r w:rsidRPr="00C34D22">
        <w:rPr>
          <w:rFonts w:asciiTheme="minorHAnsi" w:eastAsiaTheme="minorHAnsi" w:hAnsiTheme="minorHAnsi" w:cstheme="minorHAnsi"/>
          <w:noProof/>
          <w:color w:val="auto"/>
          <w:sz w:val="22"/>
          <w:szCs w:val="22"/>
          <w:lang w:val="en-US" w:eastAsia="en-US"/>
        </w:rPr>
        <w:t xml:space="preserve"> </w:t>
      </w:r>
      <w:r w:rsidRPr="00C34D22">
        <w:rPr>
          <w:rFonts w:asciiTheme="minorHAnsi" w:eastAsiaTheme="minorHAnsi" w:hAnsiTheme="minorHAnsi" w:cstheme="minorHAnsi"/>
          <w:noProof/>
          <w:color w:val="auto"/>
          <w:sz w:val="22"/>
          <w:szCs w:val="22"/>
          <w:lang w:val="en-US" w:eastAsia="en-US"/>
        </w:rPr>
        <w:br/>
        <w:t xml:space="preserve">Available at: </w:t>
      </w:r>
      <w:hyperlink r:id="rId57" w:history="1">
        <w:r w:rsidR="00AE2DD7" w:rsidRPr="00925696">
          <w:rPr>
            <w:rStyle w:val="Hyperlink"/>
            <w:rFonts w:asciiTheme="minorHAnsi" w:eastAsiaTheme="minorHAnsi" w:hAnsiTheme="minorHAnsi" w:cstheme="minorHAnsi"/>
            <w:noProof/>
            <w:sz w:val="22"/>
            <w:szCs w:val="22"/>
            <w:lang w:val="en-US" w:eastAsia="en-US"/>
          </w:rPr>
          <w:t>https://www.ucl.ac.uk/students/ne</w:t>
        </w:r>
        <w:r w:rsidR="00AE2DD7" w:rsidRPr="00925696">
          <w:rPr>
            <w:rStyle w:val="Hyperlink"/>
            <w:rFonts w:asciiTheme="minorHAnsi" w:eastAsiaTheme="minorHAnsi" w:hAnsiTheme="minorHAnsi" w:cstheme="minorHAnsi"/>
            <w:noProof/>
            <w:sz w:val="22"/>
            <w:szCs w:val="22"/>
            <w:lang w:val="en-US" w:eastAsia="en-US"/>
          </w:rPr>
          <w:t>w</w:t>
        </w:r>
        <w:r w:rsidR="00AE2DD7" w:rsidRPr="00925696">
          <w:rPr>
            <w:rStyle w:val="Hyperlink"/>
            <w:rFonts w:asciiTheme="minorHAnsi" w:eastAsiaTheme="minorHAnsi" w:hAnsiTheme="minorHAnsi" w:cstheme="minorHAnsi"/>
            <w:noProof/>
            <w:sz w:val="22"/>
            <w:szCs w:val="22"/>
            <w:lang w:val="en-US" w:eastAsia="en-US"/>
          </w:rPr>
          <w:t>s/2020/may/study-boosting-benefits-exercise</w:t>
        </w:r>
      </w:hyperlink>
      <w:r w:rsidR="00AE2DD7">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u w:val="single"/>
          <w:lang w:val="en-US" w:eastAsia="en-US"/>
        </w:rPr>
        <w:t xml:space="preserve"> </w:t>
      </w:r>
      <w:r w:rsidRPr="00C34D22">
        <w:rPr>
          <w:rFonts w:asciiTheme="minorHAnsi" w:eastAsiaTheme="minorHAnsi" w:hAnsiTheme="minorHAnsi" w:cstheme="minorHAnsi"/>
          <w:noProof/>
          <w:color w:val="auto"/>
          <w:sz w:val="22"/>
          <w:szCs w:val="22"/>
          <w:lang w:val="en-US" w:eastAsia="en-US"/>
        </w:rPr>
        <w:br/>
        <w:t>(Accessed 29 Septemeber 2022).</w:t>
      </w:r>
    </w:p>
    <w:p w14:paraId="6A8A473E" w14:textId="5217A128" w:rsidR="00957C3C" w:rsidRPr="00C34D22" w:rsidRDefault="00957C3C" w:rsidP="00957C3C">
      <w:pPr>
        <w:pStyle w:val="NormalWeb"/>
        <w:spacing w:before="0" w:beforeAutospacing="0" w:after="240" w:afterAutospacing="0" w:line="360" w:lineRule="auto"/>
        <w:rPr>
          <w:rFonts w:asciiTheme="minorHAnsi" w:hAnsiTheme="minorHAnsi" w:cstheme="minorHAnsi"/>
          <w:sz w:val="22"/>
          <w:szCs w:val="22"/>
        </w:rPr>
      </w:pPr>
      <w:r w:rsidRPr="00C34D22">
        <w:rPr>
          <w:rFonts w:asciiTheme="minorHAnsi" w:hAnsiTheme="minorHAnsi" w:cstheme="minorHAnsi"/>
          <w:sz w:val="22"/>
          <w:szCs w:val="22"/>
        </w:rPr>
        <w:t xml:space="preserve">The University of Edinburgh (2020). </w:t>
      </w:r>
      <w:r w:rsidRPr="00C34D22">
        <w:rPr>
          <w:rFonts w:asciiTheme="minorHAnsi" w:hAnsiTheme="minorHAnsi" w:cstheme="minorHAnsi"/>
          <w:i/>
          <w:iCs/>
          <w:sz w:val="22"/>
          <w:szCs w:val="22"/>
        </w:rPr>
        <w:t>Gibbs’ Reflective Cycle</w:t>
      </w:r>
      <w:r w:rsidRPr="00C34D22">
        <w:rPr>
          <w:rFonts w:asciiTheme="minorHAnsi" w:hAnsiTheme="minorHAnsi" w:cstheme="minorHAnsi"/>
          <w:sz w:val="22"/>
          <w:szCs w:val="22"/>
        </w:rPr>
        <w:t xml:space="preserve">. The University of Edinburgh. Available at: </w:t>
      </w:r>
      <w:hyperlink r:id="rId58" w:history="1">
        <w:r w:rsidR="00AE2DD7" w:rsidRPr="00925696">
          <w:rPr>
            <w:rStyle w:val="Hyperlink"/>
            <w:rFonts w:asciiTheme="minorHAnsi" w:hAnsiTheme="minorHAnsi" w:cstheme="minorHAnsi"/>
            <w:sz w:val="22"/>
            <w:szCs w:val="22"/>
          </w:rPr>
          <w:t>https://www.ed.ac.uk/reflection/reflectors-toolkit/reflecting-on-experience/gibbs-reflective-cycle</w:t>
        </w:r>
      </w:hyperlink>
      <w:r w:rsidR="00AE2DD7">
        <w:rPr>
          <w:rFonts w:asciiTheme="minorHAnsi" w:hAnsiTheme="minorHAnsi" w:cstheme="minorHAnsi"/>
          <w:sz w:val="22"/>
          <w:szCs w:val="22"/>
        </w:rPr>
        <w:t xml:space="preserve"> (Accessed 29 September 2022).</w:t>
      </w:r>
    </w:p>
    <w:p w14:paraId="6706116D" w14:textId="6F8E530B" w:rsidR="00390074" w:rsidRDefault="00390074" w:rsidP="00FF7EBB">
      <w:pPr>
        <w:jc w:val="both"/>
        <w:rPr>
          <w:sz w:val="24"/>
          <w:szCs w:val="24"/>
        </w:rPr>
      </w:pPr>
    </w:p>
    <w:p w14:paraId="4214D331" w14:textId="33F6E4EE" w:rsidR="00AE2DD7" w:rsidRDefault="00AE2DD7" w:rsidP="00FF7EBB">
      <w:pPr>
        <w:jc w:val="both"/>
        <w:rPr>
          <w:sz w:val="24"/>
          <w:szCs w:val="24"/>
        </w:rPr>
      </w:pPr>
    </w:p>
    <w:p w14:paraId="21B9480B" w14:textId="5C0D8FB5" w:rsidR="00AE2DD7" w:rsidRDefault="00AE2DD7" w:rsidP="00FF7EBB">
      <w:pPr>
        <w:jc w:val="both"/>
        <w:rPr>
          <w:sz w:val="24"/>
          <w:szCs w:val="24"/>
        </w:rPr>
      </w:pPr>
    </w:p>
    <w:p w14:paraId="0F4EF80F" w14:textId="638F211A" w:rsidR="00AE2DD7" w:rsidRDefault="00AE2DD7" w:rsidP="00FF7EBB">
      <w:pPr>
        <w:jc w:val="both"/>
        <w:rPr>
          <w:sz w:val="24"/>
          <w:szCs w:val="24"/>
        </w:rPr>
      </w:pPr>
    </w:p>
    <w:p w14:paraId="04F5D17E" w14:textId="65728997" w:rsidR="00AE2DD7" w:rsidRDefault="00AE2DD7" w:rsidP="00FF7EBB">
      <w:pPr>
        <w:jc w:val="both"/>
        <w:rPr>
          <w:sz w:val="24"/>
          <w:szCs w:val="24"/>
        </w:rPr>
      </w:pPr>
    </w:p>
    <w:p w14:paraId="7615563F" w14:textId="77777777" w:rsidR="00AE2DD7" w:rsidRPr="00270EEB" w:rsidRDefault="00AE2DD7" w:rsidP="00FF7EBB">
      <w:pPr>
        <w:jc w:val="both"/>
        <w:rPr>
          <w:b/>
          <w:sz w:val="24"/>
          <w:szCs w:val="24"/>
        </w:rPr>
      </w:pPr>
    </w:p>
    <w:p w14:paraId="08F308BB" w14:textId="6E2EB49B"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3562D94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753C6D">
        <w:rPr>
          <w:rFonts w:eastAsia="Arial"/>
          <w:color w:val="000000" w:themeColor="text1"/>
          <w:sz w:val="24"/>
          <w:szCs w:val="24"/>
          <w:highlight w:val="yellow"/>
        </w:rPr>
        <w:t>Saskia Lattka</w:t>
      </w:r>
    </w:p>
    <w:p w14:paraId="7016A26F" w14:textId="77777777" w:rsidR="00426B24" w:rsidRDefault="00426B24" w:rsidP="00426B24">
      <w:pPr>
        <w:jc w:val="both"/>
        <w:rPr>
          <w:color w:val="000000" w:themeColor="text1"/>
          <w:sz w:val="24"/>
          <w:szCs w:val="24"/>
          <w:highlight w:val="yellow"/>
        </w:rPr>
      </w:pPr>
    </w:p>
    <w:p w14:paraId="61C970FF" w14:textId="4BC302FE" w:rsidR="000F7ECD" w:rsidRPr="00753C6D" w:rsidRDefault="00426B24" w:rsidP="00753C6D">
      <w:pPr>
        <w:jc w:val="both"/>
        <w:rPr>
          <w:color w:val="000000" w:themeColor="text1"/>
          <w:sz w:val="24"/>
          <w:szCs w:val="24"/>
          <w:highlight w:val="yellow"/>
        </w:rPr>
        <w:sectPr w:rsidR="000F7ECD" w:rsidRPr="00753C6D" w:rsidSect="0022001B">
          <w:pgSz w:w="11906" w:h="16838" w:code="9"/>
          <w:pgMar w:top="1440" w:right="1440" w:bottom="1440" w:left="1440" w:header="720" w:footer="720" w:gutter="0"/>
          <w:cols w:space="720"/>
          <w:docGrid w:linePitch="272"/>
        </w:sectPr>
      </w:pPr>
      <w:r w:rsidRPr="366F6C5C">
        <w:rPr>
          <w:rFonts w:eastAsia="Arial"/>
          <w:color w:val="000000" w:themeColor="text1"/>
          <w:sz w:val="24"/>
          <w:szCs w:val="24"/>
          <w:highlight w:val="yellow"/>
        </w:rPr>
        <w:t xml:space="preserve">Date: </w:t>
      </w:r>
      <w:r w:rsidR="00753C6D">
        <w:rPr>
          <w:rFonts w:eastAsia="Arial"/>
          <w:color w:val="000000" w:themeColor="text1"/>
          <w:sz w:val="24"/>
          <w:szCs w:val="24"/>
          <w:highlight w:val="yellow"/>
        </w:rPr>
        <w:t>03/11/20</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427CB" w14:textId="77777777" w:rsidR="00B733BF" w:rsidRDefault="00B733BF">
      <w:r>
        <w:separator/>
      </w:r>
    </w:p>
  </w:endnote>
  <w:endnote w:type="continuationSeparator" w:id="0">
    <w:p w14:paraId="50D3B078" w14:textId="77777777" w:rsidR="00B733BF" w:rsidRDefault="00B73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506AB" w14:textId="77777777" w:rsidR="00A22133" w:rsidRDefault="00A22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D7AAC" w14:textId="77777777" w:rsidR="00A22133" w:rsidRDefault="00A22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F5408" w14:textId="77777777" w:rsidR="00B733BF" w:rsidRDefault="00B733BF">
      <w:r>
        <w:separator/>
      </w:r>
    </w:p>
  </w:footnote>
  <w:footnote w:type="continuationSeparator" w:id="0">
    <w:p w14:paraId="1FD7C227" w14:textId="77777777" w:rsidR="00B733BF" w:rsidRDefault="00B733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DF22C" w14:textId="77777777" w:rsidR="00A22133" w:rsidRDefault="00A221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F131" w14:textId="77777777" w:rsidR="00A22133" w:rsidRDefault="00A221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A9D1" w14:textId="77777777" w:rsidR="00A22133" w:rsidRDefault="00A22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8764792">
    <w:abstractNumId w:val="31"/>
  </w:num>
  <w:num w:numId="2" w16cid:durableId="1813474896">
    <w:abstractNumId w:val="1"/>
    <w:lvlOverride w:ilvl="0">
      <w:lvl w:ilvl="0">
        <w:start w:val="1"/>
        <w:numFmt w:val="bullet"/>
        <w:lvlText w:val=""/>
        <w:lvlJc w:val="left"/>
        <w:pPr>
          <w:ind w:left="720" w:hanging="360"/>
        </w:pPr>
        <w:rPr>
          <w:rFonts w:ascii="Symbol" w:hAnsi="Symbol" w:hint="default"/>
        </w:rPr>
      </w:lvl>
    </w:lvlOverride>
  </w:num>
  <w:num w:numId="3" w16cid:durableId="86510576">
    <w:abstractNumId w:val="21"/>
  </w:num>
  <w:num w:numId="4" w16cid:durableId="1737699420">
    <w:abstractNumId w:val="44"/>
  </w:num>
  <w:num w:numId="5" w16cid:durableId="746801479">
    <w:abstractNumId w:val="46"/>
  </w:num>
  <w:num w:numId="6" w16cid:durableId="1136682391">
    <w:abstractNumId w:val="34"/>
  </w:num>
  <w:num w:numId="7" w16cid:durableId="761727393">
    <w:abstractNumId w:val="32"/>
  </w:num>
  <w:num w:numId="8" w16cid:durableId="1630471685">
    <w:abstractNumId w:val="28"/>
  </w:num>
  <w:num w:numId="9" w16cid:durableId="1984383526">
    <w:abstractNumId w:val="29"/>
  </w:num>
  <w:num w:numId="10" w16cid:durableId="2112505990">
    <w:abstractNumId w:val="9"/>
  </w:num>
  <w:num w:numId="11" w16cid:durableId="1928804480">
    <w:abstractNumId w:val="33"/>
  </w:num>
  <w:num w:numId="12" w16cid:durableId="2013406217">
    <w:abstractNumId w:val="16"/>
  </w:num>
  <w:num w:numId="13" w16cid:durableId="1718044377">
    <w:abstractNumId w:val="15"/>
  </w:num>
  <w:num w:numId="14" w16cid:durableId="908076470">
    <w:abstractNumId w:val="25"/>
  </w:num>
  <w:num w:numId="15" w16cid:durableId="675115666">
    <w:abstractNumId w:val="7"/>
  </w:num>
  <w:num w:numId="16" w16cid:durableId="1520856671">
    <w:abstractNumId w:val="24"/>
  </w:num>
  <w:num w:numId="17" w16cid:durableId="277613491">
    <w:abstractNumId w:val="14"/>
  </w:num>
  <w:num w:numId="18" w16cid:durableId="23335697">
    <w:abstractNumId w:val="12"/>
  </w:num>
  <w:num w:numId="19" w16cid:durableId="13057439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4265867">
    <w:abstractNumId w:val="22"/>
  </w:num>
  <w:num w:numId="21" w16cid:durableId="833835346">
    <w:abstractNumId w:val="17"/>
  </w:num>
  <w:num w:numId="22" w16cid:durableId="2047413421">
    <w:abstractNumId w:val="13"/>
  </w:num>
  <w:num w:numId="23" w16cid:durableId="1589584399">
    <w:abstractNumId w:val="10"/>
  </w:num>
  <w:num w:numId="24" w16cid:durableId="1321150506">
    <w:abstractNumId w:val="26"/>
  </w:num>
  <w:num w:numId="25" w16cid:durableId="1136526907">
    <w:abstractNumId w:val="18"/>
  </w:num>
  <w:num w:numId="26" w16cid:durableId="1217012330">
    <w:abstractNumId w:val="40"/>
  </w:num>
  <w:num w:numId="27" w16cid:durableId="1801068811">
    <w:abstractNumId w:val="35"/>
  </w:num>
  <w:num w:numId="28" w16cid:durableId="2045712326">
    <w:abstractNumId w:val="39"/>
  </w:num>
  <w:num w:numId="29" w16cid:durableId="1029834307">
    <w:abstractNumId w:val="19"/>
  </w:num>
  <w:num w:numId="30" w16cid:durableId="164827376">
    <w:abstractNumId w:val="42"/>
  </w:num>
  <w:num w:numId="31" w16cid:durableId="1991247566">
    <w:abstractNumId w:val="30"/>
  </w:num>
  <w:num w:numId="32" w16cid:durableId="1188829277">
    <w:abstractNumId w:val="11"/>
  </w:num>
  <w:num w:numId="33" w16cid:durableId="882137348">
    <w:abstractNumId w:val="43"/>
  </w:num>
  <w:num w:numId="34" w16cid:durableId="1634213250">
    <w:abstractNumId w:val="38"/>
  </w:num>
  <w:num w:numId="35" w16cid:durableId="928806756">
    <w:abstractNumId w:val="4"/>
  </w:num>
  <w:num w:numId="36" w16cid:durableId="302783193">
    <w:abstractNumId w:val="45"/>
  </w:num>
  <w:num w:numId="37" w16cid:durableId="2018771639">
    <w:abstractNumId w:val="41"/>
  </w:num>
  <w:num w:numId="38" w16cid:durableId="2077973526">
    <w:abstractNumId w:val="36"/>
  </w:num>
  <w:num w:numId="39" w16cid:durableId="1343358362">
    <w:abstractNumId w:val="37"/>
  </w:num>
  <w:num w:numId="40" w16cid:durableId="1455640324">
    <w:abstractNumId w:val="3"/>
  </w:num>
  <w:num w:numId="41" w16cid:durableId="177158053">
    <w:abstractNumId w:val="5"/>
  </w:num>
  <w:num w:numId="42" w16cid:durableId="1967007374">
    <w:abstractNumId w:val="23"/>
  </w:num>
  <w:num w:numId="43" w16cid:durableId="945964703">
    <w:abstractNumId w:val="6"/>
  </w:num>
  <w:num w:numId="44" w16cid:durableId="401176495">
    <w:abstractNumId w:val="2"/>
  </w:num>
  <w:num w:numId="45" w16cid:durableId="945885597">
    <w:abstractNumId w:val="0"/>
  </w:num>
  <w:num w:numId="46" w16cid:durableId="1501655083">
    <w:abstractNumId w:val="20"/>
  </w:num>
  <w:num w:numId="47" w16cid:durableId="1649896372">
    <w:abstractNumId w:val="27"/>
  </w:num>
  <w:num w:numId="48" w16cid:durableId="42600444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672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5AB"/>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784"/>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44A84"/>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50E1"/>
    <w:rsid w:val="003C19F1"/>
    <w:rsid w:val="003C4186"/>
    <w:rsid w:val="003C458C"/>
    <w:rsid w:val="003C6185"/>
    <w:rsid w:val="003D0D2D"/>
    <w:rsid w:val="003D1572"/>
    <w:rsid w:val="003D4710"/>
    <w:rsid w:val="003E16D7"/>
    <w:rsid w:val="003E197E"/>
    <w:rsid w:val="004046F0"/>
    <w:rsid w:val="0040668F"/>
    <w:rsid w:val="00412677"/>
    <w:rsid w:val="00417925"/>
    <w:rsid w:val="0042277D"/>
    <w:rsid w:val="00426B24"/>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155C"/>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ADD"/>
    <w:rsid w:val="00513C7D"/>
    <w:rsid w:val="005169D1"/>
    <w:rsid w:val="00521123"/>
    <w:rsid w:val="00521221"/>
    <w:rsid w:val="00535932"/>
    <w:rsid w:val="00536FA9"/>
    <w:rsid w:val="005414F4"/>
    <w:rsid w:val="00546187"/>
    <w:rsid w:val="005463F1"/>
    <w:rsid w:val="00557D77"/>
    <w:rsid w:val="00562EAA"/>
    <w:rsid w:val="00563B58"/>
    <w:rsid w:val="005640C4"/>
    <w:rsid w:val="00564542"/>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27E5"/>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3C6D"/>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1FE4"/>
    <w:rsid w:val="007D3EB4"/>
    <w:rsid w:val="007D3F16"/>
    <w:rsid w:val="007F3F7E"/>
    <w:rsid w:val="007F5497"/>
    <w:rsid w:val="0080759B"/>
    <w:rsid w:val="00813CEC"/>
    <w:rsid w:val="0081534C"/>
    <w:rsid w:val="00815AE5"/>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57C3C"/>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133"/>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B5C85"/>
    <w:rsid w:val="00AC01D4"/>
    <w:rsid w:val="00AC4A04"/>
    <w:rsid w:val="00AD336F"/>
    <w:rsid w:val="00AD3550"/>
    <w:rsid w:val="00AE2564"/>
    <w:rsid w:val="00AE2DD7"/>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33B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2533"/>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47E49"/>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2285"/>
    <w:rsid w:val="00CF3DB3"/>
    <w:rsid w:val="00D052BC"/>
    <w:rsid w:val="00D07026"/>
    <w:rsid w:val="00D11AED"/>
    <w:rsid w:val="00D22C8F"/>
    <w:rsid w:val="00D33491"/>
    <w:rsid w:val="00D36DE0"/>
    <w:rsid w:val="00D44F8E"/>
    <w:rsid w:val="00D44FD0"/>
    <w:rsid w:val="00D607EF"/>
    <w:rsid w:val="00D60F88"/>
    <w:rsid w:val="00D625E7"/>
    <w:rsid w:val="00D646BD"/>
    <w:rsid w:val="00D70239"/>
    <w:rsid w:val="00D71201"/>
    <w:rsid w:val="00D720C7"/>
    <w:rsid w:val="00D7253B"/>
    <w:rsid w:val="00D81D06"/>
    <w:rsid w:val="00D8652C"/>
    <w:rsid w:val="00D876E6"/>
    <w:rsid w:val="00DA1025"/>
    <w:rsid w:val="00DA22EC"/>
    <w:rsid w:val="00DA5860"/>
    <w:rsid w:val="00DB2767"/>
    <w:rsid w:val="00DC4729"/>
    <w:rsid w:val="00DE2EED"/>
    <w:rsid w:val="00DE556F"/>
    <w:rsid w:val="00E03B6D"/>
    <w:rsid w:val="00E17160"/>
    <w:rsid w:val="00E301E6"/>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6927E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57C3C"/>
    <w:rPr>
      <w:color w:val="605E5C"/>
      <w:shd w:val="clear" w:color="auto" w:fill="E1DFDD"/>
    </w:rPr>
  </w:style>
  <w:style w:type="character" w:styleId="FollowedHyperlink">
    <w:name w:val="FollowedHyperlink"/>
    <w:basedOn w:val="DefaultParagraphFont"/>
    <w:uiPriority w:val="99"/>
    <w:semiHidden/>
    <w:unhideWhenUsed/>
    <w:rsid w:val="00AE2D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8660577">
      <w:bodyDiv w:val="1"/>
      <w:marLeft w:val="0"/>
      <w:marRight w:val="0"/>
      <w:marTop w:val="0"/>
      <w:marBottom w:val="0"/>
      <w:divBdr>
        <w:top w:val="none" w:sz="0" w:space="0" w:color="auto"/>
        <w:left w:val="none" w:sz="0" w:space="0" w:color="auto"/>
        <w:bottom w:val="none" w:sz="0" w:space="0" w:color="auto"/>
        <w:right w:val="none" w:sz="0" w:space="0" w:color="auto"/>
      </w:divBdr>
      <w:divsChild>
        <w:div w:id="27364015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gov.uk/government/publications/search-warrants" TargetMode="External"/><Relationship Id="rId21" Type="http://schemas.openxmlformats.org/officeDocument/2006/relationships/hyperlink" Target="https://researchbriefings.files.parliament.uk/documents/CBP-9039/CBP-9039.pdf" TargetMode="External"/><Relationship Id="rId34" Type="http://schemas.openxmlformats.org/officeDocument/2006/relationships/hyperlink" Target="https://www.sleepfoundation.org/bedroom-environment/making-your-room-dark" TargetMode="External"/><Relationship Id="rId42" Type="http://schemas.openxmlformats.org/officeDocument/2006/relationships/hyperlink" Target="https://assets.publishing.service.gov.uk/government/uploads/system/uploads/attachment_data/file/403812/penalty-notice-disorder-police-guidance.pdf" TargetMode="External"/><Relationship Id="rId47" Type="http://schemas.openxmlformats.org/officeDocument/2006/relationships/hyperlink" Target="https://link-springer-com.ezproxy.uwtsd.ac.uk/article/10.1007/s13178-021-00596-5#citeas" TargetMode="External"/><Relationship Id="rId50" Type="http://schemas.openxmlformats.org/officeDocument/2006/relationships/hyperlink" Target="https://www.pnld.co.uk/article/?id=59d1e555-d29b-ec11-b400-6045bd0f1765#:~:text=Section%2023(2)%20of%20the" TargetMode="External"/><Relationship Id="rId55" Type="http://schemas.openxmlformats.org/officeDocument/2006/relationships/hyperlink" Target="https://www.cps.gov.uk/legal-guidance/restorative-justic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public-order/core-principles-and-legislation/police-use-force"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equalityhumanrights.com/en/human-rights-act/article-5-right-liberty-and-security" TargetMode="External"/><Relationship Id="rId37" Type="http://schemas.openxmlformats.org/officeDocument/2006/relationships/hyperlink" Target="https://www.ias.org.uk/2021/09/01/alcohol-related-violence-a-summary-of-research-presented-at-the-2021-british-society-of-criminology-conference/" TargetMode="External"/><Relationship Id="rId40" Type="http://schemas.openxmlformats.org/officeDocument/2006/relationships/hyperlink" Target="https://www.met.police.uk/advice/advice-and-information/hco/hate-crime/what-is-hate-crime/" TargetMode="External"/><Relationship Id="rId45" Type="http://schemas.openxmlformats.org/officeDocument/2006/relationships/hyperlink" Target="https://www.nidirect.gov.uk/articles/what-happens-when-you-drink-alcohol" TargetMode="External"/><Relationship Id="rId53" Type="http://schemas.openxmlformats.org/officeDocument/2006/relationships/hyperlink" Target="https://www.crimeandjustice.org.uk/resources/more-penalties-less-justice#:~:text=The%20" TargetMode="External"/><Relationship Id="rId58"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hatdotheyknow.com/request/482472/response/1166062/attach/4/FOIA%202018%200031%20disclosure%202.pdf?cookie_passthrough=1" TargetMode="External"/><Relationship Id="rId27" Type="http://schemas.openxmlformats.org/officeDocument/2006/relationships/hyperlink" Target="https://www.college.police.uk/article/new-national-hate-crime-guidance-published" TargetMode="External"/><Relationship Id="rId30" Type="http://schemas.openxmlformats.org/officeDocument/2006/relationships/hyperlink" Target="https://www.cps.gov.uk/legal-guidance/drug-offences#:~:text=Possession%20with%20intent%20to%20supply" TargetMode="External"/><Relationship Id="rId35" Type="http://schemas.openxmlformats.org/officeDocument/2006/relationships/hyperlink" Target="https://books.google.co.uk/books?hl=en&amp;lr=&amp;id=6tBl2nylydAC&amp;oi=fnd&amp;pg=PP2&amp;dq=conflict&amp;ots=cXcD5e6Y2i&amp;sig=NKNk47knYseZHnCK0VFZmBN9pWI&amp;redir_esc=y#v=onepage&amp;q=conflict&amp;f=false" TargetMode="External"/><Relationship Id="rId43" Type="http://schemas.openxmlformats.org/officeDocument/2006/relationships/hyperlink" Target="https://www.legislation.gov.uk/ukpga/1971/38/section/4" TargetMode="External"/><Relationship Id="rId48" Type="http://schemas.openxmlformats.org/officeDocument/2006/relationships/hyperlink" Target="https://www.researchgate.net/publication/301218553_Alcohol_and_violence_in_nightlife_and_party_settings_A_qualitative_study" TargetMode="External"/><Relationship Id="rId56" Type="http://schemas.openxmlformats.org/officeDocument/2006/relationships/hyperlink" Target="https://www.ias.org.uk/wp-content/uploads/2021/02/Alcohol-violence-and-crime.pdf" TargetMode="External"/><Relationship Id="rId8" Type="http://schemas.openxmlformats.org/officeDocument/2006/relationships/webSettings" Target="webSettings.xml"/><Relationship Id="rId51" Type="http://schemas.openxmlformats.org/officeDocument/2006/relationships/hyperlink" Target="https://www.psychologytoday.com/gb/basics/bia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ethics/code-of-ethics" TargetMode="External"/><Relationship Id="rId33" Type="http://schemas.openxmlformats.org/officeDocument/2006/relationships/hyperlink" Target="https://www.south-wales.police.uk/SysSiteAssets/media/downloads/south-wales/about-us/policies-and-procedures/english/adults-at-risk---english.pdf" TargetMode="External"/><Relationship Id="rId38" Type="http://schemas.openxmlformats.org/officeDocument/2006/relationships/hyperlink" Target="https://web-p-ebscohost-com.ezproxy.uwtsd.ac.uk/ehost/ebookviewer/ebook/bmxlYmtfXzMyNzMwMTFfX0FO0?sid=53742de3-91c8-47df-9aa6-dc605297ead4@redis&amp;vid=0&amp;format=EK&amp;lpid=navPoint-5&amp;rid=0" TargetMode="External"/><Relationship Id="rId46" Type="http://schemas.openxmlformats.org/officeDocument/2006/relationships/hyperlink" Target="https://www.ons.gov.uk/peoplepopulationandcommunity/crimeandjustice/bulletins/crimeinenglandandwales/yearendingdecember2018" TargetMode="External"/><Relationship Id="rId59" Type="http://schemas.openxmlformats.org/officeDocument/2006/relationships/fontTable" Target="fontTable.xml"/><Relationship Id="rId20" Type="http://schemas.openxmlformats.org/officeDocument/2006/relationships/hyperlink" Target="https://www.achievemedicalcenter.com/blog-post/how-does-stress-manifest-itself" TargetMode="External"/><Relationship Id="rId41" Type="http://schemas.openxmlformats.org/officeDocument/2006/relationships/hyperlink" Target="https://www.mindtools.com/pages/article/reflective-cycle.htm" TargetMode="External"/><Relationship Id="rId54" Type="http://schemas.openxmlformats.org/officeDocument/2006/relationships/hyperlink" Target="https://www.ias.org.uk/uploads/pdf/News%20stories/balance-report-march2013.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assets.college.police.uk/s3fs-public/2020-11/Resources_for_reflective_practice_v1_0.pdf" TargetMode="External"/><Relationship Id="rId28" Type="http://schemas.openxmlformats.org/officeDocument/2006/relationships/hyperlink" Target="https://www.college.police.uk/guidance/victims-code/victims-rights-policing" TargetMode="External"/><Relationship Id="rId36" Type="http://schemas.openxmlformats.org/officeDocument/2006/relationships/hyperlink" Target="https://www.gov.uk/government/statistics/hate-crime-england-and-wales-2019-to-2020/hate-crime-england-and-wales-2019-to-2020" TargetMode="External"/><Relationship Id="rId49" Type="http://schemas.openxmlformats.org/officeDocument/2006/relationships/hyperlink" Target="https://www.legislation.gov.uk/ukpga/1996/16/section/89" TargetMode="External"/><Relationship Id="rId57" Type="http://schemas.openxmlformats.org/officeDocument/2006/relationships/hyperlink" Target="https://www.ucl.ac.uk/students/news/2020/may/study-boosting-benefits-exercise" TargetMode="External"/><Relationship Id="rId10" Type="http://schemas.openxmlformats.org/officeDocument/2006/relationships/endnotes" Target="endnotes.xml"/><Relationship Id="rId31" Type="http://schemas.openxmlformats.org/officeDocument/2006/relationships/hyperlink" Target="https://www.cps.gov.uk/legal-guidance/disclosure-manual-chapter-4-relevance-recording-and-retention" TargetMode="External"/><Relationship Id="rId44" Type="http://schemas.openxmlformats.org/officeDocument/2006/relationships/hyperlink" Target="https://www.niaaa.nih.gov/alcohols-effects-health/alcohols-effects-body#:~:text=Alcohol%20interferes%20with%20the%20brain" TargetMode="External"/><Relationship Id="rId52" Type="http://schemas.openxmlformats.org/officeDocument/2006/relationships/hyperlink" Target="https://www.legislation.gov.uk/ukpga/1986/64"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The20</b:Tag>
    <b:SourceType>InternetSite</b:SourceType>
    <b:Guid>{797C908F-F8DB-4B00-94D6-F6645667C722}</b:Guid>
    <b:Title>Gibbs' Reflective Cycle</b:Title>
    <b:Year>2020</b:Year>
    <b:Author>
      <b:Author>
        <b:NameList>
          <b:Person>
            <b:Last>Edinburgh</b:Last>
            <b:First>The</b:First>
            <b:Middle>University of</b:Middle>
          </b:Person>
        </b:NameList>
      </b:Author>
    </b:Author>
    <b:YearAccessed>2022</b:YearAccessed>
    <b:MonthAccessed>September</b:MonthAccessed>
    <b:DayAccessed>28</b:DayAccessed>
    <b:URL>https://www.ed.ac.uk/reflection/reflectors-toolkit/reflecting-on-experience/gibbs-reflective-cycle</b:URL>
    <b:RefOrder>2</b:RefOrder>
  </b:Source>
  <b:Source>
    <b:Tag>Col16</b:Tag>
    <b:SourceType>DocumentFromInternetSite</b:SourceType>
    <b:Guid>{284FCA26-97B0-4003-B8F1-C768C0FDB399}</b:Guid>
    <b:Author>
      <b:Author>
        <b:Corporate>College of Policing</b:Corporate>
      </b:Author>
    </b:Author>
    <b:Title>Resources for reflective practice</b:Title>
    <b:Year>2016</b:Year>
    <b:YearAccessed>2022</b:YearAccessed>
    <b:MonthAccessed>Septemeber</b:MonthAccessed>
    <b:DayAccessed>28</b:DayAccessed>
    <b:URL>https://assets.college.police.uk/s3fs-public/2020-11/Resources_for_reflective_practice_v1_0.pdf</b:URL>
    <b:RefOrder>3</b:RefOrder>
  </b:Source>
  <b:Source>
    <b:Tag>Ach21</b:Tag>
    <b:SourceType>InternetSite</b:SourceType>
    <b:Guid>{932B94D9-5182-4202-86EE-143864E32ADD}</b:Guid>
    <b:Author>
      <b:Author>
        <b:Corporate>Achieve medical center</b:Corporate>
      </b:Author>
    </b:Author>
    <b:Title>How Does Stress Manifest Itself?</b:Title>
    <b:Year>2021</b:Year>
    <b:YearAccessed>2022</b:YearAccessed>
    <b:MonthAccessed>Septemeber</b:MonthAccessed>
    <b:DayAccessed>29</b:DayAccessed>
    <b:URL>https://www.achievemedicalcenter.com/blog-post/how-does-stress-manifest-itself</b:URL>
    <b:RefOrder>4</b:RefOrder>
  </b:Source>
  <b:Source>
    <b:Tag>NMa18</b:Tag>
    <b:SourceType>JournalArticle</b:SourceType>
    <b:Guid>{774C21C0-3A4E-4FAC-8B7F-70B68FE7DEE1}</b:Guid>
    <b:Title>Work-related stress as a cardiovascular risk factor in police officers: a systematic review of evidence</b:Title>
    <b:Year>2018</b:Year>
    <b:Author>
      <b:Author>
        <b:NameList>
          <b:Person>
            <b:Last>Magnavita</b:Last>
            <b:First>N.</b:First>
          </b:Person>
          <b:Person>
            <b:Last> Capitanelli</b:Last>
            <b:First>I</b:First>
          </b:Person>
          <b:Person>
            <b:Last>Garbarino </b:Last>
            <b:First>S</b:First>
          </b:Person>
          <b:Person>
            <b:Last>Pira </b:Last>
            <b:Middle>E</b:Middle>
          </b:Person>
        </b:NameList>
      </b:Author>
    </b:Author>
    <b:JournalName>International Archives of Occupational and Environmental Health</b:JournalName>
    <b:Pages>377–389</b:Pages>
    <b:Volume>91</b:Volume>
    <b:RefOrder>5</b:RefOrder>
  </b:Source>
  <b:Source>
    <b:Tag>Maw18</b:Tag>
    <b:SourceType>JournalArticle</b:SourceType>
    <b:Guid>{FF9F6DE7-0258-4EF3-AA1C-56A1C4CEC032}</b:Guid>
    <b:Author>
      <b:Author>
        <b:NameList>
          <b:Person>
            <b:Last>Mawby</b:Last>
            <b:First>Rob</b:First>
            <b:Middle>C</b:Middle>
          </b:Person>
          <b:Person>
            <b:Last>Zempi</b:Last>
            <b:First>Irene</b:First>
          </b:Person>
        </b:NameList>
      </b:Author>
    </b:Author>
    <b:Title>Police officers’ experiences as victims of hate crime</b:Title>
    <b:JournalName>Policing : an international journal of police strategies &amp; management</b:JournalName>
    <b:Year>2018</b:Year>
    <b:Pages>526-538</b:Pages>
    <b:Volume>41(5)</b:Volume>
    <b:RefOrder>1</b:RefOrder>
  </b:Source>
  <b:Source>
    <b:Tag>Smi16</b:Tag>
    <b:SourceType>Book</b:SourceType>
    <b:Guid>{FCD00A7E-34A8-4818-A619-84236B9A7C2A}</b:Guid>
    <b:Title>Stories of resilience : resilience in the practice of police work</b:Title>
    <b:Year>2016</b:Year>
    <b:Author>
      <b:Author>
        <b:NameList>
          <b:Person>
            <b:Last>Smit</b:Last>
            <b:First>Annika</b:First>
          </b:Person>
          <b:Person>
            <b:Last>Slagmolen</b:Last>
            <b:First>Nanette </b:First>
          </b:Person>
          <b:Person>
            <b:Last>Brepoels</b:Last>
            <b:First>Marion</b:First>
          </b:Person>
        </b:NameList>
      </b:Author>
    </b:Author>
    <b:City>Hague, Netherlands</b:City>
    <b:Publisher> Eleven International Publishing</b:Publisher>
    <b:Edition>11th</b:Edition>
    <b:RefOrder>6</b:RefOrder>
  </b:Source>
  <b:Source>
    <b:Tag>Her11</b:Tag>
    <b:SourceType>JournalArticle</b:SourceType>
    <b:Guid>{12C1E5EF-CD47-4C2C-AC21-4E50E50211CE}</b:Guid>
    <b:Title>What is Resilience?</b:Title>
    <b:Year>2011</b:Year>
    <b:Author>
      <b:Author>
        <b:NameList>
          <b:Person>
            <b:Last>Herrman</b:Last>
            <b:First>Helen</b:First>
          </b:Person>
          <b:Person>
            <b:Last>Stewart</b:Last>
            <b:Middle>E</b:Middle>
            <b:First>Donna</b:First>
          </b:Person>
          <b:Person>
            <b:Last>Diaz-Granados</b:Last>
            <b:First>Natalia </b:First>
          </b:Person>
          <b:Person>
            <b:Last>Berger</b:Last>
            <b:Middle>L</b:Middle>
            <b:First>Elena</b:First>
          </b:Person>
          <b:Person>
            <b:Last>Jackson</b:Last>
            <b:First>Beth</b:First>
          </b:Person>
          <b:Person>
            <b:Last>Yuen</b:Last>
            <b:First>Tracy</b:First>
          </b:Person>
        </b:NameList>
      </b:Author>
    </b:Author>
    <b:JournalName>The Canadian Journal of Psychiatry</b:JournalName>
    <b:Pages>258 - 265</b:Pages>
    <b:Volume>56</b:Volume>
    <b:Issue>5</b:Issue>
    <b:RefOrder>7</b:RefOrder>
  </b:Source>
  <b:Source>
    <b:Tag>Pat21</b:Tag>
    <b:SourceType>BookSection</b:SourceType>
    <b:Guid>{CD25A2D1-AB77-4777-8636-1D69EFB5E134}</b:Guid>
    <b:Title>Trauma and Resilience in Contemporary Australian Policing</b:Title>
    <b:Year>2021</b:Year>
    <b:Pages>139–166</b:Pages>
    <b:Author>
      <b:Author>
        <b:NameList>
          <b:Person>
            <b:Last>Paterson</b:Last>
            <b:First>Andrew</b:First>
          </b:Person>
        </b:NameList>
      </b:Author>
    </b:Author>
    <b:Publisher>Springer, Singapore</b:Publisher>
    <b:RefOrder>8</b:RefOrder>
  </b:Source>
  <b:Source>
    <b:Tag>Phi20</b:Tag>
    <b:SourceType>Interview</b:SourceType>
    <b:Guid>{40B613F9-2E3C-46EB-AE0B-2A9AB395DD8D}</b:Guid>
    <b:Title>How Getting Shredded Helped This Trans Man Find His Confidence</b:Title>
    <b:Year>2020</b:Year>
    <b:Author>
      <b:Interviewee>
        <b:NameList>
          <b:Person>
            <b:Last>Ellis</b:Last>
            <b:First>Philip</b:First>
          </b:Person>
        </b:NameList>
      </b:Interviewee>
    </b:Author>
    <b:Month>January</b:Month>
    <b:Day>25</b:Day>
    <b:RefOrder>9</b:RefOrder>
  </b:Source>
  <b:Source>
    <b:Tag>Uni20</b:Tag>
    <b:SourceType>InternetSite</b:SourceType>
    <b:Guid>{0CEA3E91-EE2B-4E0E-98AA-855CA413743B}</b:Guid>
    <b:Title>Study-boosting benefits of exercise</b:Title>
    <b:Year>2020</b:Year>
    <b:Author>
      <b:Author>
        <b:Corporate>University College London</b:Corporate>
      </b:Author>
    </b:Author>
    <b:YearAccessed>2022</b:YearAccessed>
    <b:MonthAccessed>Septemeber</b:MonthAccessed>
    <b:DayAccessed>29</b:DayAccessed>
    <b:URL>https://www.ucl.ac.uk/students/news/2020/may/study-boosting-benefits-exercise</b:URL>
    <b:RefOrder>10</b:RefOrder>
  </b:Source>
  <b:Source>
    <b:Tag>Ale22</b:Tag>
    <b:SourceType>InternetSite</b:SourceType>
    <b:Guid>{5878EDDD-FE20-4E89-8DC8-66CA5CEA40B2}</b:Guid>
    <b:Title>How To Make Your Room Dark</b:Title>
    <b:Year>2022</b:Year>
    <b:YearAccessed>2022</b:YearAccessed>
    <b:MonthAccessed>September</b:MonthAccessed>
    <b:DayAccessed>29</b:DayAccessed>
    <b:URL>https://www.sleepfoundation.org/bedroom-environment/making-your-room-dark</b:URL>
    <b:Author>
      <b:Author>
        <b:NameList>
          <b:Person>
            <b:Last>Fry</b:Last>
            <b:First>Alexa</b:First>
          </b:Person>
        </b:NameList>
      </b:Author>
    </b:Author>
    <b:RefOrder>11</b:RefOrder>
  </b:Source>
  <b:Source>
    <b:Tag>Ahr12</b:Tag>
    <b:SourceType>JournalArticle</b:SourceType>
    <b:Guid>{7C544CE9-50AF-45DD-AA93-3043567EB1D3}</b:Guid>
    <b:Title>The interaction between sleep quality and academic performance</b:Title>
    <b:Year>2012</b:Year>
    <b:Author>
      <b:Author>
        <b:NameList>
          <b:Person>
            <b:Last>Ahrberg</b:Last>
            <b:First>K</b:First>
          </b:Person>
          <b:Person>
            <b:Last>Dresler</b:Last>
            <b:First>Martin</b:First>
          </b:Person>
          <b:Person>
            <b:Last>Niedermaier</b:Last>
            <b:First>Sophie</b:First>
          </b:Person>
          <b:Person>
            <b:Last>Steiger</b:Last>
            <b:First>Axel</b:First>
          </b:Person>
          <b:Person>
            <b:Last>Genzel</b:Last>
            <b:First>Lisa</b:First>
          </b:Person>
        </b:NameList>
      </b:Author>
    </b:Author>
    <b:JournalName>Journal of Psychiatric Research</b:JournalName>
    <b:Pages>Pages 1618-1622</b:Pages>
    <b:Volume>46</b:Volume>
    <b:Issue>12</b:Issue>
    <b:RefOrder>12</b:RefOrder>
  </b:Source>
</b:Sourc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931EF7-B251-4CA8-A6A2-ACB31476D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9501</Words>
  <Characters>54161</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Kiana Lattka</cp:lastModifiedBy>
  <cp:revision>2</cp:revision>
  <cp:lastPrinted>2014-08-26T08:55:00Z</cp:lastPrinted>
  <dcterms:created xsi:type="dcterms:W3CDTF">2022-11-03T16:01:00Z</dcterms:created>
  <dcterms:modified xsi:type="dcterms:W3CDTF">2022-11-03T16:01:00Z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2022-09-23T10:36:07Z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9a0eb0ff-4ac2-4edf-98f6-24ff8224f252</vt:lpwstr>
  </property>
  <property fmtid="{D5CDD505-2E9C-101B-9397-08002B2CF9AE}" pid="9" name="MSIP_Label_66cf8fe5-b7b7-4df7-b38d-1c61ac2f6639_ContentBits">
    <vt:lpwstr>0</vt:lpwstr>
  </property>
</Properties>
</file>