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877D5" w:rsidRDefault="00276FD4">
      <w:pPr>
        <w:rPr>
          <w:u w:val="single"/>
        </w:rPr>
      </w:pPr>
      <w:r>
        <w:rPr>
          <w:u w:val="single"/>
        </w:rPr>
        <w:t xml:space="preserve">Name: Shabana Tabasum </w:t>
      </w:r>
    </w:p>
    <w:p w14:paraId="00000002" w14:textId="77777777" w:rsidR="00B877D5" w:rsidRDefault="00276FD4">
      <w:pPr>
        <w:rPr>
          <w:u w:val="single"/>
        </w:rPr>
      </w:pPr>
      <w:r>
        <w:rPr>
          <w:u w:val="single"/>
        </w:rPr>
        <w:t>Student: 2331699</w:t>
      </w:r>
    </w:p>
    <w:p w14:paraId="00000003" w14:textId="77777777" w:rsidR="00B877D5" w:rsidRDefault="00B877D5">
      <w:pPr>
        <w:rPr>
          <w:u w:val="single"/>
        </w:rPr>
      </w:pPr>
    </w:p>
    <w:p w14:paraId="00000004" w14:textId="77777777" w:rsidR="00B877D5" w:rsidRDefault="00276FD4">
      <w:pPr>
        <w:rPr>
          <w:u w:val="single"/>
        </w:rPr>
      </w:pPr>
      <w:r>
        <w:rPr>
          <w:u w:val="single"/>
        </w:rPr>
        <w:t xml:space="preserve">Module No: BMHP 5016 </w:t>
      </w:r>
    </w:p>
    <w:p w14:paraId="00000005" w14:textId="77777777" w:rsidR="00B877D5" w:rsidRDefault="00B877D5">
      <w:pPr>
        <w:rPr>
          <w:u w:val="single"/>
        </w:rPr>
      </w:pPr>
    </w:p>
    <w:p w14:paraId="00000006" w14:textId="77777777" w:rsidR="00B877D5" w:rsidRDefault="00276FD4">
      <w:pPr>
        <w:rPr>
          <w:u w:val="single"/>
        </w:rPr>
      </w:pPr>
      <w:r>
        <w:rPr>
          <w:u w:val="single"/>
        </w:rPr>
        <w:t xml:space="preserve">PRINCIPLES OF HEALTH AND SOCIAL CARE PRACTICE </w:t>
      </w:r>
    </w:p>
    <w:p w14:paraId="00000007" w14:textId="77777777" w:rsidR="00B877D5" w:rsidRDefault="00B877D5">
      <w:pPr>
        <w:rPr>
          <w:u w:val="single"/>
        </w:rPr>
      </w:pPr>
    </w:p>
    <w:p w14:paraId="00000008" w14:textId="77777777" w:rsidR="00B877D5" w:rsidRDefault="00276FD4">
      <w:pPr>
        <w:rPr>
          <w:u w:val="single"/>
        </w:rPr>
      </w:pPr>
      <w:r>
        <w:rPr>
          <w:u w:val="single"/>
        </w:rPr>
        <w:t xml:space="preserve">MODULE TUTOR NAME: DEBRA ODEH </w:t>
      </w:r>
    </w:p>
    <w:p w14:paraId="00000009" w14:textId="77777777" w:rsidR="00B877D5" w:rsidRDefault="00B877D5"/>
    <w:p w14:paraId="0000000A" w14:textId="77777777" w:rsidR="00B877D5" w:rsidRDefault="00B877D5"/>
    <w:p w14:paraId="0000000B" w14:textId="77777777" w:rsidR="00B877D5" w:rsidRDefault="00276FD4">
      <w:pPr>
        <w:rPr>
          <w:b/>
          <w:bCs/>
          <w:u w:val="single"/>
        </w:rPr>
      </w:pPr>
      <w:r>
        <w:rPr>
          <w:b/>
          <w:bCs/>
          <w:u w:val="single"/>
        </w:rPr>
        <w:t>Written assignment - Component 2</w:t>
      </w:r>
    </w:p>
    <w:p w14:paraId="0000000C" w14:textId="77777777" w:rsidR="00B877D5" w:rsidRDefault="00B877D5">
      <w:pPr>
        <w:rPr>
          <w:b/>
          <w:bCs/>
        </w:rPr>
      </w:pPr>
    </w:p>
    <w:p w14:paraId="0000000D" w14:textId="77777777" w:rsidR="00B877D5" w:rsidRDefault="00276FD4">
      <w:pPr>
        <w:rPr>
          <w:b/>
          <w:bCs/>
          <w:u w:val="single"/>
        </w:rPr>
      </w:pPr>
      <w:r>
        <w:rPr>
          <w:b/>
          <w:bCs/>
          <w:u w:val="single"/>
        </w:rPr>
        <w:t>Table of Content:</w:t>
      </w:r>
    </w:p>
    <w:p w14:paraId="0000000E" w14:textId="77777777" w:rsidR="00B877D5" w:rsidRDefault="00276FD4">
      <w:pPr>
        <w:numPr>
          <w:ilvl w:val="0"/>
          <w:numId w:val="1"/>
        </w:numPr>
        <w:rPr>
          <w:b/>
          <w:bCs/>
        </w:rPr>
      </w:pPr>
      <w:r>
        <w:rPr>
          <w:b/>
          <w:bCs/>
        </w:rPr>
        <w:t>Definition and Critical Analysis of Person - Centred Care</w:t>
      </w:r>
    </w:p>
    <w:p w14:paraId="0000000F" w14:textId="77777777" w:rsidR="00B877D5" w:rsidRDefault="00276FD4">
      <w:pPr>
        <w:numPr>
          <w:ilvl w:val="0"/>
          <w:numId w:val="1"/>
        </w:numPr>
        <w:rPr>
          <w:b/>
          <w:bCs/>
        </w:rPr>
      </w:pPr>
      <w:r>
        <w:rPr>
          <w:b/>
          <w:bCs/>
        </w:rPr>
        <w:t>Theoretical Framework Supporting PCC</w:t>
      </w:r>
    </w:p>
    <w:p w14:paraId="00000010" w14:textId="77777777" w:rsidR="00B877D5" w:rsidRDefault="00276FD4">
      <w:pPr>
        <w:numPr>
          <w:ilvl w:val="0"/>
          <w:numId w:val="1"/>
        </w:numPr>
        <w:rPr>
          <w:b/>
          <w:bCs/>
        </w:rPr>
      </w:pPr>
      <w:r>
        <w:rPr>
          <w:b/>
          <w:bCs/>
        </w:rPr>
        <w:t>Ethical Foundations in Health and Social Care</w:t>
      </w:r>
    </w:p>
    <w:p w14:paraId="00000011" w14:textId="77777777" w:rsidR="00B877D5" w:rsidRDefault="00276FD4">
      <w:pPr>
        <w:numPr>
          <w:ilvl w:val="0"/>
          <w:numId w:val="1"/>
        </w:numPr>
        <w:rPr>
          <w:b/>
          <w:bCs/>
        </w:rPr>
      </w:pPr>
      <w:r>
        <w:rPr>
          <w:b/>
          <w:bCs/>
        </w:rPr>
        <w:t>Evaluation of Partnership Working</w:t>
      </w:r>
    </w:p>
    <w:p w14:paraId="00000012" w14:textId="77777777" w:rsidR="00B877D5" w:rsidRDefault="00276FD4">
      <w:pPr>
        <w:numPr>
          <w:ilvl w:val="0"/>
          <w:numId w:val="1"/>
        </w:numPr>
        <w:rPr>
          <w:b/>
          <w:bCs/>
        </w:rPr>
      </w:pPr>
      <w:r>
        <w:rPr>
          <w:b/>
          <w:bCs/>
        </w:rPr>
        <w:t>Application of Partnership Working in a Health and Social Care setting</w:t>
      </w:r>
    </w:p>
    <w:p w14:paraId="00000013" w14:textId="77777777" w:rsidR="00B877D5" w:rsidRDefault="00276FD4">
      <w:pPr>
        <w:numPr>
          <w:ilvl w:val="0"/>
          <w:numId w:val="1"/>
        </w:numPr>
        <w:rPr>
          <w:b/>
          <w:bCs/>
        </w:rPr>
      </w:pPr>
      <w:r>
        <w:rPr>
          <w:b/>
          <w:bCs/>
        </w:rPr>
        <w:t>Relevant Policy and Legislations in Person - Centred Care and Partnership Working</w:t>
      </w:r>
    </w:p>
    <w:p w14:paraId="00000014" w14:textId="77777777" w:rsidR="00B877D5" w:rsidRDefault="00276FD4">
      <w:pPr>
        <w:numPr>
          <w:ilvl w:val="0"/>
          <w:numId w:val="1"/>
        </w:numPr>
        <w:rPr>
          <w:b/>
          <w:bCs/>
        </w:rPr>
      </w:pPr>
      <w:r>
        <w:rPr>
          <w:b/>
          <w:bCs/>
        </w:rPr>
        <w:t xml:space="preserve">Future Development Recommendations </w:t>
      </w:r>
    </w:p>
    <w:p w14:paraId="00000015" w14:textId="77777777" w:rsidR="00B877D5" w:rsidRDefault="00276FD4">
      <w:pPr>
        <w:numPr>
          <w:ilvl w:val="0"/>
          <w:numId w:val="1"/>
        </w:numPr>
        <w:rPr>
          <w:b/>
          <w:bCs/>
        </w:rPr>
      </w:pPr>
      <w:r>
        <w:rPr>
          <w:b/>
          <w:bCs/>
        </w:rPr>
        <w:t>Conclusion</w:t>
      </w:r>
    </w:p>
    <w:p w14:paraId="00000016" w14:textId="77777777" w:rsidR="00B877D5" w:rsidRDefault="00B877D5">
      <w:pPr>
        <w:rPr>
          <w:b/>
          <w:bCs/>
        </w:rPr>
      </w:pPr>
    </w:p>
    <w:p w14:paraId="00000017" w14:textId="77777777" w:rsidR="00B877D5" w:rsidRDefault="00276FD4">
      <w:pPr>
        <w:rPr>
          <w:b/>
          <w:bCs/>
        </w:rPr>
      </w:pPr>
      <w:r>
        <w:rPr>
          <w:b/>
          <w:bCs/>
        </w:rPr>
        <w:t xml:space="preserve">Introduction </w:t>
      </w:r>
    </w:p>
    <w:p w14:paraId="00000018" w14:textId="77777777" w:rsidR="00B877D5" w:rsidRDefault="00B877D5">
      <w:pPr>
        <w:rPr>
          <w:b/>
          <w:bCs/>
        </w:rPr>
      </w:pPr>
    </w:p>
    <w:p w14:paraId="00000019" w14:textId="77777777" w:rsidR="00B877D5" w:rsidRDefault="00276FD4">
      <w:r>
        <w:t xml:space="preserve">In today's health and social care settings, Person-Centred Care (PCC) stands at the heart of good practice. It represents a move away from routine, task based approaches towards care that truly values each person’s individuality, dignity, and voice. This essay will explore what PCC really means in practice, looking closely at the theories that support it and the ethical principles that ensure care is delivered with compassion and respect. It will also examine how Partnership Working (PW) strengthens person </w:t>
      </w:r>
      <w:r>
        <w:t>centred approaches by encouraging open communication and shared decision-making between professionals, service users, and their families. In addition, the essay will discuss key policies and legislation that shape and protect these practices, ensuring that care remains fair, inclusive, and effective. Additionally, it will review pertinent laws and offer suggestions for improving these methods going forward. By drawing both theory and real - world examples, this discussion aims to highlight how PCC and PW wo</w:t>
      </w:r>
      <w:r>
        <w:t xml:space="preserve">rk together to improve people’s experiences of care, and how these approaches can continue to develop in the future to meet the changing needs of individual communities. </w:t>
      </w:r>
    </w:p>
    <w:p w14:paraId="0000001A" w14:textId="77777777" w:rsidR="00B877D5" w:rsidRDefault="00B877D5"/>
    <w:p w14:paraId="0000001B" w14:textId="77777777" w:rsidR="00B877D5" w:rsidRDefault="00B877D5">
      <w:pPr>
        <w:rPr>
          <w:b/>
          <w:bCs/>
        </w:rPr>
      </w:pPr>
    </w:p>
    <w:p w14:paraId="0000001C" w14:textId="77777777" w:rsidR="00B877D5" w:rsidRDefault="00276FD4">
      <w:pPr>
        <w:rPr>
          <w:b/>
          <w:bCs/>
        </w:rPr>
      </w:pPr>
      <w:r>
        <w:rPr>
          <w:b/>
          <w:bCs/>
        </w:rPr>
        <w:t>1. Definition and Critical Analysis of Person - Centred Care</w:t>
      </w:r>
    </w:p>
    <w:p w14:paraId="0000001D" w14:textId="77777777" w:rsidR="00B877D5" w:rsidRDefault="00B877D5"/>
    <w:p w14:paraId="0000001E" w14:textId="77777777" w:rsidR="00B877D5" w:rsidRDefault="00276FD4">
      <w:pPr>
        <w:rPr>
          <w:rFonts w:ascii="Roboto" w:eastAsia="Roboto" w:hAnsi="Roboto" w:cs="Roboto"/>
          <w:color w:val="2C3E50"/>
          <w:sz w:val="23"/>
          <w:szCs w:val="23"/>
          <w:highlight w:val="white"/>
        </w:rPr>
      </w:pPr>
      <w:r>
        <w:t xml:space="preserve">Person-centred care is a method of providing support and healthcare and emphasizes each person’s particular needs, preferences, rights and values. It treats people as complete individuals rather than as a group of symptoms or ailments. Working with the person, </w:t>
      </w:r>
      <w:proofErr w:type="spellStart"/>
      <w:r>
        <w:t>honoring</w:t>
      </w:r>
      <w:proofErr w:type="spellEnd"/>
      <w:r>
        <w:t xml:space="preserve"> their preferences, encouraging self - reliance, and incorporating them in decisions regarding their care and treatment are all part of it. </w:t>
      </w:r>
      <w:r>
        <w:rPr>
          <w:rFonts w:ascii="Roboto" w:eastAsia="Roboto" w:hAnsi="Roboto" w:cs="Roboto"/>
          <w:color w:val="2C3E50"/>
          <w:sz w:val="23"/>
          <w:szCs w:val="23"/>
          <w:highlight w:val="white"/>
        </w:rPr>
        <w:t xml:space="preserve">(NHS England, 2024). This method </w:t>
      </w:r>
      <w:r>
        <w:rPr>
          <w:rFonts w:ascii="Roboto" w:eastAsia="Roboto" w:hAnsi="Roboto" w:cs="Roboto"/>
          <w:color w:val="2C3E50"/>
          <w:sz w:val="23"/>
          <w:szCs w:val="23"/>
          <w:highlight w:val="white"/>
        </w:rPr>
        <w:lastRenderedPageBreak/>
        <w:t>encourages cooperation, respect, and dignity between patients and medical staff. According to research, PCC can result in better treatment adherence, general health outcomes, and increased happiness, wellbeing and trust (Ekman et al., 2020). PCC fosters closer ties between patients and caregivers by emphasizing teamwork and commu</w:t>
      </w:r>
      <w:r>
        <w:rPr>
          <w:rFonts w:ascii="Roboto" w:eastAsia="Roboto" w:hAnsi="Roboto" w:cs="Roboto"/>
          <w:color w:val="2C3E50"/>
          <w:sz w:val="23"/>
          <w:szCs w:val="23"/>
          <w:highlight w:val="white"/>
        </w:rPr>
        <w:t>nication. But there are still obstacles in the way of successfully putting this strategy into practice. It can be challenging to provide genuinely individualised care due to organizational limitations, staffing shortages, and time constraints. Furthermore, it can be challenging to gauge PCC’s effectiveness in various healthcare contexts due to the absence of a standardised definition of methodology. (2024)</w:t>
      </w:r>
    </w:p>
    <w:p w14:paraId="0000001F" w14:textId="77777777" w:rsidR="00B877D5" w:rsidRDefault="00B877D5">
      <w:pPr>
        <w:rPr>
          <w:rFonts w:ascii="Roboto" w:eastAsia="Roboto" w:hAnsi="Roboto" w:cs="Roboto"/>
          <w:color w:val="2C3E50"/>
          <w:sz w:val="23"/>
          <w:szCs w:val="23"/>
          <w:highlight w:val="white"/>
        </w:rPr>
      </w:pPr>
    </w:p>
    <w:p w14:paraId="00000020"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 xml:space="preserve">PCC and PW have become indispensable for improving both service efficiency and patient experience, particularly among the ageing populations and individuals with chronic conditions, because of the growing complexity of patient requirements. Embedded within policy frameworks such as the Health and Care Act 2022 (UK Government, 2012) and the Care Act 2014. These approaches reflect legislative commitments to inclusivity, equity, and empowerment, as well as ethical obligations. </w:t>
      </w:r>
    </w:p>
    <w:p w14:paraId="00000021" w14:textId="77777777" w:rsidR="00B877D5" w:rsidRDefault="00B877D5">
      <w:pPr>
        <w:rPr>
          <w:rFonts w:ascii="Roboto" w:eastAsia="Roboto" w:hAnsi="Roboto" w:cs="Roboto"/>
          <w:color w:val="2C3E50"/>
          <w:sz w:val="23"/>
          <w:szCs w:val="23"/>
          <w:highlight w:val="white"/>
        </w:rPr>
      </w:pPr>
    </w:p>
    <w:p w14:paraId="00000022"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This report critically examines the legislative context, ethical dimensions, practical application, conceptual foundation, and practical application of PCC and PW in the United Kingdom. It also assesses their future potential, challenges, and benefits by employing the dementia care setting as a practice example. Recommendations are offered to facilitate the ongoing transition to a more collaborative and person centred health and social care environment. The objective of the report is to assess the importanc</w:t>
      </w:r>
      <w:r>
        <w:rPr>
          <w:rFonts w:ascii="Roboto" w:eastAsia="Roboto" w:hAnsi="Roboto" w:cs="Roboto"/>
          <w:color w:val="2C3E50"/>
          <w:sz w:val="23"/>
          <w:szCs w:val="23"/>
          <w:highlight w:val="white"/>
        </w:rPr>
        <w:t>e of PCC and PW as fundamental components of modern care models. This report investigates the ways in which PCC and the PW improve service delivery by critically analysing key policies, including the Care Act 2014 and the NHS Long Term Plan (NHS English, 2019), and by examining supportive theory such as Carl Rogers’ humanistic approach. It also assesses ethical considerations, investigates partnership practices in real - world contexts, and concludes with suggestions for enhancing PCC and PW outcomes in the</w:t>
      </w:r>
      <w:r>
        <w:rPr>
          <w:rFonts w:ascii="Roboto" w:eastAsia="Roboto" w:hAnsi="Roboto" w:cs="Roboto"/>
          <w:color w:val="2C3E50"/>
          <w:sz w:val="23"/>
          <w:szCs w:val="23"/>
          <w:highlight w:val="white"/>
        </w:rPr>
        <w:t xml:space="preserve"> UK’s Health and Social care Sector. </w:t>
      </w:r>
    </w:p>
    <w:p w14:paraId="00000023" w14:textId="77777777" w:rsidR="00B877D5" w:rsidRDefault="00B877D5">
      <w:pPr>
        <w:rPr>
          <w:rFonts w:ascii="Roboto" w:eastAsia="Roboto" w:hAnsi="Roboto" w:cs="Roboto"/>
          <w:b/>
          <w:bCs/>
          <w:color w:val="2C3E50"/>
          <w:sz w:val="23"/>
          <w:szCs w:val="23"/>
          <w:highlight w:val="white"/>
        </w:rPr>
      </w:pPr>
    </w:p>
    <w:p w14:paraId="00000024" w14:textId="77777777" w:rsidR="00B877D5" w:rsidRDefault="00276FD4">
      <w:pPr>
        <w:rPr>
          <w:rFonts w:ascii="Roboto" w:eastAsia="Roboto" w:hAnsi="Roboto" w:cs="Roboto"/>
          <w:b/>
          <w:bCs/>
          <w:color w:val="2C3E50"/>
          <w:sz w:val="23"/>
          <w:szCs w:val="23"/>
          <w:highlight w:val="white"/>
        </w:rPr>
      </w:pPr>
      <w:r>
        <w:rPr>
          <w:rFonts w:ascii="Roboto" w:eastAsia="Roboto" w:hAnsi="Roboto" w:cs="Roboto"/>
          <w:b/>
          <w:bCs/>
          <w:color w:val="2C3E50"/>
          <w:sz w:val="23"/>
          <w:szCs w:val="23"/>
          <w:highlight w:val="white"/>
        </w:rPr>
        <w:t>2. Theoretical Model Supporting PCC</w:t>
      </w:r>
    </w:p>
    <w:p w14:paraId="00000025" w14:textId="77777777" w:rsidR="00B877D5" w:rsidRDefault="00B877D5">
      <w:pPr>
        <w:rPr>
          <w:rFonts w:ascii="Roboto" w:eastAsia="Roboto" w:hAnsi="Roboto" w:cs="Roboto"/>
          <w:color w:val="2C3E50"/>
          <w:sz w:val="23"/>
          <w:szCs w:val="23"/>
          <w:highlight w:val="white"/>
        </w:rPr>
      </w:pPr>
    </w:p>
    <w:p w14:paraId="00000026"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 xml:space="preserve">The Person - Centred Nursing Framework (PCNF), initially created by McCormack and McCance in 2006 and 2010, is acknowledged as one of the most significant mid - range theories in person-centred practice. </w:t>
      </w:r>
    </w:p>
    <w:p w14:paraId="00000027" w14:textId="77777777" w:rsidR="00B877D5" w:rsidRDefault="00B877D5">
      <w:pPr>
        <w:rPr>
          <w:rFonts w:ascii="Roboto" w:eastAsia="Roboto" w:hAnsi="Roboto" w:cs="Roboto"/>
          <w:color w:val="2C3E50"/>
          <w:sz w:val="23"/>
          <w:szCs w:val="23"/>
          <w:highlight w:val="white"/>
        </w:rPr>
      </w:pPr>
    </w:p>
    <w:p w14:paraId="00000028"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This framework delineates four essential domains: prerequisites, which emphasize and attribute and skills of the nurse (including professional competence and effective interpersonal abilities); the care environment, which pertains to organizational elements that facilitate care delivery (such as leadership and teamwork); person-centred processes, which encompass activities like holistic assessment and collaborative decision-making; and person - centred outcomes, which consist of improved wellbeing, satisfac</w:t>
      </w:r>
      <w:r>
        <w:rPr>
          <w:rFonts w:ascii="Roboto" w:eastAsia="Roboto" w:hAnsi="Roboto" w:cs="Roboto"/>
          <w:color w:val="2C3E50"/>
          <w:sz w:val="23"/>
          <w:szCs w:val="23"/>
          <w:highlight w:val="white"/>
        </w:rPr>
        <w:t xml:space="preserve">tion, and construction therapeutic relationships. </w:t>
      </w:r>
    </w:p>
    <w:p w14:paraId="00000029"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lastRenderedPageBreak/>
        <w:t xml:space="preserve">As noted by McCance and McCormack in 2025, the PCNF highlights the ethical and relational aspects of nursing practice, closely aligning the humanistic principles and modern interpretations of personhood. </w:t>
      </w:r>
    </w:p>
    <w:p w14:paraId="0000002A" w14:textId="77777777" w:rsidR="00B877D5" w:rsidRDefault="00B877D5">
      <w:pPr>
        <w:rPr>
          <w:rFonts w:ascii="Roboto" w:eastAsia="Roboto" w:hAnsi="Roboto" w:cs="Roboto"/>
          <w:color w:val="2C3E50"/>
          <w:sz w:val="23"/>
          <w:szCs w:val="23"/>
          <w:highlight w:val="white"/>
        </w:rPr>
      </w:pPr>
    </w:p>
    <w:p w14:paraId="0000002B" w14:textId="77777777" w:rsidR="00B877D5" w:rsidRDefault="00B877D5">
      <w:pPr>
        <w:rPr>
          <w:rFonts w:ascii="Roboto" w:eastAsia="Roboto" w:hAnsi="Roboto" w:cs="Roboto"/>
          <w:color w:val="2C3E50"/>
          <w:sz w:val="23"/>
          <w:szCs w:val="23"/>
          <w:highlight w:val="white"/>
        </w:rPr>
      </w:pPr>
    </w:p>
    <w:p w14:paraId="0000002C" w14:textId="77777777" w:rsidR="00B877D5" w:rsidRDefault="00276FD4">
      <w:pPr>
        <w:rPr>
          <w:rFonts w:ascii="Roboto" w:eastAsia="Roboto" w:hAnsi="Roboto" w:cs="Roboto"/>
          <w:b/>
          <w:bCs/>
          <w:color w:val="2C3E50"/>
          <w:sz w:val="23"/>
          <w:szCs w:val="23"/>
          <w:highlight w:val="white"/>
        </w:rPr>
      </w:pPr>
      <w:r>
        <w:rPr>
          <w:rFonts w:ascii="Roboto" w:eastAsia="Roboto" w:hAnsi="Roboto" w:cs="Roboto"/>
          <w:b/>
          <w:bCs/>
          <w:color w:val="2C3E50"/>
          <w:sz w:val="23"/>
          <w:szCs w:val="23"/>
          <w:highlight w:val="white"/>
        </w:rPr>
        <w:t>3. Ethical foundations in Health and Social Care</w:t>
      </w:r>
    </w:p>
    <w:p w14:paraId="0000002D" w14:textId="77777777" w:rsidR="00B877D5" w:rsidRDefault="00B877D5">
      <w:pPr>
        <w:rPr>
          <w:rFonts w:ascii="Roboto" w:eastAsia="Roboto" w:hAnsi="Roboto" w:cs="Roboto"/>
          <w:color w:val="2C3E50"/>
          <w:sz w:val="23"/>
          <w:szCs w:val="23"/>
          <w:highlight w:val="white"/>
        </w:rPr>
      </w:pPr>
    </w:p>
    <w:p w14:paraId="0000002E"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 xml:space="preserve">The underlying moral precepts that inform how professionals assist and care for people are known as the ethical foundations of health and social care. These include non - </w:t>
      </w:r>
      <w:proofErr w:type="spellStart"/>
      <w:r>
        <w:rPr>
          <w:rFonts w:ascii="Roboto" w:eastAsia="Roboto" w:hAnsi="Roboto" w:cs="Roboto"/>
          <w:color w:val="2C3E50"/>
          <w:sz w:val="23"/>
          <w:szCs w:val="23"/>
          <w:highlight w:val="white"/>
        </w:rPr>
        <w:t>malefiance</w:t>
      </w:r>
      <w:proofErr w:type="spellEnd"/>
      <w:r>
        <w:rPr>
          <w:rFonts w:ascii="Roboto" w:eastAsia="Roboto" w:hAnsi="Roboto" w:cs="Roboto"/>
          <w:color w:val="2C3E50"/>
          <w:sz w:val="23"/>
          <w:szCs w:val="23"/>
          <w:highlight w:val="white"/>
        </w:rPr>
        <w:t xml:space="preserve">, which means to cause no harm; beneficence, which means to act in the person's best interest; justice which guarantees equality and fairness in care; and respect for the autonomy, which means that people have the freedom to make their own decisions. Honestly, confidentiality, and dignity are other crucial virtues. When taken as a whole, these guidelines support professionals in upholding staff and service user trust, protecting persons’ rights, and making just and compassionate judgements. (Apax </w:t>
      </w:r>
      <w:r>
        <w:rPr>
          <w:rFonts w:ascii="Roboto" w:eastAsia="Roboto" w:hAnsi="Roboto" w:cs="Roboto"/>
          <w:color w:val="2C3E50"/>
          <w:sz w:val="23"/>
          <w:szCs w:val="23"/>
          <w:highlight w:val="white"/>
        </w:rPr>
        <w:t xml:space="preserve">Support, 2025). </w:t>
      </w:r>
    </w:p>
    <w:p w14:paraId="0000002F" w14:textId="77777777" w:rsidR="00B877D5" w:rsidRDefault="00B877D5">
      <w:pPr>
        <w:rPr>
          <w:rFonts w:ascii="Roboto" w:eastAsia="Roboto" w:hAnsi="Roboto" w:cs="Roboto"/>
          <w:color w:val="2C3E50"/>
          <w:sz w:val="23"/>
          <w:szCs w:val="23"/>
          <w:highlight w:val="white"/>
        </w:rPr>
      </w:pPr>
    </w:p>
    <w:p w14:paraId="00000030"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 xml:space="preserve">Four key ideas from Beauchamp and Childress (Ellis, 2023) serve as a framework for ethical behaviour in the health and social care sectors. A key component of person-centred care is autonomy, which is respected for an individual’s right to make their own decisions regarding their care. While non - maleficence guarantees that care does not result in harm, beneficence concentrates on acting in the person’s best interests and advancing their welfare. To be just, everyone must be treated equally and have equal </w:t>
      </w:r>
      <w:r>
        <w:rPr>
          <w:rFonts w:ascii="Roboto" w:eastAsia="Roboto" w:hAnsi="Roboto" w:cs="Roboto"/>
          <w:color w:val="2C3E50"/>
          <w:sz w:val="23"/>
          <w:szCs w:val="23"/>
          <w:highlight w:val="white"/>
        </w:rPr>
        <w:t xml:space="preserve">access to services. Care providers can deliver person - centred care that is safe, considerate, and customized to meet the needs of each individual by adhering to these guidelines. </w:t>
      </w:r>
    </w:p>
    <w:p w14:paraId="00000031" w14:textId="77777777" w:rsidR="00B877D5" w:rsidRDefault="00B877D5">
      <w:pPr>
        <w:rPr>
          <w:rFonts w:ascii="Roboto" w:eastAsia="Roboto" w:hAnsi="Roboto" w:cs="Roboto"/>
          <w:color w:val="2C3E50"/>
          <w:sz w:val="23"/>
          <w:szCs w:val="23"/>
          <w:highlight w:val="white"/>
        </w:rPr>
      </w:pPr>
    </w:p>
    <w:p w14:paraId="00000032" w14:textId="77777777" w:rsidR="00B877D5" w:rsidRDefault="00276FD4">
      <w:pPr>
        <w:rPr>
          <w:rFonts w:ascii="Roboto" w:eastAsia="Roboto" w:hAnsi="Roboto" w:cs="Roboto"/>
          <w:b/>
          <w:bCs/>
          <w:color w:val="2C3E50"/>
          <w:sz w:val="23"/>
          <w:szCs w:val="23"/>
          <w:highlight w:val="white"/>
        </w:rPr>
      </w:pPr>
      <w:r>
        <w:rPr>
          <w:rFonts w:ascii="Roboto" w:eastAsia="Roboto" w:hAnsi="Roboto" w:cs="Roboto"/>
          <w:b/>
          <w:bCs/>
          <w:color w:val="2C3E50"/>
          <w:sz w:val="23"/>
          <w:szCs w:val="23"/>
          <w:highlight w:val="white"/>
        </w:rPr>
        <w:t>4. Evaluate partnership working in health and social care</w:t>
      </w:r>
    </w:p>
    <w:p w14:paraId="00000033" w14:textId="77777777" w:rsidR="00B877D5" w:rsidRDefault="00B877D5">
      <w:pPr>
        <w:rPr>
          <w:rFonts w:ascii="Roboto" w:eastAsia="Roboto" w:hAnsi="Roboto" w:cs="Roboto"/>
          <w:color w:val="2C3E50"/>
          <w:sz w:val="23"/>
          <w:szCs w:val="23"/>
          <w:highlight w:val="white"/>
        </w:rPr>
      </w:pPr>
    </w:p>
    <w:p w14:paraId="00000034"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Working in partnership within health and social care is mandatory, as it helps ensure that care and support are personalised to meet each person's unique needs. This kind of teamwork brings together different professionals, organisations, and service users, all aiming to achieve better outcomes and improve overall wellbeing (Glasby and Dickinson, 2014). For example, supporting an individual with dementia may require input from doctors, social workers, and family members to create a plan that covers both hea</w:t>
      </w:r>
      <w:r>
        <w:rPr>
          <w:rFonts w:ascii="Roboto" w:eastAsia="Roboto" w:hAnsi="Roboto" w:cs="Roboto"/>
          <w:color w:val="2C3E50"/>
          <w:sz w:val="23"/>
          <w:szCs w:val="23"/>
          <w:highlight w:val="white"/>
        </w:rPr>
        <w:t xml:space="preserve">lth and daily living needs (Department of Health and Social Care, 2021). Policies such as the Health and Social Care Act 2012 and the Care Act 2014 encourage joined-up working and smooth coordination between services. Although issues like unclear roles and poor communication can make partnership working difficult, promoting trust, respect, and shared decision - making can lead to more effective and better service delivery. </w:t>
      </w:r>
    </w:p>
    <w:p w14:paraId="00000035" w14:textId="77777777" w:rsidR="00B877D5" w:rsidRDefault="00B877D5">
      <w:pPr>
        <w:rPr>
          <w:rFonts w:ascii="Roboto" w:eastAsia="Roboto" w:hAnsi="Roboto" w:cs="Roboto"/>
          <w:color w:val="2C3E50"/>
          <w:sz w:val="23"/>
          <w:szCs w:val="23"/>
          <w:highlight w:val="white"/>
        </w:rPr>
      </w:pPr>
    </w:p>
    <w:p w14:paraId="00000036" w14:textId="77777777" w:rsidR="00B877D5" w:rsidRDefault="00276FD4">
      <w:pPr>
        <w:rPr>
          <w:rFonts w:ascii="Roboto" w:eastAsia="Roboto" w:hAnsi="Roboto" w:cs="Roboto"/>
          <w:b/>
          <w:bCs/>
          <w:color w:val="2C3E50"/>
          <w:sz w:val="23"/>
          <w:szCs w:val="23"/>
          <w:highlight w:val="white"/>
        </w:rPr>
      </w:pPr>
      <w:r>
        <w:rPr>
          <w:rFonts w:ascii="Roboto" w:eastAsia="Roboto" w:hAnsi="Roboto" w:cs="Roboto"/>
          <w:b/>
          <w:bCs/>
          <w:color w:val="2C3E50"/>
          <w:sz w:val="23"/>
          <w:szCs w:val="23"/>
          <w:highlight w:val="white"/>
        </w:rPr>
        <w:t xml:space="preserve">5. The Implementation of Partnership and Collaboration in the Dementia Care Setting </w:t>
      </w:r>
    </w:p>
    <w:p w14:paraId="00000037" w14:textId="77777777" w:rsidR="00B877D5" w:rsidRDefault="00B877D5">
      <w:pPr>
        <w:rPr>
          <w:rFonts w:ascii="Roboto" w:eastAsia="Roboto" w:hAnsi="Roboto" w:cs="Roboto"/>
          <w:b/>
          <w:bCs/>
          <w:color w:val="2C3E50"/>
          <w:sz w:val="23"/>
          <w:szCs w:val="23"/>
          <w:highlight w:val="white"/>
        </w:rPr>
      </w:pPr>
    </w:p>
    <w:p w14:paraId="00000038"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lastRenderedPageBreak/>
        <w:t>As a result of the complex nature of dementia, collaborative efforts are necessary in the field of dementia care. The teamwork that takes place between care facilities, general practitioners, social workers, and families is a good illustration of this.</w:t>
      </w:r>
    </w:p>
    <w:p w14:paraId="00000039" w14:textId="77777777" w:rsidR="00B877D5" w:rsidRDefault="00B877D5">
      <w:pPr>
        <w:rPr>
          <w:rFonts w:ascii="Roboto" w:eastAsia="Roboto" w:hAnsi="Roboto" w:cs="Roboto"/>
          <w:color w:val="2C3E50"/>
          <w:sz w:val="23"/>
          <w:szCs w:val="23"/>
          <w:highlight w:val="white"/>
        </w:rPr>
      </w:pPr>
    </w:p>
    <w:p w14:paraId="0000003A"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 xml:space="preserve">In dementia care, partnership working involves a multidisciplinary team (MDT) of professionals who work together to assess, plan, and deliver person - centred support. This team may include doctors, nurses, occupational therapists, and social workers who regularly share information and coordinate care to meet both the medical and social needs of the individual (NHS England, 2022). Family involvement is also a vital aspect of partnership working, as relatives often provide valuable insight into the person's </w:t>
      </w:r>
      <w:r>
        <w:rPr>
          <w:rFonts w:ascii="Roboto" w:eastAsia="Roboto" w:hAnsi="Roboto" w:cs="Roboto"/>
          <w:color w:val="2C3E50"/>
          <w:sz w:val="23"/>
          <w:szCs w:val="23"/>
          <w:highlight w:val="white"/>
        </w:rPr>
        <w:t>history, preferences, and behaviours, helping to maintain continuity of care and offering essential emotional support. Advocacy services play an important role in representing individuals who may lack the mental capacity to make certain decisions, ensuring their rights, wishes, and best interests are respected under the Mental Capacity Act 2005 (Social Care Institute for Excellence, 2015). In addition, community organisations such as dementia cafes and support groups help reduce isolation by offering opport</w:t>
      </w:r>
      <w:r>
        <w:rPr>
          <w:rFonts w:ascii="Roboto" w:eastAsia="Roboto" w:hAnsi="Roboto" w:cs="Roboto"/>
          <w:color w:val="2C3E50"/>
          <w:sz w:val="23"/>
          <w:szCs w:val="23"/>
          <w:highlight w:val="white"/>
        </w:rPr>
        <w:t xml:space="preserve">unities for social interaction, as well as providing respite and guidance for carers. This collaborative approach ensures that people living with dementia receive holistic, compassionate, and consistent care that promotes dignity and quality of life. </w:t>
      </w:r>
    </w:p>
    <w:p w14:paraId="0000003B" w14:textId="77777777" w:rsidR="00B877D5" w:rsidRDefault="00B877D5">
      <w:pPr>
        <w:rPr>
          <w:rFonts w:ascii="Roboto" w:eastAsia="Roboto" w:hAnsi="Roboto" w:cs="Roboto"/>
          <w:color w:val="2C3E50"/>
          <w:sz w:val="23"/>
          <w:szCs w:val="23"/>
          <w:highlight w:val="white"/>
        </w:rPr>
      </w:pPr>
    </w:p>
    <w:p w14:paraId="0000003C" w14:textId="77777777" w:rsidR="00B877D5" w:rsidRDefault="00276FD4">
      <w:pPr>
        <w:rPr>
          <w:rFonts w:ascii="Roboto" w:eastAsia="Roboto" w:hAnsi="Roboto" w:cs="Roboto"/>
          <w:b/>
          <w:bCs/>
          <w:color w:val="2C3E50"/>
          <w:sz w:val="23"/>
          <w:szCs w:val="23"/>
          <w:highlight w:val="white"/>
        </w:rPr>
      </w:pPr>
      <w:r>
        <w:rPr>
          <w:rFonts w:ascii="Roboto" w:eastAsia="Roboto" w:hAnsi="Roboto" w:cs="Roboto"/>
          <w:b/>
          <w:bCs/>
          <w:color w:val="2C3E50"/>
          <w:sz w:val="23"/>
          <w:szCs w:val="23"/>
          <w:highlight w:val="white"/>
        </w:rPr>
        <w:t>6. Discuss and examine relevant policy and legislations in relation to PCC AND PW</w:t>
      </w:r>
    </w:p>
    <w:p w14:paraId="0000003D" w14:textId="77777777" w:rsidR="00B877D5" w:rsidRDefault="00B877D5">
      <w:pPr>
        <w:rPr>
          <w:rFonts w:ascii="Roboto" w:eastAsia="Roboto" w:hAnsi="Roboto" w:cs="Roboto"/>
          <w:b/>
          <w:bCs/>
          <w:color w:val="2C3E50"/>
          <w:sz w:val="23"/>
          <w:szCs w:val="23"/>
          <w:highlight w:val="white"/>
        </w:rPr>
      </w:pPr>
    </w:p>
    <w:p w14:paraId="0000003E"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When we look at the policies and laws that shape Person-Centred Care (PCC) and Partnership Working (PW), it becomes clear that they are designed to put people at the heart of everything professionals do. These approaches remind us that care isn’t just about meeting needs - it’s about listening, respecting individuality, and supporting people to live the lives they choose. The Health and Social Care Act 2012 encourages professionals to work together so that services feel connected and built around each perso</w:t>
      </w:r>
      <w:r>
        <w:rPr>
          <w:rFonts w:ascii="Roboto" w:eastAsia="Roboto" w:hAnsi="Roboto" w:cs="Roboto"/>
          <w:color w:val="2C3E50"/>
          <w:sz w:val="23"/>
          <w:szCs w:val="23"/>
          <w:highlight w:val="white"/>
        </w:rPr>
        <w:t>n, rather than being limited by systems or bureaucracy. The Care Act 2014 reinforces this by focusing on wellbeing, independence, and giving people more choice and control over their care. Likewise, the Mental Capacity Act 2005 ensures that those who may struggle to make certain decisions are still heard and that their best interests always come first. Altogether, these pieces of legislation highlight the importance of compassion, communication, and genuine collaboration - ensuring care feels personal, resp</w:t>
      </w:r>
      <w:r>
        <w:rPr>
          <w:rFonts w:ascii="Roboto" w:eastAsia="Roboto" w:hAnsi="Roboto" w:cs="Roboto"/>
          <w:color w:val="2C3E50"/>
          <w:sz w:val="23"/>
          <w:szCs w:val="23"/>
          <w:highlight w:val="white"/>
        </w:rPr>
        <w:t xml:space="preserve">ectful, and empowering for everyone involved (Department of Health and Social Care, 2014; NHS England, 2021). </w:t>
      </w:r>
    </w:p>
    <w:p w14:paraId="0000003F" w14:textId="77777777" w:rsidR="00B877D5" w:rsidRDefault="00B877D5">
      <w:pPr>
        <w:rPr>
          <w:rFonts w:ascii="Roboto" w:eastAsia="Roboto" w:hAnsi="Roboto" w:cs="Roboto"/>
          <w:color w:val="2C3E50"/>
          <w:sz w:val="23"/>
          <w:szCs w:val="23"/>
          <w:highlight w:val="white"/>
        </w:rPr>
      </w:pPr>
    </w:p>
    <w:p w14:paraId="00000040" w14:textId="77777777" w:rsidR="00B877D5" w:rsidRDefault="00276FD4">
      <w:pPr>
        <w:rPr>
          <w:rFonts w:ascii="Roboto" w:eastAsia="Roboto" w:hAnsi="Roboto" w:cs="Roboto"/>
          <w:b/>
          <w:bCs/>
          <w:color w:val="2C3E50"/>
          <w:sz w:val="23"/>
          <w:szCs w:val="23"/>
          <w:highlight w:val="white"/>
        </w:rPr>
      </w:pPr>
      <w:r>
        <w:rPr>
          <w:rFonts w:ascii="Roboto" w:eastAsia="Roboto" w:hAnsi="Roboto" w:cs="Roboto"/>
          <w:b/>
          <w:bCs/>
          <w:color w:val="2C3E50"/>
          <w:sz w:val="23"/>
          <w:szCs w:val="23"/>
          <w:highlight w:val="white"/>
        </w:rPr>
        <w:t xml:space="preserve">7. Future Development Recommendations </w:t>
      </w:r>
    </w:p>
    <w:p w14:paraId="00000041" w14:textId="77777777" w:rsidR="00B877D5" w:rsidRDefault="00B877D5">
      <w:pPr>
        <w:rPr>
          <w:rFonts w:ascii="Roboto" w:eastAsia="Roboto" w:hAnsi="Roboto" w:cs="Roboto"/>
          <w:b/>
          <w:bCs/>
          <w:color w:val="2C3E50"/>
          <w:sz w:val="23"/>
          <w:szCs w:val="23"/>
          <w:highlight w:val="white"/>
        </w:rPr>
      </w:pPr>
    </w:p>
    <w:p w14:paraId="00000042"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 xml:space="preserve">The patient-centred approach to care for the utilisation of digital tools for the purpose of tailoring care plans and monitoring outcomes is advocated as a means of enhancing the training of staff members in the areas of communication and cultural competency. Through the use of leadership and policy alignment, it is possible to establish the assimilation of PCC into the culture of the respective organisation. Participate in the </w:t>
      </w:r>
      <w:r>
        <w:rPr>
          <w:rFonts w:ascii="Roboto" w:eastAsia="Roboto" w:hAnsi="Roboto" w:cs="Roboto"/>
          <w:color w:val="2C3E50"/>
          <w:sz w:val="23"/>
          <w:szCs w:val="23"/>
          <w:highlight w:val="white"/>
        </w:rPr>
        <w:lastRenderedPageBreak/>
        <w:t>process of planning and assessing the service by including customers in the process. With the assistance of collaborative efforts, we might be able to improve the protocols for the transmission of data while simultaneously preserving the anonymity of the information. Strengthen your contacts within the community, particularly with organisations that are active in the social entrepreneurship and venture capital sectors. Create a clear understanding of roles and duties through the utilisation of shared govern</w:t>
      </w:r>
      <w:r>
        <w:rPr>
          <w:rFonts w:ascii="Roboto" w:eastAsia="Roboto" w:hAnsi="Roboto" w:cs="Roboto"/>
          <w:color w:val="2C3E50"/>
          <w:sz w:val="23"/>
          <w:szCs w:val="23"/>
          <w:highlight w:val="white"/>
        </w:rPr>
        <w:t xml:space="preserve">ance frameworks. Make an investment in training that involves collaboration and reflective practice that encompasses multiple fields. </w:t>
      </w:r>
    </w:p>
    <w:p w14:paraId="00000043" w14:textId="77777777" w:rsidR="00B877D5" w:rsidRDefault="00B877D5">
      <w:pPr>
        <w:rPr>
          <w:rFonts w:ascii="Roboto" w:eastAsia="Roboto" w:hAnsi="Roboto" w:cs="Roboto"/>
          <w:color w:val="2C3E50"/>
          <w:sz w:val="23"/>
          <w:szCs w:val="23"/>
          <w:highlight w:val="white"/>
        </w:rPr>
      </w:pPr>
    </w:p>
    <w:p w14:paraId="00000044" w14:textId="77777777" w:rsidR="00B877D5" w:rsidRDefault="00276FD4">
      <w:pPr>
        <w:rPr>
          <w:rFonts w:ascii="Roboto" w:eastAsia="Roboto" w:hAnsi="Roboto" w:cs="Roboto"/>
          <w:b/>
          <w:bCs/>
          <w:color w:val="2C3E50"/>
          <w:sz w:val="23"/>
          <w:szCs w:val="23"/>
          <w:highlight w:val="white"/>
        </w:rPr>
      </w:pPr>
      <w:r>
        <w:rPr>
          <w:rFonts w:ascii="Roboto" w:eastAsia="Roboto" w:hAnsi="Roboto" w:cs="Roboto"/>
          <w:b/>
          <w:bCs/>
          <w:color w:val="2C3E50"/>
          <w:sz w:val="23"/>
          <w:szCs w:val="23"/>
          <w:highlight w:val="white"/>
        </w:rPr>
        <w:t xml:space="preserve">CONCLUSION </w:t>
      </w:r>
    </w:p>
    <w:p w14:paraId="00000045" w14:textId="77777777" w:rsidR="00B877D5" w:rsidRDefault="00B877D5">
      <w:pPr>
        <w:rPr>
          <w:rFonts w:ascii="Roboto" w:eastAsia="Roboto" w:hAnsi="Roboto" w:cs="Roboto"/>
          <w:color w:val="2C3E50"/>
          <w:sz w:val="23"/>
          <w:szCs w:val="23"/>
          <w:highlight w:val="white"/>
        </w:rPr>
      </w:pPr>
    </w:p>
    <w:p w14:paraId="00000046"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In conclusion, effective and conscientious health and social care practice in the United Kingdom is contingent upon the implementation of partnership working (PW) and person-centred care (PCC). PPC prioritises the values, preferences, and requirements of individuals in the delivery of care, thereby empowering them. In contrast, PW encourages collaboration among professionals, service users, and external organisations to offer comprehensive and cohesive support. The theoretical contributions of models like t</w:t>
      </w:r>
      <w:r>
        <w:rPr>
          <w:rFonts w:ascii="Roboto" w:eastAsia="Roboto" w:hAnsi="Roboto" w:cs="Roboto"/>
          <w:color w:val="2C3E50"/>
          <w:sz w:val="23"/>
          <w:szCs w:val="23"/>
          <w:highlight w:val="white"/>
        </w:rPr>
        <w:t xml:space="preserve">he Person - Centred Nursing Framework, in conjunction with ethical principles like beneficence and autonomy, establish a solid foundation for practices. </w:t>
      </w:r>
    </w:p>
    <w:p w14:paraId="00000047" w14:textId="77777777" w:rsidR="00B877D5" w:rsidRDefault="00B877D5">
      <w:pPr>
        <w:rPr>
          <w:rFonts w:ascii="Roboto" w:eastAsia="Roboto" w:hAnsi="Roboto" w:cs="Roboto"/>
          <w:color w:val="2C3E50"/>
          <w:sz w:val="23"/>
          <w:szCs w:val="23"/>
          <w:highlight w:val="white"/>
        </w:rPr>
      </w:pPr>
    </w:p>
    <w:p w14:paraId="00000048" w14:textId="77777777" w:rsidR="00B877D5" w:rsidRDefault="00276FD4">
      <w:pPr>
        <w:rPr>
          <w:rFonts w:ascii="Roboto" w:eastAsia="Roboto" w:hAnsi="Roboto" w:cs="Roboto"/>
          <w:color w:val="2C3E50"/>
          <w:sz w:val="23"/>
          <w:szCs w:val="23"/>
          <w:highlight w:val="white"/>
        </w:rPr>
      </w:pPr>
      <w:r>
        <w:rPr>
          <w:rFonts w:ascii="Roboto" w:eastAsia="Roboto" w:hAnsi="Roboto" w:cs="Roboto"/>
          <w:color w:val="2C3E50"/>
          <w:sz w:val="23"/>
          <w:szCs w:val="23"/>
          <w:highlight w:val="white"/>
        </w:rPr>
        <w:t xml:space="preserve">The significance of integrated and individualised care is underscored by policy frameworks such as the Mental Capacity Act 2005, Care Act 2014, and Health and Care Act 2022, which advocate for enhanced service coordination and respect for personal agency. Evidence indicates that the strategic implementation of PCC and PW results in enhanced service satisfaction, professional accountability, and outcomes, despite persistent obstacles such as resource constraints, role confusion, and communication barriers. </w:t>
      </w:r>
    </w:p>
    <w:p w14:paraId="00000049" w14:textId="77777777" w:rsidR="00B877D5" w:rsidRDefault="00B877D5">
      <w:pPr>
        <w:rPr>
          <w:rFonts w:ascii="Roboto" w:eastAsia="Roboto" w:hAnsi="Roboto" w:cs="Roboto"/>
          <w:color w:val="2C3E50"/>
          <w:sz w:val="23"/>
          <w:szCs w:val="23"/>
          <w:highlight w:val="white"/>
        </w:rPr>
      </w:pPr>
    </w:p>
    <w:p w14:paraId="0000004A" w14:textId="77777777" w:rsidR="00B877D5" w:rsidRDefault="00B877D5">
      <w:pPr>
        <w:rPr>
          <w:rFonts w:ascii="Roboto" w:eastAsia="Roboto" w:hAnsi="Roboto" w:cs="Roboto"/>
          <w:color w:val="2C3E50"/>
          <w:sz w:val="23"/>
          <w:szCs w:val="23"/>
          <w:highlight w:val="white"/>
        </w:rPr>
      </w:pPr>
    </w:p>
    <w:p w14:paraId="0000004B" w14:textId="77777777" w:rsidR="00B877D5" w:rsidRDefault="00B877D5">
      <w:pPr>
        <w:rPr>
          <w:b/>
          <w:bCs/>
        </w:rPr>
      </w:pPr>
    </w:p>
    <w:p w14:paraId="0000004C" w14:textId="77777777" w:rsidR="00B877D5" w:rsidRDefault="00B877D5">
      <w:pPr>
        <w:rPr>
          <w:b/>
          <w:bCs/>
        </w:rPr>
      </w:pPr>
    </w:p>
    <w:p w14:paraId="0000004D" w14:textId="77777777" w:rsidR="00B877D5" w:rsidRDefault="00276FD4">
      <w:r>
        <w:t xml:space="preserve">References </w:t>
      </w:r>
    </w:p>
    <w:p w14:paraId="0000004E" w14:textId="77777777" w:rsidR="00B877D5" w:rsidRDefault="00B877D5"/>
    <w:p w14:paraId="0000004F" w14:textId="77777777" w:rsidR="00B877D5" w:rsidRDefault="00276FD4">
      <w:pPr>
        <w:spacing w:line="360" w:lineRule="auto"/>
        <w:rPr>
          <w:sz w:val="27"/>
          <w:szCs w:val="27"/>
        </w:rPr>
      </w:pPr>
      <w:r>
        <w:rPr>
          <w:sz w:val="27"/>
          <w:szCs w:val="27"/>
        </w:rPr>
        <w:t xml:space="preserve">NHS England (2024). </w:t>
      </w:r>
      <w:r>
        <w:rPr>
          <w:i/>
          <w:iCs/>
          <w:sz w:val="27"/>
          <w:szCs w:val="27"/>
        </w:rPr>
        <w:t>Person-centred Care</w:t>
      </w:r>
      <w:r>
        <w:rPr>
          <w:sz w:val="27"/>
          <w:szCs w:val="27"/>
        </w:rPr>
        <w:t xml:space="preserve">. [online] NHS England. Available at: </w:t>
      </w:r>
      <w:hyperlink r:id="rId8">
        <w:r>
          <w:rPr>
            <w:color w:val="1155CC"/>
            <w:sz w:val="27"/>
            <w:szCs w:val="27"/>
            <w:u w:val="single"/>
          </w:rPr>
          <w:t>https://www.hee.nhs.uk/our-work/person-centred-care</w:t>
        </w:r>
      </w:hyperlink>
      <w:r>
        <w:rPr>
          <w:sz w:val="27"/>
          <w:szCs w:val="27"/>
        </w:rPr>
        <w:t>.</w:t>
      </w:r>
    </w:p>
    <w:p w14:paraId="00000050" w14:textId="77777777" w:rsidR="00B877D5" w:rsidRDefault="00B877D5">
      <w:pPr>
        <w:spacing w:line="360" w:lineRule="auto"/>
        <w:rPr>
          <w:sz w:val="27"/>
          <w:szCs w:val="27"/>
        </w:rPr>
      </w:pPr>
    </w:p>
    <w:p w14:paraId="00000051" w14:textId="77777777" w:rsidR="00B877D5" w:rsidRDefault="00276FD4">
      <w:pPr>
        <w:spacing w:line="360" w:lineRule="auto"/>
        <w:rPr>
          <w:sz w:val="27"/>
          <w:szCs w:val="27"/>
        </w:rPr>
      </w:pPr>
      <w:r>
        <w:rPr>
          <w:sz w:val="27"/>
          <w:szCs w:val="27"/>
        </w:rPr>
        <w:t xml:space="preserve">Ekman, I., Hedman, H., Swedberg, K. and Wallengren, C. (2020) </w:t>
      </w:r>
      <w:r>
        <w:rPr>
          <w:i/>
          <w:iCs/>
          <w:sz w:val="27"/>
          <w:szCs w:val="27"/>
        </w:rPr>
        <w:t>Paradoxes of person-centred care: A discussion paper</w:t>
      </w:r>
      <w:r>
        <w:rPr>
          <w:sz w:val="27"/>
          <w:szCs w:val="27"/>
        </w:rPr>
        <w:t xml:space="preserve">. </w:t>
      </w:r>
      <w:r>
        <w:rPr>
          <w:i/>
          <w:iCs/>
          <w:sz w:val="27"/>
          <w:szCs w:val="27"/>
        </w:rPr>
        <w:t>Nursing Open</w:t>
      </w:r>
      <w:r>
        <w:rPr>
          <w:sz w:val="27"/>
          <w:szCs w:val="27"/>
        </w:rPr>
        <w:t>, 7(6), pp.1678–1685.</w:t>
      </w:r>
    </w:p>
    <w:p w14:paraId="00000052" w14:textId="77777777" w:rsidR="00B877D5" w:rsidRDefault="00B877D5">
      <w:pPr>
        <w:spacing w:before="240" w:after="240"/>
        <w:rPr>
          <w:sz w:val="27"/>
          <w:szCs w:val="27"/>
        </w:rPr>
      </w:pPr>
    </w:p>
    <w:p w14:paraId="00000053" w14:textId="77777777" w:rsidR="00B877D5" w:rsidRDefault="00276FD4">
      <w:pPr>
        <w:spacing w:before="240" w:after="240"/>
        <w:rPr>
          <w:sz w:val="27"/>
          <w:szCs w:val="27"/>
        </w:rPr>
      </w:pPr>
      <w:r>
        <w:lastRenderedPageBreak/>
        <w:t>‌</w:t>
      </w:r>
      <w:r>
        <w:rPr>
          <w:sz w:val="27"/>
          <w:szCs w:val="27"/>
        </w:rPr>
        <w:t xml:space="preserve">(2024). Wellcomeopenresearch.org. </w:t>
      </w:r>
      <w:hyperlink r:id="rId9">
        <w:r>
          <w:rPr>
            <w:color w:val="1155CC"/>
            <w:sz w:val="27"/>
            <w:szCs w:val="27"/>
            <w:u w:val="single"/>
          </w:rPr>
          <w:t>https://wellcomeopenresearch.org/articles/7-170</w:t>
        </w:r>
      </w:hyperlink>
    </w:p>
    <w:p w14:paraId="00000054" w14:textId="77777777" w:rsidR="00B877D5" w:rsidRDefault="00B877D5">
      <w:pPr>
        <w:spacing w:before="240" w:after="240"/>
        <w:rPr>
          <w:sz w:val="27"/>
          <w:szCs w:val="27"/>
        </w:rPr>
      </w:pPr>
    </w:p>
    <w:p w14:paraId="00000055" w14:textId="77777777" w:rsidR="00B877D5" w:rsidRDefault="00276FD4">
      <w:pPr>
        <w:spacing w:line="480" w:lineRule="auto"/>
        <w:rPr>
          <w:sz w:val="27"/>
          <w:szCs w:val="27"/>
        </w:rPr>
      </w:pPr>
      <w:r>
        <w:rPr>
          <w:sz w:val="27"/>
          <w:szCs w:val="27"/>
        </w:rPr>
        <w:t xml:space="preserve">UK Government. (2012). </w:t>
      </w:r>
      <w:r>
        <w:rPr>
          <w:i/>
          <w:iCs/>
          <w:sz w:val="27"/>
          <w:szCs w:val="27"/>
        </w:rPr>
        <w:t>Health and Social Care Act 2012</w:t>
      </w:r>
      <w:r>
        <w:rPr>
          <w:sz w:val="27"/>
          <w:szCs w:val="27"/>
        </w:rPr>
        <w:t xml:space="preserve">. Legislation.gov.uk. </w:t>
      </w:r>
      <w:hyperlink r:id="rId10">
        <w:r>
          <w:rPr>
            <w:color w:val="1155CC"/>
            <w:sz w:val="27"/>
            <w:szCs w:val="27"/>
            <w:u w:val="single"/>
          </w:rPr>
          <w:t>https://www.legislation.gov.uk/ukpga/2012/7/contents</w:t>
        </w:r>
      </w:hyperlink>
    </w:p>
    <w:p w14:paraId="00000056" w14:textId="77777777" w:rsidR="00B877D5" w:rsidRDefault="00B877D5">
      <w:pPr>
        <w:spacing w:line="480" w:lineRule="auto"/>
        <w:rPr>
          <w:sz w:val="27"/>
          <w:szCs w:val="27"/>
        </w:rPr>
      </w:pPr>
    </w:p>
    <w:p w14:paraId="00000057" w14:textId="77777777" w:rsidR="00B877D5" w:rsidRDefault="00276FD4">
      <w:pPr>
        <w:spacing w:line="480" w:lineRule="auto"/>
        <w:rPr>
          <w:sz w:val="27"/>
          <w:szCs w:val="27"/>
        </w:rPr>
      </w:pPr>
      <w:r>
        <w:rPr>
          <w:sz w:val="27"/>
          <w:szCs w:val="27"/>
        </w:rPr>
        <w:t xml:space="preserve">NHS England. (2019). </w:t>
      </w:r>
      <w:r>
        <w:rPr>
          <w:i/>
          <w:iCs/>
          <w:sz w:val="27"/>
          <w:szCs w:val="27"/>
        </w:rPr>
        <w:t>NHS Long Term Plan</w:t>
      </w:r>
      <w:r>
        <w:rPr>
          <w:sz w:val="27"/>
          <w:szCs w:val="27"/>
        </w:rPr>
        <w:t xml:space="preserve">. NHS England. </w:t>
      </w:r>
      <w:hyperlink r:id="rId11">
        <w:r>
          <w:rPr>
            <w:color w:val="1155CC"/>
            <w:sz w:val="27"/>
            <w:szCs w:val="27"/>
            <w:u w:val="single"/>
          </w:rPr>
          <w:t>https://www.longtermplan.nhs.uk/</w:t>
        </w:r>
      </w:hyperlink>
    </w:p>
    <w:p w14:paraId="00000058" w14:textId="77777777" w:rsidR="00B877D5" w:rsidRDefault="00B877D5">
      <w:pPr>
        <w:spacing w:line="480" w:lineRule="auto"/>
        <w:rPr>
          <w:sz w:val="27"/>
          <w:szCs w:val="27"/>
        </w:rPr>
      </w:pPr>
    </w:p>
    <w:p w14:paraId="00000059" w14:textId="77777777" w:rsidR="00B877D5" w:rsidRDefault="00276FD4">
      <w:pPr>
        <w:spacing w:line="480" w:lineRule="auto"/>
        <w:rPr>
          <w:sz w:val="27"/>
          <w:szCs w:val="27"/>
        </w:rPr>
      </w:pPr>
      <w:r>
        <w:rPr>
          <w:sz w:val="27"/>
          <w:szCs w:val="27"/>
        </w:rPr>
        <w:t xml:space="preserve">Apax Support. (2025, January 24). </w:t>
      </w:r>
      <w:r>
        <w:rPr>
          <w:i/>
          <w:iCs/>
          <w:sz w:val="27"/>
          <w:szCs w:val="27"/>
        </w:rPr>
        <w:t>Ethical Principles in Health and Social Care</w:t>
      </w:r>
      <w:r>
        <w:rPr>
          <w:sz w:val="27"/>
          <w:szCs w:val="27"/>
        </w:rPr>
        <w:t xml:space="preserve">. Apax.org.uk; Apax Support. </w:t>
      </w:r>
      <w:hyperlink r:id="rId12">
        <w:r>
          <w:rPr>
            <w:color w:val="1155CC"/>
            <w:sz w:val="27"/>
            <w:szCs w:val="27"/>
            <w:u w:val="single"/>
          </w:rPr>
          <w:t>https://www.apax.org.uk/article/ethical-principles-in-health-and-social-care</w:t>
        </w:r>
      </w:hyperlink>
    </w:p>
    <w:p w14:paraId="0000005A" w14:textId="77777777" w:rsidR="00B877D5" w:rsidRDefault="00B877D5">
      <w:pPr>
        <w:spacing w:line="480" w:lineRule="auto"/>
        <w:ind w:left="720"/>
        <w:rPr>
          <w:sz w:val="27"/>
          <w:szCs w:val="27"/>
        </w:rPr>
      </w:pPr>
    </w:p>
    <w:p w14:paraId="0000005B" w14:textId="77777777" w:rsidR="00B877D5" w:rsidRDefault="00276FD4">
      <w:pPr>
        <w:spacing w:before="240" w:after="240" w:line="480" w:lineRule="auto"/>
        <w:rPr>
          <w:sz w:val="27"/>
          <w:szCs w:val="27"/>
        </w:rPr>
      </w:pPr>
      <w:r>
        <w:rPr>
          <w:sz w:val="27"/>
          <w:szCs w:val="27"/>
        </w:rPr>
        <w:t xml:space="preserve">‌Ellis, P. (2023, October 9). </w:t>
      </w:r>
      <w:r>
        <w:rPr>
          <w:i/>
          <w:iCs/>
          <w:sz w:val="27"/>
          <w:szCs w:val="27"/>
        </w:rPr>
        <w:t>Duty-based theories: the principles of biomedical ethics – BJN Inform</w:t>
      </w:r>
      <w:r>
        <w:rPr>
          <w:sz w:val="27"/>
          <w:szCs w:val="27"/>
        </w:rPr>
        <w:t xml:space="preserve">. Www.bjninform.com. </w:t>
      </w:r>
      <w:hyperlink r:id="rId13">
        <w:r>
          <w:rPr>
            <w:color w:val="1155CC"/>
            <w:sz w:val="27"/>
            <w:szCs w:val="27"/>
            <w:u w:val="single"/>
          </w:rPr>
          <w:t>https://www.bjninform.com/person-centred-care/duty-based-theories-the-principles-of-biomedical-ethics/</w:t>
        </w:r>
      </w:hyperlink>
    </w:p>
    <w:p w14:paraId="0000005C" w14:textId="77777777" w:rsidR="00B877D5" w:rsidRDefault="00276FD4">
      <w:pPr>
        <w:spacing w:line="360" w:lineRule="auto"/>
        <w:rPr>
          <w:sz w:val="27"/>
          <w:szCs w:val="27"/>
        </w:rPr>
      </w:pPr>
      <w:r>
        <w:rPr>
          <w:sz w:val="27"/>
          <w:szCs w:val="27"/>
        </w:rPr>
        <w:t xml:space="preserve">Policy Press. (n.d.). </w:t>
      </w:r>
      <w:r>
        <w:rPr>
          <w:i/>
          <w:iCs/>
          <w:sz w:val="27"/>
          <w:szCs w:val="27"/>
        </w:rPr>
        <w:t>Partnership Working in Health and Social Care</w:t>
      </w:r>
      <w:r>
        <w:rPr>
          <w:sz w:val="27"/>
          <w:szCs w:val="27"/>
        </w:rPr>
        <w:t xml:space="preserve">. [online] Available at: </w:t>
      </w:r>
      <w:hyperlink r:id="rId14">
        <w:r>
          <w:rPr>
            <w:color w:val="1155CC"/>
            <w:sz w:val="27"/>
            <w:szCs w:val="27"/>
            <w:u w:val="single"/>
          </w:rPr>
          <w:t>https://policy.bristoluniversitypress.co.uk/partnership-working-in-health-and-social-care-second-edition</w:t>
        </w:r>
      </w:hyperlink>
      <w:r>
        <w:rPr>
          <w:sz w:val="27"/>
          <w:szCs w:val="27"/>
        </w:rPr>
        <w:t>.</w:t>
      </w:r>
    </w:p>
    <w:p w14:paraId="0000005D" w14:textId="77777777" w:rsidR="00B877D5" w:rsidRDefault="00B877D5">
      <w:pPr>
        <w:spacing w:line="360" w:lineRule="auto"/>
        <w:rPr>
          <w:sz w:val="27"/>
          <w:szCs w:val="27"/>
        </w:rPr>
      </w:pPr>
    </w:p>
    <w:p w14:paraId="0000005E" w14:textId="77777777" w:rsidR="00B877D5" w:rsidRDefault="00B877D5">
      <w:pPr>
        <w:spacing w:line="360" w:lineRule="auto"/>
        <w:rPr>
          <w:sz w:val="27"/>
          <w:szCs w:val="27"/>
        </w:rPr>
      </w:pPr>
    </w:p>
    <w:p w14:paraId="0000005F" w14:textId="77777777" w:rsidR="00B877D5" w:rsidRDefault="00276FD4">
      <w:pPr>
        <w:spacing w:line="360" w:lineRule="auto"/>
        <w:rPr>
          <w:sz w:val="27"/>
          <w:szCs w:val="27"/>
        </w:rPr>
      </w:pPr>
      <w:r>
        <w:rPr>
          <w:sz w:val="27"/>
          <w:szCs w:val="27"/>
        </w:rPr>
        <w:t xml:space="preserve">Department of Health and Social Care (2021). </w:t>
      </w:r>
      <w:r>
        <w:rPr>
          <w:i/>
          <w:iCs/>
          <w:sz w:val="27"/>
          <w:szCs w:val="27"/>
        </w:rPr>
        <w:t>Working Together to Improve Health and Social Care for All</w:t>
      </w:r>
      <w:r>
        <w:rPr>
          <w:sz w:val="27"/>
          <w:szCs w:val="27"/>
        </w:rPr>
        <w:t xml:space="preserve">. [online] GOV.UK. Available at: </w:t>
      </w:r>
      <w:hyperlink r:id="rId15">
        <w:r>
          <w:rPr>
            <w:color w:val="1155CC"/>
            <w:sz w:val="27"/>
            <w:szCs w:val="27"/>
            <w:u w:val="single"/>
          </w:rPr>
          <w:t>https://www.gov.uk/government/publications/working-together-to-improve-health-and-social-care-for-all</w:t>
        </w:r>
      </w:hyperlink>
      <w:r>
        <w:rPr>
          <w:sz w:val="27"/>
          <w:szCs w:val="27"/>
        </w:rPr>
        <w:t>.</w:t>
      </w:r>
    </w:p>
    <w:p w14:paraId="00000060" w14:textId="77777777" w:rsidR="00B877D5" w:rsidRDefault="00B877D5">
      <w:pPr>
        <w:spacing w:line="360" w:lineRule="auto"/>
        <w:rPr>
          <w:sz w:val="27"/>
          <w:szCs w:val="27"/>
        </w:rPr>
      </w:pPr>
    </w:p>
    <w:p w14:paraId="00000061" w14:textId="77777777" w:rsidR="00B877D5" w:rsidRDefault="00276FD4">
      <w:pPr>
        <w:spacing w:line="360" w:lineRule="auto"/>
        <w:rPr>
          <w:sz w:val="27"/>
          <w:szCs w:val="27"/>
        </w:rPr>
      </w:pPr>
      <w:r>
        <w:rPr>
          <w:sz w:val="27"/>
          <w:szCs w:val="27"/>
        </w:rPr>
        <w:t xml:space="preserve">NHS England (2022). </w:t>
      </w:r>
      <w:r>
        <w:rPr>
          <w:i/>
          <w:iCs/>
          <w:sz w:val="27"/>
          <w:szCs w:val="27"/>
        </w:rPr>
        <w:t>What Are Integrated Care systems?</w:t>
      </w:r>
      <w:r>
        <w:rPr>
          <w:sz w:val="27"/>
          <w:szCs w:val="27"/>
        </w:rPr>
        <w:t xml:space="preserve"> [online] NHS England. Available at: </w:t>
      </w:r>
      <w:hyperlink r:id="rId16">
        <w:r>
          <w:rPr>
            <w:color w:val="1155CC"/>
            <w:sz w:val="27"/>
            <w:szCs w:val="27"/>
            <w:u w:val="single"/>
          </w:rPr>
          <w:t>https://www.england.nhs.uk/integratedcare/what-is-integrated-care/</w:t>
        </w:r>
      </w:hyperlink>
      <w:r>
        <w:rPr>
          <w:sz w:val="27"/>
          <w:szCs w:val="27"/>
        </w:rPr>
        <w:t>.</w:t>
      </w:r>
    </w:p>
    <w:p w14:paraId="00000062" w14:textId="77777777" w:rsidR="00B877D5" w:rsidRDefault="00B877D5">
      <w:pPr>
        <w:spacing w:line="360" w:lineRule="auto"/>
        <w:rPr>
          <w:sz w:val="27"/>
          <w:szCs w:val="27"/>
        </w:rPr>
      </w:pPr>
    </w:p>
    <w:p w14:paraId="00000063" w14:textId="77777777" w:rsidR="00B877D5" w:rsidRDefault="00276FD4">
      <w:pPr>
        <w:spacing w:line="360" w:lineRule="auto"/>
        <w:rPr>
          <w:sz w:val="27"/>
          <w:szCs w:val="27"/>
        </w:rPr>
      </w:pPr>
      <w:r>
        <w:rPr>
          <w:sz w:val="27"/>
          <w:szCs w:val="27"/>
        </w:rPr>
        <w:t xml:space="preserve">Social Care Institute for Excellence (2015). </w:t>
      </w:r>
      <w:r>
        <w:rPr>
          <w:i/>
          <w:iCs/>
          <w:sz w:val="27"/>
          <w:szCs w:val="27"/>
        </w:rPr>
        <w:t>Dementia – SCIE</w:t>
      </w:r>
      <w:r>
        <w:rPr>
          <w:sz w:val="27"/>
          <w:szCs w:val="27"/>
        </w:rPr>
        <w:t xml:space="preserve">. [online] Social Care Institute for Excellence (SCIE). Available at: </w:t>
      </w:r>
      <w:hyperlink r:id="rId17">
        <w:r>
          <w:rPr>
            <w:color w:val="1155CC"/>
            <w:sz w:val="27"/>
            <w:szCs w:val="27"/>
            <w:u w:val="single"/>
          </w:rPr>
          <w:t>https://www.scie.org.uk/dementia/</w:t>
        </w:r>
      </w:hyperlink>
      <w:r>
        <w:rPr>
          <w:sz w:val="27"/>
          <w:szCs w:val="27"/>
        </w:rPr>
        <w:t>.</w:t>
      </w:r>
    </w:p>
    <w:p w14:paraId="00000064" w14:textId="77777777" w:rsidR="00B877D5" w:rsidRDefault="00B877D5">
      <w:pPr>
        <w:spacing w:line="360" w:lineRule="auto"/>
        <w:rPr>
          <w:sz w:val="27"/>
          <w:szCs w:val="27"/>
        </w:rPr>
      </w:pPr>
    </w:p>
    <w:p w14:paraId="00000065" w14:textId="77777777" w:rsidR="00B877D5" w:rsidRDefault="00276FD4">
      <w:pPr>
        <w:spacing w:line="360" w:lineRule="auto"/>
        <w:rPr>
          <w:sz w:val="27"/>
          <w:szCs w:val="27"/>
        </w:rPr>
      </w:pPr>
      <w:r>
        <w:rPr>
          <w:sz w:val="27"/>
          <w:szCs w:val="27"/>
        </w:rPr>
        <w:t xml:space="preserve">Care Act (2014). </w:t>
      </w:r>
      <w:r>
        <w:rPr>
          <w:i/>
          <w:iCs/>
          <w:sz w:val="27"/>
          <w:szCs w:val="27"/>
        </w:rPr>
        <w:t>Care Act 2014</w:t>
      </w:r>
      <w:r>
        <w:rPr>
          <w:sz w:val="27"/>
          <w:szCs w:val="27"/>
        </w:rPr>
        <w:t xml:space="preserve">. [online] Legislation.gov.uk. Available at: </w:t>
      </w:r>
      <w:hyperlink r:id="rId18">
        <w:r>
          <w:rPr>
            <w:color w:val="1155CC"/>
            <w:sz w:val="27"/>
            <w:szCs w:val="27"/>
            <w:u w:val="single"/>
          </w:rPr>
          <w:t>https://www.legislation.gov.uk/ukpga/2014/23/contents</w:t>
        </w:r>
      </w:hyperlink>
      <w:r>
        <w:rPr>
          <w:sz w:val="27"/>
          <w:szCs w:val="27"/>
        </w:rPr>
        <w:t>.</w:t>
      </w:r>
    </w:p>
    <w:p w14:paraId="00000066" w14:textId="77777777" w:rsidR="00B877D5" w:rsidRDefault="00B877D5">
      <w:pPr>
        <w:spacing w:line="360" w:lineRule="auto"/>
        <w:rPr>
          <w:sz w:val="27"/>
          <w:szCs w:val="27"/>
        </w:rPr>
      </w:pPr>
    </w:p>
    <w:p w14:paraId="00000067" w14:textId="77777777" w:rsidR="00B877D5" w:rsidRDefault="00276FD4">
      <w:pPr>
        <w:spacing w:line="360" w:lineRule="auto"/>
        <w:rPr>
          <w:sz w:val="27"/>
          <w:szCs w:val="27"/>
        </w:rPr>
      </w:pPr>
      <w:r>
        <w:rPr>
          <w:sz w:val="27"/>
          <w:szCs w:val="27"/>
        </w:rPr>
        <w:t xml:space="preserve">Crombie, A. (2025). Commentary: The person-centred nursing framework: a mid-range theory for nursing. </w:t>
      </w:r>
      <w:r>
        <w:rPr>
          <w:i/>
          <w:iCs/>
          <w:sz w:val="27"/>
          <w:szCs w:val="27"/>
        </w:rPr>
        <w:t>Journal of Research in Nursing</w:t>
      </w:r>
      <w:r>
        <w:rPr>
          <w:sz w:val="27"/>
          <w:szCs w:val="27"/>
        </w:rPr>
        <w:t xml:space="preserve">. </w:t>
      </w:r>
      <w:proofErr w:type="spellStart"/>
      <w:r>
        <w:rPr>
          <w:sz w:val="27"/>
          <w:szCs w:val="27"/>
        </w:rPr>
        <w:t>doi:</w:t>
      </w:r>
      <w:hyperlink r:id="rId19">
        <w:r>
          <w:rPr>
            <w:color w:val="1155CC"/>
            <w:sz w:val="27"/>
            <w:szCs w:val="27"/>
            <w:u w:val="single"/>
          </w:rPr>
          <w:t>https</w:t>
        </w:r>
        <w:proofErr w:type="spellEnd"/>
        <w:r>
          <w:rPr>
            <w:color w:val="1155CC"/>
            <w:sz w:val="27"/>
            <w:szCs w:val="27"/>
            <w:u w:val="single"/>
          </w:rPr>
          <w:t>://doi.org/10.1177/17449871241301768</w:t>
        </w:r>
      </w:hyperlink>
      <w:r>
        <w:rPr>
          <w:sz w:val="27"/>
          <w:szCs w:val="27"/>
        </w:rPr>
        <w:t>.</w:t>
      </w:r>
    </w:p>
    <w:p w14:paraId="00000068" w14:textId="77777777" w:rsidR="00B877D5" w:rsidRDefault="00B877D5">
      <w:pPr>
        <w:spacing w:line="360" w:lineRule="auto"/>
        <w:rPr>
          <w:sz w:val="27"/>
          <w:szCs w:val="27"/>
        </w:rPr>
      </w:pPr>
    </w:p>
    <w:p w14:paraId="00000069" w14:textId="77777777" w:rsidR="00B877D5" w:rsidRDefault="00B877D5">
      <w:pPr>
        <w:spacing w:line="360" w:lineRule="auto"/>
        <w:rPr>
          <w:sz w:val="27"/>
          <w:szCs w:val="27"/>
        </w:rPr>
      </w:pPr>
    </w:p>
    <w:p w14:paraId="0000006A" w14:textId="77777777" w:rsidR="00B877D5" w:rsidRDefault="00276FD4">
      <w:pPr>
        <w:spacing w:before="240" w:after="240" w:line="360" w:lineRule="auto"/>
        <w:rPr>
          <w:sz w:val="27"/>
          <w:szCs w:val="27"/>
        </w:rPr>
      </w:pPr>
      <w:r>
        <w:rPr>
          <w:sz w:val="27"/>
          <w:szCs w:val="27"/>
        </w:rPr>
        <w:t>‌</w:t>
      </w:r>
    </w:p>
    <w:p w14:paraId="0000006B" w14:textId="77777777" w:rsidR="00B877D5" w:rsidRDefault="00B877D5">
      <w:pPr>
        <w:spacing w:line="360" w:lineRule="auto"/>
        <w:rPr>
          <w:sz w:val="27"/>
          <w:szCs w:val="27"/>
        </w:rPr>
      </w:pPr>
    </w:p>
    <w:p w14:paraId="0000006C" w14:textId="77777777" w:rsidR="00B877D5" w:rsidRDefault="00276FD4">
      <w:pPr>
        <w:spacing w:before="240" w:after="240" w:line="360" w:lineRule="auto"/>
        <w:rPr>
          <w:sz w:val="27"/>
          <w:szCs w:val="27"/>
        </w:rPr>
      </w:pPr>
      <w:r>
        <w:rPr>
          <w:sz w:val="27"/>
          <w:szCs w:val="27"/>
        </w:rPr>
        <w:t>‌</w:t>
      </w:r>
    </w:p>
    <w:p w14:paraId="0000006D" w14:textId="77777777" w:rsidR="00B877D5" w:rsidRDefault="00B877D5">
      <w:pPr>
        <w:spacing w:line="360" w:lineRule="auto"/>
        <w:rPr>
          <w:sz w:val="27"/>
          <w:szCs w:val="27"/>
        </w:rPr>
      </w:pPr>
    </w:p>
    <w:p w14:paraId="0000006E" w14:textId="77777777" w:rsidR="00B877D5" w:rsidRDefault="00276FD4">
      <w:pPr>
        <w:spacing w:before="240" w:after="240" w:line="360" w:lineRule="auto"/>
        <w:rPr>
          <w:sz w:val="27"/>
          <w:szCs w:val="27"/>
        </w:rPr>
      </w:pPr>
      <w:r>
        <w:rPr>
          <w:sz w:val="27"/>
          <w:szCs w:val="27"/>
        </w:rPr>
        <w:t>‌</w:t>
      </w:r>
    </w:p>
    <w:p w14:paraId="0000006F" w14:textId="77777777" w:rsidR="00B877D5" w:rsidRDefault="00B877D5">
      <w:pPr>
        <w:spacing w:line="360" w:lineRule="auto"/>
        <w:rPr>
          <w:sz w:val="27"/>
          <w:szCs w:val="27"/>
        </w:rPr>
      </w:pPr>
    </w:p>
    <w:p w14:paraId="00000070" w14:textId="77777777" w:rsidR="00B877D5" w:rsidRDefault="00276FD4">
      <w:pPr>
        <w:spacing w:before="240" w:after="240" w:line="360" w:lineRule="auto"/>
        <w:rPr>
          <w:sz w:val="27"/>
          <w:szCs w:val="27"/>
        </w:rPr>
      </w:pPr>
      <w:r>
        <w:rPr>
          <w:sz w:val="27"/>
          <w:szCs w:val="27"/>
        </w:rPr>
        <w:t>‌</w:t>
      </w:r>
    </w:p>
    <w:p w14:paraId="00000071" w14:textId="77777777" w:rsidR="00B877D5" w:rsidRDefault="00B877D5">
      <w:pPr>
        <w:spacing w:line="360" w:lineRule="auto"/>
        <w:rPr>
          <w:sz w:val="27"/>
          <w:szCs w:val="27"/>
        </w:rPr>
      </w:pPr>
    </w:p>
    <w:p w14:paraId="00000072" w14:textId="77777777" w:rsidR="00B877D5" w:rsidRDefault="00276FD4">
      <w:pPr>
        <w:spacing w:before="240" w:after="240" w:line="360" w:lineRule="auto"/>
        <w:rPr>
          <w:sz w:val="27"/>
          <w:szCs w:val="27"/>
        </w:rPr>
      </w:pPr>
      <w:r>
        <w:rPr>
          <w:sz w:val="27"/>
          <w:szCs w:val="27"/>
        </w:rPr>
        <w:t>‌</w:t>
      </w:r>
    </w:p>
    <w:p w14:paraId="00000073" w14:textId="77777777" w:rsidR="00B877D5" w:rsidRDefault="00B877D5">
      <w:pPr>
        <w:spacing w:line="360" w:lineRule="auto"/>
        <w:rPr>
          <w:sz w:val="27"/>
          <w:szCs w:val="27"/>
        </w:rPr>
      </w:pPr>
    </w:p>
    <w:p w14:paraId="00000074" w14:textId="77777777" w:rsidR="00B877D5" w:rsidRDefault="00276FD4">
      <w:pPr>
        <w:spacing w:before="240" w:after="240" w:line="480" w:lineRule="auto"/>
        <w:rPr>
          <w:sz w:val="27"/>
          <w:szCs w:val="27"/>
        </w:rPr>
      </w:pPr>
      <w:r>
        <w:rPr>
          <w:sz w:val="27"/>
          <w:szCs w:val="27"/>
        </w:rPr>
        <w:t>‌</w:t>
      </w:r>
    </w:p>
    <w:p w14:paraId="00000075" w14:textId="77777777" w:rsidR="00B877D5" w:rsidRDefault="00B877D5">
      <w:pPr>
        <w:spacing w:before="240" w:after="240" w:line="480" w:lineRule="auto"/>
        <w:rPr>
          <w:sz w:val="27"/>
          <w:szCs w:val="27"/>
        </w:rPr>
      </w:pPr>
    </w:p>
    <w:p w14:paraId="00000076" w14:textId="77777777" w:rsidR="00B877D5" w:rsidRDefault="00B877D5">
      <w:pPr>
        <w:spacing w:before="240" w:after="240" w:line="480" w:lineRule="auto"/>
        <w:rPr>
          <w:sz w:val="27"/>
          <w:szCs w:val="27"/>
        </w:rPr>
      </w:pPr>
    </w:p>
    <w:p w14:paraId="00000077" w14:textId="77777777" w:rsidR="00B877D5" w:rsidRDefault="00276FD4">
      <w:pPr>
        <w:spacing w:before="240" w:after="240" w:line="480" w:lineRule="auto"/>
        <w:rPr>
          <w:sz w:val="27"/>
          <w:szCs w:val="27"/>
        </w:rPr>
      </w:pPr>
      <w:r>
        <w:rPr>
          <w:sz w:val="27"/>
          <w:szCs w:val="27"/>
        </w:rPr>
        <w:t>‌</w:t>
      </w:r>
    </w:p>
    <w:p w14:paraId="00000078" w14:textId="77777777" w:rsidR="00B877D5" w:rsidRDefault="00B877D5">
      <w:pPr>
        <w:spacing w:before="240" w:after="240" w:line="480" w:lineRule="auto"/>
        <w:rPr>
          <w:sz w:val="27"/>
          <w:szCs w:val="27"/>
        </w:rPr>
      </w:pPr>
    </w:p>
    <w:p w14:paraId="00000079" w14:textId="77777777" w:rsidR="00B877D5" w:rsidRDefault="00B877D5">
      <w:pPr>
        <w:spacing w:line="480" w:lineRule="auto"/>
        <w:rPr>
          <w:sz w:val="27"/>
          <w:szCs w:val="27"/>
        </w:rPr>
      </w:pPr>
    </w:p>
    <w:p w14:paraId="0000007A" w14:textId="77777777" w:rsidR="00B877D5" w:rsidRDefault="00276FD4">
      <w:pPr>
        <w:spacing w:before="240" w:after="240"/>
        <w:rPr>
          <w:sz w:val="27"/>
          <w:szCs w:val="27"/>
        </w:rPr>
      </w:pPr>
      <w:r>
        <w:rPr>
          <w:sz w:val="27"/>
          <w:szCs w:val="27"/>
        </w:rPr>
        <w:t>‌</w:t>
      </w:r>
    </w:p>
    <w:p w14:paraId="0000007B" w14:textId="77777777" w:rsidR="00B877D5" w:rsidRDefault="00B877D5">
      <w:pPr>
        <w:spacing w:before="240" w:after="240"/>
        <w:rPr>
          <w:sz w:val="27"/>
          <w:szCs w:val="27"/>
        </w:rPr>
      </w:pPr>
    </w:p>
    <w:p w14:paraId="0000007C" w14:textId="77777777" w:rsidR="00B877D5" w:rsidRDefault="00B877D5">
      <w:pPr>
        <w:spacing w:before="240" w:after="240"/>
        <w:rPr>
          <w:sz w:val="27"/>
          <w:szCs w:val="27"/>
        </w:rPr>
      </w:pPr>
    </w:p>
    <w:p w14:paraId="0000007D" w14:textId="77777777" w:rsidR="00B877D5" w:rsidRDefault="00B877D5">
      <w:pPr>
        <w:spacing w:before="240" w:after="240"/>
        <w:rPr>
          <w:sz w:val="27"/>
          <w:szCs w:val="27"/>
        </w:rPr>
      </w:pPr>
    </w:p>
    <w:p w14:paraId="0000007E" w14:textId="77777777" w:rsidR="00B877D5" w:rsidRDefault="00276FD4">
      <w:pPr>
        <w:spacing w:before="240" w:after="240"/>
      </w:pPr>
      <w:r>
        <w:t>‌</w:t>
      </w:r>
    </w:p>
    <w:p w14:paraId="0000007F" w14:textId="77777777" w:rsidR="00B877D5" w:rsidRDefault="00B877D5">
      <w:pPr>
        <w:spacing w:before="240" w:after="240"/>
      </w:pPr>
    </w:p>
    <w:p w14:paraId="00000080" w14:textId="77777777" w:rsidR="00B877D5" w:rsidRDefault="00B877D5"/>
    <w:sectPr w:rsidR="00B877D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2A2A3762-613F-4478-9205-C2A3BE5E1802}"/>
    <w:embedBold r:id="rId2" w:fontKey="{05FCA089-B7DC-4189-A582-80439D2EB62D}"/>
  </w:font>
  <w:font w:name="Calibri">
    <w:panose1 w:val="020F0502020204030204"/>
    <w:charset w:val="00"/>
    <w:family w:val="swiss"/>
    <w:pitch w:val="variable"/>
    <w:sig w:usb0="E4002EFF" w:usb1="C200247B" w:usb2="00000009" w:usb3="00000000" w:csb0="000001FF" w:csb1="00000000"/>
    <w:embedRegular r:id="rId3" w:fontKey="{83F53887-1C8D-4314-8120-CF9323A5595F}"/>
  </w:font>
  <w:font w:name="Cambria">
    <w:panose1 w:val="02040503050406030204"/>
    <w:charset w:val="00"/>
    <w:family w:val="roman"/>
    <w:pitch w:val="variable"/>
    <w:sig w:usb0="E00006FF" w:usb1="420024FF" w:usb2="02000000" w:usb3="00000000" w:csb0="0000019F" w:csb1="00000000"/>
    <w:embedRegular r:id="rId4" w:fontKey="{406E4850-39DF-4F02-85DF-B2E4E8228E7B}"/>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1E76C8"/>
    <w:multiLevelType w:val="multilevel"/>
    <w:tmpl w:val="43F466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33913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7D5"/>
    <w:rsid w:val="00276FD4"/>
    <w:rsid w:val="00305BA1"/>
    <w:rsid w:val="00B87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7FB9606-A276-4512-A14C-107545364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ee.nhs.uk/our-work/person-centred-care" TargetMode="External"/><Relationship Id="rId13" Type="http://schemas.openxmlformats.org/officeDocument/2006/relationships/hyperlink" Target="https://www.bjninform.com/person-centred-care/duty-based-theories-the-principles-of-biomedical-ethics/" TargetMode="External"/><Relationship Id="rId18" Type="http://schemas.openxmlformats.org/officeDocument/2006/relationships/hyperlink" Target="https://www.legislation.gov.uk/ukpga/2014/23/content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apax.org.uk/article/ethical-principles-in-health-and-social-care" TargetMode="External"/><Relationship Id="rId17" Type="http://schemas.openxmlformats.org/officeDocument/2006/relationships/hyperlink" Target="https://www.scie.org.uk/dementia/" TargetMode="External"/><Relationship Id="rId2" Type="http://schemas.openxmlformats.org/officeDocument/2006/relationships/customXml" Target="../customXml/item2.xml"/><Relationship Id="rId16" Type="http://schemas.openxmlformats.org/officeDocument/2006/relationships/hyperlink" Target="https://www.england.nhs.uk/integratedcare/what-is-integrated-ca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ongtermplan.nhs.uk/" TargetMode="External"/><Relationship Id="rId5" Type="http://schemas.openxmlformats.org/officeDocument/2006/relationships/styles" Target="styles.xml"/><Relationship Id="rId15" Type="http://schemas.openxmlformats.org/officeDocument/2006/relationships/hyperlink" Target="https://www.gov.uk/government/publications/working-together-to-improve-health-and-social-care-for-all" TargetMode="External"/><Relationship Id="rId10" Type="http://schemas.openxmlformats.org/officeDocument/2006/relationships/hyperlink" Target="https://www.legislation.gov.uk/ukpga/2012/7/contents" TargetMode="External"/><Relationship Id="rId19" Type="http://schemas.openxmlformats.org/officeDocument/2006/relationships/hyperlink" Target="https://doi.org/10.1177/17449871241301768" TargetMode="External"/><Relationship Id="rId4" Type="http://schemas.openxmlformats.org/officeDocument/2006/relationships/numbering" Target="numbering.xml"/><Relationship Id="rId9" Type="http://schemas.openxmlformats.org/officeDocument/2006/relationships/hyperlink" Target="https://wellcomeopenresearch.org/articles/7-170" TargetMode="External"/><Relationship Id="rId14" Type="http://schemas.openxmlformats.org/officeDocument/2006/relationships/hyperlink" Target="https://policy.bristoluniversitypress.co.uk/partnership-working-in-health-and-social-care-second-editio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814b221d1fcf775285167ecf24146004">
  <xsd:schema xmlns:xsd="http://www.w3.org/2001/XMLSchema" xmlns:xs="http://www.w3.org/2001/XMLSchema" xmlns:p="http://schemas.microsoft.com/office/2006/metadata/properties" xmlns:ns3="6642d537-5170-4cd9-a3f2-9ec198ee3eac" targetNamespace="http://schemas.microsoft.com/office/2006/metadata/properties" ma:root="true" ma:fieldsID="1ef60b4bff071c2c9ff6f4fe6eb7ce22"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810DA4A1-FCE0-466C-ABB3-A3EC2BD647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72D3E2-B082-4449-A450-3EB882502F0E}">
  <ds:schemaRefs>
    <ds:schemaRef ds:uri="http://schemas.microsoft.com/sharepoint/v3/contenttype/forms"/>
  </ds:schemaRefs>
</ds:datastoreItem>
</file>

<file path=customXml/itemProps3.xml><?xml version="1.0" encoding="utf-8"?>
<ds:datastoreItem xmlns:ds="http://schemas.openxmlformats.org/officeDocument/2006/customXml" ds:itemID="{DDFA5D08-A913-41C4-819D-11F366867B7C}">
  <ds:schemaRefs>
    <ds:schemaRef ds:uri="http://purl.org/dc/dcmitype/"/>
    <ds:schemaRef ds:uri="http://www.w3.org/XML/1998/namespace"/>
    <ds:schemaRef ds:uri="http://purl.org/dc/elements/1.1/"/>
    <ds:schemaRef ds:uri="http://schemas.microsoft.com/office/2006/metadata/properties"/>
    <ds:schemaRef ds:uri="6642d537-5170-4cd9-a3f2-9ec198ee3eac"/>
    <ds:schemaRef ds:uri="http://purl.org/dc/terms/"/>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2431</Words>
  <Characters>13857</Characters>
  <Application>Microsoft Office Word</Application>
  <DocSecurity>0</DocSecurity>
  <Lines>115</Lines>
  <Paragraphs>32</Paragraphs>
  <ScaleCrop>false</ScaleCrop>
  <Company/>
  <LinksUpToDate>false</LinksUpToDate>
  <CharactersWithSpaces>16256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Shabana Tabasum (2331699)</cp:lastModifiedBy>
  <cp:revision>2</cp:revision>
  <dcterms:created xsi:type="dcterms:W3CDTF">2025-11-23T20:35:00Z</dcterms:created>
  <dcterms:modified xsi:type="dcterms:W3CDTF">2025-11-23T20:35:00Z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