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5C248" w14:textId="77777777" w:rsidR="000100AB" w:rsidRPr="00B026BD" w:rsidRDefault="000100AB" w:rsidP="000100AB">
      <w:pPr>
        <w:spacing w:line="360" w:lineRule="auto"/>
        <w:jc w:val="center"/>
        <w:rPr>
          <w:rFonts w:ascii="Arial" w:hAnsi="Arial" w:cs="Arial"/>
          <w:b/>
          <w:color w:val="000000" w:themeColor="text1"/>
          <w:sz w:val="28"/>
          <w:szCs w:val="28"/>
        </w:rPr>
      </w:pPr>
      <w:r w:rsidRPr="00B026BD">
        <w:rPr>
          <w:noProof/>
          <w:color w:val="000000" w:themeColor="text1"/>
          <w:lang w:eastAsia="en-GB"/>
        </w:rPr>
        <w:drawing>
          <wp:inline distT="0" distB="0" distL="0" distR="0" wp14:anchorId="1BC8EEB0" wp14:editId="06799568">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752B10CE" w14:textId="77777777" w:rsidR="000100AB" w:rsidRDefault="000100AB" w:rsidP="000100AB">
      <w:pPr>
        <w:autoSpaceDE w:val="0"/>
        <w:autoSpaceDN w:val="0"/>
        <w:adjustRightInd w:val="0"/>
        <w:spacing w:line="360" w:lineRule="auto"/>
        <w:jc w:val="center"/>
        <w:rPr>
          <w:rFonts w:ascii="Arial" w:hAnsi="Arial" w:cs="Arial"/>
          <w:b/>
          <w:color w:val="000000" w:themeColor="text1"/>
          <w:sz w:val="32"/>
          <w:szCs w:val="32"/>
          <w:lang w:eastAsia="en-GB"/>
        </w:rPr>
      </w:pPr>
    </w:p>
    <w:p w14:paraId="1030A813" w14:textId="77777777" w:rsidR="000100AB" w:rsidRPr="00234BB4" w:rsidRDefault="000100AB" w:rsidP="000100AB">
      <w:pPr>
        <w:autoSpaceDE w:val="0"/>
        <w:autoSpaceDN w:val="0"/>
        <w:adjustRightInd w:val="0"/>
        <w:spacing w:line="360" w:lineRule="auto"/>
        <w:rPr>
          <w:rFonts w:cstheme="minorHAnsi"/>
          <w:b/>
          <w:color w:val="000000" w:themeColor="text1"/>
          <w:sz w:val="32"/>
          <w:szCs w:val="32"/>
          <w:lang w:eastAsia="en-GB"/>
        </w:rPr>
      </w:pPr>
    </w:p>
    <w:p w14:paraId="35AC907C" w14:textId="77777777" w:rsidR="000100AB" w:rsidRPr="00234BB4" w:rsidRDefault="000100AB" w:rsidP="000100AB">
      <w:pPr>
        <w:spacing w:line="360" w:lineRule="auto"/>
        <w:jc w:val="center"/>
        <w:rPr>
          <w:rFonts w:cstheme="minorHAnsi"/>
          <w:b/>
          <w:color w:val="000000" w:themeColor="text1"/>
          <w:sz w:val="32"/>
          <w:szCs w:val="32"/>
        </w:rPr>
      </w:pPr>
      <w:r w:rsidRPr="00234BB4">
        <w:rPr>
          <w:rFonts w:cstheme="minorHAnsi"/>
          <w:b/>
          <w:color w:val="000000" w:themeColor="text1"/>
          <w:sz w:val="32"/>
          <w:szCs w:val="32"/>
        </w:rPr>
        <w:t xml:space="preserve">Academic Discipline of </w:t>
      </w:r>
      <w:r>
        <w:rPr>
          <w:rFonts w:cstheme="minorHAnsi"/>
          <w:b/>
          <w:color w:val="000000" w:themeColor="text1"/>
          <w:sz w:val="32"/>
          <w:szCs w:val="32"/>
        </w:rPr>
        <w:t>Psychology &amp; Counselling</w:t>
      </w:r>
    </w:p>
    <w:p w14:paraId="382FA5A3" w14:textId="77777777" w:rsidR="000100AB" w:rsidRPr="00234BB4" w:rsidRDefault="000100AB" w:rsidP="000100AB">
      <w:pPr>
        <w:autoSpaceDE w:val="0"/>
        <w:autoSpaceDN w:val="0"/>
        <w:adjustRightInd w:val="0"/>
        <w:spacing w:line="360" w:lineRule="auto"/>
        <w:jc w:val="center"/>
        <w:rPr>
          <w:rFonts w:cstheme="minorHAnsi"/>
          <w:b/>
          <w:color w:val="000000" w:themeColor="text1"/>
          <w:sz w:val="32"/>
          <w:szCs w:val="32"/>
          <w:lang w:eastAsia="en-GB"/>
        </w:rPr>
      </w:pPr>
      <w:proofErr w:type="spellStart"/>
      <w:r w:rsidRPr="00234BB4">
        <w:rPr>
          <w:rFonts w:cstheme="minorHAnsi"/>
          <w:b/>
          <w:color w:val="000000" w:themeColor="text1"/>
          <w:sz w:val="32"/>
          <w:szCs w:val="32"/>
          <w:lang w:eastAsia="en-GB"/>
        </w:rPr>
        <w:t>MArts</w:t>
      </w:r>
      <w:proofErr w:type="spellEnd"/>
      <w:r w:rsidRPr="00234BB4">
        <w:rPr>
          <w:rFonts w:cstheme="minorHAnsi"/>
          <w:b/>
          <w:color w:val="000000" w:themeColor="text1"/>
          <w:sz w:val="32"/>
          <w:szCs w:val="32"/>
          <w:lang w:eastAsia="en-GB"/>
        </w:rPr>
        <w:t>/BA Humanistic Counselling Practice</w:t>
      </w:r>
    </w:p>
    <w:p w14:paraId="16F227B9" w14:textId="77777777" w:rsidR="000100AB" w:rsidRPr="00234BB4" w:rsidRDefault="000100AB" w:rsidP="000100AB">
      <w:pPr>
        <w:jc w:val="center"/>
        <w:rPr>
          <w:rFonts w:cstheme="minorHAnsi"/>
          <w:b/>
          <w:color w:val="000000" w:themeColor="text1"/>
          <w:sz w:val="32"/>
          <w:szCs w:val="32"/>
        </w:rPr>
      </w:pPr>
    </w:p>
    <w:p w14:paraId="62EA9EF3" w14:textId="77777777" w:rsidR="000100AB" w:rsidRPr="00234BB4" w:rsidRDefault="000100AB" w:rsidP="000100AB">
      <w:pPr>
        <w:jc w:val="center"/>
        <w:rPr>
          <w:rFonts w:cstheme="minorHAnsi"/>
          <w:b/>
          <w:color w:val="000000" w:themeColor="text1"/>
          <w:sz w:val="32"/>
          <w:szCs w:val="32"/>
        </w:rPr>
      </w:pPr>
    </w:p>
    <w:p w14:paraId="5DE0B9B3" w14:textId="731E700C" w:rsidR="000100AB" w:rsidRPr="00234BB4" w:rsidRDefault="000100AB" w:rsidP="000100AB">
      <w:pPr>
        <w:jc w:val="center"/>
        <w:rPr>
          <w:rFonts w:cstheme="minorHAnsi"/>
          <w:b/>
          <w:color w:val="000000" w:themeColor="text1"/>
          <w:sz w:val="32"/>
          <w:szCs w:val="32"/>
        </w:rPr>
      </w:pPr>
      <w:r w:rsidRPr="00234BB4">
        <w:rPr>
          <w:rFonts w:cstheme="minorHAnsi"/>
          <w:b/>
          <w:color w:val="000000" w:themeColor="text1"/>
          <w:sz w:val="32"/>
          <w:szCs w:val="32"/>
        </w:rPr>
        <w:t xml:space="preserve">Module: </w:t>
      </w:r>
      <w:r>
        <w:rPr>
          <w:rFonts w:cstheme="minorHAnsi"/>
          <w:b/>
          <w:color w:val="000000" w:themeColor="text1"/>
          <w:sz w:val="32"/>
          <w:szCs w:val="32"/>
        </w:rPr>
        <w:t>Practicum 2</w:t>
      </w:r>
    </w:p>
    <w:p w14:paraId="1140F7AC" w14:textId="094D00EF" w:rsidR="000100AB" w:rsidRPr="00234BB4" w:rsidRDefault="000100AB" w:rsidP="000100AB">
      <w:pPr>
        <w:ind w:left="3600" w:firstLine="720"/>
        <w:rPr>
          <w:rFonts w:cstheme="minorHAnsi"/>
          <w:b/>
          <w:color w:val="000000" w:themeColor="text1"/>
          <w:sz w:val="32"/>
          <w:szCs w:val="32"/>
        </w:rPr>
      </w:pPr>
      <w:r>
        <w:rPr>
          <w:rFonts w:cstheme="minorHAnsi"/>
          <w:b/>
          <w:color w:val="000000" w:themeColor="text1"/>
          <w:sz w:val="32"/>
          <w:szCs w:val="32"/>
        </w:rPr>
        <w:t>ECHC500</w:t>
      </w:r>
      <w:r>
        <w:rPr>
          <w:rFonts w:cstheme="minorHAnsi"/>
          <w:b/>
          <w:color w:val="000000" w:themeColor="text1"/>
          <w:sz w:val="32"/>
          <w:szCs w:val="32"/>
        </w:rPr>
        <w:t>5</w:t>
      </w:r>
    </w:p>
    <w:p w14:paraId="046A4DB1" w14:textId="77777777" w:rsidR="000100AB" w:rsidRPr="00234BB4" w:rsidRDefault="000100AB" w:rsidP="000100AB">
      <w:pPr>
        <w:jc w:val="center"/>
        <w:rPr>
          <w:rFonts w:cstheme="minorHAnsi"/>
          <w:b/>
          <w:color w:val="000000" w:themeColor="text1"/>
          <w:sz w:val="32"/>
          <w:szCs w:val="32"/>
        </w:rPr>
      </w:pPr>
    </w:p>
    <w:p w14:paraId="7D33285C" w14:textId="5917E509" w:rsidR="000100AB" w:rsidRPr="00234BB4" w:rsidRDefault="000100AB" w:rsidP="000100AB">
      <w:pPr>
        <w:jc w:val="center"/>
        <w:rPr>
          <w:rFonts w:cstheme="minorHAnsi"/>
          <w:b/>
          <w:color w:val="000000" w:themeColor="text1"/>
          <w:sz w:val="32"/>
          <w:szCs w:val="32"/>
        </w:rPr>
      </w:pPr>
      <w:r w:rsidRPr="00234BB4">
        <w:rPr>
          <w:rFonts w:cstheme="minorHAnsi"/>
          <w:b/>
          <w:color w:val="000000" w:themeColor="text1"/>
          <w:sz w:val="32"/>
          <w:szCs w:val="32"/>
        </w:rPr>
        <w:t xml:space="preserve">Assessment Component: </w:t>
      </w:r>
      <w:r>
        <w:rPr>
          <w:rFonts w:cstheme="minorHAnsi"/>
          <w:b/>
          <w:color w:val="000000" w:themeColor="text1"/>
          <w:sz w:val="32"/>
          <w:szCs w:val="32"/>
        </w:rPr>
        <w:t>One</w:t>
      </w:r>
    </w:p>
    <w:p w14:paraId="2EA03FF1" w14:textId="77777777" w:rsidR="000100AB" w:rsidRPr="00234BB4" w:rsidRDefault="000100AB" w:rsidP="000100AB">
      <w:pPr>
        <w:jc w:val="center"/>
        <w:rPr>
          <w:rFonts w:cstheme="minorHAnsi"/>
          <w:b/>
          <w:color w:val="000000" w:themeColor="text1"/>
          <w:sz w:val="32"/>
          <w:szCs w:val="32"/>
        </w:rPr>
      </w:pPr>
    </w:p>
    <w:p w14:paraId="54C1D764" w14:textId="77777777" w:rsidR="000100AB" w:rsidRDefault="000100AB" w:rsidP="000100AB">
      <w:pPr>
        <w:jc w:val="center"/>
        <w:rPr>
          <w:rFonts w:cstheme="minorHAnsi"/>
          <w:b/>
          <w:color w:val="000000" w:themeColor="text1"/>
          <w:sz w:val="32"/>
          <w:szCs w:val="32"/>
        </w:rPr>
      </w:pPr>
    </w:p>
    <w:p w14:paraId="2B71052D" w14:textId="77777777" w:rsidR="000100AB" w:rsidRDefault="000100AB" w:rsidP="000100AB">
      <w:pPr>
        <w:jc w:val="center"/>
        <w:rPr>
          <w:rFonts w:cstheme="minorHAnsi"/>
          <w:b/>
          <w:color w:val="000000" w:themeColor="text1"/>
          <w:sz w:val="32"/>
          <w:szCs w:val="32"/>
        </w:rPr>
      </w:pPr>
      <w:r>
        <w:rPr>
          <w:rFonts w:cstheme="minorHAnsi"/>
          <w:b/>
          <w:color w:val="000000" w:themeColor="text1"/>
          <w:sz w:val="32"/>
          <w:szCs w:val="32"/>
        </w:rPr>
        <w:t xml:space="preserve">Student name: Danielle </w:t>
      </w:r>
      <w:proofErr w:type="spellStart"/>
      <w:r>
        <w:rPr>
          <w:rFonts w:cstheme="minorHAnsi"/>
          <w:b/>
          <w:color w:val="000000" w:themeColor="text1"/>
          <w:sz w:val="32"/>
          <w:szCs w:val="32"/>
        </w:rPr>
        <w:t>Bastier</w:t>
      </w:r>
      <w:proofErr w:type="spellEnd"/>
    </w:p>
    <w:p w14:paraId="29E04DC4" w14:textId="77777777" w:rsidR="000100AB" w:rsidRPr="00234BB4" w:rsidRDefault="000100AB" w:rsidP="000100AB">
      <w:pPr>
        <w:jc w:val="center"/>
        <w:rPr>
          <w:rFonts w:cstheme="minorHAnsi"/>
          <w:b/>
          <w:color w:val="000000" w:themeColor="text1"/>
          <w:sz w:val="32"/>
          <w:szCs w:val="32"/>
        </w:rPr>
      </w:pPr>
    </w:p>
    <w:p w14:paraId="1D141772" w14:textId="77777777" w:rsidR="000100AB" w:rsidRPr="00234BB4" w:rsidRDefault="000100AB" w:rsidP="000100AB">
      <w:pPr>
        <w:jc w:val="center"/>
        <w:rPr>
          <w:rFonts w:cstheme="minorHAnsi"/>
          <w:b/>
          <w:color w:val="000000" w:themeColor="text1"/>
          <w:sz w:val="32"/>
          <w:szCs w:val="32"/>
        </w:rPr>
      </w:pPr>
      <w:r w:rsidRPr="00234BB4">
        <w:rPr>
          <w:rFonts w:cstheme="minorHAnsi"/>
          <w:b/>
          <w:color w:val="000000" w:themeColor="text1"/>
          <w:sz w:val="32"/>
          <w:szCs w:val="32"/>
        </w:rPr>
        <w:t>Student Number: 1150159</w:t>
      </w:r>
    </w:p>
    <w:p w14:paraId="26D42F95" w14:textId="77777777" w:rsidR="000100AB" w:rsidRPr="00234BB4" w:rsidRDefault="000100AB" w:rsidP="000100AB">
      <w:pPr>
        <w:rPr>
          <w:rFonts w:cstheme="minorHAnsi"/>
          <w:b/>
          <w:color w:val="000000" w:themeColor="text1"/>
          <w:sz w:val="32"/>
          <w:szCs w:val="32"/>
        </w:rPr>
      </w:pPr>
    </w:p>
    <w:p w14:paraId="35321F53" w14:textId="77777777" w:rsidR="000100AB" w:rsidRPr="00234BB4" w:rsidRDefault="000100AB" w:rsidP="000100AB">
      <w:pPr>
        <w:jc w:val="center"/>
        <w:rPr>
          <w:rFonts w:cstheme="minorHAnsi"/>
          <w:b/>
          <w:color w:val="000000" w:themeColor="text1"/>
          <w:sz w:val="32"/>
          <w:szCs w:val="32"/>
        </w:rPr>
      </w:pPr>
    </w:p>
    <w:p w14:paraId="469DCAC7" w14:textId="4992BE71" w:rsidR="000100AB" w:rsidRDefault="000100AB" w:rsidP="000100AB">
      <w:pPr>
        <w:jc w:val="center"/>
        <w:rPr>
          <w:rFonts w:cstheme="minorHAnsi"/>
          <w:b/>
          <w:color w:val="000000" w:themeColor="text1"/>
          <w:sz w:val="32"/>
          <w:szCs w:val="32"/>
        </w:rPr>
      </w:pPr>
      <w:r w:rsidRPr="00234BB4">
        <w:rPr>
          <w:rFonts w:cstheme="minorHAnsi"/>
          <w:b/>
          <w:color w:val="000000" w:themeColor="text1"/>
          <w:sz w:val="32"/>
          <w:szCs w:val="32"/>
        </w:rPr>
        <w:t>Assessment Title:</w:t>
      </w:r>
    </w:p>
    <w:p w14:paraId="1DA0D2DD" w14:textId="77777777" w:rsidR="000100AB" w:rsidRDefault="000100AB" w:rsidP="000100AB">
      <w:pPr>
        <w:jc w:val="center"/>
        <w:rPr>
          <w:rFonts w:cstheme="minorHAnsi"/>
          <w:b/>
          <w:color w:val="000000" w:themeColor="text1"/>
          <w:sz w:val="32"/>
          <w:szCs w:val="32"/>
        </w:rPr>
      </w:pPr>
    </w:p>
    <w:p w14:paraId="740E864E" w14:textId="3661309D" w:rsidR="000100AB" w:rsidRPr="000100AB" w:rsidRDefault="000100AB" w:rsidP="000100AB">
      <w:pPr>
        <w:jc w:val="center"/>
        <w:rPr>
          <w:rFonts w:cstheme="minorHAnsi"/>
          <w:b/>
          <w:color w:val="000000" w:themeColor="text1"/>
          <w:sz w:val="32"/>
          <w:szCs w:val="32"/>
        </w:rPr>
      </w:pPr>
      <w:r>
        <w:rPr>
          <w:rFonts w:cstheme="minorHAnsi"/>
          <w:b/>
          <w:color w:val="000000" w:themeColor="text1"/>
          <w:sz w:val="32"/>
          <w:szCs w:val="32"/>
        </w:rPr>
        <w:t>Case study – ‘Critically reflect on your counselling work, explore ethical issues, application of theory, process recall and use of supervision.’</w:t>
      </w:r>
    </w:p>
    <w:p w14:paraId="759A2A7D" w14:textId="77777777" w:rsidR="000100AB" w:rsidRDefault="000100AB" w:rsidP="001E28D7">
      <w:pPr>
        <w:spacing w:line="480" w:lineRule="auto"/>
        <w:jc w:val="both"/>
      </w:pPr>
    </w:p>
    <w:p w14:paraId="24A32E03" w14:textId="77777777" w:rsidR="000100AB" w:rsidRDefault="000100AB" w:rsidP="001E28D7">
      <w:pPr>
        <w:spacing w:line="480" w:lineRule="auto"/>
        <w:jc w:val="both"/>
      </w:pPr>
    </w:p>
    <w:p w14:paraId="76DB1C35" w14:textId="77777777" w:rsidR="000100AB" w:rsidRDefault="000100AB" w:rsidP="001E28D7">
      <w:pPr>
        <w:spacing w:line="480" w:lineRule="auto"/>
        <w:jc w:val="both"/>
      </w:pPr>
    </w:p>
    <w:p w14:paraId="076B80DF" w14:textId="77777777" w:rsidR="000100AB" w:rsidRDefault="000100AB" w:rsidP="001E28D7">
      <w:pPr>
        <w:spacing w:line="480" w:lineRule="auto"/>
        <w:jc w:val="both"/>
      </w:pPr>
      <w:bookmarkStart w:id="0" w:name="_GoBack"/>
      <w:bookmarkEnd w:id="0"/>
    </w:p>
    <w:p w14:paraId="0604FE86" w14:textId="77777777" w:rsidR="000100AB" w:rsidRDefault="000100AB" w:rsidP="001E28D7">
      <w:pPr>
        <w:spacing w:line="480" w:lineRule="auto"/>
        <w:jc w:val="both"/>
      </w:pPr>
    </w:p>
    <w:p w14:paraId="3E95CC48" w14:textId="77777777" w:rsidR="000100AB" w:rsidRDefault="000100AB" w:rsidP="001E28D7">
      <w:pPr>
        <w:spacing w:line="480" w:lineRule="auto"/>
        <w:jc w:val="both"/>
      </w:pPr>
    </w:p>
    <w:p w14:paraId="061ECAB0" w14:textId="2AADF5B4" w:rsidR="00EA35A8" w:rsidRDefault="004F29BC" w:rsidP="00EA35A8">
      <w:pPr>
        <w:spacing w:line="480" w:lineRule="auto"/>
        <w:jc w:val="both"/>
      </w:pPr>
      <w:r>
        <w:lastRenderedPageBreak/>
        <w:t xml:space="preserve">     </w:t>
      </w:r>
      <w:r w:rsidR="00A7126D">
        <w:t>A twenty-minute recording dated 3</w:t>
      </w:r>
      <w:r w:rsidR="00A7126D" w:rsidRPr="00A7126D">
        <w:rPr>
          <w:vertAlign w:val="superscript"/>
        </w:rPr>
        <w:t>rd</w:t>
      </w:r>
      <w:r w:rsidR="00A7126D">
        <w:t xml:space="preserve"> March 2020</w:t>
      </w:r>
      <w:r w:rsidR="00BF7DDB">
        <w:t>,</w:t>
      </w:r>
      <w:r w:rsidR="00EA35A8">
        <w:t xml:space="preserve"> of a counselling session</w:t>
      </w:r>
      <w:r w:rsidR="00EC03F3">
        <w:t xml:space="preserve"> </w:t>
      </w:r>
      <w:r w:rsidR="00EA35A8">
        <w:t xml:space="preserve">between a trainee counsellor and a student colleague, </w:t>
      </w:r>
      <w:r w:rsidR="00A7126D">
        <w:t>has been reviewed and examined.</w:t>
      </w:r>
      <w:r w:rsidR="00EA35A8">
        <w:t xml:space="preserve"> The </w:t>
      </w:r>
      <w:r w:rsidR="00BF7DDB">
        <w:t>recording</w:t>
      </w:r>
      <w:r w:rsidR="00EA35A8">
        <w:t xml:space="preserve"> has been reviewed for the purpose of identifying the trainee counsellor’s strengths and areas for development within their </w:t>
      </w:r>
      <w:r w:rsidR="00BF7DDB">
        <w:t xml:space="preserve">person-centred </w:t>
      </w:r>
      <w:r w:rsidR="00EA35A8">
        <w:t>practice.</w:t>
      </w:r>
      <w:r w:rsidR="00EC03F3">
        <w:t xml:space="preserve"> The video has been submitted and</w:t>
      </w:r>
      <w:r w:rsidR="00EA35A8">
        <w:t xml:space="preserve"> </w:t>
      </w:r>
      <w:r w:rsidR="00EC03F3">
        <w:t xml:space="preserve">a </w:t>
      </w:r>
      <w:r w:rsidR="00EA35A8">
        <w:t xml:space="preserve">case study will </w:t>
      </w:r>
      <w:r w:rsidR="00EC03F3">
        <w:t xml:space="preserve">now </w:t>
      </w:r>
      <w:r w:rsidR="00EA35A8">
        <w:t xml:space="preserve">be presented to include a reflection on the therapeutic process, the working relationship with the client and a range of therapeutic responses. The trainee counsellor will herein be referred to as ‘the counsellor’ and the student colleague will be referred to as ‘the client’. </w:t>
      </w:r>
      <w:r w:rsidR="001E28D7">
        <w:t>An observer, a fellow student who was also in the room, has offered and submitted their feedback on the session.</w:t>
      </w:r>
    </w:p>
    <w:p w14:paraId="2FE0F09D" w14:textId="637B7A18" w:rsidR="009B0811" w:rsidRDefault="009B0811" w:rsidP="00EA35A8">
      <w:pPr>
        <w:spacing w:line="480" w:lineRule="auto"/>
        <w:jc w:val="both"/>
      </w:pPr>
    </w:p>
    <w:p w14:paraId="1307DA5D" w14:textId="4AC2E3C4" w:rsidR="009B0811" w:rsidRDefault="004F29BC" w:rsidP="00EA35A8">
      <w:pPr>
        <w:spacing w:line="480" w:lineRule="auto"/>
        <w:jc w:val="both"/>
      </w:pPr>
      <w:r>
        <w:t xml:space="preserve">     </w:t>
      </w:r>
      <w:r w:rsidR="00423D70">
        <w:t>[</w:t>
      </w:r>
      <w:r w:rsidR="00A7126D">
        <w:t>It is useful to note that t</w:t>
      </w:r>
      <w:r w:rsidR="009B0811">
        <w:t xml:space="preserve">he recording </w:t>
      </w:r>
      <w:r w:rsidR="00EC03F3">
        <w:t>chosen</w:t>
      </w:r>
      <w:r w:rsidR="009B0811">
        <w:t xml:space="preserve"> is one that the counsellor had intended to follow up on in future sessions. </w:t>
      </w:r>
      <w:r w:rsidR="00A7126D">
        <w:t>The counselling</w:t>
      </w:r>
      <w:r w:rsidR="009B0811">
        <w:t xml:space="preserve"> session is just short of nineteen minutes and short of the established timescale. Unfortunately, at this session, the clock had failed to work properly. Future lessons were suspended due to the withdrawal of face to face teaching/contact and therefore a </w:t>
      </w:r>
      <w:r w:rsidR="00F825B6">
        <w:t xml:space="preserve">further, </w:t>
      </w:r>
      <w:r w:rsidR="009B0811">
        <w:t xml:space="preserve">longer recorded session was not possible. Further </w:t>
      </w:r>
      <w:r w:rsidR="00F825B6">
        <w:t>along in</w:t>
      </w:r>
      <w:r w:rsidR="009B0811">
        <w:t xml:space="preserve"> the case study it </w:t>
      </w:r>
      <w:r w:rsidR="00F825B6">
        <w:t>will be</w:t>
      </w:r>
      <w:r w:rsidR="009B0811">
        <w:t xml:space="preserve"> discussed</w:t>
      </w:r>
      <w:r w:rsidR="00F825B6">
        <w:t xml:space="preserve"> as to</w:t>
      </w:r>
      <w:r w:rsidR="009B0811">
        <w:t xml:space="preserve"> how the counsellor may have used those extra minutes had they </w:t>
      </w:r>
      <w:r w:rsidR="00D93CED">
        <w:t>been able to pace the session successfully</w:t>
      </w:r>
      <w:r w:rsidR="00423D70">
        <w:t>]</w:t>
      </w:r>
      <w:r w:rsidR="009B0811">
        <w:t>.</w:t>
      </w:r>
    </w:p>
    <w:p w14:paraId="73B14846" w14:textId="4DF21242" w:rsidR="00EA35A8" w:rsidRDefault="00EA35A8" w:rsidP="00EA35A8">
      <w:pPr>
        <w:tabs>
          <w:tab w:val="left" w:pos="1762"/>
        </w:tabs>
        <w:spacing w:line="480" w:lineRule="auto"/>
        <w:jc w:val="both"/>
      </w:pPr>
      <w:r>
        <w:tab/>
      </w:r>
    </w:p>
    <w:p w14:paraId="5B819878" w14:textId="7649DDA0" w:rsidR="00EA35A8" w:rsidRDefault="004F29BC" w:rsidP="00EA35A8">
      <w:pPr>
        <w:spacing w:line="480" w:lineRule="auto"/>
        <w:jc w:val="both"/>
      </w:pPr>
      <w:r>
        <w:t xml:space="preserve">     </w:t>
      </w:r>
      <w:r w:rsidR="00EA35A8">
        <w:t xml:space="preserve">The client is a female </w:t>
      </w:r>
      <w:r w:rsidR="0035584C">
        <w:t xml:space="preserve">counselling </w:t>
      </w:r>
      <w:r w:rsidR="00EA35A8">
        <w:t xml:space="preserve">student, in </w:t>
      </w:r>
      <w:r w:rsidR="00121DF0">
        <w:t>their</w:t>
      </w:r>
      <w:r w:rsidR="00EA35A8">
        <w:t xml:space="preserve"> early thirties. The recorded session is their third session together. The client has presenting issues relating to existential questions about life and death </w:t>
      </w:r>
      <w:r w:rsidR="009B0811">
        <w:t xml:space="preserve">following a funeral attendance the day previously. </w:t>
      </w:r>
      <w:r w:rsidR="00EA35A8">
        <w:t xml:space="preserve">The client has recently been given a diagnosis of ADHD and has no other medical issues or diagnosis. </w:t>
      </w:r>
      <w:r w:rsidR="00121DF0">
        <w:t>The client</w:t>
      </w:r>
      <w:r w:rsidR="00EA35A8">
        <w:t xml:space="preserve"> does not take any prescribed medicines. </w:t>
      </w:r>
    </w:p>
    <w:p w14:paraId="4E6A593C" w14:textId="77777777" w:rsidR="00C53BBB" w:rsidRDefault="00C53BBB" w:rsidP="00EA35A8">
      <w:pPr>
        <w:spacing w:line="480" w:lineRule="auto"/>
        <w:jc w:val="both"/>
      </w:pPr>
    </w:p>
    <w:p w14:paraId="17D2FC8B" w14:textId="4E2702DF" w:rsidR="00D93CED" w:rsidRDefault="004F29BC" w:rsidP="00EA35A8">
      <w:pPr>
        <w:spacing w:line="480" w:lineRule="auto"/>
        <w:jc w:val="both"/>
      </w:pPr>
      <w:r>
        <w:lastRenderedPageBreak/>
        <w:t xml:space="preserve">     </w:t>
      </w:r>
      <w:r w:rsidR="00EA35A8">
        <w:t>The aims and objectives of this case study is for the trainee counsellor to develop the ability to monitor the self within the counselling process, developing the ‘internal supervisor’, to become more aware of the thinking processes behind the choice of particular counselling interventions, and to explore and appraise various ethical issues within</w:t>
      </w:r>
      <w:r w:rsidR="0035584C">
        <w:t xml:space="preserve"> their</w:t>
      </w:r>
      <w:r w:rsidR="00EA35A8">
        <w:t xml:space="preserve"> practice.</w:t>
      </w:r>
      <w:r w:rsidR="0035584C">
        <w:t xml:space="preserve"> The primary themes of the study are ethical, reflective practice and implementation of theory. Here follows a critical and reflective account of the </w:t>
      </w:r>
      <w:r w:rsidR="00BF7DDB">
        <w:t xml:space="preserve">person-centred </w:t>
      </w:r>
      <w:r w:rsidR="0035584C">
        <w:t>counselling process as a trainee counsellor.</w:t>
      </w:r>
      <w:r w:rsidR="00BA16B6">
        <w:t xml:space="preserve"> Gibbs reflective cycle</w:t>
      </w:r>
      <w:r w:rsidR="00C53BBB">
        <w:t xml:space="preserve"> (1988)</w:t>
      </w:r>
      <w:r w:rsidR="00BA16B6">
        <w:t xml:space="preserve"> has been used as a basis of </w:t>
      </w:r>
      <w:r w:rsidR="00C53BBB">
        <w:t>reflection</w:t>
      </w:r>
      <w:r w:rsidR="00BA16B6">
        <w:t>.</w:t>
      </w:r>
      <w:r w:rsidR="00C53BBB">
        <w:t xml:space="preserve"> The case study examines, what happened, the thought process and feeling at the time, what was good and bad about the experience, what sense can be made of the experience, what else could have been done and how to improve for next time (Gibbs, 1988). </w:t>
      </w:r>
    </w:p>
    <w:p w14:paraId="6BED56D6" w14:textId="77777777" w:rsidR="00D93CED" w:rsidRDefault="00D93CED" w:rsidP="00EA35A8">
      <w:pPr>
        <w:spacing w:line="480" w:lineRule="auto"/>
        <w:jc w:val="both"/>
      </w:pPr>
    </w:p>
    <w:p w14:paraId="1C05AF34" w14:textId="59B0853E" w:rsidR="00B41B07" w:rsidRDefault="004F29BC" w:rsidP="00EA35A8">
      <w:pPr>
        <w:spacing w:line="480" w:lineRule="auto"/>
        <w:jc w:val="both"/>
      </w:pPr>
      <w:r>
        <w:t xml:space="preserve">     </w:t>
      </w:r>
      <w:r w:rsidR="0035584C">
        <w:t>The</w:t>
      </w:r>
      <w:r w:rsidR="00A7126D">
        <w:t>re are a number of theorists who suggest that the counselling process can be broken down into three stages. The</w:t>
      </w:r>
      <w:r w:rsidR="0035584C">
        <w:t xml:space="preserve"> counselling process has a beginning, a middle </w:t>
      </w:r>
      <w:r w:rsidR="00A7126D">
        <w:t xml:space="preserve">and </w:t>
      </w:r>
      <w:r w:rsidR="0035584C">
        <w:t xml:space="preserve">an end. </w:t>
      </w:r>
      <w:r w:rsidR="00A7126D">
        <w:t xml:space="preserve">Gerard Egan (2004) offered a framework in the following three stages; helping the client tell their story, helping the client determine what they need and want and implementing action strategies to help the client get what they need and want. </w:t>
      </w:r>
      <w:r w:rsidR="0035584C">
        <w:t>These</w:t>
      </w:r>
      <w:r w:rsidR="00121DF0">
        <w:t xml:space="preserve"> stages</w:t>
      </w:r>
      <w:r w:rsidR="0035584C">
        <w:t xml:space="preserve"> are also referred to</w:t>
      </w:r>
      <w:r w:rsidR="00A7126D">
        <w:t xml:space="preserve"> by Clara Hill (2004)</w:t>
      </w:r>
      <w:r w:rsidR="0035584C">
        <w:t xml:space="preserve"> as exploring, </w:t>
      </w:r>
      <w:r w:rsidR="00A7126D">
        <w:t>insight</w:t>
      </w:r>
      <w:r w:rsidR="0035584C">
        <w:t xml:space="preserve"> and action</w:t>
      </w:r>
      <w:r w:rsidR="00A7126D">
        <w:t xml:space="preserve"> in the helping skills model</w:t>
      </w:r>
      <w:r w:rsidR="00121DF0">
        <w:t xml:space="preserve"> (McLeod and McLeod, 2011, p.38-39).</w:t>
      </w:r>
    </w:p>
    <w:p w14:paraId="3F90F8D4" w14:textId="77777777" w:rsidR="00B41B07" w:rsidRDefault="00B41B07" w:rsidP="00EA35A8">
      <w:pPr>
        <w:spacing w:line="480" w:lineRule="auto"/>
        <w:jc w:val="both"/>
      </w:pPr>
    </w:p>
    <w:p w14:paraId="10B89A5A" w14:textId="23E37167" w:rsidR="0035584C" w:rsidRDefault="004F29BC" w:rsidP="00EA35A8">
      <w:pPr>
        <w:spacing w:line="480" w:lineRule="auto"/>
        <w:jc w:val="both"/>
      </w:pPr>
      <w:r>
        <w:t xml:space="preserve">     </w:t>
      </w:r>
      <w:r w:rsidR="0035584C">
        <w:t>At the very start of the therapeutic relationship, a process of exploration begins</w:t>
      </w:r>
      <w:r w:rsidR="008F2DDA">
        <w:t xml:space="preserve"> to help the client tell their story</w:t>
      </w:r>
      <w:r w:rsidR="0035584C">
        <w:t xml:space="preserve">. An assessment </w:t>
      </w:r>
      <w:r w:rsidR="0051479A">
        <w:t>by</w:t>
      </w:r>
      <w:r w:rsidR="0035584C">
        <w:t xml:space="preserve"> both parties will take place. </w:t>
      </w:r>
      <w:r w:rsidR="00B41B07">
        <w:t xml:space="preserve">For a therapeutic relationship to be established, </w:t>
      </w:r>
      <w:r w:rsidR="00A7126D">
        <w:t xml:space="preserve">Carl </w:t>
      </w:r>
      <w:r w:rsidR="00B41B07">
        <w:t xml:space="preserve">Rogers (1957) stressed the importance of being able to make psychological contact, also known as </w:t>
      </w:r>
      <w:r w:rsidR="00A7126D">
        <w:t>the</w:t>
      </w:r>
      <w:r w:rsidR="00B41B07">
        <w:t xml:space="preserve"> therapeutic alliance. </w:t>
      </w:r>
      <w:r w:rsidR="0035584C">
        <w:t>Are these two people able to work together? Can they develop a therapeutic bond? Is there psychological contact</w:t>
      </w:r>
      <w:r w:rsidR="007C69C1">
        <w:t>?</w:t>
      </w:r>
      <w:r w:rsidR="0035584C">
        <w:t xml:space="preserve"> </w:t>
      </w:r>
      <w:r w:rsidR="00B41B07">
        <w:lastRenderedPageBreak/>
        <w:t xml:space="preserve">This would be essential for a therapeutic relationship to be established (Rogers cited in Feltham et al., 2017, p.75). </w:t>
      </w:r>
      <w:r w:rsidR="00062D1F">
        <w:t>It is worthy to note that t</w:t>
      </w:r>
      <w:r w:rsidR="00B62507">
        <w:t>he person-centred counsellor seldom engages in formal assessments of client’s problems pre-therapy and avoid</w:t>
      </w:r>
      <w:r w:rsidR="004719D8">
        <w:t>s</w:t>
      </w:r>
      <w:r w:rsidR="00B62507">
        <w:t xml:space="preserve"> making interpretations of client’s behaviour (Jones-Smith, 2016, p.241). </w:t>
      </w:r>
    </w:p>
    <w:p w14:paraId="37C9ED8A" w14:textId="77777777" w:rsidR="0016214F" w:rsidRDefault="0016214F" w:rsidP="00EA35A8">
      <w:pPr>
        <w:spacing w:line="480" w:lineRule="auto"/>
        <w:jc w:val="both"/>
      </w:pPr>
    </w:p>
    <w:p w14:paraId="5769E788" w14:textId="6FB11338" w:rsidR="00C27832" w:rsidRDefault="004F29BC" w:rsidP="00EA35A8">
      <w:pPr>
        <w:spacing w:line="480" w:lineRule="auto"/>
        <w:jc w:val="both"/>
      </w:pPr>
      <w:r>
        <w:t xml:space="preserve">     </w:t>
      </w:r>
      <w:r w:rsidR="0035584C">
        <w:t>For the purpose of the recorded session, a formal</w:t>
      </w:r>
      <w:r w:rsidR="00A7126D">
        <w:t xml:space="preserve"> </w:t>
      </w:r>
      <w:r w:rsidR="0035584C">
        <w:t>assessment did not take place. Both the client and the counsellor are fellow counselling students and acknowledge that they are able to make psychological contact.</w:t>
      </w:r>
      <w:r w:rsidR="00A7126D">
        <w:t xml:space="preserve"> As university student</w:t>
      </w:r>
      <w:r w:rsidR="004719D8">
        <w:t>s</w:t>
      </w:r>
      <w:r w:rsidR="00A7126D">
        <w:t>, it can be assumed that the client and the counsellor are both Gillick competent; that they have the functional ability to make a decision (Gillick v West Norfolk and Wisbech Area Health Authority, 1986)</w:t>
      </w:r>
      <w:r w:rsidR="00C27832">
        <w:t xml:space="preserve">. </w:t>
      </w:r>
      <w:r w:rsidR="0035584C">
        <w:t xml:space="preserve">The persons are known to one another already and this begs an exploration of dual </w:t>
      </w:r>
      <w:r w:rsidR="00B41B07">
        <w:t>relationships</w:t>
      </w:r>
      <w:r w:rsidR="007C69C1">
        <w:t>, which will be examined further on in the case study</w:t>
      </w:r>
      <w:r w:rsidR="0035584C">
        <w:t xml:space="preserve">. </w:t>
      </w:r>
    </w:p>
    <w:p w14:paraId="7E4D1102" w14:textId="77777777" w:rsidR="00C53BBB" w:rsidRDefault="00C53BBB" w:rsidP="00EA35A8">
      <w:pPr>
        <w:spacing w:line="480" w:lineRule="auto"/>
        <w:jc w:val="both"/>
      </w:pPr>
    </w:p>
    <w:p w14:paraId="1D19D867" w14:textId="2F80C727" w:rsidR="0016214F" w:rsidRDefault="004F29BC" w:rsidP="00EA35A8">
      <w:pPr>
        <w:spacing w:line="480" w:lineRule="auto"/>
        <w:jc w:val="both"/>
      </w:pPr>
      <w:r>
        <w:t xml:space="preserve">     </w:t>
      </w:r>
      <w:r w:rsidR="0035584C">
        <w:t>At the beginning of the very first session, the client and the counsellor verbally contract</w:t>
      </w:r>
      <w:r w:rsidR="0016214F">
        <w:t>ed</w:t>
      </w:r>
      <w:r w:rsidR="0035584C">
        <w:t xml:space="preserve"> with one another and it </w:t>
      </w:r>
      <w:r w:rsidR="0016214F">
        <w:t>was</w:t>
      </w:r>
      <w:r w:rsidR="0035584C">
        <w:t xml:space="preserve"> agreed</w:t>
      </w:r>
      <w:r w:rsidR="0016214F">
        <w:t xml:space="preserve"> as to</w:t>
      </w:r>
      <w:r w:rsidR="0035584C">
        <w:t xml:space="preserve"> how the counselling relationship </w:t>
      </w:r>
      <w:r w:rsidR="0016214F">
        <w:t xml:space="preserve">should </w:t>
      </w:r>
      <w:r w:rsidR="0035584C">
        <w:t>continue</w:t>
      </w:r>
      <w:r w:rsidR="0016214F">
        <w:t xml:space="preserve"> with regards to confidentiality</w:t>
      </w:r>
      <w:r w:rsidR="0035584C">
        <w:t xml:space="preserve">. </w:t>
      </w:r>
      <w:r w:rsidR="0016214F">
        <w:t>Outside of the educational facility there would normally be fewer witnesses to the counselling sessions. Therefore, for the purpose of these counselling session</w:t>
      </w:r>
      <w:r w:rsidR="007C69C1">
        <w:t>s</w:t>
      </w:r>
      <w:r w:rsidR="0016214F">
        <w:t xml:space="preserve">, it is </w:t>
      </w:r>
      <w:r w:rsidR="001C6A1A">
        <w:t xml:space="preserve">ethically </w:t>
      </w:r>
      <w:r w:rsidR="007C69C1">
        <w:t>crucial</w:t>
      </w:r>
      <w:r w:rsidR="0016214F">
        <w:t xml:space="preserve"> that the client keep themselves safe and not bring painful, complex or difficult themes into the session. This can have some forbearance on congruence and altruism, but the sessions need to be managed so as to keep all parties safe</w:t>
      </w:r>
      <w:r w:rsidR="004719D8">
        <w:t xml:space="preserve"> (McLeod, 2011, p.112). </w:t>
      </w:r>
    </w:p>
    <w:p w14:paraId="367B3D45" w14:textId="77777777" w:rsidR="0016214F" w:rsidRDefault="0016214F" w:rsidP="00EA35A8">
      <w:pPr>
        <w:spacing w:line="480" w:lineRule="auto"/>
        <w:jc w:val="both"/>
      </w:pPr>
    </w:p>
    <w:p w14:paraId="213576E8" w14:textId="2D721E23" w:rsidR="0035584C" w:rsidRDefault="004F29BC" w:rsidP="00EA35A8">
      <w:pPr>
        <w:spacing w:line="480" w:lineRule="auto"/>
        <w:jc w:val="both"/>
      </w:pPr>
      <w:r>
        <w:t xml:space="preserve">     </w:t>
      </w:r>
      <w:r w:rsidR="0035584C">
        <w:t xml:space="preserve">The contract is a living agreement that can be checked in on at any stage of the process. </w:t>
      </w:r>
      <w:r w:rsidR="00D7529F">
        <w:t xml:space="preserve">Good practice would dictate </w:t>
      </w:r>
      <w:r w:rsidR="0035584C">
        <w:t xml:space="preserve">that the counsellor </w:t>
      </w:r>
      <w:r w:rsidR="000719AF">
        <w:t>gives</w:t>
      </w:r>
      <w:r w:rsidR="0035584C">
        <w:t xml:space="preserve"> a brief summary</w:t>
      </w:r>
      <w:r w:rsidR="00D7529F">
        <w:t xml:space="preserve"> of their contract</w:t>
      </w:r>
      <w:r w:rsidR="0016214F">
        <w:t xml:space="preserve"> at the </w:t>
      </w:r>
      <w:r w:rsidR="0016214F">
        <w:lastRenderedPageBreak/>
        <w:t>start of this session</w:t>
      </w:r>
      <w:r w:rsidR="00A7126D">
        <w:t xml:space="preserve">. </w:t>
      </w:r>
      <w:r w:rsidR="009B0811">
        <w:t xml:space="preserve"> </w:t>
      </w:r>
      <w:r w:rsidR="00A7126D">
        <w:t>T</w:t>
      </w:r>
      <w:r w:rsidR="009B0811">
        <w:t>he counsellor</w:t>
      </w:r>
      <w:r w:rsidR="00A7126D">
        <w:t xml:space="preserve"> opened the session with a brief revisory of the contract</w:t>
      </w:r>
      <w:r w:rsidR="000719AF">
        <w:t xml:space="preserve">. </w:t>
      </w:r>
      <w:r w:rsidR="009B0811">
        <w:t xml:space="preserve">Looking back on the video, the client </w:t>
      </w:r>
      <w:r w:rsidR="00E73516">
        <w:t xml:space="preserve">at this point </w:t>
      </w:r>
      <w:r w:rsidR="009B0811">
        <w:t xml:space="preserve">has a closed </w:t>
      </w:r>
      <w:r w:rsidR="00B41B07">
        <w:t xml:space="preserve">off </w:t>
      </w:r>
      <w:r w:rsidR="009B0811">
        <w:t>appearance, almost protective</w:t>
      </w:r>
      <w:r w:rsidR="00B41B07">
        <w:t>,</w:t>
      </w:r>
      <w:r w:rsidR="009B0811">
        <w:t xml:space="preserve"> and therefore exploring the contract in more detail would not have caused any harm</w:t>
      </w:r>
      <w:r w:rsidR="00C53BBB">
        <w:t>. A contract may be used to negotiate boundaries for therapy, and this can be used as a framework in which the activity can safely take place</w:t>
      </w:r>
      <w:r w:rsidR="00F847D2" w:rsidRPr="00F847D2">
        <w:t xml:space="preserve"> </w:t>
      </w:r>
      <w:r w:rsidR="00F847D2">
        <w:t>(</w:t>
      </w:r>
      <w:r w:rsidR="00F358AD">
        <w:t>BACP, 2018</w:t>
      </w:r>
      <w:r w:rsidR="00F847D2">
        <w:t>)</w:t>
      </w:r>
      <w:r w:rsidR="00F847D2">
        <w:t>.</w:t>
      </w:r>
      <w:r w:rsidR="00C53BBB">
        <w:t xml:space="preserve"> </w:t>
      </w:r>
    </w:p>
    <w:p w14:paraId="21CADF3E" w14:textId="24C091B9" w:rsidR="00A7126D" w:rsidRDefault="004F29BC" w:rsidP="00EA35A8">
      <w:pPr>
        <w:spacing w:line="480" w:lineRule="auto"/>
        <w:jc w:val="both"/>
      </w:pPr>
      <w:r>
        <w:t xml:space="preserve"> </w:t>
      </w:r>
    </w:p>
    <w:p w14:paraId="1BAE876A" w14:textId="01667FD1" w:rsidR="007C69C1" w:rsidRDefault="004F29BC" w:rsidP="00EA35A8">
      <w:pPr>
        <w:spacing w:line="480" w:lineRule="auto"/>
        <w:jc w:val="both"/>
      </w:pPr>
      <w:r>
        <w:t xml:space="preserve">     </w:t>
      </w:r>
      <w:r w:rsidR="007C69C1">
        <w:t xml:space="preserve">The exploration phase continues with the skill of attending. The counsellor shows this skill by focusing their attention on the client, through listening and being attentive. </w:t>
      </w:r>
      <w:r w:rsidR="00A7126D">
        <w:t>The counsellor shows good SOLER, good eye contact, a warm and interested tone of voice and good use of minimal encouragers. The counsellor is showing good empathic presence, is tuning in to the words of the client and the meaning behind those words. These skills, Egan (2004) proposes, will help the client to tell their story, listening to verbal and non-verbal communication</w:t>
      </w:r>
      <w:r w:rsidR="0051479A">
        <w:t xml:space="preserve"> (McLeod and McLeod, 2011, p. 38). </w:t>
      </w:r>
      <w:r w:rsidR="006701D7">
        <w:t>In the session the</w:t>
      </w:r>
      <w:r w:rsidR="007C69C1">
        <w:t xml:space="preserve"> core conditions are being offered to help the client feel valued. </w:t>
      </w:r>
      <w:r w:rsidR="000719AF">
        <w:t xml:space="preserve">The counsellor acknowledges that the client has spoken about previous funerals and experiences of losing loved ones in the recent past and shows this through </w:t>
      </w:r>
      <w:r w:rsidR="00F358AD">
        <w:t>active</w:t>
      </w:r>
      <w:r w:rsidR="000719AF">
        <w:t xml:space="preserve"> listening and has empathic stance for the weight of the client’s grief. </w:t>
      </w:r>
      <w:r w:rsidR="00F358AD">
        <w:t xml:space="preserve">The </w:t>
      </w:r>
      <w:r w:rsidR="007C69C1">
        <w:t xml:space="preserve">counsellor is allowing the client to speak uninterrupted and putting their focus on the client. It also puts the onus of responsibility on the client, for them to think about what they want to bring. </w:t>
      </w:r>
      <w:r w:rsidR="00E73516">
        <w:t>Unlike the psychodynamic interventions, person-centred theories allow for the client to lead the course of the conversation</w:t>
      </w:r>
      <w:r w:rsidR="00F358AD">
        <w:t xml:space="preserve"> </w:t>
      </w:r>
      <w:r w:rsidR="00B62507">
        <w:t xml:space="preserve">(Jones-Smith, 2016, p.242). </w:t>
      </w:r>
    </w:p>
    <w:p w14:paraId="03CFB96B" w14:textId="77777777" w:rsidR="007C69C1" w:rsidRDefault="007C69C1" w:rsidP="00EA35A8">
      <w:pPr>
        <w:spacing w:line="480" w:lineRule="auto"/>
        <w:jc w:val="both"/>
      </w:pPr>
    </w:p>
    <w:p w14:paraId="65DA9A54" w14:textId="60D06FCA" w:rsidR="00E73516" w:rsidRDefault="004F29BC" w:rsidP="00EA35A8">
      <w:pPr>
        <w:spacing w:line="480" w:lineRule="auto"/>
        <w:jc w:val="both"/>
      </w:pPr>
      <w:r>
        <w:t xml:space="preserve">     </w:t>
      </w:r>
      <w:r w:rsidR="00B4672F">
        <w:t xml:space="preserve">The </w:t>
      </w:r>
      <w:r w:rsidR="007C69C1">
        <w:t>conversation picks up momentum</w:t>
      </w:r>
      <w:r w:rsidR="00F847D2">
        <w:t>; t</w:t>
      </w:r>
      <w:r w:rsidR="007C69C1">
        <w:t xml:space="preserve">he client is speaking about what is going on for </w:t>
      </w:r>
      <w:r w:rsidR="00175C24">
        <w:t>them</w:t>
      </w:r>
      <w:r w:rsidR="007C69C1">
        <w:t xml:space="preserve"> in </w:t>
      </w:r>
      <w:r w:rsidR="00175C24">
        <w:t>their</w:t>
      </w:r>
      <w:r w:rsidR="007C69C1">
        <w:t xml:space="preserve"> life and the counsellor not only hears the words but reflects back the</w:t>
      </w:r>
      <w:r w:rsidR="00A7126D">
        <w:t>ir</w:t>
      </w:r>
      <w:r w:rsidR="007C69C1">
        <w:t xml:space="preserve"> feelings to check in with how the client really feels.</w:t>
      </w:r>
      <w:r w:rsidR="000719AF">
        <w:t xml:space="preserve"> </w:t>
      </w:r>
      <w:r w:rsidR="000F2827">
        <w:t xml:space="preserve">Here is a good example of phenomenological </w:t>
      </w:r>
      <w:r w:rsidR="000F2827">
        <w:lastRenderedPageBreak/>
        <w:t>noticing</w:t>
      </w:r>
      <w:r w:rsidR="000719AF">
        <w:t>,</w:t>
      </w:r>
      <w:r w:rsidR="00A7126D">
        <w:t xml:space="preserve"> when the counsellor </w:t>
      </w:r>
      <w:r w:rsidR="00E73516">
        <w:t>says,</w:t>
      </w:r>
      <w:r w:rsidR="000719AF">
        <w:t xml:space="preserve"> </w:t>
      </w:r>
      <w:r w:rsidR="00E73516">
        <w:t>“</w:t>
      </w:r>
      <w:r w:rsidR="000719AF">
        <w:t>is it fair to say that you look uncomfortable?”</w:t>
      </w:r>
      <w:r w:rsidR="007C69C1">
        <w:t xml:space="preserve">. </w:t>
      </w:r>
      <w:r w:rsidR="000719AF">
        <w:t xml:space="preserve">On reflection this sentence could have been more skilfully played out, the counsellor could have said </w:t>
      </w:r>
      <w:r w:rsidR="00E73516">
        <w:t>“</w:t>
      </w:r>
      <w:r w:rsidR="000719AF">
        <w:t xml:space="preserve">I hear you say that you are uncomfortable with death and </w:t>
      </w:r>
      <w:r w:rsidR="000F2827">
        <w:t xml:space="preserve">I </w:t>
      </w:r>
      <w:r w:rsidR="000719AF">
        <w:t>see you look very uncomfortable talking about</w:t>
      </w:r>
      <w:r w:rsidR="000F2827">
        <w:t xml:space="preserve"> it</w:t>
      </w:r>
      <w:r w:rsidR="00E73516">
        <w:t>”.</w:t>
      </w:r>
      <w:r w:rsidR="000719AF">
        <w:t xml:space="preserve"> The client responded well </w:t>
      </w:r>
      <w:r w:rsidR="00E73516">
        <w:t xml:space="preserve">however </w:t>
      </w:r>
      <w:r w:rsidR="000719AF">
        <w:t>to the suggestion that they look uncomfortable. The client is given agency, a degree of ability to think, feel and act as an autonomous being</w:t>
      </w:r>
      <w:r w:rsidR="00F358AD">
        <w:t xml:space="preserve">, when the counsellor asks them if they want to continue to explore this subject within the session. </w:t>
      </w:r>
      <w:r w:rsidR="000719AF">
        <w:t>Agency is part of the person-centred relationship, allowing the client to take the steering wheel at times and drive the session forward at a steady and comfortable pace</w:t>
      </w:r>
      <w:r w:rsidR="00A7126D">
        <w:t xml:space="preserve"> (Mearns</w:t>
      </w:r>
      <w:r w:rsidR="004719D8">
        <w:t xml:space="preserve"> and Thorne, 2007, p.66</w:t>
      </w:r>
      <w:r w:rsidR="00A7126D">
        <w:t xml:space="preserve">). </w:t>
      </w:r>
      <w:r w:rsidR="00E73516">
        <w:t xml:space="preserve">The client is this instance made a decision on how they would like the session to move forward; to understand why they are uncomfortable with death and to become comfortable with death. </w:t>
      </w:r>
    </w:p>
    <w:p w14:paraId="5AA18BA5" w14:textId="77777777" w:rsidR="000719AF" w:rsidRDefault="000719AF" w:rsidP="00EA35A8">
      <w:pPr>
        <w:spacing w:line="480" w:lineRule="auto"/>
        <w:jc w:val="both"/>
      </w:pPr>
    </w:p>
    <w:p w14:paraId="780738D2" w14:textId="4F4EDD8D" w:rsidR="00E73516" w:rsidRDefault="004F29BC" w:rsidP="00EA35A8">
      <w:pPr>
        <w:spacing w:line="480" w:lineRule="auto"/>
        <w:jc w:val="both"/>
      </w:pPr>
      <w:r>
        <w:t xml:space="preserve">     </w:t>
      </w:r>
      <w:r w:rsidR="00C27832">
        <w:t xml:space="preserve">The counsellor uses </w:t>
      </w:r>
      <w:r w:rsidR="007C69C1">
        <w:t xml:space="preserve">paraphrasing to reflect back in </w:t>
      </w:r>
      <w:r w:rsidR="00B41B07">
        <w:t>their</w:t>
      </w:r>
      <w:r w:rsidR="00C27832">
        <w:t xml:space="preserve"> </w:t>
      </w:r>
      <w:r w:rsidR="007C69C1">
        <w:t>own words</w:t>
      </w:r>
      <w:r w:rsidR="00F358AD">
        <w:t>,</w:t>
      </w:r>
      <w:r w:rsidR="007C69C1">
        <w:t xml:space="preserve"> what they think the client is saying.</w:t>
      </w:r>
      <w:r w:rsidR="000719AF">
        <w:t xml:space="preserve"> </w:t>
      </w:r>
      <w:r w:rsidR="007C69C1">
        <w:t xml:space="preserve"> Sometimes the client will agree and sometimes they will correct the therapist and it becomes a useful way to examine the words of the client</w:t>
      </w:r>
      <w:r w:rsidR="00E73516">
        <w:t xml:space="preserve">. “You are comfortable with living your life until death is forced upon you in the shape of a funeral, and then this feels uncomfortable for you”. The client agreed that yes, this was how they experience their reality. </w:t>
      </w:r>
      <w:r w:rsidR="001F6AC5">
        <w:t xml:space="preserve">The counsellor’s expressive behaviour is an important part of their empathic response, particularly in the case of </w:t>
      </w:r>
      <w:r w:rsidR="00F358AD">
        <w:t xml:space="preserve">paraphrasing and </w:t>
      </w:r>
      <w:r w:rsidR="001F6AC5">
        <w:t xml:space="preserve">depth reflections. </w:t>
      </w:r>
      <w:r w:rsidR="001E28D7">
        <w:t xml:space="preserve">Even where the counsellor expresses a partial understanding of the client’s experience, </w:t>
      </w:r>
      <w:r w:rsidR="00B62507">
        <w:t xml:space="preserve">Rogers maintained that </w:t>
      </w:r>
      <w:r w:rsidR="001E28D7">
        <w:t>more often than not the client goes on to clarify that experience</w:t>
      </w:r>
      <w:r w:rsidR="00B62507">
        <w:t xml:space="preserve"> (Jones-Smith, 2016, p.243)</w:t>
      </w:r>
    </w:p>
    <w:p w14:paraId="34DB01B3" w14:textId="77777777" w:rsidR="00E73516" w:rsidRDefault="00E73516" w:rsidP="00EA35A8">
      <w:pPr>
        <w:spacing w:line="480" w:lineRule="auto"/>
        <w:jc w:val="both"/>
      </w:pPr>
    </w:p>
    <w:p w14:paraId="2979D4DB" w14:textId="186B4757" w:rsidR="00E73516" w:rsidRDefault="004F29BC" w:rsidP="00EA35A8">
      <w:pPr>
        <w:spacing w:line="480" w:lineRule="auto"/>
        <w:jc w:val="both"/>
      </w:pPr>
      <w:r>
        <w:t xml:space="preserve">     </w:t>
      </w:r>
      <w:r w:rsidR="006C2A48">
        <w:t xml:space="preserve">Focusing is another useful skill used at the beginning of a counselling session. A client may bring several issues and it is helpful for the counsellor to ask which is the most pressing to </w:t>
      </w:r>
      <w:r w:rsidR="006C2A48">
        <w:lastRenderedPageBreak/>
        <w:t>work with. Focusing is also used to focus emotions</w:t>
      </w:r>
      <w:r w:rsidR="00E73516">
        <w:t xml:space="preserve">. Within the session, when the client was talking about death and how that made them feel uncomfortable, the counsellor takes the client back to the events of the previous </w:t>
      </w:r>
      <w:r w:rsidR="001F6AC5">
        <w:t xml:space="preserve">day and </w:t>
      </w:r>
      <w:r w:rsidR="00E73516">
        <w:t>asked the</w:t>
      </w:r>
      <w:r w:rsidR="001F6AC5">
        <w:t xml:space="preserve"> client</w:t>
      </w:r>
      <w:r w:rsidR="00E73516">
        <w:t xml:space="preserve"> how </w:t>
      </w:r>
      <w:r w:rsidR="001F6AC5">
        <w:t>it felt to be at the funeral</w:t>
      </w:r>
      <w:r w:rsidR="00E73516">
        <w:t xml:space="preserve">. This felt important at the time, to focus on the emotions surrounding the subject of death. The client went on to speak about a eulogy that struck a chord. The emotion present was </w:t>
      </w:r>
      <w:r w:rsidR="001F6AC5">
        <w:t>pressed further</w:t>
      </w:r>
      <w:r w:rsidR="00E73516">
        <w:t xml:space="preserve"> by the counsellor, by asking “what is that”? The counsellor meant “what is that emotion”? but the client knew what was meant by the question and quickly responded. The emotion </w:t>
      </w:r>
      <w:r w:rsidR="001F6AC5">
        <w:t xml:space="preserve">revealed </w:t>
      </w:r>
      <w:r w:rsidR="00E73516">
        <w:t xml:space="preserve">here is loss. </w:t>
      </w:r>
      <w:r w:rsidR="001F6AC5">
        <w:t>A f</w:t>
      </w:r>
      <w:r w:rsidR="00E73516">
        <w:t xml:space="preserve">ear of a loss of a spouse. </w:t>
      </w:r>
      <w:r w:rsidR="001F6AC5">
        <w:t>A f</w:t>
      </w:r>
      <w:r w:rsidR="00E73516">
        <w:t xml:space="preserve">ear of losing their wife. </w:t>
      </w:r>
      <w:r w:rsidR="00B62507">
        <w:t>The theory used here is taken from Greenburg</w:t>
      </w:r>
      <w:r w:rsidR="0051479A">
        <w:t>’s</w:t>
      </w:r>
      <w:r w:rsidR="00B62507">
        <w:t xml:space="preserve"> (2004) emotion focused therapy. Emotion often precedes cognition and can contribute to information processing. Focusing on the emotion surrounding events can help the client become aware of, accept and make sense of their own emotions (Greenburg, 2004, p.3). </w:t>
      </w:r>
    </w:p>
    <w:p w14:paraId="3D80592A" w14:textId="4BC680D3" w:rsidR="006D2641" w:rsidRDefault="006D2641" w:rsidP="00EA35A8">
      <w:pPr>
        <w:spacing w:line="480" w:lineRule="auto"/>
        <w:jc w:val="both"/>
      </w:pPr>
    </w:p>
    <w:p w14:paraId="1FA11C5A" w14:textId="7ABB3FE7" w:rsidR="001F6AC5" w:rsidRDefault="004F29BC" w:rsidP="004344A8">
      <w:pPr>
        <w:spacing w:line="480" w:lineRule="auto"/>
        <w:jc w:val="both"/>
      </w:pPr>
      <w:r>
        <w:t xml:space="preserve">     </w:t>
      </w:r>
      <w:r w:rsidR="001F6AC5">
        <w:t>Whilst the client is talking about this emotion and the fear of loss, they are tearing up whilst by way of contrast, the counsellor is smiling. The counsellor needs to be careful with minimal encouragers and nodding when the client is talking about something negative. In this example the nodding and smiling could come across as confirmatory rather than showing an understanding</w:t>
      </w:r>
      <w:r w:rsidR="00EE13D5">
        <w:t xml:space="preserve"> (McLeod and McLeod, 2011, p.44). </w:t>
      </w:r>
      <w:r w:rsidR="001F6AC5">
        <w:t xml:space="preserve">The smile could be taken as a judgement and possibly the client followed up </w:t>
      </w:r>
      <w:r w:rsidR="0051479A">
        <w:t>by saying</w:t>
      </w:r>
      <w:r w:rsidR="001F6AC5">
        <w:t xml:space="preserve"> “it is a beautiful thing, I know…” In this moment, it is possible that there </w:t>
      </w:r>
      <w:r w:rsidR="0051479A">
        <w:t>was</w:t>
      </w:r>
      <w:r w:rsidR="001F6AC5">
        <w:t xml:space="preserve"> an opportunity for the client to explore their fear of loss, of being left behind, or possible attachment issues. It is apparent that the counsellor may be uncomfortable, or perhaps there is an overwhelming sense of emotion stirring. It may have been more congruent to say, “your experience of emotion on hearing that eulogy has moved me. I am feeling your sadness with you”. On the other hand, </w:t>
      </w:r>
      <w:r w:rsidR="00D93CED">
        <w:t xml:space="preserve">this </w:t>
      </w:r>
      <w:r w:rsidR="0051479A">
        <w:t xml:space="preserve">may </w:t>
      </w:r>
      <w:r w:rsidR="001F6AC5">
        <w:t>have displaced trust in</w:t>
      </w:r>
      <w:r w:rsidR="0051479A">
        <w:t xml:space="preserve"> </w:t>
      </w:r>
      <w:r w:rsidR="0051479A">
        <w:lastRenderedPageBreak/>
        <w:t xml:space="preserve">the </w:t>
      </w:r>
      <w:r w:rsidR="001F6AC5">
        <w:t>counsellor</w:t>
      </w:r>
      <w:r w:rsidR="0051479A">
        <w:t>’s ability</w:t>
      </w:r>
      <w:r w:rsidR="001F6AC5">
        <w:t xml:space="preserve"> to handle their emotion around this particular subject of d</w:t>
      </w:r>
      <w:r w:rsidR="0051479A">
        <w:t>eath</w:t>
      </w:r>
      <w:r w:rsidR="001F6AC5">
        <w:t xml:space="preserve"> and loss. </w:t>
      </w:r>
      <w:r w:rsidR="00EE13D5">
        <w:t>This is a skill known as boundary management and would be useful to explore for ethical purposes in supervision. Sometimes</w:t>
      </w:r>
      <w:r w:rsidR="0051479A">
        <w:t xml:space="preserve"> however,</w:t>
      </w:r>
      <w:r w:rsidR="00EE13D5">
        <w:t xml:space="preserve"> for therapeutic reasons, </w:t>
      </w:r>
      <w:r w:rsidR="00D93CED">
        <w:t>the counsellor</w:t>
      </w:r>
      <w:r w:rsidR="00EE13D5">
        <w:t xml:space="preserve"> need</w:t>
      </w:r>
      <w:r w:rsidR="00D93CED">
        <w:t>s</w:t>
      </w:r>
      <w:r w:rsidR="00EE13D5">
        <w:t xml:space="preserve"> to take a risk (Green, 2010, p.124). </w:t>
      </w:r>
    </w:p>
    <w:p w14:paraId="0528BA6F" w14:textId="77777777" w:rsidR="001F6AC5" w:rsidRDefault="001F6AC5" w:rsidP="004344A8">
      <w:pPr>
        <w:spacing w:line="480" w:lineRule="auto"/>
        <w:jc w:val="both"/>
      </w:pPr>
    </w:p>
    <w:p w14:paraId="28CE3452" w14:textId="591EF018" w:rsidR="001F6AC5" w:rsidRDefault="004F29BC" w:rsidP="004344A8">
      <w:pPr>
        <w:spacing w:line="480" w:lineRule="auto"/>
        <w:jc w:val="both"/>
      </w:pPr>
      <w:r>
        <w:t xml:space="preserve">     </w:t>
      </w:r>
      <w:r w:rsidR="00BA16B6">
        <w:t xml:space="preserve">It </w:t>
      </w:r>
      <w:r w:rsidR="001F6AC5">
        <w:t>can be seen that</w:t>
      </w:r>
      <w:r w:rsidR="00BA16B6">
        <w:t xml:space="preserve"> t</w:t>
      </w:r>
      <w:r w:rsidR="006D2641">
        <w:t>he client has a profoundly externalised locus of evaluation</w:t>
      </w:r>
      <w:r w:rsidR="00BA16B6">
        <w:t>. It can be seen that</w:t>
      </w:r>
      <w:r w:rsidR="006D2641">
        <w:t xml:space="preserve"> it is difficult for </w:t>
      </w:r>
      <w:r w:rsidR="00031BA2">
        <w:t>the client</w:t>
      </w:r>
      <w:r w:rsidR="006D2641">
        <w:t xml:space="preserve"> to make judgements about </w:t>
      </w:r>
      <w:r w:rsidR="00031BA2">
        <w:t>their</w:t>
      </w:r>
      <w:r w:rsidR="006D2641">
        <w:t xml:space="preserve"> own experiencing</w:t>
      </w:r>
      <w:r w:rsidR="00BA16B6">
        <w:t xml:space="preserve"> and introjected values are present.</w:t>
      </w:r>
      <w:r w:rsidR="006D2641">
        <w:t xml:space="preserve"> </w:t>
      </w:r>
      <w:r w:rsidR="00031BA2">
        <w:t xml:space="preserve">This is apparent to the counsellor who </w:t>
      </w:r>
      <w:r w:rsidR="00BA16B6">
        <w:t>is seen to</w:t>
      </w:r>
      <w:r w:rsidR="00031BA2">
        <w:t xml:space="preserve"> paraphrase back the word ‘should’ to the client</w:t>
      </w:r>
      <w:r w:rsidR="00BA16B6">
        <w:t xml:space="preserve">, on three separate occasions.  According to Rogers (1963), the fully functioning person is open to experience without feeling threatened or judged. It is important for the counsellor to be congruent and convey a message that it is okay to be oneself, not only okay but desirable. </w:t>
      </w:r>
      <w:r w:rsidR="001F6AC5">
        <w:t xml:space="preserve">The client stumbles over the idea that they ‘should’ be feeling certain feelings. Once this idea of owning their own feelings comes to light a shift occurs. The client straightens up, moves their arms to their side and takes a defensive stance. The competent counsellor may offer </w:t>
      </w:r>
      <w:r w:rsidR="00175C24">
        <w:t xml:space="preserve">a </w:t>
      </w:r>
      <w:r w:rsidR="001F6AC5">
        <w:t>response such as what are you feeling right now when you are talking about this? (Mearns</w:t>
      </w:r>
      <w:r w:rsidR="004719D8">
        <w:t xml:space="preserve"> and Thorne, 2007,</w:t>
      </w:r>
      <w:r w:rsidR="001F6AC5">
        <w:t xml:space="preserve"> p. 76)</w:t>
      </w:r>
      <w:r w:rsidR="004719D8">
        <w:t>.</w:t>
      </w:r>
      <w:r w:rsidR="001F6AC5">
        <w:t xml:space="preserve"> The counsellor shows empathic understanding and invites the client to come into the present and focus on their feeling in the moment. In so doing, the counsellor is inviting the client to exercise them self as their locus of evaluation. </w:t>
      </w:r>
    </w:p>
    <w:p w14:paraId="13EB309A" w14:textId="77777777" w:rsidR="004719D8" w:rsidRDefault="004719D8" w:rsidP="004344A8">
      <w:pPr>
        <w:spacing w:line="480" w:lineRule="auto"/>
        <w:jc w:val="both"/>
      </w:pPr>
    </w:p>
    <w:p w14:paraId="70DA1332" w14:textId="10480059" w:rsidR="006D2641" w:rsidRDefault="004F29BC" w:rsidP="004344A8">
      <w:pPr>
        <w:spacing w:line="480" w:lineRule="auto"/>
        <w:jc w:val="both"/>
      </w:pPr>
      <w:r>
        <w:t xml:space="preserve">     </w:t>
      </w:r>
      <w:r w:rsidR="004344A8">
        <w:t xml:space="preserve">There </w:t>
      </w:r>
      <w:r w:rsidR="00D93CED">
        <w:t>may have been an</w:t>
      </w:r>
      <w:r w:rsidR="004344A8">
        <w:t xml:space="preserve"> epiphany at this moment, when the counsellor linked the feelings towards the behaviour of a friend who had lost their partner to how the client thinks that they should feel. The defence in the client then settled and the body language softened which suggests an ‘aha!’ moment had occurred. </w:t>
      </w:r>
      <w:r w:rsidR="0051479A">
        <w:t>By way of contrast, a</w:t>
      </w:r>
      <w:r w:rsidR="00B62507">
        <w:t xml:space="preserve">nother theory that may be </w:t>
      </w:r>
      <w:r w:rsidR="00B62507">
        <w:lastRenderedPageBreak/>
        <w:t>considered here is that of Freud’s (1923) theory of personality structure. It is thought that people develop content for the superego by using introjection, the process of incorporating the norms of society into their own culture and parents are critical in the formation of the child’s superego (Jones-Smith, 2016, p. 39).</w:t>
      </w:r>
    </w:p>
    <w:p w14:paraId="7D2A0F10" w14:textId="77777777" w:rsidR="006D2641" w:rsidRDefault="006D2641" w:rsidP="004344A8">
      <w:pPr>
        <w:spacing w:line="480" w:lineRule="auto"/>
        <w:jc w:val="both"/>
      </w:pPr>
    </w:p>
    <w:p w14:paraId="36C38115" w14:textId="15593CC0" w:rsidR="001F6AC5" w:rsidRDefault="004F29BC" w:rsidP="004344A8">
      <w:pPr>
        <w:spacing w:line="480" w:lineRule="auto"/>
        <w:jc w:val="both"/>
      </w:pPr>
      <w:r>
        <w:t xml:space="preserve">     </w:t>
      </w:r>
      <w:r w:rsidR="00EB422B">
        <w:t xml:space="preserve">Immediacy is </w:t>
      </w:r>
      <w:r w:rsidR="001F6AC5">
        <w:t>the skill of being able to make use of the here and now processes. The counsellor experiences the client talk metaphorically about a balloon and then finites it to a soap bubble, representing the fragility of life and how vulnerable that bubble is to the external environment. The counsellor uses immediacy to talk about how the bubble popping feels to the client in the moment, “how does it feel when the bubble pops”? How does it feel when something ends? The therapeutic relationship offers a unique space where the client is not being judged and can just be, without expectation. It offers a unique space where the client can remove the masks that they wear every day to ‘face’ the world and enter territory that is new for them in their interactions with people and relationships. This goes beyond the therapeutic alliance and delves into relational depth</w:t>
      </w:r>
      <w:r w:rsidR="00175C24">
        <w:t xml:space="preserve"> (Mearns and Cooper</w:t>
      </w:r>
      <w:r w:rsidR="004719D8">
        <w:t>,2005, p.36</w:t>
      </w:r>
      <w:r w:rsidR="00175C24">
        <w:t>).</w:t>
      </w:r>
    </w:p>
    <w:p w14:paraId="7E799D29" w14:textId="1A8F336B" w:rsidR="006D2641" w:rsidRDefault="006D2641" w:rsidP="004344A8">
      <w:pPr>
        <w:spacing w:line="480" w:lineRule="auto"/>
        <w:jc w:val="both"/>
      </w:pPr>
    </w:p>
    <w:p w14:paraId="02B45DBA" w14:textId="7E5F4866" w:rsidR="006D2641" w:rsidRDefault="004F29BC" w:rsidP="004344A8">
      <w:pPr>
        <w:spacing w:line="480" w:lineRule="auto"/>
        <w:jc w:val="both"/>
      </w:pPr>
      <w:r>
        <w:t xml:space="preserve">     </w:t>
      </w:r>
      <w:r w:rsidR="007C0549">
        <w:t>Relational depth was evidenced when t</w:t>
      </w:r>
      <w:r w:rsidR="00A4503F">
        <w:t>he client was met</w:t>
      </w:r>
      <w:r w:rsidR="006D2641">
        <w:t xml:space="preserve"> with empathy combined with complete acceptance and these offerings were </w:t>
      </w:r>
      <w:r w:rsidR="00A4503F">
        <w:t xml:space="preserve">seemingly </w:t>
      </w:r>
      <w:r w:rsidR="006D2641">
        <w:t xml:space="preserve">received as being completely congruent </w:t>
      </w:r>
      <w:r w:rsidR="00A4503F">
        <w:t>from</w:t>
      </w:r>
      <w:r w:rsidR="006D2641">
        <w:t xml:space="preserve"> </w:t>
      </w:r>
      <w:r w:rsidR="00A4503F">
        <w:t>the</w:t>
      </w:r>
      <w:r w:rsidR="006D2641">
        <w:t xml:space="preserve"> counsellor. The client then met </w:t>
      </w:r>
      <w:r w:rsidR="00A4503F">
        <w:t>the counsellor</w:t>
      </w:r>
      <w:r w:rsidR="006D2641">
        <w:t xml:space="preserve"> without defen</w:t>
      </w:r>
      <w:r w:rsidR="00A4503F">
        <w:t>ce</w:t>
      </w:r>
      <w:r w:rsidR="006D2641">
        <w:t xml:space="preserve"> and </w:t>
      </w:r>
      <w:r w:rsidR="00A4503F">
        <w:t>without</w:t>
      </w:r>
      <w:r w:rsidR="006D2641">
        <w:t xml:space="preserve"> giv</w:t>
      </w:r>
      <w:r w:rsidR="00A4503F">
        <w:t>ing them</w:t>
      </w:r>
      <w:r w:rsidR="006D2641">
        <w:t xml:space="preserve"> answers that would please </w:t>
      </w:r>
      <w:r w:rsidR="00A4503F">
        <w:t>the counsellor</w:t>
      </w:r>
      <w:r w:rsidR="006D2641">
        <w:t>, and a different feeling</w:t>
      </w:r>
      <w:r w:rsidR="00A4503F">
        <w:t xml:space="preserve"> was experienced in the room with</w:t>
      </w:r>
      <w:r w:rsidR="006D2641">
        <w:t xml:space="preserve"> the client. The walls fell away and the client gave </w:t>
      </w:r>
      <w:r w:rsidR="00A4503F">
        <w:t xml:space="preserve">way to </w:t>
      </w:r>
      <w:r w:rsidR="006D2641">
        <w:t xml:space="preserve">sadness and anger and grief. </w:t>
      </w:r>
      <w:r w:rsidR="00A4503F">
        <w:t>The client</w:t>
      </w:r>
      <w:r w:rsidR="006D2641">
        <w:t xml:space="preserve"> talked about the grief she felt at the passing of her dog. Whe</w:t>
      </w:r>
      <w:r w:rsidR="00574BC0">
        <w:t>n</w:t>
      </w:r>
      <w:r w:rsidR="006D2641">
        <w:t xml:space="preserve"> </w:t>
      </w:r>
      <w:r w:rsidR="00574BC0">
        <w:t>the client</w:t>
      </w:r>
      <w:r w:rsidR="006D2641">
        <w:t xml:space="preserve"> say</w:t>
      </w:r>
      <w:r w:rsidR="00574BC0">
        <w:t>s</w:t>
      </w:r>
      <w:r w:rsidR="006D2641">
        <w:t xml:space="preserve">, “some people might find it stupid that I still grieve my dog”, the counsellor did not show judgement but gave warm acceptance for the client to continue in a safe space of </w:t>
      </w:r>
      <w:r w:rsidR="006D2641">
        <w:lastRenderedPageBreak/>
        <w:t xml:space="preserve">exploration and understanding. The counsellor challenged the client as a truly caring human being and the client responded. And that response was given without defence. </w:t>
      </w:r>
      <w:r w:rsidR="00A4503F">
        <w:t xml:space="preserve">Here is where relational depth was experienced at its fullest. </w:t>
      </w:r>
      <w:r w:rsidR="000F2827">
        <w:t xml:space="preserve">A potentially important therapeutic area was opened here, the client had expectations that their emotion being shown would be seen as ‘stupid’. For future considerations, where this illusion has come from and why it </w:t>
      </w:r>
      <w:r w:rsidR="00574BC0">
        <w:t>has been</w:t>
      </w:r>
      <w:r w:rsidR="000F2827">
        <w:t xml:space="preserve"> maintained</w:t>
      </w:r>
      <w:r w:rsidR="00574BC0">
        <w:t>,</w:t>
      </w:r>
      <w:r w:rsidR="000F2827">
        <w:t xml:space="preserve"> could be explored. This internalised self-judgement alienates the client from their own experiencing (M</w:t>
      </w:r>
      <w:r w:rsidR="004719D8">
        <w:t>earns and Thorne, 3007, p</w:t>
      </w:r>
      <w:r w:rsidR="000F2827">
        <w:t xml:space="preserve">. 127). The client has a phenomenal reality that their sadness be regarded as stupid </w:t>
      </w:r>
      <w:r w:rsidR="00A40C81">
        <w:t xml:space="preserve">and this </w:t>
      </w:r>
      <w:r w:rsidR="000F2827">
        <w:t xml:space="preserve">contrasts sharply with the counsellor’s phenomenal reality of the same event, which was that the counsellor was moved with empathy and felt sadness </w:t>
      </w:r>
      <w:r w:rsidR="00574BC0">
        <w:t>with</w:t>
      </w:r>
      <w:r w:rsidR="000F2827">
        <w:t xml:space="preserve"> the client. </w:t>
      </w:r>
    </w:p>
    <w:p w14:paraId="7B6B100C" w14:textId="5553A447" w:rsidR="008E62E6" w:rsidRDefault="008E62E6" w:rsidP="004344A8">
      <w:pPr>
        <w:spacing w:line="480" w:lineRule="auto"/>
        <w:jc w:val="both"/>
      </w:pPr>
    </w:p>
    <w:p w14:paraId="4CFE0625" w14:textId="55C33E57" w:rsidR="00175C24" w:rsidRDefault="004F29BC" w:rsidP="004344A8">
      <w:pPr>
        <w:spacing w:line="480" w:lineRule="auto"/>
        <w:jc w:val="both"/>
      </w:pPr>
      <w:r>
        <w:t xml:space="preserve">     </w:t>
      </w:r>
      <w:r w:rsidR="00E73516">
        <w:t xml:space="preserve">It is here that </w:t>
      </w:r>
      <w:r w:rsidR="001E28D7">
        <w:t>the therapeutic relationship</w:t>
      </w:r>
      <w:r w:rsidR="00E73516">
        <w:t xml:space="preserve"> enter</w:t>
      </w:r>
      <w:r w:rsidR="001E28D7">
        <w:t>s</w:t>
      </w:r>
      <w:r w:rsidR="00E73516">
        <w:t xml:space="preserve"> the second stage of Egan’s (2004) model, where the counsellor will work with the client to determine what the client needs and wants, and where the client is encouraged to move from possibilities to choices</w:t>
      </w:r>
      <w:r w:rsidR="00175C24">
        <w:t>. Or what Hill (2004) refers to as the stage of insight</w:t>
      </w:r>
      <w:r w:rsidR="00E73516">
        <w:t xml:space="preserve"> (McLeod and McLeod, 2011, p.38). </w:t>
      </w:r>
      <w:r w:rsidR="001F6AC5">
        <w:t xml:space="preserve">It can be seen that there are </w:t>
      </w:r>
      <w:r w:rsidR="006D2641">
        <w:t xml:space="preserve">underlying feelings and </w:t>
      </w:r>
      <w:r w:rsidR="001F6AC5">
        <w:t xml:space="preserve">an </w:t>
      </w:r>
      <w:r w:rsidR="006D2641">
        <w:t>awareness that the client is not yet experiencing. What seemed to be on the surface</w:t>
      </w:r>
      <w:r w:rsidR="001E28D7">
        <w:t>,</w:t>
      </w:r>
      <w:r w:rsidR="006D2641">
        <w:t xml:space="preserve"> a fear of death and concern over the meaning of life, turns out to be concealing an intense fear of loss. </w:t>
      </w:r>
      <w:r w:rsidR="001F6AC5">
        <w:t xml:space="preserve">The theory here is </w:t>
      </w:r>
      <w:proofErr w:type="spellStart"/>
      <w:r w:rsidR="001F6AC5">
        <w:t>Gendlin’s</w:t>
      </w:r>
      <w:proofErr w:type="spellEnd"/>
      <w:r w:rsidR="001F6AC5">
        <w:t xml:space="preserve"> (1981) edge of awareness. </w:t>
      </w:r>
      <w:r w:rsidR="006D2641">
        <w:t xml:space="preserve">Simply focusing on the surface feelings may be going over old ground, whereas focusing on the edge (the felt sense) can be the door to the unknown. Rogers (1977) called </w:t>
      </w:r>
      <w:r w:rsidR="00031BA2">
        <w:t xml:space="preserve">this </w:t>
      </w:r>
      <w:r w:rsidR="006D2641">
        <w:t xml:space="preserve">rehearsed material. </w:t>
      </w:r>
      <w:r w:rsidR="001F6AC5">
        <w:t xml:space="preserve">(Mearns </w:t>
      </w:r>
      <w:r w:rsidR="004719D8">
        <w:t>and Thorne, 2007,</w:t>
      </w:r>
      <w:r w:rsidR="001F6AC5">
        <w:t xml:space="preserve"> p.78)</w:t>
      </w:r>
      <w:r w:rsidR="001E28D7">
        <w:t xml:space="preserve">. </w:t>
      </w:r>
    </w:p>
    <w:p w14:paraId="2684E1B9" w14:textId="77777777" w:rsidR="00175C24" w:rsidRDefault="00175C24" w:rsidP="004344A8">
      <w:pPr>
        <w:spacing w:line="480" w:lineRule="auto"/>
        <w:jc w:val="both"/>
      </w:pPr>
    </w:p>
    <w:p w14:paraId="1DC4D2A8" w14:textId="6705606B" w:rsidR="0035584C" w:rsidRDefault="004F29BC" w:rsidP="004344A8">
      <w:pPr>
        <w:spacing w:line="480" w:lineRule="auto"/>
        <w:jc w:val="both"/>
      </w:pPr>
      <w:r>
        <w:t xml:space="preserve">     </w:t>
      </w:r>
      <w:r w:rsidR="00175C24">
        <w:t>I</w:t>
      </w:r>
      <w:r w:rsidR="001E28D7">
        <w:t xml:space="preserve">t is possible that the client has issues surrounding attachment. Mary Ainsworth (1970) categorised attachment styles and there may be potential for exploring these in later </w:t>
      </w:r>
      <w:r w:rsidR="001E28D7">
        <w:lastRenderedPageBreak/>
        <w:t>sessions. An intense fear of losing a loved one could be linked to an ambivalent attachment, and stems from early childhood and as child becoming distressed when a parent leaves them. These conditions of worth stay with a person until adulthood and the idea that a person is liked for what they do, rather than who they are, is formed. (</w:t>
      </w:r>
      <w:r w:rsidR="004719D8">
        <w:t>Stevens, 2019</w:t>
      </w:r>
      <w:r w:rsidR="001E28D7">
        <w:t xml:space="preserve">). How would the counsellor do this work with the client? These grounds would need to be tread gently and succinctly. </w:t>
      </w:r>
    </w:p>
    <w:p w14:paraId="0AF5D90F" w14:textId="216AFB67" w:rsidR="00236C83" w:rsidRDefault="00236C83" w:rsidP="004344A8">
      <w:pPr>
        <w:spacing w:line="480" w:lineRule="auto"/>
        <w:jc w:val="both"/>
      </w:pPr>
    </w:p>
    <w:p w14:paraId="53B5097F" w14:textId="7B9483C3" w:rsidR="00EE13D5" w:rsidRDefault="004F29BC" w:rsidP="004344A8">
      <w:pPr>
        <w:spacing w:line="480" w:lineRule="auto"/>
        <w:jc w:val="both"/>
      </w:pPr>
      <w:r>
        <w:t xml:space="preserve">     </w:t>
      </w:r>
      <w:r w:rsidR="004344A8">
        <w:t>An area that did not go well for the counsellor was when the client was talking about the loss of their dog, and how that was the first proper grieving they had ever experienced. The counsellor was aware in the session that this was very emotive, and the counsellor felt extreme sadness. When the client says, “I think I might explode”, the counsellor lets out a sharp gust of breath. In that moment, the counsellor was experiencing their own emotions relating to grief and the emotion caught in the breath, at the back of the throat. The counsellor had to centre themselves to continue and in doing so missed the enormity of the suggestion that the client might explode, followed by an explanation and an apology from the client that they were sorry for being confusing</w:t>
      </w:r>
      <w:r w:rsidR="004719D8">
        <w:t xml:space="preserve"> (Mearns and Cooper, 2005, p.130)</w:t>
      </w:r>
      <w:r w:rsidR="004344A8">
        <w:t>.  The counsellor did not say anything, and the conversation switched direction. This could have left the client feeling judged and a little confused or discarded. On the other hand, it may have been an opportunity for the client to talk about something else because they were not yet ready to delve into the old grief</w:t>
      </w:r>
      <w:r w:rsidR="00B62507">
        <w:t xml:space="preserve">. This will be an important consideration for supervision, </w:t>
      </w:r>
      <w:r w:rsidR="00EE13D5">
        <w:t xml:space="preserve">to weep or not to weep? </w:t>
      </w:r>
    </w:p>
    <w:p w14:paraId="6DA996E4" w14:textId="77777777" w:rsidR="00EE13D5" w:rsidRDefault="00EE13D5" w:rsidP="004344A8">
      <w:pPr>
        <w:spacing w:line="480" w:lineRule="auto"/>
        <w:jc w:val="both"/>
      </w:pPr>
    </w:p>
    <w:p w14:paraId="24A1BBD2" w14:textId="46E7ED6D" w:rsidR="001E28D7" w:rsidRDefault="004F29BC" w:rsidP="00175C24">
      <w:pPr>
        <w:spacing w:line="480" w:lineRule="auto"/>
        <w:jc w:val="both"/>
      </w:pPr>
      <w:r>
        <w:t xml:space="preserve">     </w:t>
      </w:r>
      <w:r w:rsidR="001E28D7">
        <w:t xml:space="preserve">An area that went well in the session is when the counsellor took the client’s metaphoric language and helped them to understand how they feel about endings, how does the client </w:t>
      </w:r>
      <w:r w:rsidR="001E28D7">
        <w:lastRenderedPageBreak/>
        <w:t xml:space="preserve">feel when the bubble pops and ends? There is moment where the client accepts that they enjoy the whole thing, the whole process from beginning to end, and sees the irony in their dilemma. A therapeutic shift occurs here, and the client progresses to speak their truth in how they really feel about the people in their life dying. The client is disappointed, and the client is angry. It is noted here that the client is owning their feelings and is not afraid to hold back. </w:t>
      </w:r>
      <w:r w:rsidR="00B62507">
        <w:t xml:space="preserve">Client’s metaphors can provide insights into their emotional states and how they conceptualise their situations. Lakoff and Johnson (1980) describe metaphor as a way to conceptualise the emotion in a form that is relatable to the other person (Wagener, 2017, p.146). </w:t>
      </w:r>
    </w:p>
    <w:p w14:paraId="291A6360" w14:textId="77777777" w:rsidR="004719D8" w:rsidRDefault="004719D8" w:rsidP="00175C24">
      <w:pPr>
        <w:spacing w:line="480" w:lineRule="auto"/>
        <w:jc w:val="both"/>
      </w:pPr>
    </w:p>
    <w:p w14:paraId="3D2C853A" w14:textId="5D88BBF4" w:rsidR="000D6A1D" w:rsidRDefault="004F29BC" w:rsidP="000D6A1D">
      <w:pPr>
        <w:spacing w:line="480" w:lineRule="auto"/>
        <w:jc w:val="both"/>
      </w:pPr>
      <w:r>
        <w:t xml:space="preserve">     </w:t>
      </w:r>
      <w:r w:rsidR="00175C24">
        <w:t>Immediately after the session, a</w:t>
      </w:r>
      <w:r w:rsidR="001E28D7">
        <w:t xml:space="preserve">n observer, a fellow student who was also in the room, </w:t>
      </w:r>
      <w:r w:rsidR="001E28D7" w:rsidRPr="00175C24">
        <w:t>offered and submitted their feedback on the session</w:t>
      </w:r>
      <w:r w:rsidR="00EE13D5">
        <w:t xml:space="preserve"> which revealed that the counsellor was mirroring and reflecting body language, repeating words and picking up on the client’s cues. There was visual mirroring with the hands and good use of open questions. The areas highlighted for improvement were to speak louder and to nod a little less. The observation was </w:t>
      </w:r>
      <w:r w:rsidR="000B2C12">
        <w:t>brief,</w:t>
      </w:r>
      <w:r w:rsidR="00EE13D5">
        <w:t xml:space="preserve"> but the points highlighted have been considered and examined throughout the case study.</w:t>
      </w:r>
      <w:r w:rsidR="000D6A1D">
        <w:t xml:space="preserve"> </w:t>
      </w:r>
      <w:r w:rsidR="004719D8">
        <w:t xml:space="preserve">The counsellor did not feel that they gained much from the observation. There is a further aspect of dual relationships occurring here where the observer is known to the counsellor in another capacity, as a fellow counselling student, and may not have felt comfortable divulging critical feedback (McLeod and McLeod, 2011, p.113). </w:t>
      </w:r>
    </w:p>
    <w:p w14:paraId="46146646" w14:textId="77777777" w:rsidR="000D6A1D" w:rsidRDefault="000D6A1D" w:rsidP="000D6A1D">
      <w:pPr>
        <w:spacing w:line="480" w:lineRule="auto"/>
        <w:jc w:val="both"/>
      </w:pPr>
    </w:p>
    <w:p w14:paraId="50742C72" w14:textId="42AEB56D" w:rsidR="000D6A1D" w:rsidRPr="00423D70" w:rsidRDefault="004F29BC" w:rsidP="00175C24">
      <w:pPr>
        <w:spacing w:line="480" w:lineRule="auto"/>
        <w:jc w:val="both"/>
        <w:rPr>
          <w:color w:val="000000" w:themeColor="text1"/>
        </w:rPr>
      </w:pPr>
      <w:r>
        <w:t xml:space="preserve">     </w:t>
      </w:r>
      <w:r w:rsidR="000D6A1D">
        <w:t xml:space="preserve">The timing and pacing of the session were good up until the end. The counsellor would have done well to start the session by letting the client know how much time they had together to examine the client’s issues relating to death and this may have helped to establish </w:t>
      </w:r>
      <w:r w:rsidR="000D6A1D">
        <w:lastRenderedPageBreak/>
        <w:t>trust</w:t>
      </w:r>
      <w:r w:rsidR="004719D8">
        <w:t xml:space="preserve"> (Mearns and Thorne, 2007, </w:t>
      </w:r>
      <w:r w:rsidR="000D6A1D">
        <w:t>p.160</w:t>
      </w:r>
      <w:r w:rsidR="004719D8">
        <w:t>).</w:t>
      </w:r>
      <w:r w:rsidR="000D6A1D">
        <w:t xml:space="preserve"> </w:t>
      </w:r>
      <w:r w:rsidR="004719D8">
        <w:t>H</w:t>
      </w:r>
      <w:r w:rsidR="000D6A1D">
        <w:t>owever</w:t>
      </w:r>
      <w:r w:rsidR="004719D8">
        <w:t>,</w:t>
      </w:r>
      <w:r w:rsidR="000D6A1D">
        <w:t xml:space="preserve"> the client slipped into a narrative with ease and therefore the trust was displayed. The middle of the session was met when the development of the therapeutic relationship began to form, and relational depth was met in the first instance. Had the counsellor timed the ending of the session successfully they would have checked out the client’s feelings on finishing the session and made sure they were okay to go back out into the world and back to their life. It is crucial to note that the main themes of the session were death, endings and loss. The counsellor would do well to bear this in mind, as the abrupt ending of the session could trigger the intense feelings </w:t>
      </w:r>
      <w:r w:rsidR="00574BC0">
        <w:t xml:space="preserve">of loss </w:t>
      </w:r>
      <w:r w:rsidR="000D6A1D">
        <w:t xml:space="preserve">associated with the client </w:t>
      </w:r>
      <w:r w:rsidR="000D6A1D" w:rsidRPr="00423D70">
        <w:rPr>
          <w:color w:val="000000" w:themeColor="text1"/>
        </w:rPr>
        <w:t>at this point. (</w:t>
      </w:r>
      <w:r w:rsidR="004719D8" w:rsidRPr="00423D70">
        <w:rPr>
          <w:color w:val="000000" w:themeColor="text1"/>
        </w:rPr>
        <w:t>Mearns and Thorne, 2007, p.</w:t>
      </w:r>
      <w:r w:rsidR="000D6A1D" w:rsidRPr="00423D70">
        <w:rPr>
          <w:color w:val="000000" w:themeColor="text1"/>
        </w:rPr>
        <w:t>203.)</w:t>
      </w:r>
    </w:p>
    <w:p w14:paraId="19941D49" w14:textId="1454E1E7" w:rsidR="00EE13D5" w:rsidRDefault="004F29BC" w:rsidP="00B62507">
      <w:pPr>
        <w:pStyle w:val="NormalWeb"/>
        <w:spacing w:before="0" w:after="0" w:line="480" w:lineRule="auto"/>
        <w:jc w:val="both"/>
        <w:textAlignment w:val="baseline"/>
        <w:rPr>
          <w:rFonts w:asciiTheme="minorHAnsi" w:hAnsiTheme="minorHAnsi"/>
        </w:rPr>
      </w:pPr>
      <w:r>
        <w:rPr>
          <w:rFonts w:asciiTheme="minorHAnsi" w:hAnsiTheme="minorHAnsi"/>
          <w:color w:val="000000" w:themeColor="text1"/>
        </w:rPr>
        <w:t xml:space="preserve">     </w:t>
      </w:r>
      <w:r w:rsidR="00175C24" w:rsidRPr="00423D70">
        <w:rPr>
          <w:rFonts w:asciiTheme="minorHAnsi" w:hAnsiTheme="minorHAnsi"/>
          <w:color w:val="000000" w:themeColor="text1"/>
        </w:rPr>
        <w:t xml:space="preserve">Supervision is necessary “to ensure standards, enhance quality, advance learning, stimulate </w:t>
      </w:r>
      <w:r w:rsidR="00175C24" w:rsidRPr="00175C24">
        <w:rPr>
          <w:rFonts w:asciiTheme="minorHAnsi" w:hAnsiTheme="minorHAnsi"/>
          <w:color w:val="1F1F20"/>
        </w:rPr>
        <w:t xml:space="preserve">creativity, and support the sustainability and resilience of the work being undertaken” (BACP, 2011). </w:t>
      </w:r>
      <w:r w:rsidR="004719D8">
        <w:rPr>
          <w:rFonts w:asciiTheme="minorHAnsi" w:hAnsiTheme="minorHAnsi"/>
          <w:color w:val="1F1F20"/>
        </w:rPr>
        <w:t xml:space="preserve">This </w:t>
      </w:r>
      <w:r w:rsidR="00EE13D5">
        <w:rPr>
          <w:rFonts w:asciiTheme="minorHAnsi" w:hAnsiTheme="minorHAnsi"/>
          <w:color w:val="1F1F20"/>
        </w:rPr>
        <w:t>session</w:t>
      </w:r>
      <w:r w:rsidR="004719D8">
        <w:rPr>
          <w:rFonts w:asciiTheme="minorHAnsi" w:hAnsiTheme="minorHAnsi"/>
          <w:color w:val="1F1F20"/>
        </w:rPr>
        <w:t xml:space="preserve"> between the counsellor and the client</w:t>
      </w:r>
      <w:r w:rsidR="00EE13D5">
        <w:rPr>
          <w:rFonts w:asciiTheme="minorHAnsi" w:hAnsiTheme="minorHAnsi"/>
          <w:color w:val="1F1F20"/>
        </w:rPr>
        <w:t xml:space="preserve"> was taken to supervision and i</w:t>
      </w:r>
      <w:r w:rsidR="00175C24">
        <w:rPr>
          <w:rFonts w:asciiTheme="minorHAnsi" w:hAnsiTheme="minorHAnsi"/>
          <w:color w:val="1F1F20"/>
        </w:rPr>
        <w:t>t was clear, after speaking to the supervisor, that the grief being experienced by the counsellor in the sessio</w:t>
      </w:r>
      <w:r w:rsidR="00EE13D5">
        <w:rPr>
          <w:rFonts w:asciiTheme="minorHAnsi" w:hAnsiTheme="minorHAnsi"/>
          <w:color w:val="1F1F20"/>
        </w:rPr>
        <w:t>n</w:t>
      </w:r>
      <w:r w:rsidR="00574BC0">
        <w:rPr>
          <w:rFonts w:asciiTheme="minorHAnsi" w:hAnsiTheme="minorHAnsi"/>
          <w:color w:val="1F1F20"/>
        </w:rPr>
        <w:t xml:space="preserve"> was connected</w:t>
      </w:r>
      <w:r w:rsidR="00175C24">
        <w:rPr>
          <w:rFonts w:asciiTheme="minorHAnsi" w:hAnsiTheme="minorHAnsi"/>
          <w:color w:val="1F1F20"/>
        </w:rPr>
        <w:t xml:space="preserve"> </w:t>
      </w:r>
      <w:r w:rsidR="00574BC0">
        <w:rPr>
          <w:rFonts w:asciiTheme="minorHAnsi" w:hAnsiTheme="minorHAnsi"/>
          <w:color w:val="1F1F20"/>
        </w:rPr>
        <w:t>to</w:t>
      </w:r>
      <w:r w:rsidR="00175C24">
        <w:rPr>
          <w:rFonts w:asciiTheme="minorHAnsi" w:hAnsiTheme="minorHAnsi"/>
          <w:color w:val="1F1F20"/>
        </w:rPr>
        <w:t xml:space="preserve"> the dual role being played out in the therapy room. The client and the counsellor are friends. </w:t>
      </w:r>
      <w:r w:rsidR="00EE13D5">
        <w:rPr>
          <w:rFonts w:asciiTheme="minorHAnsi" w:hAnsiTheme="minorHAnsi"/>
          <w:color w:val="1F1F20"/>
        </w:rPr>
        <w:t>The confusion is highlighted</w:t>
      </w:r>
      <w:r w:rsidR="00175C24">
        <w:rPr>
          <w:rFonts w:asciiTheme="minorHAnsi" w:hAnsiTheme="minorHAnsi"/>
          <w:color w:val="1F1F20"/>
        </w:rPr>
        <w:t xml:space="preserve"> whe</w:t>
      </w:r>
      <w:r w:rsidR="00EE13D5">
        <w:rPr>
          <w:rFonts w:asciiTheme="minorHAnsi" w:hAnsiTheme="minorHAnsi"/>
          <w:color w:val="1F1F20"/>
        </w:rPr>
        <w:t>n</w:t>
      </w:r>
      <w:r w:rsidR="00175C24">
        <w:rPr>
          <w:rFonts w:asciiTheme="minorHAnsi" w:hAnsiTheme="minorHAnsi"/>
          <w:color w:val="1F1F20"/>
        </w:rPr>
        <w:t xml:space="preserve"> the counsellor ask</w:t>
      </w:r>
      <w:r w:rsidR="00574BC0">
        <w:rPr>
          <w:rFonts w:asciiTheme="minorHAnsi" w:hAnsiTheme="minorHAnsi"/>
          <w:color w:val="1F1F20"/>
        </w:rPr>
        <w:t>ed their supervisor</w:t>
      </w:r>
      <w:r w:rsidR="00175C24">
        <w:rPr>
          <w:rFonts w:asciiTheme="minorHAnsi" w:hAnsiTheme="minorHAnsi"/>
          <w:color w:val="1F1F20"/>
        </w:rPr>
        <w:t xml:space="preserve">, “what do I know as a counsellor and what do I know as a friend?” Is the counsellor experiencing these intense feelings because of their own grief or are they so involved with the client on an emotional </w:t>
      </w:r>
      <w:r w:rsidR="00175C24" w:rsidRPr="00B62507">
        <w:rPr>
          <w:rFonts w:asciiTheme="minorHAnsi" w:hAnsiTheme="minorHAnsi"/>
          <w:color w:val="1F1F20"/>
        </w:rPr>
        <w:t xml:space="preserve">level that the emotions present are blurring the lines of boundary? </w:t>
      </w:r>
      <w:r w:rsidR="00B62507" w:rsidRPr="00B62507">
        <w:rPr>
          <w:rFonts w:asciiTheme="minorHAnsi" w:hAnsiTheme="minorHAnsi"/>
          <w:color w:val="1F1F20"/>
        </w:rPr>
        <w:t xml:space="preserve">A process called </w:t>
      </w:r>
      <w:r w:rsidR="000D6A1D" w:rsidRPr="00574BC0">
        <w:rPr>
          <w:rFonts w:asciiTheme="minorHAnsi" w:hAnsiTheme="minorHAnsi"/>
          <w:color w:val="1F1F20"/>
        </w:rPr>
        <w:t>i</w:t>
      </w:r>
      <w:r w:rsidR="00B62507" w:rsidRPr="00574BC0">
        <w:rPr>
          <w:rFonts w:asciiTheme="minorHAnsi" w:hAnsiTheme="minorHAnsi"/>
          <w:color w:val="1F1F20"/>
        </w:rPr>
        <w:t xml:space="preserve">nterpersonal </w:t>
      </w:r>
      <w:r w:rsidR="000D6A1D" w:rsidRPr="00574BC0">
        <w:rPr>
          <w:rFonts w:asciiTheme="minorHAnsi" w:hAnsiTheme="minorHAnsi"/>
          <w:color w:val="1F1F20"/>
        </w:rPr>
        <w:t>r</w:t>
      </w:r>
      <w:r w:rsidR="00B62507" w:rsidRPr="00574BC0">
        <w:rPr>
          <w:rFonts w:asciiTheme="minorHAnsi" w:hAnsiTheme="minorHAnsi"/>
          <w:color w:val="1F1F20"/>
        </w:rPr>
        <w:t>ecall</w:t>
      </w:r>
      <w:r w:rsidR="00B62507" w:rsidRPr="00B62507">
        <w:rPr>
          <w:rFonts w:asciiTheme="minorHAnsi" w:hAnsiTheme="minorHAnsi"/>
          <w:color w:val="1F1F20"/>
        </w:rPr>
        <w:t xml:space="preserve"> by </w:t>
      </w:r>
      <w:proofErr w:type="spellStart"/>
      <w:r w:rsidR="00B62507" w:rsidRPr="00B62507">
        <w:rPr>
          <w:rFonts w:asciiTheme="minorHAnsi" w:hAnsiTheme="minorHAnsi"/>
          <w:color w:val="1F1F20"/>
        </w:rPr>
        <w:t>Kagan</w:t>
      </w:r>
      <w:proofErr w:type="spellEnd"/>
      <w:r w:rsidR="00B62507" w:rsidRPr="00B62507">
        <w:rPr>
          <w:rFonts w:asciiTheme="minorHAnsi" w:hAnsiTheme="minorHAnsi"/>
          <w:color w:val="1F1F20"/>
        </w:rPr>
        <w:t xml:space="preserve"> and </w:t>
      </w:r>
      <w:proofErr w:type="spellStart"/>
      <w:r w:rsidR="00B62507" w:rsidRPr="00B62507">
        <w:rPr>
          <w:rFonts w:asciiTheme="minorHAnsi" w:hAnsiTheme="minorHAnsi"/>
          <w:color w:val="1F1F20"/>
        </w:rPr>
        <w:t>Kagan</w:t>
      </w:r>
      <w:proofErr w:type="spellEnd"/>
      <w:r w:rsidR="00B62507" w:rsidRPr="00B62507">
        <w:rPr>
          <w:rFonts w:asciiTheme="minorHAnsi" w:hAnsiTheme="minorHAnsi"/>
          <w:color w:val="1F1F20"/>
        </w:rPr>
        <w:t xml:space="preserve"> (1980) was used to take the session to supervision. </w:t>
      </w:r>
      <w:r w:rsidR="00B62507" w:rsidRPr="00B62507">
        <w:rPr>
          <w:rFonts w:asciiTheme="minorHAnsi" w:hAnsiTheme="minorHAnsi"/>
        </w:rPr>
        <w:t xml:space="preserve">It is a method that can be taken to supervision but puts the process explicitly in the control of the counsellor and the supervisor in an inquirer role (Cashwell, 1994). It was from the client’s own reflexivity </w:t>
      </w:r>
      <w:r w:rsidR="000100AB">
        <w:rPr>
          <w:rFonts w:asciiTheme="minorHAnsi" w:hAnsiTheme="minorHAnsi"/>
        </w:rPr>
        <w:t>and ability to process recall t</w:t>
      </w:r>
      <w:r w:rsidR="00B62507" w:rsidRPr="00B62507">
        <w:rPr>
          <w:rFonts w:asciiTheme="minorHAnsi" w:hAnsiTheme="minorHAnsi"/>
        </w:rPr>
        <w:t xml:space="preserve">hat the realisation of dual relationships having the potential to halt the </w:t>
      </w:r>
      <w:r w:rsidR="00B62507" w:rsidRPr="00B62507">
        <w:rPr>
          <w:rFonts w:asciiTheme="minorHAnsi" w:hAnsiTheme="minorHAnsi"/>
        </w:rPr>
        <w:lastRenderedPageBreak/>
        <w:t>counselling process had occurred. Much of the theory that informs counselling is based on the assumption that two people are in effect strangers to one another</w:t>
      </w:r>
      <w:r w:rsidR="000100AB">
        <w:rPr>
          <w:rFonts w:asciiTheme="minorHAnsi" w:hAnsiTheme="minorHAnsi"/>
        </w:rPr>
        <w:t xml:space="preserve"> (McLeod and McLeod, 2011, p.212)</w:t>
      </w:r>
      <w:r w:rsidR="00B62507" w:rsidRPr="00B62507">
        <w:rPr>
          <w:rFonts w:asciiTheme="minorHAnsi" w:hAnsiTheme="minorHAnsi"/>
        </w:rPr>
        <w:t>. The ethical factor that represents a challenge for a dual relationship is that the counselling must be in the interest of the client. The client in this session may have been confused as to where they stand with the counsellor and the counsellor needed to take care around what was happening for them in the moment (B</w:t>
      </w:r>
      <w:r w:rsidR="00423D70">
        <w:rPr>
          <w:rFonts w:asciiTheme="minorHAnsi" w:hAnsiTheme="minorHAnsi"/>
        </w:rPr>
        <w:t>ager-Charleson, 2012, p.41</w:t>
      </w:r>
      <w:r w:rsidR="00B62507" w:rsidRPr="00B62507">
        <w:rPr>
          <w:rFonts w:asciiTheme="minorHAnsi" w:hAnsiTheme="minorHAnsi"/>
        </w:rPr>
        <w:t>).</w:t>
      </w:r>
      <w:r w:rsidR="00EE13D5">
        <w:rPr>
          <w:rFonts w:asciiTheme="minorHAnsi" w:hAnsiTheme="minorHAnsi"/>
        </w:rPr>
        <w:t xml:space="preserve"> </w:t>
      </w:r>
      <w:r w:rsidR="000D6A1D">
        <w:rPr>
          <w:rFonts w:asciiTheme="minorHAnsi" w:hAnsiTheme="minorHAnsi"/>
        </w:rPr>
        <w:t xml:space="preserve">Supervision helps the counsellor to avoid blind spots and equips them with the tools to take </w:t>
      </w:r>
      <w:r w:rsidR="00574BC0">
        <w:rPr>
          <w:rFonts w:asciiTheme="minorHAnsi" w:hAnsiTheme="minorHAnsi"/>
        </w:rPr>
        <w:t>the therapeutic relationship</w:t>
      </w:r>
      <w:r w:rsidR="000D6A1D">
        <w:rPr>
          <w:rFonts w:asciiTheme="minorHAnsi" w:hAnsiTheme="minorHAnsi"/>
        </w:rPr>
        <w:t xml:space="preserve"> into Egan’s (2004) third stage of therapy, implementing action strategies</w:t>
      </w:r>
      <w:r w:rsidR="00574BC0">
        <w:rPr>
          <w:rFonts w:asciiTheme="minorHAnsi" w:hAnsiTheme="minorHAnsi"/>
        </w:rPr>
        <w:t xml:space="preserve"> (McLeod and McLeod, 2011, p.38)</w:t>
      </w:r>
      <w:r w:rsidR="000D6A1D">
        <w:rPr>
          <w:rFonts w:asciiTheme="minorHAnsi" w:hAnsiTheme="minorHAnsi"/>
        </w:rPr>
        <w:t xml:space="preserve">. </w:t>
      </w:r>
    </w:p>
    <w:p w14:paraId="0AFD7105" w14:textId="651E8521" w:rsidR="000D6A1D" w:rsidRDefault="004F29BC" w:rsidP="00B62507">
      <w:pPr>
        <w:pStyle w:val="NormalWeb"/>
        <w:spacing w:before="0" w:after="0" w:line="480" w:lineRule="auto"/>
        <w:jc w:val="both"/>
        <w:textAlignment w:val="baseline"/>
        <w:rPr>
          <w:rFonts w:asciiTheme="minorHAnsi" w:hAnsiTheme="minorHAnsi"/>
        </w:rPr>
      </w:pPr>
      <w:r>
        <w:rPr>
          <w:rFonts w:asciiTheme="minorHAnsi" w:hAnsiTheme="minorHAnsi"/>
        </w:rPr>
        <w:t xml:space="preserve">     </w:t>
      </w:r>
      <w:r w:rsidR="007329DE" w:rsidRPr="000D6A1D">
        <w:rPr>
          <w:rFonts w:asciiTheme="minorHAnsi" w:hAnsiTheme="minorHAnsi"/>
        </w:rPr>
        <w:t>In conclusion</w:t>
      </w:r>
      <w:r w:rsidR="000B2C12" w:rsidRPr="000D6A1D">
        <w:rPr>
          <w:rFonts w:asciiTheme="minorHAnsi" w:hAnsiTheme="minorHAnsi"/>
        </w:rPr>
        <w:t xml:space="preserve">, </w:t>
      </w:r>
      <w:r w:rsidR="000D6A1D">
        <w:rPr>
          <w:rFonts w:asciiTheme="minorHAnsi" w:hAnsiTheme="minorHAnsi"/>
        </w:rPr>
        <w:t xml:space="preserve">this case study has shown that the counsellor has started the process of </w:t>
      </w:r>
      <w:r w:rsidR="000B2C12" w:rsidRPr="000D6A1D">
        <w:rPr>
          <w:rFonts w:asciiTheme="minorHAnsi" w:hAnsiTheme="minorHAnsi"/>
        </w:rPr>
        <w:t>develop</w:t>
      </w:r>
      <w:r w:rsidR="000D6A1D">
        <w:rPr>
          <w:rFonts w:asciiTheme="minorHAnsi" w:hAnsiTheme="minorHAnsi"/>
        </w:rPr>
        <w:t>ing</w:t>
      </w:r>
      <w:r w:rsidR="000B2C12" w:rsidRPr="000D6A1D">
        <w:rPr>
          <w:rFonts w:asciiTheme="minorHAnsi" w:hAnsiTheme="minorHAnsi"/>
        </w:rPr>
        <w:t xml:space="preserve"> the ability to monitor the self within the counselling </w:t>
      </w:r>
      <w:r w:rsidR="000D6A1D" w:rsidRPr="000D6A1D">
        <w:rPr>
          <w:rFonts w:asciiTheme="minorHAnsi" w:hAnsiTheme="minorHAnsi"/>
        </w:rPr>
        <w:t>process and</w:t>
      </w:r>
      <w:r w:rsidR="000D6A1D">
        <w:rPr>
          <w:rFonts w:asciiTheme="minorHAnsi" w:hAnsiTheme="minorHAnsi"/>
        </w:rPr>
        <w:t xml:space="preserve"> administering </w:t>
      </w:r>
      <w:r w:rsidR="000B2C12" w:rsidRPr="000D6A1D">
        <w:rPr>
          <w:rFonts w:asciiTheme="minorHAnsi" w:hAnsiTheme="minorHAnsi"/>
        </w:rPr>
        <w:t>the</w:t>
      </w:r>
      <w:r w:rsidR="003B135C">
        <w:rPr>
          <w:rFonts w:asciiTheme="minorHAnsi" w:hAnsiTheme="minorHAnsi"/>
        </w:rPr>
        <w:t>ir</w:t>
      </w:r>
      <w:r w:rsidR="000B2C12" w:rsidRPr="000D6A1D">
        <w:rPr>
          <w:rFonts w:asciiTheme="minorHAnsi" w:hAnsiTheme="minorHAnsi"/>
        </w:rPr>
        <w:t xml:space="preserve"> ‘internal supervisor’</w:t>
      </w:r>
      <w:r w:rsidR="000D6A1D">
        <w:rPr>
          <w:rFonts w:asciiTheme="minorHAnsi" w:hAnsiTheme="minorHAnsi"/>
        </w:rPr>
        <w:t xml:space="preserve">. In evaluating the session, it was noted that the counsellor has assembled a ‘toolbox’ of methods that they are comfortable using, such as active listening, reflecting and paraphrasing etc. </w:t>
      </w:r>
      <w:r w:rsidR="00D93CED">
        <w:rPr>
          <w:rFonts w:asciiTheme="minorHAnsi" w:hAnsiTheme="minorHAnsi"/>
        </w:rPr>
        <w:t>The counsellor is aware of a dual relationship and how this will impact on their own emotions, which need to be kept in check through supervision</w:t>
      </w:r>
      <w:r w:rsidR="00F442AB">
        <w:rPr>
          <w:rFonts w:asciiTheme="minorHAnsi" w:hAnsiTheme="minorHAnsi"/>
        </w:rPr>
        <w:t xml:space="preserve"> and process recall</w:t>
      </w:r>
      <w:r w:rsidR="00D93CED">
        <w:rPr>
          <w:rFonts w:asciiTheme="minorHAnsi" w:hAnsiTheme="minorHAnsi"/>
        </w:rPr>
        <w:t xml:space="preserve">. </w:t>
      </w:r>
    </w:p>
    <w:p w14:paraId="428D89A6" w14:textId="133DEEC1" w:rsidR="000D6A1D" w:rsidRDefault="004F29BC" w:rsidP="004719D8">
      <w:pPr>
        <w:pStyle w:val="NormalWeb"/>
        <w:spacing w:before="0" w:after="0" w:line="480" w:lineRule="auto"/>
        <w:jc w:val="both"/>
        <w:textAlignment w:val="baseline"/>
        <w:rPr>
          <w:rFonts w:asciiTheme="minorHAnsi" w:hAnsiTheme="minorHAnsi"/>
        </w:rPr>
      </w:pPr>
      <w:r>
        <w:rPr>
          <w:rFonts w:asciiTheme="minorHAnsi" w:hAnsiTheme="minorHAnsi"/>
        </w:rPr>
        <w:t xml:space="preserve">     </w:t>
      </w:r>
      <w:r w:rsidR="000D6A1D">
        <w:rPr>
          <w:rFonts w:asciiTheme="minorHAnsi" w:hAnsiTheme="minorHAnsi"/>
        </w:rPr>
        <w:t>In evaluating this session, it was noted that the counsellor is</w:t>
      </w:r>
      <w:r w:rsidR="000B2C12" w:rsidRPr="000D6A1D">
        <w:rPr>
          <w:rFonts w:asciiTheme="minorHAnsi" w:hAnsiTheme="minorHAnsi"/>
        </w:rPr>
        <w:t xml:space="preserve"> aware of the thinking processes behind the choice of particular counselling interventions</w:t>
      </w:r>
      <w:r w:rsidR="000D6A1D">
        <w:rPr>
          <w:rFonts w:asciiTheme="minorHAnsi" w:hAnsiTheme="minorHAnsi"/>
        </w:rPr>
        <w:t xml:space="preserve">. </w:t>
      </w:r>
      <w:r w:rsidR="00D93CED">
        <w:rPr>
          <w:rFonts w:asciiTheme="minorHAnsi" w:hAnsiTheme="minorHAnsi"/>
        </w:rPr>
        <w:t xml:space="preserve">The counsellor is seen to carefully use reflections and mirroring whilst sensitively challenging the client’s words and weighing up the imagery and metaphor being used. The client responds positively, and therapeutic shifts occur, and relational depth is met. The impact on both the counsellor and the client was seen, a level of therapeutic depth occurred which intensified the therapeutic </w:t>
      </w:r>
      <w:r w:rsidR="00D93CED">
        <w:rPr>
          <w:rFonts w:asciiTheme="minorHAnsi" w:hAnsiTheme="minorHAnsi"/>
        </w:rPr>
        <w:lastRenderedPageBreak/>
        <w:t xml:space="preserve">relationship. The themes of the session were identified, challenged and worked with and then gently summarised at the end. </w:t>
      </w:r>
    </w:p>
    <w:p w14:paraId="02DB4D78" w14:textId="3B2972E8" w:rsidR="00550B8E" w:rsidRDefault="004F29BC" w:rsidP="004719D8">
      <w:pPr>
        <w:spacing w:line="480" w:lineRule="auto"/>
        <w:jc w:val="both"/>
      </w:pPr>
      <w:r>
        <w:t xml:space="preserve">     </w:t>
      </w:r>
      <w:r w:rsidR="00D93CED">
        <w:t>The assimilation of the feedback in supervision and from the observer allowed the counsellor to</w:t>
      </w:r>
      <w:r w:rsidR="000B2C12" w:rsidRPr="000D6A1D">
        <w:t xml:space="preserve"> explore and appraise various ethical issues within their practice.</w:t>
      </w:r>
      <w:r w:rsidR="000D6A1D">
        <w:t xml:space="preserve"> The ethical framework that the counsellor follows provides clear guidance on the moral basis for counselling. The ethical principles highlighted in this session for consideration were; taking care around dual relationships, competence, and boundary setting. The impact of the </w:t>
      </w:r>
      <w:r w:rsidR="004719D8">
        <w:t xml:space="preserve">unnatural intricacies of triad work are seen in the session, whereby two people are taking themselves into the counselling room but are also holding back because both parties wanted the session to be good. </w:t>
      </w:r>
      <w:r w:rsidR="00D93CED">
        <w:t xml:space="preserve">The counsellor was aware that they need to work on their head-nodding and metacommunication skills whilst the client is talking about difficult emotions and through observation and supervision was able to establish the overwhelming emotion that the counsellor experienced and how to keep that in check for future sessions. </w:t>
      </w:r>
      <w:r w:rsidR="00550B8E">
        <w:t xml:space="preserve">The timing and pacing of the session identified boundary management and maintaining the client’s safety and needs are regarded as paramount. </w:t>
      </w:r>
    </w:p>
    <w:p w14:paraId="35685106" w14:textId="77777777" w:rsidR="00D93CED" w:rsidRDefault="00D93CED" w:rsidP="004719D8">
      <w:pPr>
        <w:spacing w:line="480" w:lineRule="auto"/>
        <w:jc w:val="both"/>
      </w:pPr>
    </w:p>
    <w:p w14:paraId="3607B43F" w14:textId="241F6884" w:rsidR="004719D8" w:rsidRDefault="004F29BC" w:rsidP="004719D8">
      <w:pPr>
        <w:spacing w:line="480" w:lineRule="auto"/>
        <w:jc w:val="both"/>
      </w:pPr>
      <w:r>
        <w:t xml:space="preserve">     </w:t>
      </w:r>
      <w:r w:rsidR="004719D8">
        <w:t>At the end of the day, the power of holding a space</w:t>
      </w:r>
      <w:r w:rsidR="004719D8" w:rsidRPr="007329DE">
        <w:t xml:space="preserve"> </w:t>
      </w:r>
      <w:r w:rsidR="004719D8">
        <w:t>and meeting someone where they are</w:t>
      </w:r>
      <w:r w:rsidR="00550B8E">
        <w:t>,</w:t>
      </w:r>
      <w:r w:rsidR="004719D8">
        <w:t xml:space="preserve"> cannot be underestimated, and this made for good therapeutic responses throughout the session. </w:t>
      </w:r>
      <w:r w:rsidR="004248ED">
        <w:t xml:space="preserve">The takeaway learning from this case study, is the power of awareness and supervision. The client and the counsellor both reacted strongly to the session and it is the client’s responsibility, and moral obligation, to contain them both. What separates the lay helper from the professional is the need for reflectivity about the helping process. </w:t>
      </w:r>
    </w:p>
    <w:p w14:paraId="2E8431FB" w14:textId="317B6DD0" w:rsidR="00D93CED" w:rsidRPr="004719D8" w:rsidRDefault="00D93CED" w:rsidP="004719D8">
      <w:pPr>
        <w:spacing w:line="480" w:lineRule="auto"/>
        <w:jc w:val="both"/>
      </w:pPr>
    </w:p>
    <w:p w14:paraId="11D7F2C4" w14:textId="77777777" w:rsidR="004719D8" w:rsidRDefault="004719D8" w:rsidP="004719D8">
      <w:pPr>
        <w:jc w:val="both"/>
      </w:pPr>
    </w:p>
    <w:p w14:paraId="3C1F4B1F" w14:textId="1791C585" w:rsidR="00EA35A8" w:rsidRDefault="00EA35A8" w:rsidP="004344A8">
      <w:pPr>
        <w:jc w:val="both"/>
      </w:pPr>
    </w:p>
    <w:p w14:paraId="5DB8A597" w14:textId="0FB56973" w:rsidR="00BA16B6" w:rsidRDefault="00BA16B6" w:rsidP="004344A8">
      <w:pPr>
        <w:jc w:val="both"/>
      </w:pPr>
    </w:p>
    <w:p w14:paraId="09396325" w14:textId="16DA2948" w:rsidR="00BA16B6" w:rsidRDefault="00BA16B6" w:rsidP="004344A8">
      <w:pPr>
        <w:jc w:val="both"/>
      </w:pPr>
    </w:p>
    <w:p w14:paraId="2AD433DA" w14:textId="3FE3A08C" w:rsidR="00175C24" w:rsidRPr="003B135C" w:rsidRDefault="00175C24">
      <w:r w:rsidRPr="00423D70">
        <w:rPr>
          <w:u w:val="single"/>
        </w:rPr>
        <w:t>References</w:t>
      </w:r>
    </w:p>
    <w:p w14:paraId="68FD65F8" w14:textId="0AFDBF87" w:rsidR="00175C24" w:rsidRPr="00423D70" w:rsidRDefault="00175C24"/>
    <w:p w14:paraId="43A96500" w14:textId="669F38A2" w:rsidR="004719D8" w:rsidRPr="00423D70" w:rsidRDefault="004719D8">
      <w:r w:rsidRPr="00423D70">
        <w:t xml:space="preserve">BACP. (2017) ‘Making the contract within the counselling professions’, </w:t>
      </w:r>
      <w:r w:rsidRPr="00423D70">
        <w:rPr>
          <w:i/>
          <w:iCs/>
        </w:rPr>
        <w:t xml:space="preserve">Good practice in action 039 commonly asked questions. </w:t>
      </w:r>
      <w:r w:rsidRPr="00423D70">
        <w:t>Available at: https://moodlearchive.uwtsd.ac.uk/moodle1819/pluginfile.php/221784/mod_resource/content/1/bacp-making-contract-within-counselling-professions.pdf (Accessed on: 27</w:t>
      </w:r>
      <w:r w:rsidRPr="00423D70">
        <w:rPr>
          <w:vertAlign w:val="superscript"/>
        </w:rPr>
        <w:t>th</w:t>
      </w:r>
      <w:r w:rsidRPr="00423D70">
        <w:t xml:space="preserve"> March 2020). </w:t>
      </w:r>
    </w:p>
    <w:p w14:paraId="0A980CEF" w14:textId="0634D969" w:rsidR="004719D8" w:rsidRPr="00423D70" w:rsidRDefault="004719D8"/>
    <w:p w14:paraId="3485478B" w14:textId="77777777" w:rsidR="004719D8" w:rsidRPr="00423D70" w:rsidRDefault="004719D8"/>
    <w:p w14:paraId="59B64EEA" w14:textId="653A07E1" w:rsidR="00B62507" w:rsidRPr="00423D70" w:rsidRDefault="00B62507">
      <w:r w:rsidRPr="00423D70">
        <w:t xml:space="preserve">BACP. (2018) ‘Dual roles within the counselling professions’, </w:t>
      </w:r>
      <w:r w:rsidRPr="00423D70">
        <w:rPr>
          <w:i/>
          <w:iCs/>
        </w:rPr>
        <w:t>Good practice in action 077 fact sheet</w:t>
      </w:r>
      <w:r w:rsidRPr="00423D70">
        <w:t xml:space="preserve">. Available at: https://www.bacp.co.uk/media/2139/bacp-dual-roles-within-counselling-professions-fact-sheet-gpia077-dec18.pdf. </w:t>
      </w:r>
      <w:r w:rsidR="004719D8" w:rsidRPr="00423D70">
        <w:t>(</w:t>
      </w:r>
      <w:r w:rsidRPr="00423D70">
        <w:t>Accessed on: 28 March 2020</w:t>
      </w:r>
      <w:r w:rsidR="004719D8" w:rsidRPr="00423D70">
        <w:t>)</w:t>
      </w:r>
      <w:r w:rsidRPr="00423D70">
        <w:t xml:space="preserve">. </w:t>
      </w:r>
    </w:p>
    <w:p w14:paraId="5AD25D1B" w14:textId="0DB9490E" w:rsidR="00175C24" w:rsidRPr="00423D70" w:rsidRDefault="00175C24" w:rsidP="00175C24">
      <w:pPr>
        <w:rPr>
          <w:rFonts w:eastAsia="Times New Roman" w:cs="Arial"/>
          <w:color w:val="222222"/>
          <w:lang w:eastAsia="en-GB"/>
        </w:rPr>
      </w:pPr>
    </w:p>
    <w:p w14:paraId="18344B92" w14:textId="566D82EC" w:rsidR="00423D70" w:rsidRPr="00423D70" w:rsidRDefault="00423D70" w:rsidP="00175C24">
      <w:pPr>
        <w:rPr>
          <w:rFonts w:eastAsia="Times New Roman" w:cs="Arial"/>
          <w:color w:val="222222"/>
          <w:lang w:eastAsia="en-GB"/>
        </w:rPr>
      </w:pPr>
      <w:r w:rsidRPr="00423D70">
        <w:rPr>
          <w:rFonts w:eastAsia="Times New Roman" w:cs="Arial"/>
          <w:color w:val="222222"/>
          <w:lang w:eastAsia="en-GB"/>
        </w:rPr>
        <w:t xml:space="preserve">Bager-Charleson, S. (2008) </w:t>
      </w:r>
      <w:r w:rsidRPr="00423D70">
        <w:rPr>
          <w:rFonts w:eastAsia="Times New Roman" w:cs="Arial"/>
          <w:i/>
          <w:iCs/>
          <w:color w:val="222222"/>
          <w:lang w:eastAsia="en-GB"/>
        </w:rPr>
        <w:t>Personal development in counselling and psychotherapy</w:t>
      </w:r>
      <w:r w:rsidRPr="00423D70">
        <w:rPr>
          <w:rFonts w:eastAsia="Times New Roman" w:cs="Arial"/>
          <w:color w:val="222222"/>
          <w:lang w:eastAsia="en-GB"/>
        </w:rPr>
        <w:t>. London: Sage.</w:t>
      </w:r>
    </w:p>
    <w:p w14:paraId="02BAE19A" w14:textId="77777777" w:rsidR="00423D70" w:rsidRPr="00423D70" w:rsidRDefault="00423D70" w:rsidP="00175C24">
      <w:pPr>
        <w:rPr>
          <w:rFonts w:eastAsia="Times New Roman" w:cs="Arial"/>
          <w:color w:val="222222"/>
          <w:lang w:eastAsia="en-GB"/>
        </w:rPr>
      </w:pPr>
    </w:p>
    <w:p w14:paraId="088302BF" w14:textId="3584C24E" w:rsidR="00423D70" w:rsidRPr="00423D70" w:rsidRDefault="00423D70" w:rsidP="00175C24">
      <w:pPr>
        <w:rPr>
          <w:rFonts w:eastAsia="Times New Roman" w:cs="Arial"/>
          <w:color w:val="222222"/>
          <w:lang w:eastAsia="en-GB"/>
        </w:rPr>
      </w:pPr>
      <w:r w:rsidRPr="00423D70">
        <w:rPr>
          <w:rFonts w:eastAsia="Times New Roman" w:cs="Arial"/>
          <w:color w:val="222222"/>
          <w:lang w:eastAsia="en-GB"/>
        </w:rPr>
        <w:t xml:space="preserve">Feltham, C. Hanley, T. Winter, L.A. (2017) </w:t>
      </w:r>
      <w:r w:rsidRPr="00423D70">
        <w:rPr>
          <w:rFonts w:eastAsia="Times New Roman" w:cs="Arial"/>
          <w:i/>
          <w:iCs/>
          <w:color w:val="222222"/>
          <w:lang w:eastAsia="en-GB"/>
        </w:rPr>
        <w:t>The sage handbook of counselling and psychotherapy</w:t>
      </w:r>
      <w:r w:rsidRPr="00423D70">
        <w:rPr>
          <w:rFonts w:eastAsia="Times New Roman" w:cs="Arial"/>
          <w:color w:val="222222"/>
          <w:lang w:eastAsia="en-GB"/>
        </w:rPr>
        <w:t>, 4</w:t>
      </w:r>
      <w:r w:rsidRPr="00423D70">
        <w:rPr>
          <w:rFonts w:eastAsia="Times New Roman" w:cs="Arial"/>
          <w:color w:val="222222"/>
          <w:vertAlign w:val="superscript"/>
          <w:lang w:eastAsia="en-GB"/>
        </w:rPr>
        <w:t>th</w:t>
      </w:r>
      <w:r w:rsidRPr="00423D70">
        <w:rPr>
          <w:rFonts w:eastAsia="Times New Roman" w:cs="Arial"/>
          <w:color w:val="222222"/>
          <w:lang w:eastAsia="en-GB"/>
        </w:rPr>
        <w:t xml:space="preserve"> ed. London: Sage. </w:t>
      </w:r>
    </w:p>
    <w:p w14:paraId="03230FE6" w14:textId="77777777" w:rsidR="00423D70" w:rsidRPr="00423D70" w:rsidRDefault="00423D70" w:rsidP="00175C24">
      <w:pPr>
        <w:rPr>
          <w:rFonts w:eastAsia="Times New Roman" w:cs="Arial"/>
          <w:color w:val="222222"/>
          <w:lang w:eastAsia="en-GB"/>
        </w:rPr>
      </w:pPr>
    </w:p>
    <w:p w14:paraId="382812FB" w14:textId="53B53BBA" w:rsidR="00175C24" w:rsidRPr="00423D70" w:rsidRDefault="00175C24" w:rsidP="00175C24">
      <w:pPr>
        <w:rPr>
          <w:rFonts w:eastAsia="Times New Roman" w:cs="Arial"/>
          <w:color w:val="222222"/>
          <w:shd w:val="clear" w:color="auto" w:fill="FFFFFF"/>
          <w:lang w:eastAsia="en-GB"/>
        </w:rPr>
      </w:pPr>
      <w:r w:rsidRPr="00175C24">
        <w:rPr>
          <w:rFonts w:eastAsia="Times New Roman" w:cs="Arial"/>
          <w:color w:val="222222"/>
          <w:lang w:eastAsia="en-GB"/>
        </w:rPr>
        <w:t>Gibbs</w:t>
      </w:r>
      <w:r w:rsidRPr="00423D70">
        <w:rPr>
          <w:rFonts w:eastAsia="Times New Roman" w:cs="Arial"/>
          <w:color w:val="222222"/>
          <w:shd w:val="clear" w:color="auto" w:fill="FFFFFF"/>
          <w:lang w:eastAsia="en-GB"/>
        </w:rPr>
        <w:t>,</w:t>
      </w:r>
      <w:r w:rsidRPr="00175C24">
        <w:rPr>
          <w:rFonts w:eastAsia="Times New Roman" w:cs="Arial"/>
          <w:color w:val="222222"/>
          <w:shd w:val="clear" w:color="auto" w:fill="FFFFFF"/>
          <w:lang w:eastAsia="en-GB"/>
        </w:rPr>
        <w:t> G</w:t>
      </w:r>
      <w:r w:rsidRPr="00423D70">
        <w:rPr>
          <w:rFonts w:eastAsia="Times New Roman" w:cs="Arial"/>
          <w:color w:val="222222"/>
          <w:shd w:val="clear" w:color="auto" w:fill="FFFFFF"/>
          <w:lang w:eastAsia="en-GB"/>
        </w:rPr>
        <w:t>.</w:t>
      </w:r>
      <w:r w:rsidRPr="00175C24">
        <w:rPr>
          <w:rFonts w:eastAsia="Times New Roman" w:cs="Arial"/>
          <w:color w:val="222222"/>
          <w:shd w:val="clear" w:color="auto" w:fill="FFFFFF"/>
          <w:lang w:eastAsia="en-GB"/>
        </w:rPr>
        <w:t xml:space="preserve"> (1988) </w:t>
      </w:r>
      <w:r w:rsidRPr="00175C24">
        <w:rPr>
          <w:rFonts w:eastAsia="Times New Roman" w:cs="Arial"/>
          <w:i/>
          <w:iCs/>
          <w:color w:val="222222"/>
          <w:shd w:val="clear" w:color="auto" w:fill="FFFFFF"/>
          <w:lang w:eastAsia="en-GB"/>
        </w:rPr>
        <w:t>Learning by Doing: A guide to teaching and learning methods</w:t>
      </w:r>
      <w:r w:rsidRPr="00175C24">
        <w:rPr>
          <w:rFonts w:eastAsia="Times New Roman" w:cs="Arial"/>
          <w:color w:val="222222"/>
          <w:shd w:val="clear" w:color="auto" w:fill="FFFFFF"/>
          <w:lang w:eastAsia="en-GB"/>
        </w:rPr>
        <w:t>. Ox</w:t>
      </w:r>
      <w:r w:rsidRPr="00423D70">
        <w:rPr>
          <w:rFonts w:eastAsia="Times New Roman" w:cs="Arial"/>
          <w:color w:val="222222"/>
          <w:shd w:val="clear" w:color="auto" w:fill="FFFFFF"/>
          <w:lang w:eastAsia="en-GB"/>
        </w:rPr>
        <w:t xml:space="preserve">ford: </w:t>
      </w:r>
      <w:r w:rsidRPr="00175C24">
        <w:rPr>
          <w:rFonts w:eastAsia="Times New Roman" w:cs="Arial"/>
          <w:color w:val="222222"/>
          <w:shd w:val="clear" w:color="auto" w:fill="FFFFFF"/>
          <w:lang w:eastAsia="en-GB"/>
        </w:rPr>
        <w:t>Polytechnic</w:t>
      </w:r>
      <w:r w:rsidRPr="00423D70">
        <w:rPr>
          <w:rFonts w:eastAsia="Times New Roman" w:cs="Arial"/>
          <w:color w:val="222222"/>
          <w:shd w:val="clear" w:color="auto" w:fill="FFFFFF"/>
          <w:lang w:eastAsia="en-GB"/>
        </w:rPr>
        <w:t xml:space="preserve"> </w:t>
      </w:r>
    </w:p>
    <w:p w14:paraId="6AC13140" w14:textId="108B468F" w:rsidR="00423D70" w:rsidRPr="00423D70" w:rsidRDefault="00423D70" w:rsidP="00175C24">
      <w:pPr>
        <w:rPr>
          <w:rFonts w:eastAsia="Times New Roman" w:cs="Arial"/>
          <w:color w:val="222222"/>
          <w:shd w:val="clear" w:color="auto" w:fill="FFFFFF"/>
          <w:lang w:eastAsia="en-GB"/>
        </w:rPr>
      </w:pPr>
    </w:p>
    <w:p w14:paraId="4A1E9B6A" w14:textId="0916484D" w:rsidR="00423D70" w:rsidRPr="00423D70" w:rsidRDefault="00423D70" w:rsidP="00175C24">
      <w:pPr>
        <w:rPr>
          <w:rFonts w:eastAsia="Times New Roman" w:cs="Arial"/>
          <w:color w:val="222222"/>
          <w:shd w:val="clear" w:color="auto" w:fill="FFFFFF"/>
          <w:lang w:eastAsia="en-GB"/>
        </w:rPr>
      </w:pPr>
      <w:r w:rsidRPr="00423D70">
        <w:rPr>
          <w:rFonts w:eastAsia="Times New Roman" w:cs="Arial"/>
          <w:color w:val="222222"/>
          <w:shd w:val="clear" w:color="auto" w:fill="FFFFFF"/>
          <w:lang w:eastAsia="en-GB"/>
        </w:rPr>
        <w:t xml:space="preserve">Green, J. (2010). </w:t>
      </w:r>
      <w:r w:rsidRPr="00423D70">
        <w:rPr>
          <w:rFonts w:eastAsia="Times New Roman" w:cs="Arial"/>
          <w:i/>
          <w:iCs/>
          <w:color w:val="222222"/>
          <w:shd w:val="clear" w:color="auto" w:fill="FFFFFF"/>
          <w:lang w:eastAsia="en-GB"/>
        </w:rPr>
        <w:t>Creating the therapeutic relationship in counselling and psychotherapy</w:t>
      </w:r>
      <w:r w:rsidRPr="00423D70">
        <w:rPr>
          <w:rFonts w:eastAsia="Times New Roman" w:cs="Arial"/>
          <w:color w:val="222222"/>
          <w:shd w:val="clear" w:color="auto" w:fill="FFFFFF"/>
          <w:lang w:eastAsia="en-GB"/>
        </w:rPr>
        <w:t xml:space="preserve">. Exeter: Learning Matters. </w:t>
      </w:r>
    </w:p>
    <w:p w14:paraId="56743851" w14:textId="43A158DD" w:rsidR="00B62507" w:rsidRPr="00423D70" w:rsidRDefault="00B62507" w:rsidP="00175C24">
      <w:pPr>
        <w:rPr>
          <w:rFonts w:eastAsia="Times New Roman" w:cs="Arial"/>
          <w:color w:val="222222"/>
          <w:shd w:val="clear" w:color="auto" w:fill="FFFFFF"/>
          <w:lang w:eastAsia="en-GB"/>
        </w:rPr>
      </w:pPr>
    </w:p>
    <w:p w14:paraId="1FDADD2B" w14:textId="6FE2E756" w:rsidR="00B62507" w:rsidRPr="00423D70" w:rsidRDefault="00B62507" w:rsidP="00175C24">
      <w:pPr>
        <w:rPr>
          <w:rFonts w:eastAsia="Times New Roman" w:cs="Arial"/>
          <w:color w:val="222222"/>
          <w:shd w:val="clear" w:color="auto" w:fill="FFFFFF"/>
          <w:lang w:eastAsia="en-GB"/>
        </w:rPr>
      </w:pPr>
      <w:r w:rsidRPr="00423D70">
        <w:rPr>
          <w:rFonts w:eastAsia="Times New Roman" w:cs="Arial"/>
          <w:color w:val="222222"/>
          <w:shd w:val="clear" w:color="auto" w:fill="FFFFFF"/>
          <w:lang w:eastAsia="en-GB"/>
        </w:rPr>
        <w:t xml:space="preserve">Greenburg, L. (2004) ‘Emotion focused therapy’, </w:t>
      </w:r>
      <w:r w:rsidRPr="00423D70">
        <w:rPr>
          <w:rFonts w:eastAsia="Times New Roman" w:cs="Arial"/>
          <w:i/>
          <w:iCs/>
          <w:color w:val="222222"/>
          <w:shd w:val="clear" w:color="auto" w:fill="FFFFFF"/>
          <w:lang w:eastAsia="en-GB"/>
        </w:rPr>
        <w:t xml:space="preserve">Clinical psychology and psychotherapy </w:t>
      </w:r>
      <w:r w:rsidRPr="00423D70">
        <w:rPr>
          <w:rFonts w:eastAsia="Times New Roman" w:cs="Arial"/>
          <w:color w:val="222222"/>
          <w:shd w:val="clear" w:color="auto" w:fill="FFFFFF"/>
          <w:lang w:eastAsia="en-GB"/>
        </w:rPr>
        <w:t xml:space="preserve">(11). p.3-16. </w:t>
      </w:r>
    </w:p>
    <w:p w14:paraId="605C7FB9" w14:textId="42F10C3B" w:rsidR="00B62507" w:rsidRPr="00423D70" w:rsidRDefault="00B62507" w:rsidP="00175C24">
      <w:pPr>
        <w:rPr>
          <w:rFonts w:eastAsia="Times New Roman" w:cs="Arial"/>
          <w:color w:val="222222"/>
          <w:shd w:val="clear" w:color="auto" w:fill="FFFFFF"/>
          <w:lang w:eastAsia="en-GB"/>
        </w:rPr>
      </w:pPr>
    </w:p>
    <w:p w14:paraId="5E157033" w14:textId="4244777F" w:rsidR="00423D70" w:rsidRPr="00423D70" w:rsidRDefault="00423D70" w:rsidP="00175C24">
      <w:pPr>
        <w:rPr>
          <w:rFonts w:eastAsia="Times New Roman" w:cs="Arial"/>
          <w:color w:val="222222"/>
          <w:shd w:val="clear" w:color="auto" w:fill="FFFFFF"/>
          <w:lang w:eastAsia="en-GB"/>
        </w:rPr>
      </w:pPr>
      <w:r w:rsidRPr="00423D70">
        <w:rPr>
          <w:rFonts w:eastAsia="Times New Roman" w:cs="Arial"/>
          <w:color w:val="222222"/>
          <w:shd w:val="clear" w:color="auto" w:fill="FFFFFF"/>
          <w:lang w:eastAsia="en-GB"/>
        </w:rPr>
        <w:t xml:space="preserve">Jones-Smith, E. (2016) </w:t>
      </w:r>
      <w:r w:rsidRPr="00423D70">
        <w:rPr>
          <w:rFonts w:eastAsia="Times New Roman" w:cs="Arial"/>
          <w:i/>
          <w:iCs/>
          <w:color w:val="222222"/>
          <w:shd w:val="clear" w:color="auto" w:fill="FFFFFF"/>
          <w:lang w:eastAsia="en-GB"/>
        </w:rPr>
        <w:t>Theories of counselling and psychotherapy: an integrative approach</w:t>
      </w:r>
      <w:r w:rsidRPr="00423D70">
        <w:rPr>
          <w:rFonts w:eastAsia="Times New Roman" w:cs="Arial"/>
          <w:color w:val="222222"/>
          <w:shd w:val="clear" w:color="auto" w:fill="FFFFFF"/>
          <w:lang w:eastAsia="en-GB"/>
        </w:rPr>
        <w:t>, 2</w:t>
      </w:r>
      <w:r w:rsidRPr="00423D70">
        <w:rPr>
          <w:rFonts w:eastAsia="Times New Roman" w:cs="Arial"/>
          <w:color w:val="222222"/>
          <w:shd w:val="clear" w:color="auto" w:fill="FFFFFF"/>
          <w:vertAlign w:val="superscript"/>
          <w:lang w:eastAsia="en-GB"/>
        </w:rPr>
        <w:t>nd</w:t>
      </w:r>
      <w:r w:rsidRPr="00423D70">
        <w:rPr>
          <w:rFonts w:eastAsia="Times New Roman" w:cs="Arial"/>
          <w:color w:val="222222"/>
          <w:shd w:val="clear" w:color="auto" w:fill="FFFFFF"/>
          <w:lang w:eastAsia="en-GB"/>
        </w:rPr>
        <w:t xml:space="preserve"> ed. London: Sage. </w:t>
      </w:r>
    </w:p>
    <w:p w14:paraId="57A912DC" w14:textId="0C4565F4" w:rsidR="00423D70" w:rsidRPr="00423D70" w:rsidRDefault="00423D70" w:rsidP="00175C24">
      <w:pPr>
        <w:rPr>
          <w:rFonts w:eastAsia="Times New Roman" w:cs="Arial"/>
          <w:color w:val="222222"/>
          <w:shd w:val="clear" w:color="auto" w:fill="FFFFFF"/>
          <w:lang w:eastAsia="en-GB"/>
        </w:rPr>
      </w:pPr>
    </w:p>
    <w:p w14:paraId="5D6507EC" w14:textId="6063059C" w:rsidR="00423D70" w:rsidRPr="00423D70" w:rsidRDefault="00423D70" w:rsidP="00175C24">
      <w:pPr>
        <w:rPr>
          <w:rFonts w:eastAsia="Times New Roman" w:cs="Arial"/>
          <w:color w:val="222222"/>
          <w:shd w:val="clear" w:color="auto" w:fill="FFFFFF"/>
          <w:lang w:eastAsia="en-GB"/>
        </w:rPr>
      </w:pPr>
      <w:r w:rsidRPr="00423D70">
        <w:rPr>
          <w:rFonts w:eastAsia="Times New Roman" w:cs="Arial"/>
          <w:color w:val="222222"/>
          <w:shd w:val="clear" w:color="auto" w:fill="FFFFFF"/>
          <w:lang w:eastAsia="en-GB"/>
        </w:rPr>
        <w:t xml:space="preserve">Mearns, D and Cooper, M. (2005) </w:t>
      </w:r>
      <w:r w:rsidRPr="00423D70">
        <w:rPr>
          <w:rFonts w:eastAsia="Times New Roman" w:cs="Arial"/>
          <w:i/>
          <w:iCs/>
          <w:color w:val="222222"/>
          <w:shd w:val="clear" w:color="auto" w:fill="FFFFFF"/>
          <w:lang w:eastAsia="en-GB"/>
        </w:rPr>
        <w:t>Working at relational depth in counselling and psychotherapy</w:t>
      </w:r>
      <w:r w:rsidRPr="00423D70">
        <w:rPr>
          <w:rFonts w:eastAsia="Times New Roman" w:cs="Arial"/>
          <w:color w:val="222222"/>
          <w:shd w:val="clear" w:color="auto" w:fill="FFFFFF"/>
          <w:lang w:eastAsia="en-GB"/>
        </w:rPr>
        <w:t>. London: Sage.</w:t>
      </w:r>
    </w:p>
    <w:p w14:paraId="51DB2237" w14:textId="5EBC6B13" w:rsidR="00423D70" w:rsidRPr="00423D70" w:rsidRDefault="00423D70" w:rsidP="00175C24">
      <w:pPr>
        <w:rPr>
          <w:rFonts w:eastAsia="Times New Roman" w:cs="Arial"/>
          <w:color w:val="222222"/>
          <w:shd w:val="clear" w:color="auto" w:fill="FFFFFF"/>
          <w:lang w:eastAsia="en-GB"/>
        </w:rPr>
      </w:pPr>
    </w:p>
    <w:p w14:paraId="7D64A299" w14:textId="655A4927" w:rsidR="00423D70" w:rsidRPr="00423D70" w:rsidRDefault="00423D70" w:rsidP="00175C24">
      <w:pPr>
        <w:rPr>
          <w:rFonts w:eastAsia="Times New Roman" w:cs="Arial"/>
          <w:color w:val="222222"/>
          <w:shd w:val="clear" w:color="auto" w:fill="FFFFFF"/>
          <w:lang w:eastAsia="en-GB"/>
        </w:rPr>
      </w:pPr>
      <w:r w:rsidRPr="00423D70">
        <w:rPr>
          <w:rFonts w:eastAsia="Times New Roman" w:cs="Arial"/>
          <w:color w:val="222222"/>
          <w:shd w:val="clear" w:color="auto" w:fill="FFFFFF"/>
          <w:lang w:eastAsia="en-GB"/>
        </w:rPr>
        <w:t xml:space="preserve">Mearns, D and Thorne, B. (2007) </w:t>
      </w:r>
      <w:r w:rsidRPr="00423D70">
        <w:rPr>
          <w:rFonts w:eastAsia="Times New Roman" w:cs="Arial"/>
          <w:i/>
          <w:iCs/>
          <w:color w:val="222222"/>
          <w:shd w:val="clear" w:color="auto" w:fill="FFFFFF"/>
          <w:lang w:eastAsia="en-GB"/>
        </w:rPr>
        <w:t>Person-centred counselling in action</w:t>
      </w:r>
      <w:r w:rsidRPr="00423D70">
        <w:rPr>
          <w:rFonts w:eastAsia="Times New Roman" w:cs="Arial"/>
          <w:color w:val="222222"/>
          <w:shd w:val="clear" w:color="auto" w:fill="FFFFFF"/>
          <w:lang w:eastAsia="en-GB"/>
        </w:rPr>
        <w:t>. 3</w:t>
      </w:r>
      <w:r w:rsidRPr="00423D70">
        <w:rPr>
          <w:rFonts w:eastAsia="Times New Roman" w:cs="Arial"/>
          <w:color w:val="222222"/>
          <w:shd w:val="clear" w:color="auto" w:fill="FFFFFF"/>
          <w:vertAlign w:val="superscript"/>
          <w:lang w:eastAsia="en-GB"/>
        </w:rPr>
        <w:t>rd</w:t>
      </w:r>
      <w:r w:rsidRPr="00423D70">
        <w:rPr>
          <w:rFonts w:eastAsia="Times New Roman" w:cs="Arial"/>
          <w:color w:val="222222"/>
          <w:shd w:val="clear" w:color="auto" w:fill="FFFFFF"/>
          <w:lang w:eastAsia="en-GB"/>
        </w:rPr>
        <w:t xml:space="preserve"> Ed. London: Sage.</w:t>
      </w:r>
    </w:p>
    <w:p w14:paraId="14DD8D0A" w14:textId="1278667E" w:rsidR="00423D70" w:rsidRPr="00423D70" w:rsidRDefault="00423D70" w:rsidP="00175C24">
      <w:pPr>
        <w:rPr>
          <w:rFonts w:eastAsia="Times New Roman" w:cs="Arial"/>
          <w:color w:val="222222"/>
          <w:shd w:val="clear" w:color="auto" w:fill="FFFFFF"/>
          <w:lang w:eastAsia="en-GB"/>
        </w:rPr>
      </w:pPr>
    </w:p>
    <w:p w14:paraId="3000A98B" w14:textId="2CFB7610" w:rsidR="00423D70" w:rsidRPr="00423D70" w:rsidRDefault="00423D70" w:rsidP="00175C24">
      <w:pPr>
        <w:rPr>
          <w:rFonts w:eastAsia="Times New Roman" w:cs="Arial"/>
          <w:color w:val="222222"/>
          <w:shd w:val="clear" w:color="auto" w:fill="FFFFFF"/>
          <w:lang w:eastAsia="en-GB"/>
        </w:rPr>
      </w:pPr>
      <w:r w:rsidRPr="00423D70">
        <w:rPr>
          <w:rFonts w:eastAsia="Times New Roman" w:cs="Arial"/>
          <w:color w:val="222222"/>
          <w:shd w:val="clear" w:color="auto" w:fill="FFFFFF"/>
          <w:lang w:eastAsia="en-GB"/>
        </w:rPr>
        <w:t xml:space="preserve">McLeod, J and McLeod, J. (2011) </w:t>
      </w:r>
      <w:r w:rsidRPr="00423D70">
        <w:rPr>
          <w:rFonts w:eastAsia="Times New Roman" w:cs="Arial"/>
          <w:i/>
          <w:iCs/>
          <w:color w:val="222222"/>
          <w:shd w:val="clear" w:color="auto" w:fill="FFFFFF"/>
          <w:lang w:eastAsia="en-GB"/>
        </w:rPr>
        <w:t>Counselling skills. A practical guide for counsellors and helping professionals</w:t>
      </w:r>
      <w:r w:rsidRPr="00423D70">
        <w:rPr>
          <w:rFonts w:eastAsia="Times New Roman" w:cs="Arial"/>
          <w:color w:val="222222"/>
          <w:shd w:val="clear" w:color="auto" w:fill="FFFFFF"/>
          <w:lang w:eastAsia="en-GB"/>
        </w:rPr>
        <w:t>, 2</w:t>
      </w:r>
      <w:r w:rsidRPr="00423D70">
        <w:rPr>
          <w:rFonts w:eastAsia="Times New Roman" w:cs="Arial"/>
          <w:color w:val="222222"/>
          <w:shd w:val="clear" w:color="auto" w:fill="FFFFFF"/>
          <w:vertAlign w:val="superscript"/>
          <w:lang w:eastAsia="en-GB"/>
        </w:rPr>
        <w:t>nd</w:t>
      </w:r>
      <w:r w:rsidRPr="00423D70">
        <w:rPr>
          <w:rFonts w:eastAsia="Times New Roman" w:cs="Arial"/>
          <w:color w:val="222222"/>
          <w:shd w:val="clear" w:color="auto" w:fill="FFFFFF"/>
          <w:lang w:eastAsia="en-GB"/>
        </w:rPr>
        <w:t xml:space="preserve"> Ed. Berkshire: Open University Press. </w:t>
      </w:r>
    </w:p>
    <w:p w14:paraId="3FE510E3" w14:textId="77777777" w:rsidR="00423D70" w:rsidRPr="00423D70" w:rsidRDefault="00423D70" w:rsidP="00175C24">
      <w:pPr>
        <w:rPr>
          <w:rFonts w:eastAsia="Times New Roman" w:cs="Arial"/>
          <w:color w:val="222222"/>
          <w:shd w:val="clear" w:color="auto" w:fill="FFFFFF"/>
          <w:lang w:eastAsia="en-GB"/>
        </w:rPr>
      </w:pPr>
    </w:p>
    <w:p w14:paraId="346F0661" w14:textId="777E35DB" w:rsidR="004719D8" w:rsidRPr="00423D70" w:rsidRDefault="004719D8" w:rsidP="00175C24">
      <w:pPr>
        <w:rPr>
          <w:rFonts w:eastAsia="Times New Roman" w:cs="Arial"/>
          <w:color w:val="222222"/>
          <w:shd w:val="clear" w:color="auto" w:fill="FFFFFF"/>
          <w:lang w:eastAsia="en-GB"/>
        </w:rPr>
      </w:pPr>
      <w:r w:rsidRPr="00423D70">
        <w:rPr>
          <w:rFonts w:eastAsia="Times New Roman" w:cs="Arial"/>
          <w:color w:val="222222"/>
          <w:shd w:val="clear" w:color="auto" w:fill="FFFFFF"/>
          <w:lang w:eastAsia="en-GB"/>
        </w:rPr>
        <w:t xml:space="preserve">Stevens, E. (2019) ‘Attachment theory – what is attachment?’, </w:t>
      </w:r>
      <w:r w:rsidRPr="00423D70">
        <w:rPr>
          <w:rFonts w:eastAsia="Times New Roman" w:cs="Arial"/>
          <w:i/>
          <w:iCs/>
          <w:color w:val="222222"/>
          <w:shd w:val="clear" w:color="auto" w:fill="FFFFFF"/>
          <w:lang w:eastAsia="en-GB"/>
        </w:rPr>
        <w:t>Counselling tutor</w:t>
      </w:r>
      <w:r w:rsidRPr="00423D70">
        <w:rPr>
          <w:rFonts w:eastAsia="Times New Roman" w:cs="Arial"/>
          <w:color w:val="222222"/>
          <w:shd w:val="clear" w:color="auto" w:fill="FFFFFF"/>
          <w:lang w:eastAsia="en-GB"/>
        </w:rPr>
        <w:t>. Available at: https://counsellingtutor.com/attachment-theory/. (Accessed on: 22</w:t>
      </w:r>
      <w:r w:rsidRPr="00423D70">
        <w:rPr>
          <w:rFonts w:eastAsia="Times New Roman" w:cs="Arial"/>
          <w:color w:val="222222"/>
          <w:shd w:val="clear" w:color="auto" w:fill="FFFFFF"/>
          <w:vertAlign w:val="superscript"/>
          <w:lang w:eastAsia="en-GB"/>
        </w:rPr>
        <w:t>nd</w:t>
      </w:r>
      <w:r w:rsidRPr="00423D70">
        <w:rPr>
          <w:rFonts w:eastAsia="Times New Roman" w:cs="Arial"/>
          <w:color w:val="222222"/>
          <w:shd w:val="clear" w:color="auto" w:fill="FFFFFF"/>
          <w:lang w:eastAsia="en-GB"/>
        </w:rPr>
        <w:t xml:space="preserve"> March 2020). </w:t>
      </w:r>
    </w:p>
    <w:p w14:paraId="139A1559" w14:textId="77777777" w:rsidR="00175C24" w:rsidRPr="00175C24" w:rsidRDefault="00175C24" w:rsidP="00175C24">
      <w:pPr>
        <w:rPr>
          <w:rFonts w:eastAsia="Times New Roman" w:cs="Times New Roman"/>
          <w:lang w:eastAsia="en-GB"/>
        </w:rPr>
      </w:pPr>
    </w:p>
    <w:p w14:paraId="0F17DACE" w14:textId="58D5B5D2" w:rsidR="00175C24" w:rsidRPr="00423D70" w:rsidRDefault="00B62507">
      <w:r w:rsidRPr="00423D70">
        <w:lastRenderedPageBreak/>
        <w:t xml:space="preserve">Wagener, A. (2017) ‘Metaphor in professional </w:t>
      </w:r>
      <w:proofErr w:type="spellStart"/>
      <w:r w:rsidRPr="00423D70">
        <w:t>counseling</w:t>
      </w:r>
      <w:proofErr w:type="spellEnd"/>
      <w:r w:rsidRPr="00423D70">
        <w:t xml:space="preserve">’, </w:t>
      </w:r>
      <w:r w:rsidRPr="00423D70">
        <w:rPr>
          <w:i/>
          <w:iCs/>
        </w:rPr>
        <w:t xml:space="preserve">The professional </w:t>
      </w:r>
      <w:proofErr w:type="spellStart"/>
      <w:r w:rsidRPr="00423D70">
        <w:rPr>
          <w:i/>
          <w:iCs/>
        </w:rPr>
        <w:t>counselor</w:t>
      </w:r>
      <w:proofErr w:type="spellEnd"/>
      <w:r w:rsidRPr="00423D70">
        <w:rPr>
          <w:i/>
          <w:iCs/>
        </w:rPr>
        <w:t xml:space="preserve">, </w:t>
      </w:r>
      <w:r w:rsidRPr="00423D70">
        <w:t xml:space="preserve">7 (2), p.144-154. </w:t>
      </w:r>
      <w:r w:rsidRPr="00423D70">
        <w:rPr>
          <w:i/>
          <w:iCs/>
        </w:rPr>
        <w:t xml:space="preserve"> </w:t>
      </w:r>
    </w:p>
    <w:p w14:paraId="19AD1454" w14:textId="77777777" w:rsidR="00423D70" w:rsidRPr="00423D70" w:rsidRDefault="00423D70"/>
    <w:sectPr w:rsidR="00423D70" w:rsidRPr="00423D70" w:rsidSect="00B71E1C">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77FFC" w14:textId="77777777" w:rsidR="00212304" w:rsidRDefault="00212304" w:rsidP="003B135C">
      <w:r>
        <w:separator/>
      </w:r>
    </w:p>
  </w:endnote>
  <w:endnote w:type="continuationSeparator" w:id="0">
    <w:p w14:paraId="199F4774" w14:textId="77777777" w:rsidR="00212304" w:rsidRDefault="00212304" w:rsidP="003B1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1744188"/>
      <w:docPartObj>
        <w:docPartGallery w:val="Page Numbers (Bottom of Page)"/>
        <w:docPartUnique/>
      </w:docPartObj>
    </w:sdtPr>
    <w:sdtContent>
      <w:p w14:paraId="38F1892A" w14:textId="04897292" w:rsidR="003B135C" w:rsidRDefault="003B135C" w:rsidP="000A7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B7818B" w14:textId="77777777" w:rsidR="003B135C" w:rsidRDefault="003B135C" w:rsidP="003B13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0961430"/>
      <w:docPartObj>
        <w:docPartGallery w:val="Page Numbers (Bottom of Page)"/>
        <w:docPartUnique/>
      </w:docPartObj>
    </w:sdtPr>
    <w:sdtContent>
      <w:p w14:paraId="7FF98EB0" w14:textId="05789E57" w:rsidR="003B135C" w:rsidRDefault="003B135C" w:rsidP="000A7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F3BF29" w14:textId="69DDA136" w:rsidR="003B135C" w:rsidRDefault="003B135C" w:rsidP="003B135C">
    <w:pPr>
      <w:pStyle w:val="Footer"/>
      <w:ind w:right="360"/>
    </w:pPr>
    <w:r>
      <w:t>1150159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0A2CD" w14:textId="77777777" w:rsidR="00212304" w:rsidRDefault="00212304" w:rsidP="003B135C">
      <w:r>
        <w:separator/>
      </w:r>
    </w:p>
  </w:footnote>
  <w:footnote w:type="continuationSeparator" w:id="0">
    <w:p w14:paraId="5D976F34" w14:textId="77777777" w:rsidR="00212304" w:rsidRDefault="00212304" w:rsidP="003B13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5A8"/>
    <w:rsid w:val="000100AB"/>
    <w:rsid w:val="00031BA2"/>
    <w:rsid w:val="00062D1F"/>
    <w:rsid w:val="000719AF"/>
    <w:rsid w:val="00073498"/>
    <w:rsid w:val="000B2C12"/>
    <w:rsid w:val="000D6A1D"/>
    <w:rsid w:val="000F2827"/>
    <w:rsid w:val="00121DF0"/>
    <w:rsid w:val="0016214F"/>
    <w:rsid w:val="00175C24"/>
    <w:rsid w:val="001C6A1A"/>
    <w:rsid w:val="001E28D7"/>
    <w:rsid w:val="001F6AC5"/>
    <w:rsid w:val="00212304"/>
    <w:rsid w:val="00236C83"/>
    <w:rsid w:val="0035584C"/>
    <w:rsid w:val="003B135C"/>
    <w:rsid w:val="00400D3A"/>
    <w:rsid w:val="00423D70"/>
    <w:rsid w:val="004248ED"/>
    <w:rsid w:val="004344A8"/>
    <w:rsid w:val="004719D8"/>
    <w:rsid w:val="004F29BC"/>
    <w:rsid w:val="0051479A"/>
    <w:rsid w:val="00550B8E"/>
    <w:rsid w:val="00574BC0"/>
    <w:rsid w:val="0064637A"/>
    <w:rsid w:val="006701D7"/>
    <w:rsid w:val="006C2A48"/>
    <w:rsid w:val="006D2641"/>
    <w:rsid w:val="007329DE"/>
    <w:rsid w:val="007C0549"/>
    <w:rsid w:val="007C69C1"/>
    <w:rsid w:val="008E62E6"/>
    <w:rsid w:val="008F2DDA"/>
    <w:rsid w:val="009B0811"/>
    <w:rsid w:val="00A40C81"/>
    <w:rsid w:val="00A4503F"/>
    <w:rsid w:val="00A7126D"/>
    <w:rsid w:val="00B41B07"/>
    <w:rsid w:val="00B4672F"/>
    <w:rsid w:val="00B62507"/>
    <w:rsid w:val="00B71E1C"/>
    <w:rsid w:val="00BA16B6"/>
    <w:rsid w:val="00BF7DDB"/>
    <w:rsid w:val="00C26C85"/>
    <w:rsid w:val="00C27832"/>
    <w:rsid w:val="00C53BBB"/>
    <w:rsid w:val="00CB14D2"/>
    <w:rsid w:val="00D7529F"/>
    <w:rsid w:val="00D93CED"/>
    <w:rsid w:val="00E73516"/>
    <w:rsid w:val="00E9323B"/>
    <w:rsid w:val="00EA35A8"/>
    <w:rsid w:val="00EB422B"/>
    <w:rsid w:val="00EC03F3"/>
    <w:rsid w:val="00EE13D5"/>
    <w:rsid w:val="00F358AD"/>
    <w:rsid w:val="00F442AB"/>
    <w:rsid w:val="00F825B6"/>
    <w:rsid w:val="00F847D2"/>
    <w:rsid w:val="00FF2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E50E9D"/>
  <w15:chartTrackingRefBased/>
  <w15:docId w15:val="{E0EA064C-059E-D64E-9C26-0BD0ADB7E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75C24"/>
  </w:style>
  <w:style w:type="paragraph" w:styleId="NormalWeb">
    <w:name w:val="Normal (Web)"/>
    <w:basedOn w:val="Normal"/>
    <w:uiPriority w:val="99"/>
    <w:unhideWhenUsed/>
    <w:rsid w:val="00175C24"/>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175C24"/>
    <w:rPr>
      <w:i/>
      <w:iCs/>
    </w:rPr>
  </w:style>
  <w:style w:type="character" w:styleId="Hyperlink">
    <w:name w:val="Hyperlink"/>
    <w:basedOn w:val="DefaultParagraphFont"/>
    <w:uiPriority w:val="99"/>
    <w:unhideWhenUsed/>
    <w:rsid w:val="00B62507"/>
    <w:rPr>
      <w:color w:val="0563C1" w:themeColor="hyperlink"/>
      <w:u w:val="single"/>
    </w:rPr>
  </w:style>
  <w:style w:type="character" w:styleId="UnresolvedMention">
    <w:name w:val="Unresolved Mention"/>
    <w:basedOn w:val="DefaultParagraphFont"/>
    <w:uiPriority w:val="99"/>
    <w:semiHidden/>
    <w:unhideWhenUsed/>
    <w:rsid w:val="00B62507"/>
    <w:rPr>
      <w:color w:val="605E5C"/>
      <w:shd w:val="clear" w:color="auto" w:fill="E1DFDD"/>
    </w:rPr>
  </w:style>
  <w:style w:type="character" w:styleId="FollowedHyperlink">
    <w:name w:val="FollowedHyperlink"/>
    <w:basedOn w:val="DefaultParagraphFont"/>
    <w:uiPriority w:val="99"/>
    <w:semiHidden/>
    <w:unhideWhenUsed/>
    <w:rsid w:val="004719D8"/>
    <w:rPr>
      <w:color w:val="954F72" w:themeColor="followedHyperlink"/>
      <w:u w:val="single"/>
    </w:rPr>
  </w:style>
  <w:style w:type="paragraph" w:styleId="Footer">
    <w:name w:val="footer"/>
    <w:basedOn w:val="Normal"/>
    <w:link w:val="FooterChar"/>
    <w:uiPriority w:val="99"/>
    <w:unhideWhenUsed/>
    <w:rsid w:val="003B135C"/>
    <w:pPr>
      <w:tabs>
        <w:tab w:val="center" w:pos="4680"/>
        <w:tab w:val="right" w:pos="9360"/>
      </w:tabs>
    </w:pPr>
  </w:style>
  <w:style w:type="character" w:customStyle="1" w:styleId="FooterChar">
    <w:name w:val="Footer Char"/>
    <w:basedOn w:val="DefaultParagraphFont"/>
    <w:link w:val="Footer"/>
    <w:uiPriority w:val="99"/>
    <w:rsid w:val="003B135C"/>
  </w:style>
  <w:style w:type="character" w:styleId="PageNumber">
    <w:name w:val="page number"/>
    <w:basedOn w:val="DefaultParagraphFont"/>
    <w:uiPriority w:val="99"/>
    <w:semiHidden/>
    <w:unhideWhenUsed/>
    <w:rsid w:val="003B135C"/>
  </w:style>
  <w:style w:type="paragraph" w:styleId="Header">
    <w:name w:val="header"/>
    <w:basedOn w:val="Normal"/>
    <w:link w:val="HeaderChar"/>
    <w:uiPriority w:val="99"/>
    <w:unhideWhenUsed/>
    <w:rsid w:val="003B135C"/>
    <w:pPr>
      <w:tabs>
        <w:tab w:val="center" w:pos="4680"/>
        <w:tab w:val="right" w:pos="9360"/>
      </w:tabs>
    </w:pPr>
  </w:style>
  <w:style w:type="character" w:customStyle="1" w:styleId="HeaderChar">
    <w:name w:val="Header Char"/>
    <w:basedOn w:val="DefaultParagraphFont"/>
    <w:link w:val="Header"/>
    <w:uiPriority w:val="99"/>
    <w:rsid w:val="003B1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546952">
      <w:bodyDiv w:val="1"/>
      <w:marLeft w:val="0"/>
      <w:marRight w:val="0"/>
      <w:marTop w:val="0"/>
      <w:marBottom w:val="0"/>
      <w:divBdr>
        <w:top w:val="none" w:sz="0" w:space="0" w:color="auto"/>
        <w:left w:val="none" w:sz="0" w:space="0" w:color="auto"/>
        <w:bottom w:val="none" w:sz="0" w:space="0" w:color="auto"/>
        <w:right w:val="none" w:sz="0" w:space="0" w:color="auto"/>
      </w:divBdr>
    </w:div>
    <w:div w:id="628170741">
      <w:bodyDiv w:val="1"/>
      <w:marLeft w:val="0"/>
      <w:marRight w:val="0"/>
      <w:marTop w:val="0"/>
      <w:marBottom w:val="0"/>
      <w:divBdr>
        <w:top w:val="none" w:sz="0" w:space="0" w:color="auto"/>
        <w:left w:val="none" w:sz="0" w:space="0" w:color="auto"/>
        <w:bottom w:val="none" w:sz="0" w:space="0" w:color="auto"/>
        <w:right w:val="none" w:sz="0" w:space="0" w:color="auto"/>
      </w:divBdr>
      <w:divsChild>
        <w:div w:id="188226926">
          <w:marLeft w:val="0"/>
          <w:marRight w:val="0"/>
          <w:marTop w:val="0"/>
          <w:marBottom w:val="0"/>
          <w:divBdr>
            <w:top w:val="none" w:sz="0" w:space="0" w:color="auto"/>
            <w:left w:val="none" w:sz="0" w:space="0" w:color="auto"/>
            <w:bottom w:val="none" w:sz="0" w:space="0" w:color="auto"/>
            <w:right w:val="none" w:sz="0" w:space="0" w:color="auto"/>
          </w:divBdr>
          <w:divsChild>
            <w:div w:id="1224486098">
              <w:marLeft w:val="0"/>
              <w:marRight w:val="0"/>
              <w:marTop w:val="0"/>
              <w:marBottom w:val="0"/>
              <w:divBdr>
                <w:top w:val="none" w:sz="0" w:space="0" w:color="auto"/>
                <w:left w:val="none" w:sz="0" w:space="0" w:color="auto"/>
                <w:bottom w:val="none" w:sz="0" w:space="0" w:color="auto"/>
                <w:right w:val="none" w:sz="0" w:space="0" w:color="auto"/>
              </w:divBdr>
              <w:divsChild>
                <w:div w:id="11786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470066">
      <w:bodyDiv w:val="1"/>
      <w:marLeft w:val="0"/>
      <w:marRight w:val="0"/>
      <w:marTop w:val="0"/>
      <w:marBottom w:val="0"/>
      <w:divBdr>
        <w:top w:val="none" w:sz="0" w:space="0" w:color="auto"/>
        <w:left w:val="none" w:sz="0" w:space="0" w:color="auto"/>
        <w:bottom w:val="none" w:sz="0" w:space="0" w:color="auto"/>
        <w:right w:val="none" w:sz="0" w:space="0" w:color="auto"/>
      </w:divBdr>
      <w:divsChild>
        <w:div w:id="1437285399">
          <w:marLeft w:val="0"/>
          <w:marRight w:val="0"/>
          <w:marTop w:val="0"/>
          <w:marBottom w:val="0"/>
          <w:divBdr>
            <w:top w:val="none" w:sz="0" w:space="0" w:color="auto"/>
            <w:left w:val="none" w:sz="0" w:space="0" w:color="auto"/>
            <w:bottom w:val="none" w:sz="0" w:space="0" w:color="auto"/>
            <w:right w:val="none" w:sz="0" w:space="0" w:color="auto"/>
          </w:divBdr>
          <w:divsChild>
            <w:div w:id="2136360887">
              <w:marLeft w:val="0"/>
              <w:marRight w:val="0"/>
              <w:marTop w:val="0"/>
              <w:marBottom w:val="0"/>
              <w:divBdr>
                <w:top w:val="none" w:sz="0" w:space="0" w:color="auto"/>
                <w:left w:val="none" w:sz="0" w:space="0" w:color="auto"/>
                <w:bottom w:val="none" w:sz="0" w:space="0" w:color="auto"/>
                <w:right w:val="none" w:sz="0" w:space="0" w:color="auto"/>
              </w:divBdr>
              <w:divsChild>
                <w:div w:id="13876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36720">
      <w:bodyDiv w:val="1"/>
      <w:marLeft w:val="0"/>
      <w:marRight w:val="0"/>
      <w:marTop w:val="0"/>
      <w:marBottom w:val="0"/>
      <w:divBdr>
        <w:top w:val="none" w:sz="0" w:space="0" w:color="auto"/>
        <w:left w:val="none" w:sz="0" w:space="0" w:color="auto"/>
        <w:bottom w:val="none" w:sz="0" w:space="0" w:color="auto"/>
        <w:right w:val="none" w:sz="0" w:space="0" w:color="auto"/>
      </w:divBdr>
    </w:div>
    <w:div w:id="1654216779">
      <w:bodyDiv w:val="1"/>
      <w:marLeft w:val="0"/>
      <w:marRight w:val="0"/>
      <w:marTop w:val="0"/>
      <w:marBottom w:val="0"/>
      <w:divBdr>
        <w:top w:val="none" w:sz="0" w:space="0" w:color="auto"/>
        <w:left w:val="none" w:sz="0" w:space="0" w:color="auto"/>
        <w:bottom w:val="none" w:sz="0" w:space="0" w:color="auto"/>
        <w:right w:val="none" w:sz="0" w:space="0" w:color="auto"/>
      </w:divBdr>
    </w:div>
    <w:div w:id="195463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2.png@01D3889D.06E525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783</TotalTime>
  <Pages>17</Pages>
  <Words>4350</Words>
  <Characters>24796</Characters>
  <Application>Microsoft Office Word</Application>
  <DocSecurity>0</DocSecurity>
  <Lines>206</Lines>
  <Paragraphs>58</Paragraphs>
  <ScaleCrop>false</ScaleCrop>
  <Company/>
  <LinksUpToDate>false</LinksUpToDate>
  <CharactersWithSpaces>29088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73</cp:revision>
  <dcterms:created xsi:type="dcterms:W3CDTF">2020-03-25T15:20:00Z</dcterms:created>
  <dcterms:modified xsi:type="dcterms:W3CDTF">2020-03-30T21:59:00Z</dcterms:modified>
</cp:coreProperties>
</file>