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E8CF5" w14:textId="43651960" w:rsidR="00280530" w:rsidRPr="0011526C" w:rsidRDefault="00280530" w:rsidP="00280530">
      <w:r w:rsidRPr="0011526C">
        <w:rPr>
          <w:b/>
          <w:bCs/>
        </w:rPr>
        <w:t>Name:</w:t>
      </w:r>
      <w:r w:rsidRPr="0011526C">
        <w:t xml:space="preserve"> </w:t>
      </w:r>
      <w:r>
        <w:t>Sabina Kauser</w:t>
      </w:r>
      <w:r w:rsidRPr="0011526C">
        <w:br/>
      </w:r>
      <w:r w:rsidRPr="0011526C">
        <w:rPr>
          <w:b/>
          <w:bCs/>
        </w:rPr>
        <w:t>Student Number:</w:t>
      </w:r>
      <w:r w:rsidRPr="0011526C">
        <w:t xml:space="preserve"> </w:t>
      </w:r>
      <w:r>
        <w:t>2212416</w:t>
      </w:r>
      <w:r w:rsidRPr="0011526C">
        <w:br/>
      </w:r>
      <w:r w:rsidRPr="0011526C">
        <w:rPr>
          <w:b/>
          <w:bCs/>
        </w:rPr>
        <w:t>Module Code &amp; Title:</w:t>
      </w:r>
      <w:r w:rsidRPr="0011526C">
        <w:t xml:space="preserve"> BMHP60</w:t>
      </w:r>
      <w:r>
        <w:t>3</w:t>
      </w:r>
      <w:r w:rsidRPr="0011526C">
        <w:t xml:space="preserve">0 </w:t>
      </w:r>
      <w:r>
        <w:t>-</w:t>
      </w:r>
      <w:r w:rsidRPr="0011526C">
        <w:t>Health and Social Care</w:t>
      </w:r>
      <w:r w:rsidRPr="0011526C">
        <w:br/>
      </w:r>
      <w:r w:rsidRPr="0011526C">
        <w:rPr>
          <w:b/>
          <w:bCs/>
        </w:rPr>
        <w:t>Assignment Title:</w:t>
      </w:r>
      <w:r w:rsidRPr="0011526C">
        <w:t xml:space="preserve"> </w:t>
      </w:r>
    </w:p>
    <w:p w14:paraId="450BA8EF" w14:textId="4C40EDC4" w:rsidR="00306DC5" w:rsidRDefault="00306DC5" w:rsidP="00280530"/>
    <w:p w14:paraId="15BA9336" w14:textId="77777777" w:rsidR="005806F7" w:rsidRDefault="005806F7" w:rsidP="00280530"/>
    <w:p w14:paraId="0348CE72" w14:textId="77777777" w:rsidR="005806F7" w:rsidRDefault="005806F7" w:rsidP="00280530"/>
    <w:p w14:paraId="67355F65" w14:textId="77777777" w:rsidR="005806F7" w:rsidRDefault="005806F7" w:rsidP="00280530"/>
    <w:p w14:paraId="728C7337" w14:textId="77777777" w:rsidR="005806F7" w:rsidRDefault="005806F7" w:rsidP="00280530"/>
    <w:p w14:paraId="0404F23E" w14:textId="77777777" w:rsidR="005806F7" w:rsidRDefault="005806F7" w:rsidP="00280530"/>
    <w:p w14:paraId="0FA0D853" w14:textId="77777777" w:rsidR="005806F7" w:rsidRDefault="005806F7" w:rsidP="00280530"/>
    <w:p w14:paraId="5DCC838B" w14:textId="77777777" w:rsidR="005806F7" w:rsidRDefault="005806F7" w:rsidP="00280530"/>
    <w:p w14:paraId="57AFCC2D" w14:textId="77777777" w:rsidR="005806F7" w:rsidRDefault="005806F7" w:rsidP="00280530"/>
    <w:p w14:paraId="33E91EA2" w14:textId="77777777" w:rsidR="005806F7" w:rsidRDefault="005806F7" w:rsidP="00280530"/>
    <w:p w14:paraId="35EC5001" w14:textId="77777777" w:rsidR="005806F7" w:rsidRDefault="005806F7" w:rsidP="00280530"/>
    <w:p w14:paraId="59D5D328" w14:textId="77777777" w:rsidR="005806F7" w:rsidRDefault="005806F7" w:rsidP="00280530"/>
    <w:p w14:paraId="125C3247" w14:textId="77777777" w:rsidR="005806F7" w:rsidRDefault="005806F7" w:rsidP="00280530"/>
    <w:p w14:paraId="349AB0CA" w14:textId="77777777" w:rsidR="005806F7" w:rsidRDefault="005806F7" w:rsidP="00280530"/>
    <w:p w14:paraId="2F5C6ACC" w14:textId="77777777" w:rsidR="005806F7" w:rsidRDefault="005806F7" w:rsidP="00280530"/>
    <w:p w14:paraId="6A4BA4BA" w14:textId="77777777" w:rsidR="005806F7" w:rsidRDefault="005806F7" w:rsidP="00280530"/>
    <w:p w14:paraId="2E5F809C" w14:textId="77777777" w:rsidR="005806F7" w:rsidRDefault="005806F7" w:rsidP="00280530"/>
    <w:p w14:paraId="416F9020" w14:textId="77777777" w:rsidR="005806F7" w:rsidRDefault="005806F7" w:rsidP="00280530"/>
    <w:p w14:paraId="3CFEE720" w14:textId="77777777" w:rsidR="005806F7" w:rsidRDefault="005806F7" w:rsidP="00280530"/>
    <w:p w14:paraId="7EADE023" w14:textId="77777777" w:rsidR="005806F7" w:rsidRDefault="005806F7" w:rsidP="00280530"/>
    <w:p w14:paraId="1B6229B0" w14:textId="77777777" w:rsidR="005806F7" w:rsidRDefault="005806F7" w:rsidP="00280530"/>
    <w:p w14:paraId="58436077" w14:textId="77777777" w:rsidR="005806F7" w:rsidRDefault="005806F7" w:rsidP="00280530"/>
    <w:p w14:paraId="31DDCA35" w14:textId="77777777" w:rsidR="005806F7" w:rsidRDefault="005806F7" w:rsidP="00280530"/>
    <w:p w14:paraId="20C11D84" w14:textId="77777777" w:rsidR="005806F7" w:rsidRDefault="005806F7" w:rsidP="00280530"/>
    <w:p w14:paraId="3928941C" w14:textId="77777777" w:rsidR="005806F7" w:rsidRDefault="005806F7" w:rsidP="00280530"/>
    <w:p w14:paraId="3B29891F" w14:textId="77777777" w:rsidR="005806F7" w:rsidRDefault="005806F7" w:rsidP="00280530"/>
    <w:p w14:paraId="5FDED5E8" w14:textId="77777777" w:rsidR="005806F7" w:rsidRDefault="005806F7" w:rsidP="00280530"/>
    <w:p w14:paraId="7863E621" w14:textId="2ACCECC5" w:rsidR="005806F7" w:rsidRDefault="005806F7" w:rsidP="005806F7"/>
    <w:p w14:paraId="3B71A553" w14:textId="77777777" w:rsidR="005A479D" w:rsidRDefault="005A479D" w:rsidP="005806F7">
      <w:pPr>
        <w:rPr>
          <w:b/>
          <w:bCs/>
        </w:rPr>
      </w:pPr>
    </w:p>
    <w:p w14:paraId="7582B49E" w14:textId="77777777" w:rsidR="009F58C2" w:rsidRPr="005A479D" w:rsidRDefault="009F58C2" w:rsidP="009F58C2">
      <w:pPr>
        <w:rPr>
          <w:rFonts w:ascii="Arial" w:hAnsi="Arial" w:cs="Arial"/>
          <w:sz w:val="24"/>
          <w:szCs w:val="24"/>
        </w:rPr>
      </w:pPr>
      <w:r w:rsidRPr="005A479D">
        <w:rPr>
          <w:rFonts w:ascii="Arial" w:hAnsi="Arial" w:cs="Arial"/>
          <w:sz w:val="24"/>
          <w:szCs w:val="24"/>
        </w:rPr>
        <w:t>Introduction</w:t>
      </w:r>
    </w:p>
    <w:p w14:paraId="32580790" w14:textId="77777777" w:rsidR="009F58C2" w:rsidRPr="005A479D" w:rsidRDefault="009F58C2" w:rsidP="009F58C2">
      <w:pPr>
        <w:rPr>
          <w:rFonts w:ascii="Arial" w:hAnsi="Arial" w:cs="Arial"/>
          <w:sz w:val="24"/>
          <w:szCs w:val="24"/>
        </w:rPr>
      </w:pPr>
      <w:r w:rsidRPr="005A479D">
        <w:rPr>
          <w:rFonts w:ascii="Arial" w:hAnsi="Arial" w:cs="Arial"/>
          <w:sz w:val="24"/>
          <w:szCs w:val="24"/>
        </w:rPr>
        <w:t>Sustainable development has become a global priority for improving health, wellbeing and reducing inequalities. Health is recognised as more than the absence of disease, encompassing physical, mental and social wellbeing. It is influenced by social determinants such as education, employment, income, housing, environmental conditions and access to healthcare, highlighting the need for collaborative and sustainable policies (World Health Organization, 2023).</w:t>
      </w:r>
    </w:p>
    <w:p w14:paraId="7626E405" w14:textId="77777777" w:rsidR="009F58C2" w:rsidRPr="005A479D" w:rsidRDefault="009F58C2" w:rsidP="009F58C2">
      <w:pPr>
        <w:rPr>
          <w:rFonts w:ascii="Arial" w:hAnsi="Arial" w:cs="Arial"/>
          <w:sz w:val="24"/>
          <w:szCs w:val="24"/>
        </w:rPr>
      </w:pPr>
      <w:r w:rsidRPr="005A479D">
        <w:rPr>
          <w:rFonts w:ascii="Arial" w:hAnsi="Arial" w:cs="Arial"/>
          <w:sz w:val="24"/>
          <w:szCs w:val="24"/>
        </w:rPr>
        <w:t>In 2015, the United Nations introduced the 2030 Agenda for Sustainable Development, which includes 17 Sustainable Development Goals (SDGs) to address global challenges, including poverty, inequality, climate change and poor health (United Nations, 2015). This report focuses on SDG 3 (Good Health and Wellbeing) and SDG 10 (Reduced Inequalities), recognising that reducing inequalities is essential for improving health outcomes.</w:t>
      </w:r>
    </w:p>
    <w:p w14:paraId="4D06834F" w14:textId="77777777" w:rsidR="009F58C2" w:rsidRPr="005A479D" w:rsidRDefault="009F58C2" w:rsidP="009F58C2">
      <w:pPr>
        <w:rPr>
          <w:rFonts w:ascii="Arial" w:hAnsi="Arial" w:cs="Arial"/>
          <w:sz w:val="24"/>
          <w:szCs w:val="24"/>
        </w:rPr>
      </w:pPr>
      <w:r w:rsidRPr="005A479D">
        <w:rPr>
          <w:rFonts w:ascii="Arial" w:hAnsi="Arial" w:cs="Arial"/>
          <w:sz w:val="24"/>
          <w:szCs w:val="24"/>
        </w:rPr>
        <w:t>The report critically analyses how these goals influence health and wellbeing at global, national and local levels. It evaluates UK policies and initiatives, particularly in England and Birmingham, and presents evidence-based recommendations to improve future health, wellbeing and sustainability outcomes.</w:t>
      </w:r>
    </w:p>
    <w:p w14:paraId="23199CBC" w14:textId="0C1A675B" w:rsidR="005806F7" w:rsidRDefault="005806F7" w:rsidP="005806F7">
      <w:pPr>
        <w:rPr>
          <w:rFonts w:ascii="Arial" w:hAnsi="Arial" w:cs="Arial"/>
          <w:sz w:val="24"/>
          <w:szCs w:val="24"/>
        </w:rPr>
      </w:pPr>
      <w:r w:rsidRPr="005A479D">
        <w:rPr>
          <w:rFonts w:ascii="Arial" w:hAnsi="Arial" w:cs="Arial"/>
          <w:sz w:val="24"/>
          <w:szCs w:val="24"/>
        </w:rPr>
        <w:t>2. Analysis of Sustainable Development Goal 3 and Sustainable Development Goal 10</w:t>
      </w:r>
    </w:p>
    <w:p w14:paraId="3BE81D01" w14:textId="22654EC7" w:rsidR="008D4E2E" w:rsidRDefault="005A479D" w:rsidP="005806F7">
      <w:pPr>
        <w:rPr>
          <w:rFonts w:ascii="Arial" w:hAnsi="Arial" w:cs="Arial"/>
          <w:sz w:val="24"/>
          <w:szCs w:val="24"/>
        </w:rPr>
      </w:pPr>
      <w:r w:rsidRPr="005A479D">
        <w:rPr>
          <w:rFonts w:ascii="Arial" w:hAnsi="Arial" w:cs="Arial"/>
          <w:sz w:val="24"/>
          <w:szCs w:val="24"/>
        </w:rPr>
        <w:t xml:space="preserve">Sustainable Development Goal 3 (SDG 3), established by the United Nations through the 2030 Agenda for Sustainable Development, aims to ensure healthy lives and promote wellbeing for all (United Nations, 2015). It focuses on reducing maternal and child mortality, preventing communicable and non-communicable diseases, improving mental health, achieving universal health coverage and strengthening healthcare systems (World Health </w:t>
      </w:r>
      <w:r w:rsidR="008D4E2E">
        <w:rPr>
          <w:rFonts w:ascii="Arial" w:hAnsi="Arial" w:cs="Arial"/>
          <w:sz w:val="24"/>
          <w:szCs w:val="24"/>
        </w:rPr>
        <w:t>Organisation</w:t>
      </w:r>
      <w:r w:rsidRPr="005A479D">
        <w:rPr>
          <w:rFonts w:ascii="Arial" w:hAnsi="Arial" w:cs="Arial"/>
          <w:sz w:val="24"/>
          <w:szCs w:val="24"/>
        </w:rPr>
        <w:t>, 2023). In the UK, these priorities are reflected in the NHS Long Term Plan, which promotes prevention, early intervention, integrated care and digital innovation (NHS England, 2019). Public health initiatives such as smoking cessation, vaccination and healthy lifestyle campaigns have improved population health (Office for Health Improvement and Disparities, 2024). However, an ageing population, workforce shortages, financial pressures, increasing demand and COVID-19 backlogs continue to challenge the NHS (The King's Fund, 2024). In addition, unequal access to mental health services, particularly for disadvantaged groups, highlights the need for continued investment in prevention, workforce development and person-centred care to achieve the long-term aims of SDG 3 (National Institute for Health and Care Excellence, 2022).</w:t>
      </w:r>
    </w:p>
    <w:p w14:paraId="635365A4" w14:textId="756ADF93" w:rsidR="008D4E2E" w:rsidRDefault="008D4E2E" w:rsidP="005806F7">
      <w:pPr>
        <w:rPr>
          <w:rFonts w:ascii="Arial" w:hAnsi="Arial" w:cs="Arial"/>
          <w:sz w:val="24"/>
          <w:szCs w:val="24"/>
        </w:rPr>
      </w:pPr>
      <w:r w:rsidRPr="008D4E2E">
        <w:rPr>
          <w:rFonts w:ascii="Arial" w:hAnsi="Arial" w:cs="Arial"/>
          <w:sz w:val="24"/>
          <w:szCs w:val="24"/>
        </w:rPr>
        <w:t xml:space="preserve">The Social Determinants of Health framework developed by the World Health </w:t>
      </w:r>
      <w:r>
        <w:rPr>
          <w:rFonts w:ascii="Arial" w:hAnsi="Arial" w:cs="Arial"/>
          <w:sz w:val="24"/>
          <w:szCs w:val="24"/>
        </w:rPr>
        <w:t>Organisation</w:t>
      </w:r>
      <w:r w:rsidRPr="008D4E2E">
        <w:rPr>
          <w:rFonts w:ascii="Arial" w:hAnsi="Arial" w:cs="Arial"/>
          <w:sz w:val="24"/>
          <w:szCs w:val="24"/>
        </w:rPr>
        <w:t xml:space="preserve"> helps explain why achieving SDG 3 requires action beyond healthcare services alone. The framework recognises that health is shaped by wider social, economic and environmental factors, including education, employment, income, housing and access to healthcare (World Health </w:t>
      </w:r>
      <w:r>
        <w:rPr>
          <w:rFonts w:ascii="Arial" w:hAnsi="Arial" w:cs="Arial"/>
          <w:sz w:val="24"/>
          <w:szCs w:val="24"/>
        </w:rPr>
        <w:t>Organisation</w:t>
      </w:r>
      <w:r w:rsidRPr="008D4E2E">
        <w:rPr>
          <w:rFonts w:ascii="Arial" w:hAnsi="Arial" w:cs="Arial"/>
          <w:sz w:val="24"/>
          <w:szCs w:val="24"/>
        </w:rPr>
        <w:t xml:space="preserve">, 2023). Individuals living in disadvantaged circumstances are more likely to experience poor physical and mental health and face barriers to accessing healthcare. Applying this </w:t>
      </w:r>
      <w:r w:rsidRPr="008D4E2E">
        <w:rPr>
          <w:rFonts w:ascii="Arial" w:hAnsi="Arial" w:cs="Arial"/>
          <w:sz w:val="24"/>
          <w:szCs w:val="24"/>
        </w:rPr>
        <w:lastRenderedPageBreak/>
        <w:t>framework demonstrates that improving population health requires coordinated action across healthcare, education, housing and employment sectors. Therefore, policies that address these wider determinants are essential for reducing health inequalities and achieving the long-term objectives of SDG 3.</w:t>
      </w:r>
    </w:p>
    <w:p w14:paraId="2930126D" w14:textId="77777777" w:rsidR="00733FCC" w:rsidRPr="005A479D" w:rsidRDefault="00733FCC" w:rsidP="00733FCC">
      <w:pPr>
        <w:rPr>
          <w:rFonts w:ascii="Arial" w:hAnsi="Arial" w:cs="Arial"/>
          <w:sz w:val="24"/>
          <w:szCs w:val="24"/>
        </w:rPr>
      </w:pPr>
      <w:r w:rsidRPr="005A479D">
        <w:rPr>
          <w:rFonts w:ascii="Arial" w:hAnsi="Arial" w:cs="Arial"/>
          <w:sz w:val="24"/>
          <w:szCs w:val="24"/>
        </w:rPr>
        <w:t>Sustainable Development Goal 10 (SDG 10) aims to reduce inequalities within and between countries by promoting social inclusion and ensuring equal opportunities regardless of income, ethnicity, disability or social background (United Nations, 2015). Health inequalities arise when avoidable differences in social and economic circumstances lead to unequal health outcomes. Evidence shows that people living in disadvantaged communities experience poorer health, shorter life expectancy and higher rates of chronic illness than those living in more affluent areas (Office for National Statistics, 2024).</w:t>
      </w:r>
    </w:p>
    <w:p w14:paraId="343FA8A8" w14:textId="77777777" w:rsidR="00733FCC" w:rsidRPr="005A479D" w:rsidRDefault="00733FCC" w:rsidP="00733FCC">
      <w:pPr>
        <w:rPr>
          <w:rFonts w:ascii="Arial" w:hAnsi="Arial" w:cs="Arial"/>
          <w:sz w:val="24"/>
          <w:szCs w:val="24"/>
        </w:rPr>
      </w:pPr>
      <w:r w:rsidRPr="005A479D">
        <w:rPr>
          <w:rFonts w:ascii="Arial" w:hAnsi="Arial" w:cs="Arial"/>
          <w:sz w:val="24"/>
          <w:szCs w:val="24"/>
        </w:rPr>
        <w:t>The relationship between inequality and health has been widely explored by Michael Marmot, whose research demonstrates that health is strongly influenced by wider social determinants, including education, employment, housing, income and environmental conditions (Marmot et al., 2020). Individuals experiencing poverty or social disadvantage are more likely to develop long-term health conditions, experience poorer mental health and face barriers when accessing healthcare. These findings highlight that improving health outcomes requires action beyond healthcare services alone.</w:t>
      </w:r>
    </w:p>
    <w:p w14:paraId="0935F7D5" w14:textId="77777777" w:rsidR="00733FCC" w:rsidRPr="005A479D" w:rsidRDefault="00733FCC" w:rsidP="00733FCC">
      <w:pPr>
        <w:rPr>
          <w:rFonts w:ascii="Arial" w:hAnsi="Arial" w:cs="Arial"/>
          <w:sz w:val="24"/>
          <w:szCs w:val="24"/>
        </w:rPr>
      </w:pPr>
      <w:r w:rsidRPr="005A479D">
        <w:rPr>
          <w:rFonts w:ascii="Arial" w:hAnsi="Arial" w:cs="Arial"/>
          <w:sz w:val="24"/>
          <w:szCs w:val="24"/>
        </w:rPr>
        <w:t>In response, the UK has introduced targeted policies to reduce inequalities. One example is the NHS Core20PLUS5 programme, which focuses on improving healthcare outcomes for the most deprived 20% of the population and other underserved groups through better access to screening, early diagnosis and treatment (NHS England, 2023). This initiative supports both SDG 10 and SDG 3 by promoting fairer access to healthcare.</w:t>
      </w:r>
    </w:p>
    <w:p w14:paraId="76716A73" w14:textId="77777777" w:rsidR="00733FCC" w:rsidRPr="005A479D" w:rsidRDefault="00733FCC" w:rsidP="00733FCC">
      <w:pPr>
        <w:rPr>
          <w:rFonts w:ascii="Arial" w:hAnsi="Arial" w:cs="Arial"/>
          <w:sz w:val="24"/>
          <w:szCs w:val="24"/>
        </w:rPr>
      </w:pPr>
      <w:r w:rsidRPr="005A479D">
        <w:rPr>
          <w:rFonts w:ascii="Arial" w:hAnsi="Arial" w:cs="Arial"/>
          <w:sz w:val="24"/>
          <w:szCs w:val="24"/>
        </w:rPr>
        <w:t>Despite these efforts, significant inequalities remain across the UK. Large differences in life expectancy, healthy life expectancy and access to healthcare continue to affect deprived communities, ethnic minority groups and people with disabilities (The King's Fund, 2024). In addition, rising living costs and increasing pressure on public services have widened existing inequalities. Therefore, achieving SDG 10 requires sustained investment in education, housing, employment and community support, alongside stronger collaboration between healthcare providers, local authorities and voluntary organisations. Reducing these inequalities is essential for improving population health and achieving sustainable, long-term wellbeing.</w:t>
      </w:r>
    </w:p>
    <w:p w14:paraId="4016A69A" w14:textId="68F45B41" w:rsidR="005806F7" w:rsidRPr="005A479D" w:rsidRDefault="005806F7" w:rsidP="005806F7">
      <w:pPr>
        <w:rPr>
          <w:rFonts w:ascii="Arial" w:hAnsi="Arial" w:cs="Arial"/>
          <w:sz w:val="24"/>
          <w:szCs w:val="24"/>
        </w:rPr>
      </w:pPr>
      <w:r w:rsidRPr="005A479D">
        <w:rPr>
          <w:rFonts w:ascii="Arial" w:hAnsi="Arial" w:cs="Arial"/>
          <w:sz w:val="24"/>
          <w:szCs w:val="24"/>
        </w:rPr>
        <w:t>3. Evaluation of National and Local Health, Wellbeing and Sustainability Initiatives</w:t>
      </w:r>
    </w:p>
    <w:p w14:paraId="25F80730" w14:textId="77777777" w:rsidR="0004675A" w:rsidRPr="005A479D" w:rsidRDefault="0004675A" w:rsidP="0004675A">
      <w:pPr>
        <w:rPr>
          <w:rFonts w:ascii="Arial" w:hAnsi="Arial" w:cs="Arial"/>
          <w:sz w:val="24"/>
          <w:szCs w:val="24"/>
        </w:rPr>
      </w:pPr>
      <w:r w:rsidRPr="005A479D">
        <w:rPr>
          <w:rFonts w:ascii="Arial" w:hAnsi="Arial" w:cs="Arial"/>
          <w:sz w:val="24"/>
          <w:szCs w:val="24"/>
        </w:rPr>
        <w:t xml:space="preserve">The United Kingdom has implemented several national policies to support Sustainable Development Goal (SDG) 3, </w:t>
      </w:r>
      <w:r w:rsidRPr="005A479D">
        <w:rPr>
          <w:rFonts w:ascii="Arial" w:hAnsi="Arial" w:cs="Arial"/>
          <w:i/>
          <w:iCs/>
          <w:sz w:val="24"/>
          <w:szCs w:val="24"/>
        </w:rPr>
        <w:t>Good Health and Wellbeing</w:t>
      </w:r>
      <w:r w:rsidRPr="005A479D">
        <w:rPr>
          <w:rFonts w:ascii="Arial" w:hAnsi="Arial" w:cs="Arial"/>
          <w:sz w:val="24"/>
          <w:szCs w:val="24"/>
        </w:rPr>
        <w:t xml:space="preserve">, and SDG 10, </w:t>
      </w:r>
      <w:r w:rsidRPr="005A479D">
        <w:rPr>
          <w:rFonts w:ascii="Arial" w:hAnsi="Arial" w:cs="Arial"/>
          <w:i/>
          <w:iCs/>
          <w:sz w:val="24"/>
          <w:szCs w:val="24"/>
        </w:rPr>
        <w:t>Reduced Inequalities</w:t>
      </w:r>
      <w:r w:rsidRPr="005A479D">
        <w:rPr>
          <w:rFonts w:ascii="Arial" w:hAnsi="Arial" w:cs="Arial"/>
          <w:sz w:val="24"/>
          <w:szCs w:val="24"/>
        </w:rPr>
        <w:t>. One of the most significant is the NHS Long Term Plan, which promotes prevention, early intervention, integrated care, personalised healthcare and digital innovation to improve population health (NHS England, 2019). By shifting the focus from treating illness to preventing disease, the plan supports healthier lifestyles and contributes to the long-term sustainability of the NHS.</w:t>
      </w:r>
    </w:p>
    <w:p w14:paraId="37388EEF" w14:textId="77777777" w:rsidR="0004675A" w:rsidRPr="005A479D" w:rsidRDefault="0004675A" w:rsidP="0004675A">
      <w:pPr>
        <w:rPr>
          <w:rFonts w:ascii="Arial" w:hAnsi="Arial" w:cs="Arial"/>
          <w:sz w:val="24"/>
          <w:szCs w:val="24"/>
        </w:rPr>
      </w:pPr>
      <w:r w:rsidRPr="005A479D">
        <w:rPr>
          <w:rFonts w:ascii="Arial" w:hAnsi="Arial" w:cs="Arial"/>
          <w:sz w:val="24"/>
          <w:szCs w:val="24"/>
        </w:rPr>
        <w:lastRenderedPageBreak/>
        <w:t>A key strength of the plan is the introduction of Integrated Care Systems (ICSs), which encourage collaboration between hospitals, primary care providers, local authorities and voluntary organisations. Initiatives such as social prescribing address wider social determinants of health by connecting people with community support, helping to improve wellbeing while reducing pressure on NHS services (The King's Fund, 2023). In addition, digital innovations such as the NHS App and virtual consultations have improved access to healthcare and patient engagement.</w:t>
      </w:r>
    </w:p>
    <w:p w14:paraId="3945126E" w14:textId="159FC6C7" w:rsidR="005806F7" w:rsidRPr="005A479D" w:rsidRDefault="0004675A" w:rsidP="005806F7">
      <w:pPr>
        <w:rPr>
          <w:rFonts w:ascii="Arial" w:hAnsi="Arial" w:cs="Arial"/>
          <w:sz w:val="24"/>
          <w:szCs w:val="24"/>
        </w:rPr>
      </w:pPr>
      <w:r w:rsidRPr="005A479D">
        <w:rPr>
          <w:rFonts w:ascii="Arial" w:hAnsi="Arial" w:cs="Arial"/>
          <w:sz w:val="24"/>
          <w:szCs w:val="24"/>
        </w:rPr>
        <w:t>However, the effectiveness of these initiatives is limited by workforce shortages, financial pressures, an ageing population and increasing demand for healthcare, which continue to contribute to long waiting times (The King's Fund, 2024). Furthermore, digital exclusion affects many older adults and low-income households. Similarly, the Office for Health Improvement and Disparities (OHID) has promoted healthier lifestyles through smoking cessation and obesity prevention campaigns, yet rising obesity, Type 2 diabetes and mental health conditions demonstrate that lasting improvements also require action on wider social determinants such as poverty, housing and education (Office for Health Improvement and Disparities, 2024).</w:t>
      </w:r>
    </w:p>
    <w:p w14:paraId="7B24B572" w14:textId="77777777" w:rsidR="005A479D" w:rsidRPr="005A479D" w:rsidRDefault="005A479D" w:rsidP="005A479D">
      <w:pPr>
        <w:rPr>
          <w:rFonts w:ascii="Arial" w:hAnsi="Arial" w:cs="Arial"/>
          <w:sz w:val="24"/>
          <w:szCs w:val="24"/>
        </w:rPr>
      </w:pPr>
      <w:r w:rsidRPr="005A479D">
        <w:rPr>
          <w:rFonts w:ascii="Arial" w:hAnsi="Arial" w:cs="Arial"/>
          <w:sz w:val="24"/>
          <w:szCs w:val="24"/>
        </w:rPr>
        <w:t>At a local level, Birmingham City Council's Health and Wellbeing Strategy supports Sustainable Development Goals (SDGs) 3 and 10 by bringing together the NHS, local authorities, voluntary organisations and community groups to improve health and reduce inequalities (Birmingham City Council, 2022). The strategy focuses on prevention, healthier lifestyles, mental health support and partnership working. Community initiatives, including smoking cessation, weight management, physical activity and mental health programmes, help improve health while reducing pressure on NHS services. Birmingham's Clean Air Zone also supports public health by reducing vehicle emissions and lowering the risk of respiratory and cardiovascular diseases (Birmingham City Council, 2024). However, significant health inequalities remain, with deprived communities experiencing lower life expectancy and higher rates of chronic illness (Office for National Statistics, 2024). Financial pressures and increasing demand continue to limit local services, highlighting the need for sustained investment, stronger partnerships and action on wider social determinants, including poverty, housing and education, to achieve lasting improvements in health and wellbeing.</w:t>
      </w:r>
    </w:p>
    <w:p w14:paraId="01004C1F" w14:textId="66D15ACC" w:rsidR="00530CA4" w:rsidRPr="005A479D" w:rsidRDefault="00530CA4" w:rsidP="00530CA4">
      <w:pPr>
        <w:rPr>
          <w:rFonts w:ascii="Arial" w:hAnsi="Arial" w:cs="Arial"/>
          <w:sz w:val="24"/>
          <w:szCs w:val="24"/>
        </w:rPr>
      </w:pPr>
      <w:r w:rsidRPr="005A479D">
        <w:rPr>
          <w:rFonts w:ascii="Arial" w:hAnsi="Arial" w:cs="Arial"/>
          <w:sz w:val="24"/>
          <w:szCs w:val="24"/>
        </w:rPr>
        <w:t>Recommendation 1- Increase Investment in Preventative Healthcare</w:t>
      </w:r>
    </w:p>
    <w:p w14:paraId="098FB45C" w14:textId="5E959DE6" w:rsidR="00530CA4" w:rsidRPr="005A479D" w:rsidRDefault="00530CA4" w:rsidP="00530CA4">
      <w:pPr>
        <w:rPr>
          <w:rFonts w:ascii="Arial" w:hAnsi="Arial" w:cs="Arial"/>
          <w:sz w:val="24"/>
          <w:szCs w:val="24"/>
        </w:rPr>
      </w:pPr>
      <w:r w:rsidRPr="005A479D">
        <w:rPr>
          <w:rFonts w:ascii="Arial" w:hAnsi="Arial" w:cs="Arial"/>
          <w:sz w:val="24"/>
          <w:szCs w:val="24"/>
        </w:rPr>
        <w:t xml:space="preserve">A greater investment in preventative healthcare is recommended to improve population health and reduce long-term pressure on healthcare services. Preventative measures, including health education, vaccination programmes, routine health screening and lifestyle interventions such as smoking cessation, healthy eating and regular physical activity, can reduce the risk of developing chronic conditions including cardiovascular disease, Type 2 diabetes and certain cancers. Focusing on prevention rather than treatment is not only more cost-effective but also improves individuals' quality of life by identifying health problems at an earlier stage and reducing avoidable hospital admissions. This recommendation supports the aims of Sustainable Development Goal 3 by promoting healthier lives and encouraging early intervention before illness becomes more severe. It also reflects </w:t>
      </w:r>
      <w:r w:rsidRPr="005A479D">
        <w:rPr>
          <w:rFonts w:ascii="Arial" w:hAnsi="Arial" w:cs="Arial"/>
          <w:sz w:val="24"/>
          <w:szCs w:val="24"/>
        </w:rPr>
        <w:lastRenderedPageBreak/>
        <w:t>the priorities of the NHS Long Term Plan, which places prevention at the centre of healthcare delivery. Continued investment in preventative services would help create a healthier population, improve health outcomes and contribute to a more sustainable and resilient healthcare system for the future.</w:t>
      </w:r>
    </w:p>
    <w:p w14:paraId="73C7998E" w14:textId="77777777" w:rsidR="0004675A" w:rsidRPr="005A479D" w:rsidRDefault="0004675A" w:rsidP="0004675A">
      <w:pPr>
        <w:rPr>
          <w:rFonts w:ascii="Arial" w:hAnsi="Arial" w:cs="Arial"/>
          <w:sz w:val="24"/>
          <w:szCs w:val="24"/>
        </w:rPr>
      </w:pPr>
      <w:r w:rsidRPr="005A479D">
        <w:rPr>
          <w:rFonts w:ascii="Arial" w:hAnsi="Arial" w:cs="Arial"/>
          <w:sz w:val="24"/>
          <w:szCs w:val="24"/>
        </w:rPr>
        <w:t>Recommendation 2: Improve Access to Mental Health Services</w:t>
      </w:r>
    </w:p>
    <w:p w14:paraId="00AEB3B4" w14:textId="585CF1B5" w:rsidR="009F58C2" w:rsidRPr="005A479D" w:rsidRDefault="0004675A" w:rsidP="009F58C2">
      <w:pPr>
        <w:rPr>
          <w:rFonts w:ascii="Arial" w:hAnsi="Arial" w:cs="Arial"/>
          <w:sz w:val="24"/>
          <w:szCs w:val="24"/>
        </w:rPr>
      </w:pPr>
      <w:r w:rsidRPr="005A479D">
        <w:rPr>
          <w:rFonts w:ascii="Arial" w:hAnsi="Arial" w:cs="Arial"/>
          <w:sz w:val="24"/>
          <w:szCs w:val="24"/>
        </w:rPr>
        <w:t>Improving access to mental health services should be a key priority to support Sustainable Development Goal 3 and improve population wellbeing. Although awareness of mental health has increased, many people, particularly children, young people and those living in disadvantaged communities, still face long waiting times and limited access to appropriate support (World Health Organization, 2022). Increasing investment in the mental health workforce, expanding community-based services and strengthening early intervention programmes in schools, universities and primary care would enable people to receive timely support before their conditions worsen. Early intervention improves recovery, enhances quality of life and reduces the need for more intensive and costly treatment (National Institute for Health and Care Excellence, 2022). Furthermore, integrating mental health services with primary care and voluntary organisations would provide more coordinated, person-centred care while reducing pressure on hospitals and specialist services. Investing in accessible mental health services would improve health outcomes, reduce inequalities and contribute to a more sustainable healthcare system (NHS England, 2019).</w:t>
      </w:r>
    </w:p>
    <w:p w14:paraId="4930A1E2" w14:textId="77777777" w:rsidR="009F58C2" w:rsidRPr="005A479D" w:rsidRDefault="009F58C2" w:rsidP="009F58C2">
      <w:pPr>
        <w:rPr>
          <w:rFonts w:ascii="Arial" w:hAnsi="Arial" w:cs="Arial"/>
          <w:sz w:val="24"/>
          <w:szCs w:val="24"/>
        </w:rPr>
      </w:pPr>
      <w:r w:rsidRPr="005A479D">
        <w:rPr>
          <w:rFonts w:ascii="Arial" w:hAnsi="Arial" w:cs="Arial"/>
          <w:sz w:val="24"/>
          <w:szCs w:val="24"/>
        </w:rPr>
        <w:t>Recommendation 3: Reduce Health Inequalities</w:t>
      </w:r>
    </w:p>
    <w:p w14:paraId="69BF3C5C" w14:textId="77777777" w:rsidR="009F58C2" w:rsidRPr="005A479D" w:rsidRDefault="009F58C2" w:rsidP="009F58C2">
      <w:pPr>
        <w:rPr>
          <w:rFonts w:ascii="Arial" w:hAnsi="Arial" w:cs="Arial"/>
          <w:sz w:val="24"/>
          <w:szCs w:val="24"/>
        </w:rPr>
      </w:pPr>
      <w:r w:rsidRPr="005A479D">
        <w:rPr>
          <w:rFonts w:ascii="Arial" w:hAnsi="Arial" w:cs="Arial"/>
          <w:sz w:val="24"/>
          <w:szCs w:val="24"/>
        </w:rPr>
        <w:t>Reducing health inequalities should remain a key priority if the United Kingdom is to achieve Sustainable Development Goal 10 and improve overall population health. Although national and local initiatives have made progress, significant differences in health outcomes still exist between affluent and deprived communities (Marmot et al., 2020). Greater investment should be directed towards disadvantaged areas to improve access to primary healthcare, affordable housing, quality education, employment opportunities and healthy environments. Addressing these wider social determinants of health is essential because poverty, poor housing and unemployment have a significant impact on physical and mental wellbeing (World Health Organization, 2023). In addition, targeted public health programmes should continue to support vulnerable groups, including ethnic minority communities, older adults and people with disabilities, ensuring equitable access to healthcare services (NHS England, 2023). By addressing the root causes of health inequalities rather than simply treating illness, policymakers can improve health outcomes, reduce preventable disease, narrow health disparities and create a fairer, more sustainable healthcare system that benefits all members of society.</w:t>
      </w:r>
    </w:p>
    <w:p w14:paraId="217909C6" w14:textId="77777777" w:rsidR="009F58C2" w:rsidRPr="005A479D" w:rsidRDefault="009F58C2" w:rsidP="009F58C2">
      <w:pPr>
        <w:rPr>
          <w:rFonts w:ascii="Arial" w:hAnsi="Arial" w:cs="Arial"/>
          <w:sz w:val="24"/>
          <w:szCs w:val="24"/>
        </w:rPr>
      </w:pPr>
      <w:r w:rsidRPr="005A479D">
        <w:rPr>
          <w:rFonts w:ascii="Arial" w:hAnsi="Arial" w:cs="Arial"/>
          <w:sz w:val="24"/>
          <w:szCs w:val="24"/>
        </w:rPr>
        <w:t>Recommendation 4: Strengthen Partnership Working</w:t>
      </w:r>
    </w:p>
    <w:p w14:paraId="3B78B796" w14:textId="77777777" w:rsidR="009F58C2" w:rsidRPr="005A479D" w:rsidRDefault="009F58C2" w:rsidP="009F58C2">
      <w:pPr>
        <w:rPr>
          <w:rFonts w:ascii="Arial" w:hAnsi="Arial" w:cs="Arial"/>
          <w:sz w:val="24"/>
          <w:szCs w:val="24"/>
        </w:rPr>
      </w:pPr>
      <w:r w:rsidRPr="005A479D">
        <w:rPr>
          <w:rFonts w:ascii="Arial" w:hAnsi="Arial" w:cs="Arial"/>
          <w:sz w:val="24"/>
          <w:szCs w:val="24"/>
        </w:rPr>
        <w:t xml:space="preserve">Strengthening partnership working between healthcare providers, local authorities, voluntary organisations, schools and community groups is essential to improve health and wellbeing across the United Kingdom. Challenges such as health inequalities, mental health concerns and increasing demand for healthcare cannot </w:t>
      </w:r>
      <w:r w:rsidRPr="005A479D">
        <w:rPr>
          <w:rFonts w:ascii="Arial" w:hAnsi="Arial" w:cs="Arial"/>
          <w:sz w:val="24"/>
          <w:szCs w:val="24"/>
        </w:rPr>
        <w:lastRenderedPageBreak/>
        <w:t>be addressed by the NHS alone (NHS England, 2019). A more integrated approach would enable organisations to share resources, expertise and information, ensuring individuals receive coordinated, person-centred care that meets both their medical and social needs. Closer collaboration between healthcare professionals and community organisations can improve access to social prescribing, mental health support and healthy lifestyle programmes, enabling people to manage their health more effectively within their communities (The King's Fund, 2023). Partnership working also promotes earlier intervention, reduces duplication of services and makes better use of limited healthcare resources. Strengthening collaboration across sectors would improve care quality, reduce health inequalities and create a more sustainable health and social care system that supports the long-term aims of Sustainable Development Goals 3 and 10.</w:t>
      </w:r>
    </w:p>
    <w:p w14:paraId="7984A24B" w14:textId="77777777" w:rsidR="009F58C2" w:rsidRPr="005A479D" w:rsidRDefault="009F58C2" w:rsidP="009F58C2">
      <w:pPr>
        <w:rPr>
          <w:rFonts w:ascii="Arial" w:hAnsi="Arial" w:cs="Arial"/>
          <w:sz w:val="24"/>
          <w:szCs w:val="24"/>
        </w:rPr>
      </w:pPr>
    </w:p>
    <w:p w14:paraId="464DF141" w14:textId="77777777" w:rsidR="009F58C2" w:rsidRPr="005A479D" w:rsidRDefault="009F58C2" w:rsidP="009F58C2">
      <w:pPr>
        <w:rPr>
          <w:rFonts w:ascii="Arial" w:hAnsi="Arial" w:cs="Arial"/>
          <w:sz w:val="24"/>
          <w:szCs w:val="24"/>
        </w:rPr>
      </w:pPr>
      <w:r w:rsidRPr="005A479D">
        <w:rPr>
          <w:rFonts w:ascii="Arial" w:hAnsi="Arial" w:cs="Arial"/>
          <w:sz w:val="24"/>
          <w:szCs w:val="24"/>
        </w:rPr>
        <w:t>Recommendation 5: Promote Digital Inclusion</w:t>
      </w:r>
    </w:p>
    <w:p w14:paraId="372D188A" w14:textId="77777777" w:rsidR="009F58C2" w:rsidRPr="005A479D" w:rsidRDefault="009F58C2" w:rsidP="009F58C2">
      <w:pPr>
        <w:rPr>
          <w:rFonts w:ascii="Arial" w:hAnsi="Arial" w:cs="Arial"/>
          <w:sz w:val="24"/>
          <w:szCs w:val="24"/>
        </w:rPr>
      </w:pPr>
      <w:r w:rsidRPr="005A479D">
        <w:rPr>
          <w:rFonts w:ascii="Arial" w:hAnsi="Arial" w:cs="Arial"/>
          <w:sz w:val="24"/>
          <w:szCs w:val="24"/>
        </w:rPr>
        <w:t>Promoting digital inclusion is essential to ensure digital healthcare benefits everyone rather than increasing health inequalities. Services such as online consultations, electronic health records and the NHS App have improved access to healthcare and patient engagement (NHS England, 2019). However, older adults, low-income households, people with disabilities and those with limited digital skills remain at risk of digital exclusion (The King's Fund, 2023). Greater investment in digital skills training, affordable internet access and community-based support is needed to improve confidence in using digital healthcare. At the same time, face-to-face healthcare services should remain available to ensure equitable access for everyone. Combining digital innovation with inclusive healthcare will improve access, reduce inequalities and support the long-term aims of Sustainable Development Goals 3 and 10 by creating a more accessible and sustainable healthcare system.</w:t>
      </w:r>
    </w:p>
    <w:p w14:paraId="50BB8B50" w14:textId="5045711D" w:rsidR="009F58C2" w:rsidRPr="005A479D" w:rsidRDefault="009F58C2" w:rsidP="009F58C2">
      <w:pPr>
        <w:rPr>
          <w:rFonts w:ascii="Arial" w:hAnsi="Arial" w:cs="Arial"/>
          <w:sz w:val="24"/>
          <w:szCs w:val="24"/>
        </w:rPr>
      </w:pPr>
    </w:p>
    <w:p w14:paraId="3FB5FEA9" w14:textId="026C7DF1" w:rsidR="005A479D" w:rsidRPr="005A479D" w:rsidRDefault="007058DF" w:rsidP="005A479D">
      <w:pPr>
        <w:rPr>
          <w:rFonts w:ascii="Arial" w:hAnsi="Arial" w:cs="Arial"/>
          <w:sz w:val="24"/>
          <w:szCs w:val="24"/>
        </w:rPr>
      </w:pPr>
      <w:r w:rsidRPr="005A479D">
        <w:rPr>
          <w:rFonts w:ascii="Arial" w:hAnsi="Arial" w:cs="Arial"/>
          <w:sz w:val="24"/>
          <w:szCs w:val="24"/>
        </w:rPr>
        <w:t>Conclusion</w:t>
      </w:r>
    </w:p>
    <w:p w14:paraId="43F7807F" w14:textId="77777777" w:rsidR="005A479D" w:rsidRPr="005A479D" w:rsidRDefault="005A479D" w:rsidP="005A479D">
      <w:pPr>
        <w:spacing w:before="100" w:beforeAutospacing="1" w:after="100" w:afterAutospacing="1" w:line="240" w:lineRule="auto"/>
        <w:rPr>
          <w:rFonts w:ascii="Arial" w:eastAsia="Times New Roman" w:hAnsi="Arial" w:cs="Arial"/>
          <w:kern w:val="0"/>
          <w:sz w:val="24"/>
          <w:szCs w:val="24"/>
          <w:lang w:eastAsia="en-GB"/>
          <w14:ligatures w14:val="none"/>
        </w:rPr>
      </w:pPr>
      <w:r w:rsidRPr="005A479D">
        <w:rPr>
          <w:rFonts w:ascii="Arial" w:eastAsia="Times New Roman" w:hAnsi="Arial" w:cs="Arial"/>
          <w:kern w:val="0"/>
          <w:sz w:val="24"/>
          <w:szCs w:val="24"/>
          <w:lang w:eastAsia="en-GB"/>
          <w14:ligatures w14:val="none"/>
        </w:rPr>
        <w:t>This report has shown that Sustainable Development Goal 3 (Good Health and Wellbeing) and Sustainable Development Goal 10 (Reduced Inequalities) are essential for improving health and wellbeing at global, national and local levels. Although national policies, such as the NHS Long Term Plan, and local initiatives in Birmingham have made positive progress, challenges including health inequalities, workforce shortages, financial pressures and increasing demand for healthcare continue to affect their effectiveness. The report also demonstrates that improving health requires action beyond healthcare services by addressing wider social determinants, including education, housing, employment and income. The recommendations presented, including strengthening preventative healthcare, improving mental health services, reducing health inequalities, promoting partnership working and increasing digital inclusion, provide practical ways to achieve sustainable improvements. Continued investment, cross-sector collaboration and a strong focus on prevention and equality are essential to create a healthier, fairer and more sustainable health and social care system.</w:t>
      </w:r>
    </w:p>
    <w:p w14:paraId="0072BC94" w14:textId="77777777" w:rsidR="00530CA4" w:rsidRPr="005A479D" w:rsidRDefault="00530CA4" w:rsidP="00530CA4">
      <w:pPr>
        <w:rPr>
          <w:rFonts w:ascii="Arial" w:hAnsi="Arial" w:cs="Arial"/>
          <w:sz w:val="24"/>
          <w:szCs w:val="24"/>
        </w:rPr>
      </w:pPr>
    </w:p>
    <w:p w14:paraId="77FAEA54" w14:textId="77777777" w:rsidR="00530CA4" w:rsidRPr="005A479D" w:rsidRDefault="00530CA4" w:rsidP="00530CA4">
      <w:pPr>
        <w:rPr>
          <w:rFonts w:ascii="Arial" w:hAnsi="Arial" w:cs="Arial"/>
          <w:sz w:val="24"/>
          <w:szCs w:val="24"/>
        </w:rPr>
      </w:pPr>
    </w:p>
    <w:p w14:paraId="49FFAB35" w14:textId="77777777" w:rsidR="00530CA4" w:rsidRPr="005A479D" w:rsidRDefault="00530CA4" w:rsidP="00530CA4">
      <w:pPr>
        <w:rPr>
          <w:rFonts w:ascii="Arial" w:hAnsi="Arial" w:cs="Arial"/>
          <w:sz w:val="24"/>
          <w:szCs w:val="24"/>
        </w:rPr>
      </w:pPr>
    </w:p>
    <w:p w14:paraId="10A392B4" w14:textId="77777777" w:rsidR="009F58C2" w:rsidRPr="005A479D" w:rsidRDefault="009F58C2" w:rsidP="00530CA4">
      <w:pPr>
        <w:rPr>
          <w:rFonts w:ascii="Arial" w:hAnsi="Arial" w:cs="Arial"/>
          <w:sz w:val="24"/>
          <w:szCs w:val="24"/>
        </w:rPr>
      </w:pPr>
    </w:p>
    <w:p w14:paraId="1BE46501" w14:textId="77777777" w:rsidR="009F58C2" w:rsidRPr="005A479D" w:rsidRDefault="009F58C2" w:rsidP="00530CA4">
      <w:pPr>
        <w:rPr>
          <w:rFonts w:ascii="Arial" w:hAnsi="Arial" w:cs="Arial"/>
          <w:sz w:val="24"/>
          <w:szCs w:val="24"/>
        </w:rPr>
      </w:pPr>
    </w:p>
    <w:p w14:paraId="3BD1B3A7" w14:textId="77777777" w:rsidR="009F58C2" w:rsidRPr="005A479D" w:rsidRDefault="009F58C2" w:rsidP="00530CA4">
      <w:pPr>
        <w:rPr>
          <w:rFonts w:ascii="Arial" w:hAnsi="Arial" w:cs="Arial"/>
          <w:sz w:val="24"/>
          <w:szCs w:val="24"/>
        </w:rPr>
      </w:pPr>
    </w:p>
    <w:p w14:paraId="694BE1CC" w14:textId="77777777" w:rsidR="009F58C2" w:rsidRPr="005A479D" w:rsidRDefault="009F58C2" w:rsidP="00530CA4">
      <w:pPr>
        <w:rPr>
          <w:rFonts w:ascii="Arial" w:hAnsi="Arial" w:cs="Arial"/>
          <w:sz w:val="24"/>
          <w:szCs w:val="24"/>
        </w:rPr>
      </w:pPr>
    </w:p>
    <w:p w14:paraId="787496B3" w14:textId="4630C3AC" w:rsidR="009F58C2" w:rsidRPr="005A479D" w:rsidRDefault="005A479D" w:rsidP="00530CA4">
      <w:pPr>
        <w:rPr>
          <w:rFonts w:ascii="Arial" w:hAnsi="Arial" w:cs="Arial"/>
          <w:sz w:val="24"/>
          <w:szCs w:val="24"/>
        </w:rPr>
      </w:pPr>
      <w:r w:rsidRPr="005A479D">
        <w:rPr>
          <w:rFonts w:ascii="Arial" w:hAnsi="Arial" w:cs="Arial"/>
          <w:sz w:val="24"/>
          <w:szCs w:val="24"/>
        </w:rPr>
        <w:t xml:space="preserve">References </w:t>
      </w:r>
    </w:p>
    <w:p w14:paraId="6EF3DB1C" w14:textId="77777777" w:rsidR="009F58C2" w:rsidRPr="005A479D" w:rsidRDefault="009F58C2" w:rsidP="00530CA4">
      <w:pPr>
        <w:rPr>
          <w:rFonts w:ascii="Arial" w:hAnsi="Arial" w:cs="Arial"/>
          <w:sz w:val="24"/>
          <w:szCs w:val="24"/>
        </w:rPr>
      </w:pPr>
    </w:p>
    <w:p w14:paraId="6683A7AB" w14:textId="77777777" w:rsidR="00530CA4" w:rsidRPr="005A479D" w:rsidRDefault="00530CA4" w:rsidP="00530CA4">
      <w:pPr>
        <w:numPr>
          <w:ilvl w:val="0"/>
          <w:numId w:val="3"/>
        </w:numPr>
        <w:rPr>
          <w:rFonts w:ascii="Arial" w:hAnsi="Arial" w:cs="Arial"/>
          <w:sz w:val="24"/>
          <w:szCs w:val="24"/>
        </w:rPr>
      </w:pPr>
      <w:r w:rsidRPr="005A479D">
        <w:rPr>
          <w:rFonts w:ascii="Arial" w:hAnsi="Arial" w:cs="Arial"/>
          <w:sz w:val="24"/>
          <w:szCs w:val="24"/>
        </w:rPr>
        <w:t xml:space="preserve">Michael Marmot et al. (2020) </w:t>
      </w:r>
      <w:r w:rsidRPr="005A479D">
        <w:rPr>
          <w:rFonts w:ascii="Arial" w:hAnsi="Arial" w:cs="Arial"/>
          <w:i/>
          <w:iCs/>
          <w:sz w:val="24"/>
          <w:szCs w:val="24"/>
        </w:rPr>
        <w:t>Health Equity in England: The Marmot Review 10 Years On.</w:t>
      </w:r>
    </w:p>
    <w:p w14:paraId="63C43092" w14:textId="77777777" w:rsidR="00530CA4" w:rsidRPr="005A479D" w:rsidRDefault="00530CA4" w:rsidP="00530CA4">
      <w:pPr>
        <w:numPr>
          <w:ilvl w:val="0"/>
          <w:numId w:val="3"/>
        </w:numPr>
        <w:rPr>
          <w:rFonts w:ascii="Arial" w:hAnsi="Arial" w:cs="Arial"/>
          <w:sz w:val="24"/>
          <w:szCs w:val="24"/>
        </w:rPr>
      </w:pPr>
      <w:r w:rsidRPr="005A479D">
        <w:rPr>
          <w:rFonts w:ascii="Arial" w:hAnsi="Arial" w:cs="Arial"/>
          <w:sz w:val="24"/>
          <w:szCs w:val="24"/>
        </w:rPr>
        <w:t xml:space="preserve">Office for National Statistics (2024) </w:t>
      </w:r>
      <w:r w:rsidRPr="005A479D">
        <w:rPr>
          <w:rFonts w:ascii="Arial" w:hAnsi="Arial" w:cs="Arial"/>
          <w:i/>
          <w:iCs/>
          <w:sz w:val="24"/>
          <w:szCs w:val="24"/>
        </w:rPr>
        <w:t>Health State Life Expectancies, UK.</w:t>
      </w:r>
    </w:p>
    <w:p w14:paraId="78884EFE" w14:textId="77777777" w:rsidR="00530CA4" w:rsidRPr="005A479D" w:rsidRDefault="00530CA4" w:rsidP="00530CA4">
      <w:pPr>
        <w:numPr>
          <w:ilvl w:val="0"/>
          <w:numId w:val="3"/>
        </w:numPr>
        <w:rPr>
          <w:rFonts w:ascii="Arial" w:hAnsi="Arial" w:cs="Arial"/>
          <w:sz w:val="24"/>
          <w:szCs w:val="24"/>
        </w:rPr>
      </w:pPr>
      <w:r w:rsidRPr="005A479D">
        <w:rPr>
          <w:rFonts w:ascii="Arial" w:hAnsi="Arial" w:cs="Arial"/>
          <w:sz w:val="24"/>
          <w:szCs w:val="24"/>
        </w:rPr>
        <w:t xml:space="preserve">The King's Fund (2024) </w:t>
      </w:r>
      <w:r w:rsidRPr="005A479D">
        <w:rPr>
          <w:rFonts w:ascii="Arial" w:hAnsi="Arial" w:cs="Arial"/>
          <w:i/>
          <w:iCs/>
          <w:sz w:val="24"/>
          <w:szCs w:val="24"/>
        </w:rPr>
        <w:t>What Are Health Inequalities?</w:t>
      </w:r>
    </w:p>
    <w:p w14:paraId="06073C01" w14:textId="7D079A82" w:rsidR="00530CA4" w:rsidRPr="005A479D" w:rsidRDefault="00530CA4" w:rsidP="00530CA4">
      <w:pPr>
        <w:numPr>
          <w:ilvl w:val="0"/>
          <w:numId w:val="3"/>
        </w:numPr>
        <w:rPr>
          <w:rFonts w:ascii="Arial" w:hAnsi="Arial" w:cs="Arial"/>
          <w:sz w:val="24"/>
          <w:szCs w:val="24"/>
        </w:rPr>
      </w:pPr>
      <w:r w:rsidRPr="005A479D">
        <w:rPr>
          <w:rFonts w:ascii="Arial" w:hAnsi="Arial" w:cs="Arial"/>
          <w:sz w:val="24"/>
          <w:szCs w:val="24"/>
        </w:rPr>
        <w:t xml:space="preserve">World Health Organization (2023) </w:t>
      </w:r>
      <w:r w:rsidRPr="005A479D">
        <w:rPr>
          <w:rFonts w:ascii="Arial" w:hAnsi="Arial" w:cs="Arial"/>
          <w:i/>
          <w:iCs/>
          <w:sz w:val="24"/>
          <w:szCs w:val="24"/>
        </w:rPr>
        <w:t>World Health Statistics</w:t>
      </w:r>
    </w:p>
    <w:p w14:paraId="0AA5A947" w14:textId="77777777" w:rsidR="00530CA4" w:rsidRPr="005A479D" w:rsidRDefault="00530CA4" w:rsidP="00530CA4">
      <w:pPr>
        <w:numPr>
          <w:ilvl w:val="0"/>
          <w:numId w:val="2"/>
        </w:numPr>
        <w:rPr>
          <w:rFonts w:ascii="Arial" w:hAnsi="Arial" w:cs="Arial"/>
          <w:sz w:val="24"/>
          <w:szCs w:val="24"/>
        </w:rPr>
      </w:pPr>
      <w:r w:rsidRPr="005A479D">
        <w:rPr>
          <w:rFonts w:ascii="Arial" w:hAnsi="Arial" w:cs="Arial"/>
          <w:sz w:val="24"/>
          <w:szCs w:val="24"/>
        </w:rPr>
        <w:t xml:space="preserve">NHS England (2019) </w:t>
      </w:r>
      <w:r w:rsidRPr="005A479D">
        <w:rPr>
          <w:rFonts w:ascii="Arial" w:hAnsi="Arial" w:cs="Arial"/>
          <w:i/>
          <w:iCs/>
          <w:sz w:val="24"/>
          <w:szCs w:val="24"/>
        </w:rPr>
        <w:t>The NHS Long Term Plan.</w:t>
      </w:r>
    </w:p>
    <w:p w14:paraId="105BB288" w14:textId="77777777" w:rsidR="00530CA4" w:rsidRPr="005A479D" w:rsidRDefault="00530CA4" w:rsidP="00530CA4">
      <w:pPr>
        <w:numPr>
          <w:ilvl w:val="0"/>
          <w:numId w:val="2"/>
        </w:numPr>
        <w:rPr>
          <w:rFonts w:ascii="Arial" w:hAnsi="Arial" w:cs="Arial"/>
          <w:sz w:val="24"/>
          <w:szCs w:val="24"/>
        </w:rPr>
      </w:pPr>
      <w:r w:rsidRPr="005A479D">
        <w:rPr>
          <w:rFonts w:ascii="Arial" w:hAnsi="Arial" w:cs="Arial"/>
          <w:sz w:val="24"/>
          <w:szCs w:val="24"/>
        </w:rPr>
        <w:t xml:space="preserve">World Health Organization (2022) </w:t>
      </w:r>
      <w:r w:rsidRPr="005A479D">
        <w:rPr>
          <w:rFonts w:ascii="Arial" w:hAnsi="Arial" w:cs="Arial"/>
          <w:i/>
          <w:iCs/>
          <w:sz w:val="24"/>
          <w:szCs w:val="24"/>
        </w:rPr>
        <w:t>World Mental Health Report: Transforming Mental Health for All.</w:t>
      </w:r>
    </w:p>
    <w:p w14:paraId="28DCC58D" w14:textId="77777777" w:rsidR="00530CA4" w:rsidRPr="005A479D" w:rsidRDefault="00530CA4" w:rsidP="00530CA4">
      <w:pPr>
        <w:numPr>
          <w:ilvl w:val="0"/>
          <w:numId w:val="2"/>
        </w:numPr>
        <w:rPr>
          <w:rFonts w:ascii="Arial" w:hAnsi="Arial" w:cs="Arial"/>
          <w:sz w:val="24"/>
          <w:szCs w:val="24"/>
        </w:rPr>
      </w:pPr>
      <w:r w:rsidRPr="005A479D">
        <w:rPr>
          <w:rFonts w:ascii="Arial" w:hAnsi="Arial" w:cs="Arial"/>
          <w:sz w:val="24"/>
          <w:szCs w:val="24"/>
        </w:rPr>
        <w:t xml:space="preserve">National Institute for Health and Care Excellence (2022) </w:t>
      </w:r>
      <w:r w:rsidRPr="005A479D">
        <w:rPr>
          <w:rFonts w:ascii="Arial" w:hAnsi="Arial" w:cs="Arial"/>
          <w:i/>
          <w:iCs/>
          <w:sz w:val="24"/>
          <w:szCs w:val="24"/>
        </w:rPr>
        <w:t>Mental Wellbeing at Work (NG212)</w:t>
      </w:r>
      <w:r w:rsidRPr="005A479D">
        <w:rPr>
          <w:rFonts w:ascii="Arial" w:hAnsi="Arial" w:cs="Arial"/>
          <w:sz w:val="24"/>
          <w:szCs w:val="24"/>
        </w:rPr>
        <w:t xml:space="preserve"> and relevant mental health guidance.</w:t>
      </w:r>
    </w:p>
    <w:p w14:paraId="2FD1F22D" w14:textId="44F61AD2" w:rsidR="00530CA4" w:rsidRPr="005A479D" w:rsidRDefault="00530CA4" w:rsidP="00530CA4">
      <w:pPr>
        <w:numPr>
          <w:ilvl w:val="0"/>
          <w:numId w:val="2"/>
        </w:numPr>
        <w:rPr>
          <w:rFonts w:ascii="Arial" w:hAnsi="Arial" w:cs="Arial"/>
          <w:sz w:val="24"/>
          <w:szCs w:val="24"/>
        </w:rPr>
      </w:pPr>
      <w:r w:rsidRPr="005A479D">
        <w:rPr>
          <w:rFonts w:ascii="Arial" w:hAnsi="Arial" w:cs="Arial"/>
          <w:sz w:val="24"/>
          <w:szCs w:val="24"/>
        </w:rPr>
        <w:t xml:space="preserve">The King's Fund (2024) </w:t>
      </w:r>
      <w:r w:rsidRPr="005A479D">
        <w:rPr>
          <w:rFonts w:ascii="Arial" w:hAnsi="Arial" w:cs="Arial"/>
          <w:i/>
          <w:iCs/>
          <w:sz w:val="24"/>
          <w:szCs w:val="24"/>
        </w:rPr>
        <w:t>Mental Health Policy and NHS Performance.</w:t>
      </w:r>
    </w:p>
    <w:p w14:paraId="0DCF019D"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NHS England (2019) </w:t>
      </w:r>
      <w:r w:rsidRPr="005A479D">
        <w:rPr>
          <w:rFonts w:ascii="Arial" w:hAnsi="Arial" w:cs="Arial"/>
          <w:i/>
          <w:iCs/>
          <w:sz w:val="24"/>
          <w:szCs w:val="24"/>
        </w:rPr>
        <w:t>The NHS Long Term Plan.</w:t>
      </w:r>
    </w:p>
    <w:p w14:paraId="597DA12D"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World Health Organization (2023) </w:t>
      </w:r>
      <w:r w:rsidRPr="005A479D">
        <w:rPr>
          <w:rFonts w:ascii="Arial" w:hAnsi="Arial" w:cs="Arial"/>
          <w:i/>
          <w:iCs/>
          <w:sz w:val="24"/>
          <w:szCs w:val="24"/>
        </w:rPr>
        <w:t>World Health Statistics.</w:t>
      </w:r>
    </w:p>
    <w:p w14:paraId="439D1D94"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National Institute for Health and Care Excellence (2023) </w:t>
      </w:r>
      <w:r w:rsidRPr="005A479D">
        <w:rPr>
          <w:rFonts w:ascii="Arial" w:hAnsi="Arial" w:cs="Arial"/>
          <w:i/>
          <w:iCs/>
          <w:sz w:val="24"/>
          <w:szCs w:val="24"/>
        </w:rPr>
        <w:t>Behaviour change: individual approaches (PH49).</w:t>
      </w:r>
    </w:p>
    <w:p w14:paraId="7D84959F"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Office for Health Improvement and Disparities (2024) </w:t>
      </w:r>
      <w:r w:rsidRPr="005A479D">
        <w:rPr>
          <w:rFonts w:ascii="Arial" w:hAnsi="Arial" w:cs="Arial"/>
          <w:i/>
          <w:iCs/>
          <w:sz w:val="24"/>
          <w:szCs w:val="24"/>
        </w:rPr>
        <w:t>Health Profile for England.</w:t>
      </w:r>
    </w:p>
    <w:p w14:paraId="21CCA6D9"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Michael Marmot et al. (2020) </w:t>
      </w:r>
      <w:r w:rsidRPr="005A479D">
        <w:rPr>
          <w:rFonts w:ascii="Arial" w:hAnsi="Arial" w:cs="Arial"/>
          <w:i/>
          <w:iCs/>
          <w:sz w:val="24"/>
          <w:szCs w:val="24"/>
        </w:rPr>
        <w:t>Health Equity in England: The Marmot Review 10 Years On.</w:t>
      </w:r>
    </w:p>
    <w:p w14:paraId="4329A148"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Office for National Statistics (2024) </w:t>
      </w:r>
      <w:r w:rsidRPr="005A479D">
        <w:rPr>
          <w:rFonts w:ascii="Arial" w:hAnsi="Arial" w:cs="Arial"/>
          <w:i/>
          <w:iCs/>
          <w:sz w:val="24"/>
          <w:szCs w:val="24"/>
        </w:rPr>
        <w:t>Health State Life Expectancies, UK.</w:t>
      </w:r>
    </w:p>
    <w:p w14:paraId="2F1D27D1" w14:textId="77777777" w:rsidR="00530CA4" w:rsidRPr="005A479D" w:rsidRDefault="00530CA4" w:rsidP="00530CA4">
      <w:pPr>
        <w:numPr>
          <w:ilvl w:val="0"/>
          <w:numId w:val="1"/>
        </w:numPr>
        <w:rPr>
          <w:rFonts w:ascii="Arial" w:hAnsi="Arial" w:cs="Arial"/>
          <w:sz w:val="24"/>
          <w:szCs w:val="24"/>
        </w:rPr>
      </w:pPr>
      <w:r w:rsidRPr="005A479D">
        <w:rPr>
          <w:rFonts w:ascii="Arial" w:hAnsi="Arial" w:cs="Arial"/>
          <w:sz w:val="24"/>
          <w:szCs w:val="24"/>
        </w:rPr>
        <w:t xml:space="preserve">The King's Fund (2024) </w:t>
      </w:r>
      <w:r w:rsidRPr="005A479D">
        <w:rPr>
          <w:rFonts w:ascii="Arial" w:hAnsi="Arial" w:cs="Arial"/>
          <w:i/>
          <w:iCs/>
          <w:sz w:val="24"/>
          <w:szCs w:val="24"/>
        </w:rPr>
        <w:t>What Are Health Inequalities?</w:t>
      </w:r>
    </w:p>
    <w:p w14:paraId="1F72A19F" w14:textId="20C05555" w:rsidR="00530CA4" w:rsidRPr="005A479D" w:rsidRDefault="00530CA4" w:rsidP="005A479D">
      <w:pPr>
        <w:numPr>
          <w:ilvl w:val="0"/>
          <w:numId w:val="1"/>
        </w:numPr>
        <w:rPr>
          <w:rFonts w:ascii="Arial" w:hAnsi="Arial" w:cs="Arial"/>
          <w:sz w:val="24"/>
          <w:szCs w:val="24"/>
        </w:rPr>
      </w:pPr>
      <w:r w:rsidRPr="005A479D">
        <w:rPr>
          <w:rFonts w:ascii="Arial" w:hAnsi="Arial" w:cs="Arial"/>
          <w:sz w:val="24"/>
          <w:szCs w:val="24"/>
        </w:rPr>
        <w:t xml:space="preserve">World Health Organization (2023) </w:t>
      </w:r>
      <w:r w:rsidRPr="005A479D">
        <w:rPr>
          <w:rFonts w:ascii="Arial" w:hAnsi="Arial" w:cs="Arial"/>
          <w:i/>
          <w:iCs/>
          <w:sz w:val="24"/>
          <w:szCs w:val="24"/>
        </w:rPr>
        <w:t>World Health Statistics.</w:t>
      </w:r>
    </w:p>
    <w:p w14:paraId="7B0D649E" w14:textId="77777777" w:rsidR="009F58C2" w:rsidRPr="005A479D" w:rsidRDefault="009F58C2" w:rsidP="009F58C2">
      <w:pPr>
        <w:numPr>
          <w:ilvl w:val="0"/>
          <w:numId w:val="1"/>
        </w:numPr>
        <w:rPr>
          <w:rFonts w:ascii="Arial" w:hAnsi="Arial" w:cs="Arial"/>
          <w:sz w:val="24"/>
          <w:szCs w:val="24"/>
        </w:rPr>
      </w:pPr>
      <w:r w:rsidRPr="005A479D">
        <w:rPr>
          <w:rFonts w:ascii="Arial" w:hAnsi="Arial" w:cs="Arial"/>
          <w:sz w:val="24"/>
          <w:szCs w:val="24"/>
        </w:rPr>
        <w:t xml:space="preserve">Marmot, M. et al. (2020) </w:t>
      </w:r>
      <w:r w:rsidRPr="005A479D">
        <w:rPr>
          <w:rFonts w:ascii="Arial" w:hAnsi="Arial" w:cs="Arial"/>
          <w:i/>
          <w:iCs/>
          <w:sz w:val="24"/>
          <w:szCs w:val="24"/>
        </w:rPr>
        <w:t>Health Equity in England: The Marmot Review 10 Years On.</w:t>
      </w:r>
    </w:p>
    <w:p w14:paraId="4BDA045F" w14:textId="77777777" w:rsidR="009F58C2" w:rsidRPr="005A479D" w:rsidRDefault="009F58C2" w:rsidP="009F58C2">
      <w:pPr>
        <w:numPr>
          <w:ilvl w:val="0"/>
          <w:numId w:val="1"/>
        </w:numPr>
        <w:rPr>
          <w:rFonts w:ascii="Arial" w:hAnsi="Arial" w:cs="Arial"/>
          <w:sz w:val="24"/>
          <w:szCs w:val="24"/>
        </w:rPr>
      </w:pPr>
      <w:r w:rsidRPr="005A479D">
        <w:rPr>
          <w:rFonts w:ascii="Arial" w:hAnsi="Arial" w:cs="Arial"/>
          <w:sz w:val="24"/>
          <w:szCs w:val="24"/>
        </w:rPr>
        <w:lastRenderedPageBreak/>
        <w:t xml:space="preserve">NHS England (2023) </w:t>
      </w:r>
      <w:r w:rsidRPr="005A479D">
        <w:rPr>
          <w:rFonts w:ascii="Arial" w:hAnsi="Arial" w:cs="Arial"/>
          <w:i/>
          <w:iCs/>
          <w:sz w:val="24"/>
          <w:szCs w:val="24"/>
        </w:rPr>
        <w:t>Core20PLUS5: An Approach to Reducing Healthcare Inequalities.</w:t>
      </w:r>
    </w:p>
    <w:p w14:paraId="05E69DD6" w14:textId="77777777" w:rsidR="009F58C2" w:rsidRPr="005D08F2" w:rsidRDefault="009F58C2" w:rsidP="009F58C2">
      <w:pPr>
        <w:numPr>
          <w:ilvl w:val="0"/>
          <w:numId w:val="1"/>
        </w:numPr>
        <w:rPr>
          <w:rFonts w:ascii="Arial" w:hAnsi="Arial" w:cs="Arial"/>
          <w:sz w:val="24"/>
          <w:szCs w:val="24"/>
        </w:rPr>
      </w:pPr>
      <w:r w:rsidRPr="005A479D">
        <w:rPr>
          <w:rFonts w:ascii="Arial" w:hAnsi="Arial" w:cs="Arial"/>
          <w:sz w:val="24"/>
          <w:szCs w:val="24"/>
        </w:rPr>
        <w:t xml:space="preserve">World Health Organization (2023) </w:t>
      </w:r>
      <w:r w:rsidRPr="005A479D">
        <w:rPr>
          <w:rFonts w:ascii="Arial" w:hAnsi="Arial" w:cs="Arial"/>
          <w:i/>
          <w:iCs/>
          <w:sz w:val="24"/>
          <w:szCs w:val="24"/>
        </w:rPr>
        <w:t>World Health Statistics 2023: Monitoring Health for the SDGs.</w:t>
      </w:r>
    </w:p>
    <w:p w14:paraId="1C7A4C84" w14:textId="62FA79AB" w:rsidR="005D08F2" w:rsidRPr="005A479D" w:rsidRDefault="005D08F2" w:rsidP="009F58C2">
      <w:pPr>
        <w:numPr>
          <w:ilvl w:val="0"/>
          <w:numId w:val="1"/>
        </w:numPr>
        <w:rPr>
          <w:rFonts w:ascii="Arial" w:hAnsi="Arial" w:cs="Arial"/>
          <w:sz w:val="24"/>
          <w:szCs w:val="24"/>
        </w:rPr>
      </w:pPr>
      <w:r w:rsidRPr="005D08F2">
        <w:rPr>
          <w:rFonts w:ascii="Arial" w:hAnsi="Arial" w:cs="Arial"/>
          <w:sz w:val="24"/>
          <w:szCs w:val="24"/>
        </w:rPr>
        <w:t xml:space="preserve">World Health Organization (2023) </w:t>
      </w:r>
      <w:r w:rsidRPr="005D08F2">
        <w:rPr>
          <w:rFonts w:ascii="Arial" w:hAnsi="Arial" w:cs="Arial"/>
          <w:i/>
          <w:iCs/>
          <w:sz w:val="24"/>
          <w:szCs w:val="24"/>
        </w:rPr>
        <w:t>Social determinants of health</w:t>
      </w:r>
      <w:r w:rsidRPr="005D08F2">
        <w:rPr>
          <w:rFonts w:ascii="Arial" w:hAnsi="Arial" w:cs="Arial"/>
          <w:sz w:val="24"/>
          <w:szCs w:val="24"/>
        </w:rPr>
        <w:t xml:space="preserve">. Available at: </w:t>
      </w:r>
      <w:hyperlink r:id="rId5" w:tgtFrame="_new" w:history="1">
        <w:r w:rsidRPr="005D08F2">
          <w:rPr>
            <w:rStyle w:val="Hyperlink"/>
            <w:rFonts w:ascii="Arial" w:hAnsi="Arial" w:cs="Arial"/>
            <w:sz w:val="24"/>
            <w:szCs w:val="24"/>
          </w:rPr>
          <w:t>https://www.who.int/health-topics/social-determinants-of-health</w:t>
        </w:r>
      </w:hyperlink>
      <w:r w:rsidRPr="005D08F2">
        <w:rPr>
          <w:rFonts w:ascii="Arial" w:hAnsi="Arial" w:cs="Arial"/>
          <w:sz w:val="24"/>
          <w:szCs w:val="24"/>
        </w:rPr>
        <w:t xml:space="preserve"> (Accessed: </w:t>
      </w:r>
      <w:r>
        <w:rPr>
          <w:rFonts w:ascii="Arial" w:hAnsi="Arial" w:cs="Arial"/>
          <w:sz w:val="24"/>
          <w:szCs w:val="24"/>
        </w:rPr>
        <w:t>5th July 2026</w:t>
      </w:r>
      <w:r w:rsidRPr="005D08F2">
        <w:rPr>
          <w:rFonts w:ascii="Arial" w:hAnsi="Arial" w:cs="Arial"/>
          <w:sz w:val="24"/>
          <w:szCs w:val="24"/>
        </w:rPr>
        <w:t>).</w:t>
      </w:r>
    </w:p>
    <w:p w14:paraId="3819C640" w14:textId="77777777" w:rsidR="005806F7" w:rsidRPr="005A479D" w:rsidRDefault="005806F7" w:rsidP="00280530">
      <w:pPr>
        <w:rPr>
          <w:rFonts w:ascii="Arial" w:hAnsi="Arial" w:cs="Arial"/>
          <w:sz w:val="24"/>
          <w:szCs w:val="24"/>
        </w:rPr>
      </w:pPr>
    </w:p>
    <w:sectPr w:rsidR="005806F7" w:rsidRPr="005A4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10DEF"/>
    <w:multiLevelType w:val="multilevel"/>
    <w:tmpl w:val="82EC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37369A"/>
    <w:multiLevelType w:val="multilevel"/>
    <w:tmpl w:val="03C02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703D01"/>
    <w:multiLevelType w:val="multilevel"/>
    <w:tmpl w:val="4466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BB6489"/>
    <w:multiLevelType w:val="multilevel"/>
    <w:tmpl w:val="3822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F1699"/>
    <w:multiLevelType w:val="multilevel"/>
    <w:tmpl w:val="285E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0664972">
    <w:abstractNumId w:val="2"/>
  </w:num>
  <w:num w:numId="2" w16cid:durableId="1567299898">
    <w:abstractNumId w:val="0"/>
  </w:num>
  <w:num w:numId="3" w16cid:durableId="68621015">
    <w:abstractNumId w:val="3"/>
  </w:num>
  <w:num w:numId="4" w16cid:durableId="1119228244">
    <w:abstractNumId w:val="4"/>
  </w:num>
  <w:num w:numId="5" w16cid:durableId="2012760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530"/>
    <w:rsid w:val="0004675A"/>
    <w:rsid w:val="000E7D87"/>
    <w:rsid w:val="000F42CE"/>
    <w:rsid w:val="00280530"/>
    <w:rsid w:val="002D6BE4"/>
    <w:rsid w:val="00306DC5"/>
    <w:rsid w:val="00530CA4"/>
    <w:rsid w:val="005709B6"/>
    <w:rsid w:val="005806F7"/>
    <w:rsid w:val="005A479D"/>
    <w:rsid w:val="005D08F2"/>
    <w:rsid w:val="007058DF"/>
    <w:rsid w:val="007059A3"/>
    <w:rsid w:val="00733FCC"/>
    <w:rsid w:val="00893B85"/>
    <w:rsid w:val="008D4E2E"/>
    <w:rsid w:val="009F58C2"/>
    <w:rsid w:val="00AA3CEE"/>
    <w:rsid w:val="00CC51F9"/>
    <w:rsid w:val="00F1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A15DC"/>
  <w15:chartTrackingRefBased/>
  <w15:docId w15:val="{9E2ABF8F-3675-4F53-A19A-9EBA4C5A8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530"/>
  </w:style>
  <w:style w:type="paragraph" w:styleId="Heading1">
    <w:name w:val="heading 1"/>
    <w:basedOn w:val="Normal"/>
    <w:next w:val="Normal"/>
    <w:link w:val="Heading1Char"/>
    <w:uiPriority w:val="9"/>
    <w:qFormat/>
    <w:rsid w:val="00280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0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5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5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5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5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5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5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5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530"/>
    <w:rPr>
      <w:rFonts w:eastAsiaTheme="majorEastAsia" w:cstheme="majorBidi"/>
      <w:color w:val="272727" w:themeColor="text1" w:themeTint="D8"/>
    </w:rPr>
  </w:style>
  <w:style w:type="paragraph" w:styleId="Title">
    <w:name w:val="Title"/>
    <w:basedOn w:val="Normal"/>
    <w:next w:val="Normal"/>
    <w:link w:val="TitleChar"/>
    <w:uiPriority w:val="10"/>
    <w:qFormat/>
    <w:rsid w:val="00280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5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5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530"/>
    <w:pPr>
      <w:spacing w:before="160"/>
      <w:jc w:val="center"/>
    </w:pPr>
    <w:rPr>
      <w:i/>
      <w:iCs/>
      <w:color w:val="404040" w:themeColor="text1" w:themeTint="BF"/>
    </w:rPr>
  </w:style>
  <w:style w:type="character" w:customStyle="1" w:styleId="QuoteChar">
    <w:name w:val="Quote Char"/>
    <w:basedOn w:val="DefaultParagraphFont"/>
    <w:link w:val="Quote"/>
    <w:uiPriority w:val="29"/>
    <w:rsid w:val="00280530"/>
    <w:rPr>
      <w:i/>
      <w:iCs/>
      <w:color w:val="404040" w:themeColor="text1" w:themeTint="BF"/>
    </w:rPr>
  </w:style>
  <w:style w:type="paragraph" w:styleId="ListParagraph">
    <w:name w:val="List Paragraph"/>
    <w:basedOn w:val="Normal"/>
    <w:uiPriority w:val="34"/>
    <w:qFormat/>
    <w:rsid w:val="00280530"/>
    <w:pPr>
      <w:ind w:left="720"/>
      <w:contextualSpacing/>
    </w:pPr>
  </w:style>
  <w:style w:type="character" w:styleId="IntenseEmphasis">
    <w:name w:val="Intense Emphasis"/>
    <w:basedOn w:val="DefaultParagraphFont"/>
    <w:uiPriority w:val="21"/>
    <w:qFormat/>
    <w:rsid w:val="00280530"/>
    <w:rPr>
      <w:i/>
      <w:iCs/>
      <w:color w:val="0F4761" w:themeColor="accent1" w:themeShade="BF"/>
    </w:rPr>
  </w:style>
  <w:style w:type="paragraph" w:styleId="IntenseQuote">
    <w:name w:val="Intense Quote"/>
    <w:basedOn w:val="Normal"/>
    <w:next w:val="Normal"/>
    <w:link w:val="IntenseQuoteChar"/>
    <w:uiPriority w:val="30"/>
    <w:qFormat/>
    <w:rsid w:val="00280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530"/>
    <w:rPr>
      <w:i/>
      <w:iCs/>
      <w:color w:val="0F4761" w:themeColor="accent1" w:themeShade="BF"/>
    </w:rPr>
  </w:style>
  <w:style w:type="character" w:styleId="IntenseReference">
    <w:name w:val="Intense Reference"/>
    <w:basedOn w:val="DefaultParagraphFont"/>
    <w:uiPriority w:val="32"/>
    <w:qFormat/>
    <w:rsid w:val="00280530"/>
    <w:rPr>
      <w:b/>
      <w:bCs/>
      <w:smallCaps/>
      <w:color w:val="0F4761" w:themeColor="accent1" w:themeShade="BF"/>
      <w:spacing w:val="5"/>
    </w:rPr>
  </w:style>
  <w:style w:type="character" w:styleId="Hyperlink">
    <w:name w:val="Hyperlink"/>
    <w:basedOn w:val="DefaultParagraphFont"/>
    <w:uiPriority w:val="99"/>
    <w:unhideWhenUsed/>
    <w:rsid w:val="005D08F2"/>
    <w:rPr>
      <w:color w:val="467886" w:themeColor="hyperlink"/>
      <w:u w:val="single"/>
    </w:rPr>
  </w:style>
  <w:style w:type="character" w:styleId="UnresolvedMention">
    <w:name w:val="Unresolved Mention"/>
    <w:basedOn w:val="DefaultParagraphFont"/>
    <w:uiPriority w:val="99"/>
    <w:semiHidden/>
    <w:unhideWhenUsed/>
    <w:rsid w:val="005D08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ho.int/health-topics/social-determinants-of-healt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8</Pages>
  <Words>2700</Words>
  <Characters>15395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kauser</dc:creator>
  <cp:keywords/>
  <dc:description/>
  <cp:lastModifiedBy>sabina kauser</cp:lastModifiedBy>
  <cp:revision>4</cp:revision>
  <dcterms:created xsi:type="dcterms:W3CDTF">2026-07-04T21:35:00Z</dcterms:created>
  <dcterms:modified xsi:type="dcterms:W3CDTF">2026-07-05T12:02:00Z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33078685-a861-4ca9-9b76-47453ec6bc60</vt:lpwstr>
  </property>
</Properties>
</file>