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130EB" w14:textId="77777777" w:rsidR="00326B8E" w:rsidRPr="003313B0" w:rsidRDefault="00326B8E" w:rsidP="00F41BB8">
      <w:r w:rsidRPr="003313B0">
        <w:rPr>
          <w:noProof/>
        </w:rPr>
        <w:drawing>
          <wp:inline distT="0" distB="0" distL="0" distR="0" wp14:anchorId="4A02264E" wp14:editId="49C91438">
            <wp:extent cx="1737062" cy="695325"/>
            <wp:effectExtent l="0" t="0" r="0" b="0"/>
            <wp:docPr id="43965110"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4078" cy="702136"/>
                    </a:xfrm>
                    <a:prstGeom prst="rect">
                      <a:avLst/>
                    </a:prstGeom>
                    <a:noFill/>
                    <a:ln>
                      <a:noFill/>
                    </a:ln>
                  </pic:spPr>
                </pic:pic>
              </a:graphicData>
            </a:graphic>
          </wp:inline>
        </w:drawing>
      </w:r>
    </w:p>
    <w:p w14:paraId="4A6998F9" w14:textId="77777777" w:rsidR="00326B8E" w:rsidRPr="003313B0" w:rsidRDefault="00326B8E" w:rsidP="00F41BB8"/>
    <w:p w14:paraId="38B66EE5" w14:textId="77777777" w:rsidR="00326B8E" w:rsidRPr="003313B0" w:rsidRDefault="00326B8E" w:rsidP="00F41BB8"/>
    <w:p w14:paraId="1829939A" w14:textId="77777777" w:rsidR="00BD6FD8" w:rsidRPr="003313B0" w:rsidRDefault="00BD6FD8" w:rsidP="00F41BB8">
      <w:pPr>
        <w:jc w:val="center"/>
        <w:rPr>
          <w:b/>
          <w:bCs/>
          <w:sz w:val="32"/>
          <w:szCs w:val="32"/>
        </w:rPr>
      </w:pPr>
      <w:r w:rsidRPr="003313B0">
        <w:rPr>
          <w:b/>
          <w:bCs/>
          <w:sz w:val="32"/>
          <w:szCs w:val="32"/>
        </w:rPr>
        <w:t>Module: Introduction to Health and Social Care</w:t>
      </w:r>
    </w:p>
    <w:p w14:paraId="7A7AD129" w14:textId="77777777" w:rsidR="00B7035D" w:rsidRDefault="00BD6FD8" w:rsidP="00F41BB8">
      <w:pPr>
        <w:jc w:val="center"/>
        <w:rPr>
          <w:b/>
          <w:bCs/>
          <w:sz w:val="32"/>
          <w:szCs w:val="32"/>
        </w:rPr>
      </w:pPr>
      <w:r w:rsidRPr="003313B0">
        <w:rPr>
          <w:b/>
          <w:bCs/>
          <w:sz w:val="32"/>
          <w:szCs w:val="32"/>
        </w:rPr>
        <w:t>Module code: LCHS4003</w:t>
      </w:r>
    </w:p>
    <w:p w14:paraId="771DEABF" w14:textId="496286A4" w:rsidR="00A9345C" w:rsidRPr="003313B0" w:rsidRDefault="00A9345C" w:rsidP="00F41BB8">
      <w:pPr>
        <w:jc w:val="center"/>
        <w:rPr>
          <w:b/>
          <w:bCs/>
          <w:sz w:val="32"/>
          <w:szCs w:val="32"/>
        </w:rPr>
      </w:pPr>
      <w:r>
        <w:rPr>
          <w:b/>
          <w:bCs/>
          <w:sz w:val="32"/>
          <w:szCs w:val="32"/>
        </w:rPr>
        <w:t xml:space="preserve">Assignment Title: </w:t>
      </w:r>
      <w:r w:rsidR="00D16A03">
        <w:rPr>
          <w:b/>
          <w:bCs/>
          <w:sz w:val="32"/>
          <w:szCs w:val="32"/>
        </w:rPr>
        <w:t>Written Assignment</w:t>
      </w:r>
    </w:p>
    <w:p w14:paraId="0A670710" w14:textId="77777777" w:rsidR="00B7035D" w:rsidRPr="003313B0" w:rsidRDefault="00B7035D" w:rsidP="00F41BB8">
      <w:pPr>
        <w:jc w:val="center"/>
        <w:rPr>
          <w:b/>
          <w:bCs/>
          <w:sz w:val="32"/>
          <w:szCs w:val="32"/>
        </w:rPr>
      </w:pPr>
    </w:p>
    <w:p w14:paraId="20D262A3" w14:textId="77777777" w:rsidR="00B7035D" w:rsidRPr="003313B0" w:rsidRDefault="00B7035D" w:rsidP="00F41BB8">
      <w:pPr>
        <w:jc w:val="center"/>
        <w:rPr>
          <w:b/>
          <w:bCs/>
          <w:sz w:val="32"/>
          <w:szCs w:val="32"/>
        </w:rPr>
      </w:pPr>
    </w:p>
    <w:p w14:paraId="05BBF278" w14:textId="77777777" w:rsidR="00B7035D" w:rsidRPr="003313B0" w:rsidRDefault="00B7035D" w:rsidP="00C255FE">
      <w:pPr>
        <w:rPr>
          <w:b/>
          <w:bCs/>
          <w:sz w:val="32"/>
          <w:szCs w:val="32"/>
        </w:rPr>
      </w:pPr>
    </w:p>
    <w:p w14:paraId="52A3C222" w14:textId="77777777" w:rsidR="00B7035D" w:rsidRPr="003313B0" w:rsidRDefault="00B7035D" w:rsidP="00F41BB8">
      <w:pPr>
        <w:jc w:val="center"/>
        <w:rPr>
          <w:b/>
          <w:bCs/>
          <w:sz w:val="32"/>
          <w:szCs w:val="32"/>
        </w:rPr>
      </w:pPr>
    </w:p>
    <w:p w14:paraId="5D9150D3" w14:textId="35E8AFF9" w:rsidR="00B7035D" w:rsidRPr="003313B0" w:rsidRDefault="00B7035D" w:rsidP="00F41BB8">
      <w:pPr>
        <w:jc w:val="center"/>
        <w:rPr>
          <w:b/>
          <w:bCs/>
          <w:sz w:val="32"/>
          <w:szCs w:val="32"/>
        </w:rPr>
      </w:pPr>
      <w:r w:rsidRPr="003313B0">
        <w:rPr>
          <w:b/>
          <w:bCs/>
          <w:sz w:val="32"/>
          <w:szCs w:val="32"/>
        </w:rPr>
        <w:t>Student Name:</w:t>
      </w:r>
      <w:r w:rsidR="00C255FE" w:rsidRPr="00C255FE">
        <w:t xml:space="preserve"> </w:t>
      </w:r>
      <w:r w:rsidR="00C255FE" w:rsidRPr="00C255FE">
        <w:rPr>
          <w:b/>
          <w:bCs/>
          <w:sz w:val="32"/>
          <w:szCs w:val="32"/>
        </w:rPr>
        <w:t>Abdul Turay</w:t>
      </w:r>
    </w:p>
    <w:p w14:paraId="06F5DDF6" w14:textId="56E9EF68" w:rsidR="009650D9" w:rsidRPr="003313B0" w:rsidRDefault="00B7035D" w:rsidP="00F41BB8">
      <w:pPr>
        <w:jc w:val="center"/>
      </w:pPr>
      <w:r w:rsidRPr="003313B0">
        <w:rPr>
          <w:b/>
          <w:bCs/>
          <w:sz w:val="32"/>
          <w:szCs w:val="32"/>
        </w:rPr>
        <w:t>Student ID:</w:t>
      </w:r>
      <w:r w:rsidR="00C255FE" w:rsidRPr="00C255FE">
        <w:t xml:space="preserve"> </w:t>
      </w:r>
      <w:r w:rsidR="00C255FE" w:rsidRPr="00C255FE">
        <w:rPr>
          <w:b/>
          <w:bCs/>
          <w:sz w:val="32"/>
          <w:szCs w:val="32"/>
        </w:rPr>
        <w:t>2442944</w:t>
      </w:r>
      <w:r w:rsidR="009650D9" w:rsidRPr="003313B0">
        <w:br w:type="page"/>
      </w:r>
    </w:p>
    <w:sdt>
      <w:sdtPr>
        <w:rPr>
          <w:rFonts w:ascii="Arial" w:eastAsiaTheme="minorHAnsi" w:hAnsi="Arial" w:cs="Arial"/>
          <w:color w:val="auto"/>
          <w:kern w:val="2"/>
          <w:sz w:val="24"/>
          <w:szCs w:val="24"/>
          <w:lang w:val="en-IN"/>
          <w14:ligatures w14:val="standardContextual"/>
        </w:rPr>
        <w:id w:val="-990718214"/>
        <w:docPartObj>
          <w:docPartGallery w:val="Table of Contents"/>
          <w:docPartUnique/>
        </w:docPartObj>
      </w:sdtPr>
      <w:sdtEndPr>
        <w:rPr>
          <w:noProof/>
          <w:sz w:val="22"/>
          <w:szCs w:val="22"/>
          <w:lang w:val="en-GB"/>
        </w:rPr>
      </w:sdtEndPr>
      <w:sdtContent>
        <w:p w14:paraId="2FEAD409" w14:textId="4E2AFEB0" w:rsidR="00B7035D" w:rsidRPr="003313B0" w:rsidRDefault="00B7035D" w:rsidP="00F41BB8">
          <w:pPr>
            <w:pStyle w:val="TOCHeading"/>
            <w:spacing w:line="360" w:lineRule="auto"/>
            <w:rPr>
              <w:rFonts w:ascii="Arial" w:hAnsi="Arial" w:cs="Arial"/>
            </w:rPr>
          </w:pPr>
          <w:r w:rsidRPr="003313B0">
            <w:rPr>
              <w:rFonts w:ascii="Arial" w:hAnsi="Arial" w:cs="Arial"/>
            </w:rPr>
            <w:t>Table of Contents</w:t>
          </w:r>
        </w:p>
        <w:p w14:paraId="1FBAACF2" w14:textId="20C41D6A" w:rsidR="003313B0" w:rsidRPr="003313B0" w:rsidRDefault="00B7035D" w:rsidP="00F41BB8">
          <w:pPr>
            <w:pStyle w:val="TOC1"/>
            <w:tabs>
              <w:tab w:val="right" w:leader="dot" w:pos="9016"/>
            </w:tabs>
            <w:rPr>
              <w:rFonts w:eastAsiaTheme="minorEastAsia"/>
              <w:noProof/>
              <w:sz w:val="24"/>
              <w:szCs w:val="30"/>
              <w:lang w:val="en-IN" w:eastAsia="en-IN" w:bidi="bn-IN"/>
            </w:rPr>
          </w:pPr>
          <w:r w:rsidRPr="003313B0">
            <w:fldChar w:fldCharType="begin"/>
          </w:r>
          <w:r w:rsidRPr="003313B0">
            <w:instrText xml:space="preserve"> TOC \o "1-3" \h \z \u </w:instrText>
          </w:r>
          <w:r w:rsidRPr="003313B0">
            <w:fldChar w:fldCharType="separate"/>
          </w:r>
          <w:hyperlink w:anchor="_Toc216007198" w:history="1">
            <w:r w:rsidR="003313B0" w:rsidRPr="003313B0">
              <w:rPr>
                <w:rStyle w:val="Hyperlink"/>
                <w:noProof/>
              </w:rPr>
              <w:t>Introduction</w:t>
            </w:r>
            <w:r w:rsidR="003313B0" w:rsidRPr="003313B0">
              <w:rPr>
                <w:noProof/>
                <w:webHidden/>
              </w:rPr>
              <w:tab/>
            </w:r>
            <w:r w:rsidR="003313B0" w:rsidRPr="003313B0">
              <w:rPr>
                <w:noProof/>
                <w:webHidden/>
              </w:rPr>
              <w:fldChar w:fldCharType="begin"/>
            </w:r>
            <w:r w:rsidR="003313B0" w:rsidRPr="003313B0">
              <w:rPr>
                <w:noProof/>
                <w:webHidden/>
              </w:rPr>
              <w:instrText xml:space="preserve"> PAGEREF _Toc216007198 \h </w:instrText>
            </w:r>
            <w:r w:rsidR="003313B0" w:rsidRPr="003313B0">
              <w:rPr>
                <w:noProof/>
                <w:webHidden/>
              </w:rPr>
            </w:r>
            <w:r w:rsidR="003313B0" w:rsidRPr="003313B0">
              <w:rPr>
                <w:noProof/>
                <w:webHidden/>
              </w:rPr>
              <w:fldChar w:fldCharType="separate"/>
            </w:r>
            <w:r w:rsidR="003313B0" w:rsidRPr="003313B0">
              <w:rPr>
                <w:noProof/>
                <w:webHidden/>
              </w:rPr>
              <w:t>3</w:t>
            </w:r>
            <w:r w:rsidR="003313B0" w:rsidRPr="003313B0">
              <w:rPr>
                <w:noProof/>
                <w:webHidden/>
              </w:rPr>
              <w:fldChar w:fldCharType="end"/>
            </w:r>
          </w:hyperlink>
        </w:p>
        <w:p w14:paraId="57898200" w14:textId="5B66A094" w:rsidR="003313B0" w:rsidRPr="003313B0" w:rsidRDefault="003313B0" w:rsidP="00F41BB8">
          <w:pPr>
            <w:pStyle w:val="TOC1"/>
            <w:tabs>
              <w:tab w:val="right" w:leader="dot" w:pos="9016"/>
            </w:tabs>
            <w:rPr>
              <w:rFonts w:eastAsiaTheme="minorEastAsia"/>
              <w:noProof/>
              <w:sz w:val="24"/>
              <w:szCs w:val="30"/>
              <w:lang w:val="en-IN" w:eastAsia="en-IN" w:bidi="bn-IN"/>
            </w:rPr>
          </w:pPr>
          <w:hyperlink w:anchor="_Toc216007199" w:history="1">
            <w:r w:rsidRPr="003313B0">
              <w:rPr>
                <w:rStyle w:val="Hyperlink"/>
                <w:noProof/>
              </w:rPr>
              <w:t>Effective Communication in Mrs Mann’s Care</w:t>
            </w:r>
            <w:r w:rsidRPr="003313B0">
              <w:rPr>
                <w:noProof/>
                <w:webHidden/>
              </w:rPr>
              <w:tab/>
            </w:r>
            <w:r w:rsidRPr="003313B0">
              <w:rPr>
                <w:noProof/>
                <w:webHidden/>
              </w:rPr>
              <w:fldChar w:fldCharType="begin"/>
            </w:r>
            <w:r w:rsidRPr="003313B0">
              <w:rPr>
                <w:noProof/>
                <w:webHidden/>
              </w:rPr>
              <w:instrText xml:space="preserve"> PAGEREF _Toc216007199 \h </w:instrText>
            </w:r>
            <w:r w:rsidRPr="003313B0">
              <w:rPr>
                <w:noProof/>
                <w:webHidden/>
              </w:rPr>
            </w:r>
            <w:r w:rsidRPr="003313B0">
              <w:rPr>
                <w:noProof/>
                <w:webHidden/>
              </w:rPr>
              <w:fldChar w:fldCharType="separate"/>
            </w:r>
            <w:r w:rsidRPr="003313B0">
              <w:rPr>
                <w:noProof/>
                <w:webHidden/>
              </w:rPr>
              <w:t>3</w:t>
            </w:r>
            <w:r w:rsidRPr="003313B0">
              <w:rPr>
                <w:noProof/>
                <w:webHidden/>
              </w:rPr>
              <w:fldChar w:fldCharType="end"/>
            </w:r>
          </w:hyperlink>
        </w:p>
        <w:p w14:paraId="514D1BC8" w14:textId="10CC404C" w:rsidR="003313B0" w:rsidRPr="003313B0" w:rsidRDefault="003313B0" w:rsidP="00F41BB8">
          <w:pPr>
            <w:pStyle w:val="TOC1"/>
            <w:tabs>
              <w:tab w:val="right" w:leader="dot" w:pos="9016"/>
            </w:tabs>
            <w:rPr>
              <w:rFonts w:eastAsiaTheme="minorEastAsia"/>
              <w:noProof/>
              <w:sz w:val="24"/>
              <w:szCs w:val="30"/>
              <w:lang w:val="en-IN" w:eastAsia="en-IN" w:bidi="bn-IN"/>
            </w:rPr>
          </w:pPr>
          <w:hyperlink w:anchor="_Toc216007200" w:history="1">
            <w:r w:rsidRPr="003313B0">
              <w:rPr>
                <w:rStyle w:val="Hyperlink"/>
                <w:noProof/>
              </w:rPr>
              <w:t>Importance of Good Administrative Skills and Data Protection</w:t>
            </w:r>
            <w:r w:rsidRPr="003313B0">
              <w:rPr>
                <w:noProof/>
                <w:webHidden/>
              </w:rPr>
              <w:tab/>
            </w:r>
            <w:r w:rsidRPr="003313B0">
              <w:rPr>
                <w:noProof/>
                <w:webHidden/>
              </w:rPr>
              <w:fldChar w:fldCharType="begin"/>
            </w:r>
            <w:r w:rsidRPr="003313B0">
              <w:rPr>
                <w:noProof/>
                <w:webHidden/>
              </w:rPr>
              <w:instrText xml:space="preserve"> PAGEREF _Toc216007200 \h </w:instrText>
            </w:r>
            <w:r w:rsidRPr="003313B0">
              <w:rPr>
                <w:noProof/>
                <w:webHidden/>
              </w:rPr>
            </w:r>
            <w:r w:rsidRPr="003313B0">
              <w:rPr>
                <w:noProof/>
                <w:webHidden/>
              </w:rPr>
              <w:fldChar w:fldCharType="separate"/>
            </w:r>
            <w:r w:rsidRPr="003313B0">
              <w:rPr>
                <w:noProof/>
                <w:webHidden/>
              </w:rPr>
              <w:t>4</w:t>
            </w:r>
            <w:r w:rsidRPr="003313B0">
              <w:rPr>
                <w:noProof/>
                <w:webHidden/>
              </w:rPr>
              <w:fldChar w:fldCharType="end"/>
            </w:r>
          </w:hyperlink>
        </w:p>
        <w:p w14:paraId="162FA312" w14:textId="40408B07" w:rsidR="003313B0" w:rsidRPr="003313B0" w:rsidRDefault="003313B0" w:rsidP="00F41BB8">
          <w:pPr>
            <w:pStyle w:val="TOC1"/>
            <w:tabs>
              <w:tab w:val="right" w:leader="dot" w:pos="9016"/>
            </w:tabs>
            <w:rPr>
              <w:rFonts w:eastAsiaTheme="minorEastAsia"/>
              <w:noProof/>
              <w:sz w:val="24"/>
              <w:szCs w:val="30"/>
              <w:lang w:val="en-IN" w:eastAsia="en-IN" w:bidi="bn-IN"/>
            </w:rPr>
          </w:pPr>
          <w:hyperlink w:anchor="_Toc216007201" w:history="1">
            <w:r w:rsidRPr="003313B0">
              <w:rPr>
                <w:rStyle w:val="Hyperlink"/>
                <w:noProof/>
              </w:rPr>
              <w:t>The Importance of Multi-Agency Working in Mrs Mann’s Care</w:t>
            </w:r>
            <w:r w:rsidRPr="003313B0">
              <w:rPr>
                <w:noProof/>
                <w:webHidden/>
              </w:rPr>
              <w:tab/>
            </w:r>
            <w:r w:rsidRPr="003313B0">
              <w:rPr>
                <w:noProof/>
                <w:webHidden/>
              </w:rPr>
              <w:fldChar w:fldCharType="begin"/>
            </w:r>
            <w:r w:rsidRPr="003313B0">
              <w:rPr>
                <w:noProof/>
                <w:webHidden/>
              </w:rPr>
              <w:instrText xml:space="preserve"> PAGEREF _Toc216007201 \h </w:instrText>
            </w:r>
            <w:r w:rsidRPr="003313B0">
              <w:rPr>
                <w:noProof/>
                <w:webHidden/>
              </w:rPr>
            </w:r>
            <w:r w:rsidRPr="003313B0">
              <w:rPr>
                <w:noProof/>
                <w:webHidden/>
              </w:rPr>
              <w:fldChar w:fldCharType="separate"/>
            </w:r>
            <w:r w:rsidRPr="003313B0">
              <w:rPr>
                <w:noProof/>
                <w:webHidden/>
              </w:rPr>
              <w:t>5</w:t>
            </w:r>
            <w:r w:rsidRPr="003313B0">
              <w:rPr>
                <w:noProof/>
                <w:webHidden/>
              </w:rPr>
              <w:fldChar w:fldCharType="end"/>
            </w:r>
          </w:hyperlink>
        </w:p>
        <w:p w14:paraId="3C8FB418" w14:textId="4EFCA23D" w:rsidR="003313B0" w:rsidRPr="003313B0" w:rsidRDefault="003313B0" w:rsidP="00F41BB8">
          <w:pPr>
            <w:pStyle w:val="TOC1"/>
            <w:tabs>
              <w:tab w:val="right" w:leader="dot" w:pos="9016"/>
            </w:tabs>
            <w:rPr>
              <w:rFonts w:eastAsiaTheme="minorEastAsia"/>
              <w:noProof/>
              <w:sz w:val="24"/>
              <w:szCs w:val="30"/>
              <w:lang w:val="en-IN" w:eastAsia="en-IN" w:bidi="bn-IN"/>
            </w:rPr>
          </w:pPr>
          <w:hyperlink w:anchor="_Toc216007202" w:history="1">
            <w:r w:rsidRPr="003313B0">
              <w:rPr>
                <w:rStyle w:val="Hyperlink"/>
                <w:noProof/>
              </w:rPr>
              <w:t>Conclusion</w:t>
            </w:r>
            <w:r w:rsidRPr="003313B0">
              <w:rPr>
                <w:noProof/>
                <w:webHidden/>
              </w:rPr>
              <w:tab/>
            </w:r>
            <w:r w:rsidRPr="003313B0">
              <w:rPr>
                <w:noProof/>
                <w:webHidden/>
              </w:rPr>
              <w:fldChar w:fldCharType="begin"/>
            </w:r>
            <w:r w:rsidRPr="003313B0">
              <w:rPr>
                <w:noProof/>
                <w:webHidden/>
              </w:rPr>
              <w:instrText xml:space="preserve"> PAGEREF _Toc216007202 \h </w:instrText>
            </w:r>
            <w:r w:rsidRPr="003313B0">
              <w:rPr>
                <w:noProof/>
                <w:webHidden/>
              </w:rPr>
            </w:r>
            <w:r w:rsidRPr="003313B0">
              <w:rPr>
                <w:noProof/>
                <w:webHidden/>
              </w:rPr>
              <w:fldChar w:fldCharType="separate"/>
            </w:r>
            <w:r w:rsidRPr="003313B0">
              <w:rPr>
                <w:noProof/>
                <w:webHidden/>
              </w:rPr>
              <w:t>6</w:t>
            </w:r>
            <w:r w:rsidRPr="003313B0">
              <w:rPr>
                <w:noProof/>
                <w:webHidden/>
              </w:rPr>
              <w:fldChar w:fldCharType="end"/>
            </w:r>
          </w:hyperlink>
        </w:p>
        <w:p w14:paraId="6FFCCC4A" w14:textId="19CA9FA9" w:rsidR="003313B0" w:rsidRPr="003313B0" w:rsidRDefault="003313B0" w:rsidP="00F41BB8">
          <w:pPr>
            <w:pStyle w:val="TOC1"/>
            <w:tabs>
              <w:tab w:val="right" w:leader="dot" w:pos="9016"/>
            </w:tabs>
            <w:rPr>
              <w:rFonts w:eastAsiaTheme="minorEastAsia"/>
              <w:noProof/>
              <w:sz w:val="24"/>
              <w:szCs w:val="30"/>
              <w:lang w:val="en-IN" w:eastAsia="en-IN" w:bidi="bn-IN"/>
            </w:rPr>
          </w:pPr>
          <w:hyperlink w:anchor="_Toc216007203" w:history="1">
            <w:r w:rsidRPr="003313B0">
              <w:rPr>
                <w:rStyle w:val="Hyperlink"/>
                <w:noProof/>
              </w:rPr>
              <w:t>References</w:t>
            </w:r>
            <w:r w:rsidRPr="003313B0">
              <w:rPr>
                <w:noProof/>
                <w:webHidden/>
              </w:rPr>
              <w:tab/>
            </w:r>
            <w:r w:rsidRPr="003313B0">
              <w:rPr>
                <w:noProof/>
                <w:webHidden/>
              </w:rPr>
              <w:fldChar w:fldCharType="begin"/>
            </w:r>
            <w:r w:rsidRPr="003313B0">
              <w:rPr>
                <w:noProof/>
                <w:webHidden/>
              </w:rPr>
              <w:instrText xml:space="preserve"> PAGEREF _Toc216007203 \h </w:instrText>
            </w:r>
            <w:r w:rsidRPr="003313B0">
              <w:rPr>
                <w:noProof/>
                <w:webHidden/>
              </w:rPr>
            </w:r>
            <w:r w:rsidRPr="003313B0">
              <w:rPr>
                <w:noProof/>
                <w:webHidden/>
              </w:rPr>
              <w:fldChar w:fldCharType="separate"/>
            </w:r>
            <w:r w:rsidRPr="003313B0">
              <w:rPr>
                <w:noProof/>
                <w:webHidden/>
              </w:rPr>
              <w:t>7</w:t>
            </w:r>
            <w:r w:rsidRPr="003313B0">
              <w:rPr>
                <w:noProof/>
                <w:webHidden/>
              </w:rPr>
              <w:fldChar w:fldCharType="end"/>
            </w:r>
          </w:hyperlink>
        </w:p>
        <w:p w14:paraId="5ED5286C" w14:textId="50362F57" w:rsidR="00B7035D" w:rsidRPr="003313B0" w:rsidRDefault="00B7035D" w:rsidP="00F41BB8">
          <w:r w:rsidRPr="003313B0">
            <w:rPr>
              <w:noProof/>
            </w:rPr>
            <w:fldChar w:fldCharType="end"/>
          </w:r>
        </w:p>
      </w:sdtContent>
    </w:sdt>
    <w:p w14:paraId="37CD2D9B" w14:textId="77777777" w:rsidR="009650D9" w:rsidRPr="003313B0" w:rsidRDefault="009650D9" w:rsidP="00F41BB8">
      <w:pPr>
        <w:rPr>
          <w:rFonts w:eastAsiaTheme="majorEastAsia"/>
          <w:color w:val="000000" w:themeColor="text1"/>
          <w:sz w:val="28"/>
          <w:szCs w:val="40"/>
        </w:rPr>
      </w:pPr>
      <w:r w:rsidRPr="003313B0">
        <w:br w:type="page"/>
      </w:r>
    </w:p>
    <w:p w14:paraId="49364349" w14:textId="2150E77B" w:rsidR="003B078B" w:rsidRPr="003313B0" w:rsidRDefault="003B078B" w:rsidP="00F41BB8">
      <w:pPr>
        <w:pStyle w:val="Heading1"/>
        <w:rPr>
          <w:rFonts w:cs="Arial"/>
        </w:rPr>
      </w:pPr>
      <w:bookmarkStart w:id="0" w:name="_Toc216007198"/>
      <w:r w:rsidRPr="003313B0">
        <w:rPr>
          <w:rFonts w:cs="Arial"/>
        </w:rPr>
        <w:lastRenderedPageBreak/>
        <w:t>Introduction</w:t>
      </w:r>
      <w:bookmarkEnd w:id="0"/>
    </w:p>
    <w:p w14:paraId="01D28359" w14:textId="7C20D325" w:rsidR="003B078B" w:rsidRPr="003313B0" w:rsidRDefault="00CE5B11" w:rsidP="00F41BB8">
      <w:r w:rsidRPr="003313B0">
        <w:t xml:space="preserve">Good communication, proper administrative </w:t>
      </w:r>
      <w:r w:rsidR="009650D9" w:rsidRPr="003313B0">
        <w:t>practice</w:t>
      </w:r>
      <w:r w:rsidRPr="003313B0">
        <w:t xml:space="preserve"> and good multi-agency working are the main pillars of providing safe, legal and person-focused care during the health and social care provision. In this report, these three areas are reviewed based on the case of Mrs Mann, who is a 72-year-old woman and who has just come out of a hospital after having her hip replaced. Mrs Mann is not much into English and will have to depend on her daughter to translate. Her GP, physiotherapist and care workers are a few of the professionals involved in her current care. There have been concerns with regards to ineffective communication and erratic documentation that </w:t>
      </w:r>
      <w:r w:rsidR="009650D9" w:rsidRPr="003313B0">
        <w:t>result</w:t>
      </w:r>
      <w:r w:rsidRPr="003313B0">
        <w:t xml:space="preserve"> in delayed alterations of medication. The report will critically comment on the value of effective communication, the role of good administrative </w:t>
      </w:r>
      <w:r w:rsidR="009650D9" w:rsidRPr="003313B0">
        <w:t>practice</w:t>
      </w:r>
      <w:r w:rsidRPr="003313B0">
        <w:t xml:space="preserve"> in </w:t>
      </w:r>
      <w:r w:rsidR="009650D9" w:rsidRPr="003313B0">
        <w:t>connection</w:t>
      </w:r>
      <w:r w:rsidRPr="003313B0">
        <w:t xml:space="preserve"> to the issue of data protection, and the role of inter-professional collaboration to support the recovery and </w:t>
      </w:r>
      <w:r w:rsidR="009650D9" w:rsidRPr="003313B0">
        <w:t>well-being</w:t>
      </w:r>
      <w:r w:rsidRPr="003313B0">
        <w:t xml:space="preserve"> of Mrs Mann.</w:t>
      </w:r>
    </w:p>
    <w:p w14:paraId="0405ADA0" w14:textId="442C20D5" w:rsidR="003B078B" w:rsidRPr="003313B0" w:rsidRDefault="003B078B" w:rsidP="00F41BB8">
      <w:pPr>
        <w:pStyle w:val="Heading1"/>
        <w:rPr>
          <w:rFonts w:cs="Arial"/>
        </w:rPr>
      </w:pPr>
      <w:bookmarkStart w:id="1" w:name="_Toc216007199"/>
      <w:r w:rsidRPr="003313B0">
        <w:rPr>
          <w:rFonts w:cs="Arial"/>
        </w:rPr>
        <w:t>Effective Communication in Mrs Mann’s Care</w:t>
      </w:r>
      <w:bookmarkEnd w:id="1"/>
    </w:p>
    <w:p w14:paraId="42D00FF2" w14:textId="13B297B4" w:rsidR="00CE5B11" w:rsidRPr="003313B0" w:rsidRDefault="00CE5B11" w:rsidP="00F41BB8">
      <w:r w:rsidRPr="003313B0">
        <w:t xml:space="preserve">Quality, person-centred health and social care is focused on effective communication. It helps the professionals to get insights into the needs of the service users, which </w:t>
      </w:r>
      <w:r w:rsidR="009650D9" w:rsidRPr="003313B0">
        <w:t>allows</w:t>
      </w:r>
      <w:r w:rsidRPr="003313B0">
        <w:t xml:space="preserve"> them to enhance dignity and deliver safe and suitable care. Communication also plays a crucial role in the case of Mrs Mann because she speaks very limited English and she has to depend on her daughter to translate English into </w:t>
      </w:r>
      <w:r w:rsidR="009650D9" w:rsidRPr="003313B0">
        <w:t xml:space="preserve">the </w:t>
      </w:r>
      <w:r w:rsidRPr="003313B0">
        <w:t>local language. This presents not only moral but also practical dilemmas to the professionals.</w:t>
      </w:r>
    </w:p>
    <w:p w14:paraId="43008297" w14:textId="62887D04" w:rsidR="00CE5B11" w:rsidRPr="003313B0" w:rsidRDefault="00CE5B11" w:rsidP="00F41BB8">
      <w:r w:rsidRPr="003313B0">
        <w:t>Equality Act 2010 imposes a legal responsibility on care providers to make sure that people are not treated against based on the covered characteristics, such as age, disability and race</w:t>
      </w:r>
      <w:r w:rsidR="00E85A59" w:rsidRPr="003313B0">
        <w:t xml:space="preserve"> (GOV.UK, 20</w:t>
      </w:r>
      <w:r w:rsidR="00FE55CD" w:rsidRPr="003313B0">
        <w:t>2</w:t>
      </w:r>
      <w:r w:rsidR="00E85A59" w:rsidRPr="003313B0">
        <w:t>5)</w:t>
      </w:r>
      <w:r w:rsidRPr="003313B0">
        <w:t xml:space="preserve">. This duty can be applied to language barriers due to the concept of reasonable adjustments. The professionals in question are not to be dependent on the family members as the sole interpreting types, and they should request professional interpreting to help Mrs Mann unveil all the details of her care, medication and rehabilitation schedule. When the family is counted solely, it is likely to create a risk of misinterpretation, failure to honour </w:t>
      </w:r>
      <w:r w:rsidR="009650D9" w:rsidRPr="003313B0">
        <w:t xml:space="preserve">the </w:t>
      </w:r>
      <w:r w:rsidRPr="003313B0">
        <w:t>confidentiality and autonomy of patients.</w:t>
      </w:r>
    </w:p>
    <w:p w14:paraId="059EC63B" w14:textId="3F5081A5" w:rsidR="00CE5B11" w:rsidRPr="003313B0" w:rsidRDefault="00CE5B11" w:rsidP="00F41BB8">
      <w:r w:rsidRPr="003313B0">
        <w:t xml:space="preserve">Clarity, empathy, active listening, confidentiality, and cultural sensitivity are the main principles to follow </w:t>
      </w:r>
      <w:r w:rsidR="009650D9" w:rsidRPr="003313B0">
        <w:t>to</w:t>
      </w:r>
      <w:r w:rsidRPr="003313B0">
        <w:t xml:space="preserve"> communicate effectively in this context</w:t>
      </w:r>
      <w:r w:rsidR="006E2929" w:rsidRPr="003313B0">
        <w:t xml:space="preserve"> (Soid </w:t>
      </w:r>
      <w:r w:rsidR="007527CC" w:rsidRPr="003313B0">
        <w:rPr>
          <w:i/>
          <w:iCs/>
        </w:rPr>
        <w:t>et al.,</w:t>
      </w:r>
      <w:r w:rsidR="006E2929" w:rsidRPr="003313B0">
        <w:t xml:space="preserve"> 2025)</w:t>
      </w:r>
      <w:r w:rsidRPr="003313B0">
        <w:t xml:space="preserve">. The care workers and different clinicians are advised to use straightforward language, shun medical terms and </w:t>
      </w:r>
      <w:r w:rsidR="009650D9" w:rsidRPr="003313B0">
        <w:t>ensure</w:t>
      </w:r>
      <w:r w:rsidRPr="003313B0">
        <w:t xml:space="preserve"> understanding by methods like teach-back</w:t>
      </w:r>
      <w:r w:rsidR="009650D9" w:rsidRPr="003313B0">
        <w:t>,</w:t>
      </w:r>
      <w:r w:rsidRPr="003313B0">
        <w:t xml:space="preserve"> where Mrs Mann will restate the information in her </w:t>
      </w:r>
      <w:r w:rsidR="009650D9" w:rsidRPr="003313B0">
        <w:t>own words</w:t>
      </w:r>
      <w:r w:rsidRPr="003313B0">
        <w:t>. The meaning could also be supported by visual means and translated written materials.</w:t>
      </w:r>
    </w:p>
    <w:p w14:paraId="37278413" w14:textId="79AEEA9A" w:rsidR="00CE5B11" w:rsidRPr="003313B0" w:rsidRDefault="009650D9" w:rsidP="00F41BB8">
      <w:r w:rsidRPr="003313B0">
        <w:lastRenderedPageBreak/>
        <w:t>Physiotherapists</w:t>
      </w:r>
      <w:r w:rsidR="00CE5B11" w:rsidRPr="003313B0">
        <w:t xml:space="preserve"> and care workers need to make accurate records and effective </w:t>
      </w:r>
      <w:r w:rsidR="00B7035D" w:rsidRPr="003313B0">
        <w:t>transitions</w:t>
      </w:r>
      <w:r w:rsidR="00CE5B11" w:rsidRPr="003313B0">
        <w:t xml:space="preserve"> between the GP and physiotherapist and care worker to facilitate communication among the care team</w:t>
      </w:r>
      <w:r w:rsidR="005A04AA" w:rsidRPr="003313B0">
        <w:t xml:space="preserve"> (Sheehan </w:t>
      </w:r>
      <w:r w:rsidR="007527CC" w:rsidRPr="003313B0">
        <w:rPr>
          <w:i/>
          <w:iCs/>
        </w:rPr>
        <w:t>et al.,</w:t>
      </w:r>
      <w:r w:rsidR="005A04AA" w:rsidRPr="003313B0">
        <w:t xml:space="preserve"> 2021)</w:t>
      </w:r>
      <w:r w:rsidR="00CE5B11" w:rsidRPr="003313B0">
        <w:t>. The case also brings in the issues about irregular documentation, which is a direct contradiction of continuity of care and patient safety. Ineffectiveness in professional communication may also result in medical confusion and wasted labour</w:t>
      </w:r>
      <w:r w:rsidRPr="003313B0">
        <w:t>,</w:t>
      </w:r>
      <w:r w:rsidR="00CE5B11" w:rsidRPr="003313B0">
        <w:t xml:space="preserve"> similar to the case in </w:t>
      </w:r>
      <w:r w:rsidRPr="003313B0">
        <w:t xml:space="preserve">the </w:t>
      </w:r>
      <w:r w:rsidR="00CE5B11" w:rsidRPr="003313B0">
        <w:t>late medication change that Mrs Mann had.</w:t>
      </w:r>
    </w:p>
    <w:p w14:paraId="7A40D427" w14:textId="7D5B6D2F" w:rsidR="003B078B" w:rsidRPr="003313B0" w:rsidRDefault="009650D9" w:rsidP="00F41BB8">
      <w:r w:rsidRPr="003313B0">
        <w:t>Person-centred</w:t>
      </w:r>
      <w:r w:rsidR="00CE5B11" w:rsidRPr="003313B0">
        <w:t xml:space="preserve"> care implies that the preferences of Mrs Mann, dignity and independence should be acknowledged. Effective communication would make sure that she is an active person in making decisions concerning her care</w:t>
      </w:r>
      <w:r w:rsidRPr="003313B0">
        <w:t>,</w:t>
      </w:r>
      <w:r w:rsidR="00CE5B11" w:rsidRPr="003313B0">
        <w:t xml:space="preserve"> as opposed to being sidelined either due to language or age</w:t>
      </w:r>
      <w:r w:rsidR="00364417" w:rsidRPr="003313B0">
        <w:t xml:space="preserve"> (L </w:t>
      </w:r>
      <w:r w:rsidR="007527CC" w:rsidRPr="003313B0">
        <w:rPr>
          <w:i/>
          <w:iCs/>
        </w:rPr>
        <w:t>et al.,</w:t>
      </w:r>
      <w:r w:rsidR="00364417" w:rsidRPr="003313B0">
        <w:t xml:space="preserve"> 2025)</w:t>
      </w:r>
      <w:r w:rsidR="00CE5B11" w:rsidRPr="003313B0">
        <w:t>. The universal principle of caring and inclusive communication is not a possibility according to professional standards like those established by the Care Quality Commission (CQC) and the NHS, but also a fundamental professional requirement. Through the case of Mrs Mann, it is impossible to offer proper communication support at the expense of professional conduct and legal regulations</w:t>
      </w:r>
      <w:r w:rsidRPr="003313B0">
        <w:t>,</w:t>
      </w:r>
      <w:r w:rsidR="00CE5B11" w:rsidRPr="003313B0">
        <w:t xml:space="preserve"> along with undermining her healing process and her confidence in services.</w:t>
      </w:r>
    </w:p>
    <w:p w14:paraId="2417E477" w14:textId="3CCBED1F" w:rsidR="003B078B" w:rsidRPr="003313B0" w:rsidRDefault="003B078B" w:rsidP="00F41BB8">
      <w:pPr>
        <w:pStyle w:val="Heading1"/>
        <w:rPr>
          <w:rFonts w:cs="Arial"/>
        </w:rPr>
      </w:pPr>
      <w:bookmarkStart w:id="2" w:name="_Toc216007200"/>
      <w:r w:rsidRPr="003313B0">
        <w:rPr>
          <w:rFonts w:cs="Arial"/>
        </w:rPr>
        <w:t>Importance of Good Administrative Skills and Data Protection</w:t>
      </w:r>
      <w:bookmarkEnd w:id="2"/>
    </w:p>
    <w:p w14:paraId="76160078" w14:textId="26E1D08B" w:rsidR="00AF7B04" w:rsidRPr="003313B0" w:rsidRDefault="00AF7B04" w:rsidP="00F41BB8">
      <w:r w:rsidRPr="003313B0">
        <w:t xml:space="preserve">Effective and safe health and social care </w:t>
      </w:r>
      <w:proofErr w:type="gramStart"/>
      <w:r w:rsidR="00821BD4" w:rsidRPr="003313B0">
        <w:t>includes</w:t>
      </w:r>
      <w:proofErr w:type="gramEnd"/>
      <w:r w:rsidRPr="003313B0">
        <w:t xml:space="preserve"> good administrative </w:t>
      </w:r>
      <w:r w:rsidR="009650D9" w:rsidRPr="003313B0">
        <w:t>practice</w:t>
      </w:r>
      <w:r w:rsidRPr="003313B0">
        <w:t xml:space="preserve">. Precise, up-to-date, and legitimate record-keeping upholds continuity of care, assists in clinical decision-making as well </w:t>
      </w:r>
      <w:r w:rsidR="009650D9" w:rsidRPr="003313B0">
        <w:t>and</w:t>
      </w:r>
      <w:r w:rsidRPr="003313B0">
        <w:t xml:space="preserve"> </w:t>
      </w:r>
      <w:r w:rsidR="009650D9" w:rsidRPr="003313B0">
        <w:t>protects</w:t>
      </w:r>
      <w:r w:rsidRPr="003313B0">
        <w:t xml:space="preserve"> the rights of service users</w:t>
      </w:r>
      <w:r w:rsidR="00821BD4" w:rsidRPr="003313B0">
        <w:t xml:space="preserve"> (</w:t>
      </w:r>
      <w:proofErr w:type="spellStart"/>
      <w:r w:rsidR="00821BD4" w:rsidRPr="003313B0">
        <w:t>Demsash</w:t>
      </w:r>
      <w:proofErr w:type="spellEnd"/>
      <w:r w:rsidR="00821BD4" w:rsidRPr="003313B0">
        <w:t xml:space="preserve"> </w:t>
      </w:r>
      <w:r w:rsidR="007527CC" w:rsidRPr="003313B0">
        <w:rPr>
          <w:i/>
          <w:iCs/>
        </w:rPr>
        <w:t>et al.,</w:t>
      </w:r>
      <w:r w:rsidR="00821BD4" w:rsidRPr="003313B0">
        <w:t xml:space="preserve"> 2023)</w:t>
      </w:r>
      <w:r w:rsidRPr="003313B0">
        <w:t>. In the case of Mrs Mann, there were issues related to weak administrative systems through the inconsistency of documentation.</w:t>
      </w:r>
    </w:p>
    <w:p w14:paraId="451D0384" w14:textId="54821783" w:rsidR="00AF7B04" w:rsidRPr="003313B0" w:rsidRDefault="00AF7B04" w:rsidP="00F41BB8">
      <w:r w:rsidRPr="003313B0">
        <w:t xml:space="preserve">According to the Data Protection Act 2018 and UK General Data Protection Regulation (UK GDPR), personal health information shall be processed in a way that is </w:t>
      </w:r>
      <w:r w:rsidR="009650D9" w:rsidRPr="003313B0">
        <w:t>legal</w:t>
      </w:r>
      <w:r w:rsidRPr="003313B0">
        <w:t xml:space="preserve">, fairly and </w:t>
      </w:r>
      <w:r w:rsidR="009650D9" w:rsidRPr="003313B0">
        <w:t>transparent</w:t>
      </w:r>
      <w:r w:rsidR="00A64693" w:rsidRPr="003313B0">
        <w:t xml:space="preserve"> (</w:t>
      </w:r>
      <w:proofErr w:type="spellStart"/>
      <w:r w:rsidR="00A64693" w:rsidRPr="003313B0">
        <w:t>Mourby</w:t>
      </w:r>
      <w:proofErr w:type="spellEnd"/>
      <w:r w:rsidR="00A64693" w:rsidRPr="003313B0">
        <w:t>, Cathaoir and Collin, 2021)</w:t>
      </w:r>
      <w:r w:rsidRPr="003313B0">
        <w:t>. The records should be current and correct</w:t>
      </w:r>
      <w:r w:rsidR="009650D9" w:rsidRPr="003313B0">
        <w:t>,</w:t>
      </w:r>
      <w:r w:rsidRPr="003313B0">
        <w:t xml:space="preserve"> with access by only the authorised personnel. The absence of records or incomplete records is not only a violation of professional standards, but can also be a legal violation. In the case of Mrs Mann, poorly documented records were a source of late medication modification, which may jeopardise her recovery time and safety.</w:t>
      </w:r>
    </w:p>
    <w:p w14:paraId="051CA59D" w14:textId="3D57BBDB" w:rsidR="00AF7B04" w:rsidRPr="003313B0" w:rsidRDefault="00AF7B04" w:rsidP="00F41BB8">
      <w:r w:rsidRPr="003313B0">
        <w:t>Good administration makes sure that everyone involved, including the GPs, physiotherapists</w:t>
      </w:r>
      <w:r w:rsidR="009650D9" w:rsidRPr="003313B0">
        <w:t>,</w:t>
      </w:r>
      <w:r w:rsidRPr="003313B0">
        <w:t xml:space="preserve"> as well as workers taking care of them, can access the right and </w:t>
      </w:r>
      <w:r w:rsidR="009650D9" w:rsidRPr="003313B0">
        <w:t>up-to-date</w:t>
      </w:r>
      <w:r w:rsidRPr="003313B0">
        <w:t xml:space="preserve"> information</w:t>
      </w:r>
      <w:r w:rsidR="004B6D4A" w:rsidRPr="003313B0">
        <w:t xml:space="preserve"> (Champoux, Poirier and Hudon, 2025)</w:t>
      </w:r>
      <w:r w:rsidRPr="003313B0">
        <w:t>. This involves drug prescriptions, assessment of mobility, pain management plan and protection considerations. When documentation is inadequately kept</w:t>
      </w:r>
      <w:r w:rsidR="009650D9" w:rsidRPr="003313B0">
        <w:t>,</w:t>
      </w:r>
      <w:r w:rsidRPr="003313B0">
        <w:t xml:space="preserve"> the possibility of medication errors, absent appointments and incorrect intervention measures </w:t>
      </w:r>
      <w:r w:rsidR="009650D9" w:rsidRPr="003313B0">
        <w:t>becomes</w:t>
      </w:r>
      <w:r w:rsidRPr="003313B0">
        <w:t xml:space="preserve"> </w:t>
      </w:r>
      <w:r w:rsidR="009650D9" w:rsidRPr="003313B0">
        <w:t>substantially</w:t>
      </w:r>
      <w:r w:rsidRPr="003313B0">
        <w:t xml:space="preserve"> high.</w:t>
      </w:r>
    </w:p>
    <w:p w14:paraId="370A3687" w14:textId="2AB36A9D" w:rsidR="00AF7B04" w:rsidRPr="003313B0" w:rsidRDefault="00AF7B04" w:rsidP="00F41BB8">
      <w:r w:rsidRPr="003313B0">
        <w:lastRenderedPageBreak/>
        <w:t xml:space="preserve">Another important legal and ethical requirement is confidentiality. The sharing of personal and medical information of Mrs Mann should be done only on </w:t>
      </w:r>
      <w:r w:rsidR="009650D9" w:rsidRPr="003313B0">
        <w:t>a</w:t>
      </w:r>
      <w:r w:rsidRPr="003313B0">
        <w:t xml:space="preserve"> need-to-know basis. Even though the ability of multi-agencies to collaborate demands information exchange, this should be within legal systems. Whenever possible, consent must be given</w:t>
      </w:r>
      <w:r w:rsidR="009650D9" w:rsidRPr="003313B0">
        <w:t>,</w:t>
      </w:r>
      <w:r w:rsidRPr="003313B0">
        <w:t xml:space="preserve"> and the information must be divulged with the aim of fostering her health, safety and wellbeing.</w:t>
      </w:r>
    </w:p>
    <w:p w14:paraId="1DDA9F41" w14:textId="7FC4AD84" w:rsidR="00AF7B04" w:rsidRPr="003313B0" w:rsidRDefault="00AF7B04" w:rsidP="00F41BB8">
      <w:r w:rsidRPr="003313B0">
        <w:t xml:space="preserve">Unhealthy administrative culture may also make organisations vulnerable to litigation, loss of reputation and administrative fines. Professionally, care workers and healthcare staff have a duty of care </w:t>
      </w:r>
      <w:r w:rsidR="009650D9" w:rsidRPr="003313B0">
        <w:t>to</w:t>
      </w:r>
      <w:r w:rsidRPr="003313B0">
        <w:t xml:space="preserve"> </w:t>
      </w:r>
      <w:r w:rsidR="009650D9" w:rsidRPr="003313B0">
        <w:t>maintain</w:t>
      </w:r>
      <w:r w:rsidRPr="003313B0">
        <w:t xml:space="preserve"> proper records and </w:t>
      </w:r>
      <w:r w:rsidR="009650D9" w:rsidRPr="003313B0">
        <w:t>adhere</w:t>
      </w:r>
      <w:r w:rsidRPr="003313B0">
        <w:t xml:space="preserve"> to organisational policies</w:t>
      </w:r>
      <w:r w:rsidR="00A301B5" w:rsidRPr="003313B0">
        <w:t xml:space="preserve"> (McDiarmid, Condon and Gaitens, 2021)</w:t>
      </w:r>
      <w:r w:rsidRPr="003313B0">
        <w:t>. The issue of administrative competence thus contributes directly</w:t>
      </w:r>
      <w:r w:rsidR="00CD6826" w:rsidRPr="003313B0">
        <w:t xml:space="preserve"> or </w:t>
      </w:r>
      <w:r w:rsidRPr="003313B0">
        <w:t>directly to the protection, accountability and quality assurance in health and social care services.</w:t>
      </w:r>
    </w:p>
    <w:p w14:paraId="3918460D" w14:textId="76D39D0F" w:rsidR="003B078B" w:rsidRPr="003313B0" w:rsidRDefault="00AF7B04" w:rsidP="00F41BB8">
      <w:r w:rsidRPr="003313B0">
        <w:t xml:space="preserve">In the case of Mrs Mann, the solution to enhancing administrative systems would be to have the records of the health services tested regularly, the staff should be educated about documentation standards and provide clear guidelines on how to update the care plan after revising or altering medication. Quality administrative </w:t>
      </w:r>
      <w:r w:rsidR="009650D9" w:rsidRPr="003313B0">
        <w:t>practice</w:t>
      </w:r>
      <w:r w:rsidRPr="003313B0">
        <w:t xml:space="preserve"> would not only minimise the chances of </w:t>
      </w:r>
      <w:r w:rsidR="009650D9" w:rsidRPr="003313B0">
        <w:t>mistakes</w:t>
      </w:r>
      <w:r w:rsidRPr="003313B0">
        <w:t xml:space="preserve"> in the </w:t>
      </w:r>
      <w:r w:rsidR="009650D9" w:rsidRPr="003313B0">
        <w:t>first place</w:t>
      </w:r>
      <w:r w:rsidRPr="003313B0">
        <w:t>, but would facilitate safe, coordinated and legally conscionable care as well</w:t>
      </w:r>
      <w:r w:rsidR="00BF72DC" w:rsidRPr="003313B0">
        <w:t xml:space="preserve"> (Enright, 2021)</w:t>
      </w:r>
      <w:r w:rsidRPr="003313B0">
        <w:t>.</w:t>
      </w:r>
    </w:p>
    <w:p w14:paraId="73442355" w14:textId="246AA57E" w:rsidR="003B078B" w:rsidRPr="003313B0" w:rsidRDefault="003B078B" w:rsidP="00F41BB8">
      <w:pPr>
        <w:pStyle w:val="Heading1"/>
        <w:rPr>
          <w:rFonts w:cs="Arial"/>
        </w:rPr>
      </w:pPr>
      <w:bookmarkStart w:id="3" w:name="_Toc216007201"/>
      <w:r w:rsidRPr="003313B0">
        <w:rPr>
          <w:rFonts w:cs="Arial"/>
        </w:rPr>
        <w:t>The Importance of Multi-Agency Working in Mrs Mann’s Care</w:t>
      </w:r>
      <w:bookmarkEnd w:id="3"/>
    </w:p>
    <w:p w14:paraId="1125B25D" w14:textId="643AAD4C" w:rsidR="00AF7B04" w:rsidRPr="003313B0" w:rsidRDefault="00AF7B04" w:rsidP="00F41BB8">
      <w:r w:rsidRPr="003313B0">
        <w:t xml:space="preserve">Multi-agency working describes the cooperation between people with various professions to provide effective and combined care. The recovery of Mrs Mann requires the interagency </w:t>
      </w:r>
      <w:r w:rsidR="00B7035D" w:rsidRPr="003313B0">
        <w:t>cooperation</w:t>
      </w:r>
      <w:r w:rsidRPr="003313B0">
        <w:t xml:space="preserve"> between her GP, physiotherapist and community care workers. Every professional brings her unique knowledge, and without proper cooperation, her </w:t>
      </w:r>
      <w:r w:rsidR="009650D9" w:rsidRPr="003313B0">
        <w:t>practice</w:t>
      </w:r>
      <w:r w:rsidRPr="003313B0">
        <w:t xml:space="preserve"> will be disjointed and unsafe.</w:t>
      </w:r>
    </w:p>
    <w:p w14:paraId="6E385D4B" w14:textId="62376FBC" w:rsidR="00AF7B04" w:rsidRPr="003313B0" w:rsidRDefault="00AF7B04" w:rsidP="00F41BB8">
      <w:r w:rsidRPr="003313B0">
        <w:t xml:space="preserve">The GP is at the centre of prescribing and adjusting the medicine, checking the general health and </w:t>
      </w:r>
      <w:r w:rsidR="009650D9" w:rsidRPr="003313B0">
        <w:t>following up on</w:t>
      </w:r>
      <w:r w:rsidRPr="003313B0">
        <w:t xml:space="preserve"> the possibility of complications after the surgery</w:t>
      </w:r>
      <w:r w:rsidR="00485998" w:rsidRPr="003313B0">
        <w:t xml:space="preserve"> (Notari </w:t>
      </w:r>
      <w:r w:rsidR="007527CC" w:rsidRPr="003313B0">
        <w:rPr>
          <w:i/>
          <w:iCs/>
        </w:rPr>
        <w:t>et al.,</w:t>
      </w:r>
      <w:r w:rsidR="00485998" w:rsidRPr="003313B0">
        <w:t xml:space="preserve"> 2021)</w:t>
      </w:r>
      <w:r w:rsidRPr="003313B0">
        <w:t xml:space="preserve">. The physiotherapist facilitates mobility, pain management and rehabilitation and the care workers in the </w:t>
      </w:r>
      <w:r w:rsidR="009650D9" w:rsidRPr="003313B0">
        <w:t>day-to-day</w:t>
      </w:r>
      <w:r w:rsidRPr="003313B0">
        <w:t xml:space="preserve"> living activities</w:t>
      </w:r>
      <w:r w:rsidR="009650D9" w:rsidRPr="003313B0">
        <w:t>,</w:t>
      </w:r>
      <w:r w:rsidRPr="003313B0">
        <w:t xml:space="preserve"> as well as observing the change concerning Mrs Mann. Teamwork </w:t>
      </w:r>
      <w:r w:rsidR="009650D9" w:rsidRPr="003313B0">
        <w:t>ensures</w:t>
      </w:r>
      <w:r w:rsidRPr="003313B0">
        <w:t xml:space="preserve"> that all specialists will be working towards the common aims according to individual needs of Mrs Mann.</w:t>
      </w:r>
    </w:p>
    <w:p w14:paraId="035FF957" w14:textId="6CF732A2" w:rsidR="00AF7B04" w:rsidRPr="003313B0" w:rsidRDefault="00AF7B04" w:rsidP="00F41BB8">
      <w:r w:rsidRPr="003313B0">
        <w:t xml:space="preserve">Nevertheless, </w:t>
      </w:r>
      <w:r w:rsidR="009650D9" w:rsidRPr="003313B0">
        <w:t>several</w:t>
      </w:r>
      <w:r w:rsidRPr="003313B0">
        <w:t xml:space="preserve"> impediments to multi-agency working </w:t>
      </w:r>
      <w:r w:rsidR="009650D9" w:rsidRPr="003313B0">
        <w:t>are</w:t>
      </w:r>
      <w:r w:rsidRPr="003313B0">
        <w:t xml:space="preserve"> apparent in this case. Lack of well-developed communication systems, professional boundaries, and inconsistent documentation and communication have </w:t>
      </w:r>
      <w:r w:rsidR="009650D9" w:rsidRPr="003313B0">
        <w:t>compromised</w:t>
      </w:r>
      <w:r w:rsidRPr="003313B0">
        <w:t xml:space="preserve"> well-organised care</w:t>
      </w:r>
      <w:r w:rsidR="00CE07C9" w:rsidRPr="003313B0">
        <w:t xml:space="preserve"> (</w:t>
      </w:r>
      <w:proofErr w:type="spellStart"/>
      <w:r w:rsidR="00CE07C9" w:rsidRPr="003313B0">
        <w:t>Atinga</w:t>
      </w:r>
      <w:proofErr w:type="spellEnd"/>
      <w:r w:rsidR="00CE07C9" w:rsidRPr="003313B0">
        <w:t xml:space="preserve"> </w:t>
      </w:r>
      <w:r w:rsidR="007527CC" w:rsidRPr="003313B0">
        <w:rPr>
          <w:i/>
          <w:iCs/>
        </w:rPr>
        <w:t>et al.,</w:t>
      </w:r>
      <w:r w:rsidR="00CE07C9" w:rsidRPr="003313B0">
        <w:t xml:space="preserve"> </w:t>
      </w:r>
      <w:r w:rsidR="00CE07C9" w:rsidRPr="003313B0">
        <w:lastRenderedPageBreak/>
        <w:t>2024)</w:t>
      </w:r>
      <w:r w:rsidRPr="003313B0">
        <w:t xml:space="preserve">. Such failures helped in slow medication adaptation and confusion </w:t>
      </w:r>
      <w:r w:rsidR="009650D9" w:rsidRPr="003313B0">
        <w:t>about</w:t>
      </w:r>
      <w:r w:rsidRPr="003313B0">
        <w:t xml:space="preserve"> the progress of recovery of Mrs Mann.</w:t>
      </w:r>
    </w:p>
    <w:p w14:paraId="13ED3216" w14:textId="58C2BED5" w:rsidR="00AF7B04" w:rsidRPr="003313B0" w:rsidRDefault="009650D9" w:rsidP="00F41BB8">
      <w:r w:rsidRPr="003313B0">
        <w:t>A structured</w:t>
      </w:r>
      <w:r w:rsidR="00AF7B04" w:rsidRPr="003313B0">
        <w:t xml:space="preserve"> communication framework to enhance collaborative working, including multidisciplinary meetings on a regular basis, </w:t>
      </w:r>
      <w:r w:rsidRPr="003313B0">
        <w:t xml:space="preserve">a </w:t>
      </w:r>
      <w:r w:rsidR="00AF7B04" w:rsidRPr="003313B0">
        <w:t xml:space="preserve">common electronic health record and standardised referral pathways, </w:t>
      </w:r>
      <w:r w:rsidRPr="003313B0">
        <w:t>needs</w:t>
      </w:r>
      <w:r w:rsidR="00AF7B04" w:rsidRPr="003313B0">
        <w:t xml:space="preserve"> to be adopted</w:t>
      </w:r>
      <w:r w:rsidR="007527CC" w:rsidRPr="003313B0">
        <w:t xml:space="preserve"> (Ebbers </w:t>
      </w:r>
      <w:r w:rsidR="007527CC" w:rsidRPr="003313B0">
        <w:rPr>
          <w:i/>
          <w:iCs/>
        </w:rPr>
        <w:t>et al.,</w:t>
      </w:r>
      <w:r w:rsidR="007527CC" w:rsidRPr="003313B0">
        <w:t xml:space="preserve"> 2024)</w:t>
      </w:r>
      <w:r w:rsidR="00AF7B04" w:rsidRPr="003313B0">
        <w:t>. By explaining professional jobs and functions, duplication is minimised</w:t>
      </w:r>
      <w:r w:rsidRPr="003313B0">
        <w:t>,</w:t>
      </w:r>
      <w:r w:rsidR="00AF7B04" w:rsidRPr="003313B0">
        <w:t xml:space="preserve"> and conflict is also avoided. Effective teamwork also requires mutual respect, professional trust and collective accountability.</w:t>
      </w:r>
    </w:p>
    <w:p w14:paraId="7EC1106C" w14:textId="18DDD9C6" w:rsidR="003B078B" w:rsidRPr="003313B0" w:rsidRDefault="00AF7B04" w:rsidP="00F41BB8">
      <w:r w:rsidRPr="003313B0">
        <w:t xml:space="preserve">Excellent multi-agency working enhances </w:t>
      </w:r>
      <w:r w:rsidR="009650D9" w:rsidRPr="003313B0">
        <w:t xml:space="preserve">the </w:t>
      </w:r>
      <w:r w:rsidRPr="003313B0">
        <w:t xml:space="preserve">integrity of care by ensuring that the needs will be met physically, emotionally and socially. In the case of Mrs Mann, this is not only </w:t>
      </w:r>
      <w:r w:rsidR="009650D9" w:rsidRPr="003313B0">
        <w:t xml:space="preserve">the </w:t>
      </w:r>
      <w:r w:rsidRPr="003313B0">
        <w:t>physical effects of the surgery but also emotional comfort, self-reliance and pride. Patient safety increases, services become more efficient</w:t>
      </w:r>
      <w:r w:rsidR="009650D9" w:rsidRPr="003313B0">
        <w:t>,</w:t>
      </w:r>
      <w:r w:rsidRPr="003313B0">
        <w:t xml:space="preserve"> and care outcomes derive much improvement when professionals cooperate.</w:t>
      </w:r>
    </w:p>
    <w:p w14:paraId="4FA0050E" w14:textId="178730E7" w:rsidR="003B078B" w:rsidRPr="003313B0" w:rsidRDefault="003B078B" w:rsidP="00F41BB8">
      <w:pPr>
        <w:pStyle w:val="Heading1"/>
        <w:rPr>
          <w:rFonts w:cs="Arial"/>
        </w:rPr>
      </w:pPr>
      <w:bookmarkStart w:id="4" w:name="_Toc216007202"/>
      <w:r w:rsidRPr="003313B0">
        <w:rPr>
          <w:rFonts w:cs="Arial"/>
        </w:rPr>
        <w:t>Conclusion</w:t>
      </w:r>
      <w:bookmarkEnd w:id="4"/>
    </w:p>
    <w:p w14:paraId="182B2485" w14:textId="6DEBF702" w:rsidR="009650D9" w:rsidRPr="003313B0" w:rsidRDefault="009650D9" w:rsidP="00F41BB8">
      <w:r w:rsidRPr="003313B0">
        <w:t>The report has indicated effectively the administrative practice and the high quality and multi-agency working as important elements of safe, lawful and person-centred health and social care. Language barriers, poor inter-professional communication, and inconsistent documentation were a threat to the recovery and well-being of Mrs Mann in her case. The legal responsibility of ensuring the accessibility of communication is highlighted by the Equality Act 2010, whereas the Data Protection Act of 2018 emphasises the necessity of proper and legalised record-keeping. Moreover, there should be persistent working among agencies to maintain continuity of care between professionals. Building up on these three main areas would go a long way in enhancing the life of Mrs Mann, making her independent and securing her safety. Finally, communication, administration and collaboration standards are also high prerequisites to providing quality health and social care.</w:t>
      </w:r>
    </w:p>
    <w:p w14:paraId="107003F6" w14:textId="77777777" w:rsidR="009650D9" w:rsidRPr="003313B0" w:rsidRDefault="009650D9" w:rsidP="00F41BB8">
      <w:r w:rsidRPr="003313B0">
        <w:br w:type="page"/>
      </w:r>
    </w:p>
    <w:p w14:paraId="048E9B64" w14:textId="7383A114" w:rsidR="00526BDA" w:rsidRPr="003313B0" w:rsidRDefault="009650D9" w:rsidP="00F41BB8">
      <w:pPr>
        <w:pStyle w:val="Heading1"/>
        <w:rPr>
          <w:rFonts w:cs="Arial"/>
        </w:rPr>
      </w:pPr>
      <w:bookmarkStart w:id="5" w:name="_Toc216007203"/>
      <w:r w:rsidRPr="003313B0">
        <w:rPr>
          <w:rFonts w:cs="Arial"/>
        </w:rPr>
        <w:lastRenderedPageBreak/>
        <w:t>References</w:t>
      </w:r>
      <w:bookmarkEnd w:id="5"/>
    </w:p>
    <w:p w14:paraId="028B0D8B" w14:textId="443DDF1F" w:rsidR="007527CC" w:rsidRPr="003313B0" w:rsidRDefault="007527CC" w:rsidP="00F41BB8">
      <w:proofErr w:type="spellStart"/>
      <w:r w:rsidRPr="003313B0">
        <w:t>Atinga</w:t>
      </w:r>
      <w:proofErr w:type="spellEnd"/>
      <w:r w:rsidRPr="003313B0">
        <w:t xml:space="preserve">, R.A., </w:t>
      </w:r>
      <w:proofErr w:type="spellStart"/>
      <w:r w:rsidRPr="003313B0">
        <w:t>Gmaligan</w:t>
      </w:r>
      <w:proofErr w:type="spellEnd"/>
      <w:r w:rsidRPr="003313B0">
        <w:t xml:space="preserve">, M.N., </w:t>
      </w:r>
      <w:proofErr w:type="spellStart"/>
      <w:r w:rsidRPr="003313B0">
        <w:t>Ayawine</w:t>
      </w:r>
      <w:proofErr w:type="spellEnd"/>
      <w:r w:rsidRPr="003313B0">
        <w:t xml:space="preserve">, A. and </w:t>
      </w:r>
      <w:proofErr w:type="spellStart"/>
      <w:r w:rsidRPr="003313B0">
        <w:t>Yambah</w:t>
      </w:r>
      <w:proofErr w:type="spellEnd"/>
      <w:r w:rsidRPr="003313B0">
        <w:t xml:space="preserve">, J.K. (2024) “‘It’s the patient that suffers from poor communication’: </w:t>
      </w:r>
      <w:r w:rsidR="00B7035D" w:rsidRPr="003313B0">
        <w:t>Analysing</w:t>
      </w:r>
      <w:r w:rsidRPr="003313B0">
        <w:t xml:space="preserve"> communication gaps and associated consequences in handover events from nurses’ experiences,” </w:t>
      </w:r>
      <w:r w:rsidRPr="003313B0">
        <w:rPr>
          <w:i/>
          <w:iCs/>
        </w:rPr>
        <w:t>SSM - Qualitative Research in Health</w:t>
      </w:r>
      <w:r w:rsidRPr="003313B0">
        <w:t xml:space="preserve">, 6, p. 100482. Available at: </w:t>
      </w:r>
      <w:hyperlink r:id="rId9" w:history="1">
        <w:r w:rsidRPr="003313B0">
          <w:rPr>
            <w:rStyle w:val="Hyperlink"/>
          </w:rPr>
          <w:t>https://doi.org/10.1016/j.ssmqr.2024.100482</w:t>
        </w:r>
      </w:hyperlink>
      <w:r w:rsidRPr="003313B0">
        <w:t xml:space="preserve">. </w:t>
      </w:r>
    </w:p>
    <w:p w14:paraId="2B9334AF" w14:textId="0D12B1E4" w:rsidR="007527CC" w:rsidRPr="003313B0" w:rsidRDefault="007527CC" w:rsidP="00F41BB8">
      <w:r w:rsidRPr="003313B0">
        <w:t xml:space="preserve">Champoux, M., Poirier, A. and Hudon, C. (2025) “Roles of physiotherapists in primary care teams: a scoping review,” </w:t>
      </w:r>
      <w:r w:rsidRPr="003313B0">
        <w:rPr>
          <w:i/>
          <w:iCs/>
        </w:rPr>
        <w:t>BMJ Open</w:t>
      </w:r>
      <w:r w:rsidRPr="003313B0">
        <w:t xml:space="preserve">, 15(2), p. e092276. Available at: </w:t>
      </w:r>
      <w:hyperlink r:id="rId10" w:history="1">
        <w:r w:rsidRPr="003313B0">
          <w:rPr>
            <w:rStyle w:val="Hyperlink"/>
          </w:rPr>
          <w:t>https://doi.org/10.1136/bmjopen-2024-092276</w:t>
        </w:r>
      </w:hyperlink>
      <w:r w:rsidRPr="003313B0">
        <w:t xml:space="preserve">. </w:t>
      </w:r>
    </w:p>
    <w:p w14:paraId="4958F757" w14:textId="486D5E20" w:rsidR="007527CC" w:rsidRPr="003313B0" w:rsidRDefault="007527CC" w:rsidP="00F41BB8">
      <w:proofErr w:type="spellStart"/>
      <w:r w:rsidRPr="003313B0">
        <w:t>Demsash</w:t>
      </w:r>
      <w:proofErr w:type="spellEnd"/>
      <w:r w:rsidRPr="003313B0">
        <w:t xml:space="preserve">, A.W., Kassie, S.Y., </w:t>
      </w:r>
      <w:proofErr w:type="spellStart"/>
      <w:r w:rsidRPr="003313B0">
        <w:t>Dubale</w:t>
      </w:r>
      <w:proofErr w:type="spellEnd"/>
      <w:r w:rsidRPr="003313B0">
        <w:t xml:space="preserve">, A.T., Chereka, A.A., </w:t>
      </w:r>
      <w:proofErr w:type="spellStart"/>
      <w:r w:rsidRPr="003313B0">
        <w:t>Ngusie</w:t>
      </w:r>
      <w:proofErr w:type="spellEnd"/>
      <w:r w:rsidRPr="003313B0">
        <w:t xml:space="preserve">, H.S., Hunde, M.K., Emanu, M.D., Shibabaw, A.A. and Walle, A.D. (2023) “Health professionals’ routine practice documentation and its associated factors in a resource-limited setting: a cross-sectional study,” </w:t>
      </w:r>
      <w:r w:rsidRPr="003313B0">
        <w:rPr>
          <w:i/>
          <w:iCs/>
        </w:rPr>
        <w:t>BMJ Health &amp; Care Informatics</w:t>
      </w:r>
      <w:r w:rsidRPr="003313B0">
        <w:t xml:space="preserve">, 30(1), p. e100699. Available at: </w:t>
      </w:r>
      <w:hyperlink r:id="rId11" w:history="1">
        <w:r w:rsidRPr="003313B0">
          <w:rPr>
            <w:rStyle w:val="Hyperlink"/>
          </w:rPr>
          <w:t>https://doi.org/10.1136/bmjhci-2022-100699</w:t>
        </w:r>
      </w:hyperlink>
      <w:r w:rsidRPr="003313B0">
        <w:t xml:space="preserve">. </w:t>
      </w:r>
    </w:p>
    <w:p w14:paraId="7515A64F" w14:textId="5B6461CF" w:rsidR="007527CC" w:rsidRPr="003313B0" w:rsidRDefault="007527CC" w:rsidP="00F41BB8">
      <w:r w:rsidRPr="003313B0">
        <w:t xml:space="preserve">Ebbers, T., Takes, R.P., </w:t>
      </w:r>
      <w:proofErr w:type="spellStart"/>
      <w:r w:rsidRPr="003313B0">
        <w:t>Smeele</w:t>
      </w:r>
      <w:proofErr w:type="spellEnd"/>
      <w:r w:rsidRPr="003313B0">
        <w:t xml:space="preserve">, L.E., Kool, R.B., Van Den Broek, G.B. and Dirven, R. (2024) “The implementation of a multidisciplinary, electronic health record embedded care pathway to improve structured data recording and decrease electronic health record burden,” </w:t>
      </w:r>
      <w:r w:rsidRPr="003313B0">
        <w:rPr>
          <w:i/>
          <w:iCs/>
        </w:rPr>
        <w:t>International Journal of Medical Informatics</w:t>
      </w:r>
      <w:r w:rsidRPr="003313B0">
        <w:t xml:space="preserve">, 184, p. 105344. Available at: </w:t>
      </w:r>
      <w:hyperlink r:id="rId12" w:history="1">
        <w:r w:rsidRPr="003313B0">
          <w:rPr>
            <w:rStyle w:val="Hyperlink"/>
          </w:rPr>
          <w:t>https://doi.org/10.1016/j.ijmedinf.2024.105344</w:t>
        </w:r>
      </w:hyperlink>
      <w:r w:rsidRPr="003313B0">
        <w:t xml:space="preserve">. </w:t>
      </w:r>
    </w:p>
    <w:p w14:paraId="5A9A1F81" w14:textId="0FE6F81A" w:rsidR="007527CC" w:rsidRPr="003313B0" w:rsidRDefault="007527CC" w:rsidP="00F41BB8">
      <w:r w:rsidRPr="003313B0">
        <w:t xml:space="preserve">Enright, K. (2021) “Elusive quality: the challenges and ethical dilemmas faced by international non-governmental organisations in sourcing quality assured medical products,” </w:t>
      </w:r>
      <w:r w:rsidRPr="003313B0">
        <w:rPr>
          <w:i/>
          <w:iCs/>
        </w:rPr>
        <w:t>BMJ Global Health</w:t>
      </w:r>
      <w:r w:rsidRPr="003313B0">
        <w:t>, 6(</w:t>
      </w:r>
      <w:proofErr w:type="spellStart"/>
      <w:r w:rsidRPr="003313B0">
        <w:t>Suppl</w:t>
      </w:r>
      <w:proofErr w:type="spellEnd"/>
      <w:r w:rsidRPr="003313B0">
        <w:t xml:space="preserve"> 3), p. e004339. Available at: </w:t>
      </w:r>
      <w:hyperlink r:id="rId13" w:history="1">
        <w:r w:rsidRPr="003313B0">
          <w:rPr>
            <w:rStyle w:val="Hyperlink"/>
          </w:rPr>
          <w:t>https://doi.org/10.1136/bmjgh-2020-004339</w:t>
        </w:r>
      </w:hyperlink>
      <w:r w:rsidRPr="003313B0">
        <w:t xml:space="preserve">. </w:t>
      </w:r>
    </w:p>
    <w:p w14:paraId="65B78CF9" w14:textId="0048D051" w:rsidR="007527CC" w:rsidRPr="003313B0" w:rsidRDefault="007527CC" w:rsidP="00F41BB8">
      <w:r w:rsidRPr="003313B0">
        <w:t xml:space="preserve">GOV.UK (2025) </w:t>
      </w:r>
      <w:r w:rsidRPr="003313B0">
        <w:rPr>
          <w:i/>
          <w:iCs/>
        </w:rPr>
        <w:t>Equality Act 2010: Guidance</w:t>
      </w:r>
      <w:r w:rsidRPr="003313B0">
        <w:t xml:space="preserve">, </w:t>
      </w:r>
      <w:r w:rsidRPr="003313B0">
        <w:rPr>
          <w:i/>
          <w:iCs/>
        </w:rPr>
        <w:t>GOV.UK</w:t>
      </w:r>
      <w:r w:rsidRPr="003313B0">
        <w:t xml:space="preserve">. Available at: </w:t>
      </w:r>
      <w:hyperlink r:id="rId14" w:history="1">
        <w:r w:rsidRPr="003313B0">
          <w:rPr>
            <w:rStyle w:val="Hyperlink"/>
          </w:rPr>
          <w:t>https://www.gov.uk/guidance/equality-act-2010-guidance</w:t>
        </w:r>
      </w:hyperlink>
      <w:r w:rsidRPr="003313B0">
        <w:t xml:space="preserve">. </w:t>
      </w:r>
    </w:p>
    <w:p w14:paraId="4DA828FD" w14:textId="79BBA1B9" w:rsidR="007527CC" w:rsidRPr="003313B0" w:rsidRDefault="007527CC" w:rsidP="00F41BB8">
      <w:r w:rsidRPr="003313B0">
        <w:t xml:space="preserve">L, F.S., Ylva, W., Marit, S. and Anna, E. (2025) “The significance of communication and treatment expectations in cancer care: an interview study with cancer care practitioners,” </w:t>
      </w:r>
      <w:r w:rsidRPr="003313B0">
        <w:rPr>
          <w:i/>
          <w:iCs/>
        </w:rPr>
        <w:t>Integrative Cancer Therapies</w:t>
      </w:r>
      <w:r w:rsidRPr="003313B0">
        <w:t xml:space="preserve">, 24, p. 15347354251370781. Available at: </w:t>
      </w:r>
      <w:hyperlink r:id="rId15" w:history="1">
        <w:r w:rsidRPr="003313B0">
          <w:rPr>
            <w:rStyle w:val="Hyperlink"/>
          </w:rPr>
          <w:t>https://doi.org/10.1177/15347354251370781</w:t>
        </w:r>
      </w:hyperlink>
      <w:r w:rsidRPr="003313B0">
        <w:t xml:space="preserve">. </w:t>
      </w:r>
    </w:p>
    <w:p w14:paraId="47394767" w14:textId="4BED59D5" w:rsidR="007527CC" w:rsidRPr="003313B0" w:rsidRDefault="007527CC" w:rsidP="00F41BB8">
      <w:r w:rsidRPr="003313B0">
        <w:t xml:space="preserve">McDiarmid, M., Condon, M. and Gaitens, J. (2021) “The Healthcare Sector Employer’s Duty of Care: Implications </w:t>
      </w:r>
      <w:proofErr w:type="gramStart"/>
      <w:r w:rsidRPr="003313B0">
        <w:t>For</w:t>
      </w:r>
      <w:proofErr w:type="gramEnd"/>
      <w:r w:rsidRPr="003313B0">
        <w:t xml:space="preserve"> Worker Well-Being,” </w:t>
      </w:r>
      <w:r w:rsidRPr="003313B0">
        <w:rPr>
          <w:i/>
          <w:iCs/>
        </w:rPr>
        <w:t>International Journal of Environmental Research and Public Health</w:t>
      </w:r>
      <w:r w:rsidRPr="003313B0">
        <w:t xml:space="preserve">, 18(11), p. 6015. Available at: </w:t>
      </w:r>
      <w:hyperlink r:id="rId16" w:history="1">
        <w:r w:rsidRPr="003313B0">
          <w:rPr>
            <w:rStyle w:val="Hyperlink"/>
          </w:rPr>
          <w:t>https://doi.org/10.3390/ijerph18116015</w:t>
        </w:r>
      </w:hyperlink>
      <w:r w:rsidRPr="003313B0">
        <w:t xml:space="preserve">. </w:t>
      </w:r>
    </w:p>
    <w:p w14:paraId="7B751DEB" w14:textId="798B1164" w:rsidR="007527CC" w:rsidRPr="003313B0" w:rsidRDefault="007527CC" w:rsidP="00F41BB8">
      <w:proofErr w:type="spellStart"/>
      <w:r w:rsidRPr="003313B0">
        <w:lastRenderedPageBreak/>
        <w:t>Mourby</w:t>
      </w:r>
      <w:proofErr w:type="spellEnd"/>
      <w:r w:rsidRPr="003313B0">
        <w:t xml:space="preserve">, M., Cathaoir, K.Ó. and Collin, C.B. (2021) “Transparency of machine-learning in healthcare: The GDPR &amp; European health law,” </w:t>
      </w:r>
      <w:r w:rsidRPr="003313B0">
        <w:rPr>
          <w:i/>
          <w:iCs/>
        </w:rPr>
        <w:t>Computer Law &amp; Security Review</w:t>
      </w:r>
      <w:r w:rsidRPr="003313B0">
        <w:t xml:space="preserve">, 43, p. 105611. Available at: </w:t>
      </w:r>
      <w:hyperlink r:id="rId17" w:history="1">
        <w:r w:rsidRPr="003313B0">
          <w:rPr>
            <w:rStyle w:val="Hyperlink"/>
          </w:rPr>
          <w:t>https://doi.org/10.1016/j.clsr.2021.105611</w:t>
        </w:r>
      </w:hyperlink>
      <w:r w:rsidRPr="003313B0">
        <w:t xml:space="preserve">. </w:t>
      </w:r>
    </w:p>
    <w:p w14:paraId="5709C8F7" w14:textId="5C47DF55" w:rsidR="007527CC" w:rsidRPr="003313B0" w:rsidRDefault="007527CC" w:rsidP="00F41BB8">
      <w:r w:rsidRPr="003313B0">
        <w:t xml:space="preserve">Notari, S.C., Sader, J., Fon, N.C., Sommer, J.M., </w:t>
      </w:r>
      <w:proofErr w:type="spellStart"/>
      <w:r w:rsidRPr="003313B0">
        <w:t>Miozzari</w:t>
      </w:r>
      <w:proofErr w:type="spellEnd"/>
      <w:r w:rsidRPr="003313B0">
        <w:t xml:space="preserve">, A.C.P., Janjic, D., </w:t>
      </w:r>
      <w:proofErr w:type="spellStart"/>
      <w:r w:rsidRPr="003313B0">
        <w:t>Nendaz</w:t>
      </w:r>
      <w:proofErr w:type="spellEnd"/>
      <w:r w:rsidRPr="003313B0">
        <w:t xml:space="preserve">, M. and </w:t>
      </w:r>
      <w:proofErr w:type="spellStart"/>
      <w:r w:rsidRPr="003313B0">
        <w:t>Audétat</w:t>
      </w:r>
      <w:proofErr w:type="spellEnd"/>
      <w:r w:rsidRPr="003313B0">
        <w:t xml:space="preserve">, M. (2021) “Understanding GPs’ clinical reasoning processes involved in managing patients suffering from multimorbidity: A systematic review of qualitative and quantitative research,” </w:t>
      </w:r>
      <w:r w:rsidRPr="003313B0">
        <w:rPr>
          <w:i/>
          <w:iCs/>
        </w:rPr>
        <w:t>International Journal of Clinical Practice</w:t>
      </w:r>
      <w:r w:rsidRPr="003313B0">
        <w:t xml:space="preserve">, 75(9), p. e14187. Available at: </w:t>
      </w:r>
      <w:hyperlink r:id="rId18" w:history="1">
        <w:r w:rsidRPr="003313B0">
          <w:rPr>
            <w:rStyle w:val="Hyperlink"/>
          </w:rPr>
          <w:t>https://doi.org/10.1111/ijcp.14187</w:t>
        </w:r>
      </w:hyperlink>
      <w:r w:rsidRPr="003313B0">
        <w:t xml:space="preserve">. </w:t>
      </w:r>
    </w:p>
    <w:p w14:paraId="2D6F8AAB" w14:textId="13A71834" w:rsidR="007527CC" w:rsidRPr="003313B0" w:rsidRDefault="007527CC" w:rsidP="00F41BB8">
      <w:r w:rsidRPr="003313B0">
        <w:t xml:space="preserve">Sheehan, J., Laver, K., </w:t>
      </w:r>
      <w:proofErr w:type="spellStart"/>
      <w:r w:rsidRPr="003313B0">
        <w:t>Bhopti</w:t>
      </w:r>
      <w:proofErr w:type="spellEnd"/>
      <w:r w:rsidRPr="003313B0">
        <w:t xml:space="preserve">, A., Rahja, M., Usherwood, T., Clemson, L., Department of Occupational Therapy, Social Work and Social Policy, School of Allied Health, La Trobe University, Melbourne, Australia, Department of Rehabilitation, Aged and Extended Care, Flinders University, Adelaide, Australia, </w:t>
      </w:r>
      <w:proofErr w:type="spellStart"/>
      <w:r w:rsidRPr="003313B0">
        <w:t>Westmead</w:t>
      </w:r>
      <w:proofErr w:type="spellEnd"/>
      <w:r w:rsidRPr="003313B0">
        <w:t xml:space="preserve"> Clinical School, Faculty of Medicine and Health, The University of Sydney, Sydney, Australia, The George Institute for Global Health, Sydney, Australia, School of Health Sciences, Faculty of Medicine &amp; Health, The University of Sydney, Sydney, Australia, Department of Neurosciences, Central Clinical School, Monash University, Melbourne, Australia, Alfred Health (Allied Health), Melbourne, Australia and Lannin, N.A. (2021) </w:t>
      </w:r>
      <w:r w:rsidRPr="003313B0">
        <w:rPr>
          <w:i/>
          <w:iCs/>
        </w:rPr>
        <w:t>Methods and Effectiveness of Communication between hospital allied health and primary care Practitioners: A Systematic Narrative review</w:t>
      </w:r>
      <w:r w:rsidRPr="003313B0">
        <w:t xml:space="preserve">, </w:t>
      </w:r>
      <w:r w:rsidRPr="003313B0">
        <w:rPr>
          <w:i/>
          <w:iCs/>
        </w:rPr>
        <w:t>Journal of Multidisciplinary Healthcare</w:t>
      </w:r>
      <w:r w:rsidRPr="003313B0">
        <w:t xml:space="preserve">, pp. 493–511. Available at: </w:t>
      </w:r>
      <w:hyperlink r:id="rId19" w:history="1">
        <w:r w:rsidRPr="003313B0">
          <w:rPr>
            <w:rStyle w:val="Hyperlink"/>
          </w:rPr>
          <w:t>http://doi.org/10.2147/JMDH.S295549</w:t>
        </w:r>
      </w:hyperlink>
      <w:r w:rsidRPr="003313B0">
        <w:t xml:space="preserve">. </w:t>
      </w:r>
    </w:p>
    <w:p w14:paraId="60D24184" w14:textId="1F889650" w:rsidR="007527CC" w:rsidRPr="003313B0" w:rsidRDefault="007527CC" w:rsidP="00F41BB8">
      <w:r w:rsidRPr="003313B0">
        <w:t xml:space="preserve">Soid, N., Fatih, N.M., Fauzi, N.N. and Norman, N.E. (2025) “Effective communication in building healthy and productive relationships,” </w:t>
      </w:r>
      <w:r w:rsidRPr="003313B0">
        <w:rPr>
          <w:i/>
          <w:iCs/>
        </w:rPr>
        <w:t>MES Management Journal</w:t>
      </w:r>
      <w:r w:rsidRPr="003313B0">
        <w:t xml:space="preserve">, 4(1). Available at: </w:t>
      </w:r>
      <w:hyperlink r:id="rId20" w:history="1">
        <w:r w:rsidRPr="003313B0">
          <w:rPr>
            <w:rStyle w:val="Hyperlink"/>
          </w:rPr>
          <w:t>https://doi.org/10.56709/mesman.v4i1.631</w:t>
        </w:r>
      </w:hyperlink>
      <w:r w:rsidRPr="003313B0">
        <w:t xml:space="preserve">. </w:t>
      </w:r>
    </w:p>
    <w:sectPr w:rsidR="007527CC" w:rsidRPr="003313B0" w:rsidSect="00B7035D">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EF83C" w14:textId="77777777" w:rsidR="00D335B2" w:rsidRDefault="00D335B2" w:rsidP="003313B0">
      <w:r>
        <w:separator/>
      </w:r>
    </w:p>
  </w:endnote>
  <w:endnote w:type="continuationSeparator" w:id="0">
    <w:p w14:paraId="3D5732FF" w14:textId="77777777" w:rsidR="00D335B2" w:rsidRDefault="00D335B2" w:rsidP="00331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8140420"/>
      <w:docPartObj>
        <w:docPartGallery w:val="Page Numbers (Bottom of Page)"/>
        <w:docPartUnique/>
      </w:docPartObj>
    </w:sdtPr>
    <w:sdtContent>
      <w:sdt>
        <w:sdtPr>
          <w:id w:val="-1769616900"/>
          <w:docPartObj>
            <w:docPartGallery w:val="Page Numbers (Top of Page)"/>
            <w:docPartUnique/>
          </w:docPartObj>
        </w:sdtPr>
        <w:sdtContent>
          <w:p w14:paraId="11262403" w14:textId="2A7C18B8" w:rsidR="00B7035D" w:rsidRDefault="00B7035D" w:rsidP="003313B0">
            <w:pPr>
              <w:pStyle w:val="Footer"/>
              <w:jc w:val="right"/>
            </w:pPr>
            <w:r>
              <w:t xml:space="preserve">Page </w:t>
            </w:r>
            <w:r>
              <w:fldChar w:fldCharType="begin"/>
            </w:r>
            <w:r>
              <w:instrText xml:space="preserve"> PAGE </w:instrText>
            </w:r>
            <w:r>
              <w:fldChar w:fldCharType="separate"/>
            </w:r>
            <w:r>
              <w:rPr>
                <w:noProof/>
              </w:rPr>
              <w:t>2</w:t>
            </w:r>
            <w:r>
              <w:fldChar w:fldCharType="end"/>
            </w:r>
            <w:r>
              <w:t xml:space="preserve"> of </w:t>
            </w:r>
            <w:r>
              <w:fldChar w:fldCharType="begin"/>
            </w:r>
            <w:r>
              <w:instrText xml:space="preserve"> NUMPAGES  </w:instrText>
            </w:r>
            <w:r>
              <w:fldChar w:fldCharType="separate"/>
            </w:r>
            <w:r>
              <w:rPr>
                <w:noProof/>
              </w:rPr>
              <w:t>2</w:t>
            </w:r>
            <w:r>
              <w:rPr>
                <w:noProof/>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5D677" w14:textId="77777777" w:rsidR="00D335B2" w:rsidRDefault="00D335B2" w:rsidP="003313B0">
      <w:r>
        <w:separator/>
      </w:r>
    </w:p>
  </w:footnote>
  <w:footnote w:type="continuationSeparator" w:id="0">
    <w:p w14:paraId="4E06BED6" w14:textId="77777777" w:rsidR="00D335B2" w:rsidRDefault="00D335B2" w:rsidP="00331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71363"/>
    <w:multiLevelType w:val="multilevel"/>
    <w:tmpl w:val="00FC3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782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D03"/>
    <w:rsid w:val="000040CD"/>
    <w:rsid w:val="00033688"/>
    <w:rsid w:val="000A6E4B"/>
    <w:rsid w:val="001A6EFF"/>
    <w:rsid w:val="00326B8E"/>
    <w:rsid w:val="003313B0"/>
    <w:rsid w:val="00364417"/>
    <w:rsid w:val="003A5D2C"/>
    <w:rsid w:val="003B078B"/>
    <w:rsid w:val="00485998"/>
    <w:rsid w:val="004B6D4A"/>
    <w:rsid w:val="00526BDA"/>
    <w:rsid w:val="0059375F"/>
    <w:rsid w:val="005A04AA"/>
    <w:rsid w:val="006E2929"/>
    <w:rsid w:val="007527CC"/>
    <w:rsid w:val="00821BD4"/>
    <w:rsid w:val="009650D9"/>
    <w:rsid w:val="009D18B8"/>
    <w:rsid w:val="00A253C3"/>
    <w:rsid w:val="00A301B5"/>
    <w:rsid w:val="00A64693"/>
    <w:rsid w:val="00A91DD7"/>
    <w:rsid w:val="00A9345C"/>
    <w:rsid w:val="00AF7B04"/>
    <w:rsid w:val="00B7035D"/>
    <w:rsid w:val="00B82B68"/>
    <w:rsid w:val="00BD6FD8"/>
    <w:rsid w:val="00BF72DC"/>
    <w:rsid w:val="00C255FE"/>
    <w:rsid w:val="00C9113D"/>
    <w:rsid w:val="00CD6826"/>
    <w:rsid w:val="00CE07C9"/>
    <w:rsid w:val="00CE5B11"/>
    <w:rsid w:val="00CF5EB1"/>
    <w:rsid w:val="00D16A03"/>
    <w:rsid w:val="00D335B2"/>
    <w:rsid w:val="00D90D69"/>
    <w:rsid w:val="00E22F05"/>
    <w:rsid w:val="00E85A59"/>
    <w:rsid w:val="00EC7AA4"/>
    <w:rsid w:val="00F20D03"/>
    <w:rsid w:val="00F41BB8"/>
    <w:rsid w:val="00FE55C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2FDCD"/>
  <w15:chartTrackingRefBased/>
  <w15:docId w15:val="{11AE0BC8-2B8D-4AED-BDF8-DFF741252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3B0"/>
    <w:pPr>
      <w:spacing w:line="360" w:lineRule="auto"/>
      <w:jc w:val="both"/>
    </w:pPr>
    <w:rPr>
      <w:rFonts w:ascii="Arial" w:hAnsi="Arial" w:cs="Arial"/>
      <w:sz w:val="22"/>
      <w:szCs w:val="22"/>
      <w:lang w:val="en-GB"/>
    </w:rPr>
  </w:style>
  <w:style w:type="paragraph" w:styleId="Heading1">
    <w:name w:val="heading 1"/>
    <w:basedOn w:val="Normal"/>
    <w:next w:val="Normal"/>
    <w:link w:val="Heading1Char"/>
    <w:autoRedefine/>
    <w:uiPriority w:val="9"/>
    <w:qFormat/>
    <w:rsid w:val="00E22F05"/>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semiHidden/>
    <w:unhideWhenUsed/>
    <w:qFormat/>
    <w:rsid w:val="00E22F0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F20D0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0D0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20D0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20D0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20D0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20D0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20D0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F05"/>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E22F05"/>
    <w:rPr>
      <w:rFonts w:ascii="Times New Roman" w:eastAsiaTheme="majorEastAsia" w:hAnsi="Times New Roman" w:cstheme="majorBidi"/>
      <w:b/>
      <w:sz w:val="26"/>
      <w:szCs w:val="32"/>
    </w:rPr>
  </w:style>
  <w:style w:type="paragraph" w:styleId="Title">
    <w:name w:val="Title"/>
    <w:basedOn w:val="Normal"/>
    <w:next w:val="Normal"/>
    <w:link w:val="TitleChar"/>
    <w:autoRedefine/>
    <w:uiPriority w:val="10"/>
    <w:qFormat/>
    <w:rsid w:val="00EC7AA4"/>
    <w:pPr>
      <w:spacing w:after="80" w:line="240" w:lineRule="auto"/>
      <w:contextualSpacing/>
      <w:jc w:val="center"/>
    </w:pPr>
    <w:rPr>
      <w:rFonts w:eastAsiaTheme="majorEastAsia" w:cs="Times New Roman"/>
      <w:b/>
      <w:bCs/>
      <w:spacing w:val="-10"/>
      <w:kern w:val="28"/>
      <w:sz w:val="40"/>
      <w:szCs w:val="40"/>
    </w:rPr>
  </w:style>
  <w:style w:type="character" w:customStyle="1" w:styleId="TitleChar">
    <w:name w:val="Title Char"/>
    <w:basedOn w:val="DefaultParagraphFont"/>
    <w:link w:val="Title"/>
    <w:uiPriority w:val="10"/>
    <w:rsid w:val="00EC7AA4"/>
    <w:rPr>
      <w:rFonts w:ascii="Times New Roman" w:eastAsiaTheme="majorEastAsia" w:hAnsi="Times New Roman" w:cs="Times New Roman"/>
      <w:b/>
      <w:bCs/>
      <w:spacing w:val="-10"/>
      <w:kern w:val="28"/>
      <w:sz w:val="40"/>
      <w:szCs w:val="40"/>
    </w:rPr>
  </w:style>
  <w:style w:type="paragraph" w:styleId="Caption">
    <w:name w:val="caption"/>
    <w:basedOn w:val="Normal"/>
    <w:next w:val="Normal"/>
    <w:autoRedefine/>
    <w:uiPriority w:val="35"/>
    <w:unhideWhenUsed/>
    <w:qFormat/>
    <w:rsid w:val="000040CD"/>
    <w:pPr>
      <w:spacing w:after="200" w:line="240" w:lineRule="auto"/>
      <w:jc w:val="center"/>
    </w:pPr>
    <w:rPr>
      <w:b/>
      <w:i/>
      <w:iCs/>
      <w:color w:val="000000" w:themeColor="text1"/>
    </w:rPr>
  </w:style>
  <w:style w:type="character" w:customStyle="1" w:styleId="Heading3Char">
    <w:name w:val="Heading 3 Char"/>
    <w:basedOn w:val="DefaultParagraphFont"/>
    <w:link w:val="Heading3"/>
    <w:uiPriority w:val="9"/>
    <w:semiHidden/>
    <w:rsid w:val="00F20D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0D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0D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0D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D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D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D03"/>
    <w:rPr>
      <w:rFonts w:eastAsiaTheme="majorEastAsia" w:cstheme="majorBidi"/>
      <w:color w:val="272727" w:themeColor="text1" w:themeTint="D8"/>
    </w:rPr>
  </w:style>
  <w:style w:type="paragraph" w:styleId="Subtitle">
    <w:name w:val="Subtitle"/>
    <w:basedOn w:val="Normal"/>
    <w:next w:val="Normal"/>
    <w:link w:val="SubtitleChar"/>
    <w:uiPriority w:val="11"/>
    <w:qFormat/>
    <w:rsid w:val="00F20D0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D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D03"/>
    <w:pPr>
      <w:spacing w:before="160"/>
      <w:jc w:val="center"/>
    </w:pPr>
    <w:rPr>
      <w:i/>
      <w:iCs/>
      <w:color w:val="404040" w:themeColor="text1" w:themeTint="BF"/>
    </w:rPr>
  </w:style>
  <w:style w:type="character" w:customStyle="1" w:styleId="QuoteChar">
    <w:name w:val="Quote Char"/>
    <w:basedOn w:val="DefaultParagraphFont"/>
    <w:link w:val="Quote"/>
    <w:uiPriority w:val="29"/>
    <w:rsid w:val="00F20D03"/>
    <w:rPr>
      <w:rFonts w:ascii="Times New Roman" w:hAnsi="Times New Roman"/>
      <w:i/>
      <w:iCs/>
      <w:color w:val="404040" w:themeColor="text1" w:themeTint="BF"/>
    </w:rPr>
  </w:style>
  <w:style w:type="paragraph" w:styleId="ListParagraph">
    <w:name w:val="List Paragraph"/>
    <w:basedOn w:val="Normal"/>
    <w:uiPriority w:val="34"/>
    <w:qFormat/>
    <w:rsid w:val="00F20D03"/>
    <w:pPr>
      <w:ind w:left="720"/>
      <w:contextualSpacing/>
    </w:pPr>
  </w:style>
  <w:style w:type="character" w:styleId="IntenseEmphasis">
    <w:name w:val="Intense Emphasis"/>
    <w:basedOn w:val="DefaultParagraphFont"/>
    <w:uiPriority w:val="21"/>
    <w:qFormat/>
    <w:rsid w:val="00F20D03"/>
    <w:rPr>
      <w:i/>
      <w:iCs/>
      <w:color w:val="2F5496" w:themeColor="accent1" w:themeShade="BF"/>
    </w:rPr>
  </w:style>
  <w:style w:type="paragraph" w:styleId="IntenseQuote">
    <w:name w:val="Intense Quote"/>
    <w:basedOn w:val="Normal"/>
    <w:next w:val="Normal"/>
    <w:link w:val="IntenseQuoteChar"/>
    <w:uiPriority w:val="30"/>
    <w:qFormat/>
    <w:rsid w:val="00F20D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0D03"/>
    <w:rPr>
      <w:rFonts w:ascii="Times New Roman" w:hAnsi="Times New Roman"/>
      <w:i/>
      <w:iCs/>
      <w:color w:val="2F5496" w:themeColor="accent1" w:themeShade="BF"/>
    </w:rPr>
  </w:style>
  <w:style w:type="character" w:styleId="IntenseReference">
    <w:name w:val="Intense Reference"/>
    <w:basedOn w:val="DefaultParagraphFont"/>
    <w:uiPriority w:val="32"/>
    <w:qFormat/>
    <w:rsid w:val="00F20D03"/>
    <w:rPr>
      <w:b/>
      <w:bCs/>
      <w:smallCaps/>
      <w:color w:val="2F5496" w:themeColor="accent1" w:themeShade="BF"/>
      <w:spacing w:val="5"/>
    </w:rPr>
  </w:style>
  <w:style w:type="character" w:styleId="Hyperlink">
    <w:name w:val="Hyperlink"/>
    <w:basedOn w:val="DefaultParagraphFont"/>
    <w:uiPriority w:val="99"/>
    <w:unhideWhenUsed/>
    <w:rsid w:val="007527CC"/>
    <w:rPr>
      <w:color w:val="0563C1" w:themeColor="hyperlink"/>
      <w:u w:val="single"/>
    </w:rPr>
  </w:style>
  <w:style w:type="character" w:styleId="UnresolvedMention">
    <w:name w:val="Unresolved Mention"/>
    <w:basedOn w:val="DefaultParagraphFont"/>
    <w:uiPriority w:val="99"/>
    <w:semiHidden/>
    <w:unhideWhenUsed/>
    <w:rsid w:val="007527CC"/>
    <w:rPr>
      <w:color w:val="605E5C"/>
      <w:shd w:val="clear" w:color="auto" w:fill="E1DFDD"/>
    </w:rPr>
  </w:style>
  <w:style w:type="paragraph" w:styleId="Header">
    <w:name w:val="header"/>
    <w:basedOn w:val="Normal"/>
    <w:link w:val="HeaderChar"/>
    <w:uiPriority w:val="99"/>
    <w:unhideWhenUsed/>
    <w:rsid w:val="00B70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35D"/>
    <w:rPr>
      <w:rFonts w:ascii="Times New Roman" w:hAnsi="Times New Roman"/>
    </w:rPr>
  </w:style>
  <w:style w:type="paragraph" w:styleId="Footer">
    <w:name w:val="footer"/>
    <w:basedOn w:val="Normal"/>
    <w:link w:val="FooterChar"/>
    <w:uiPriority w:val="99"/>
    <w:unhideWhenUsed/>
    <w:rsid w:val="00B70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35D"/>
    <w:rPr>
      <w:rFonts w:ascii="Times New Roman" w:hAnsi="Times New Roman"/>
    </w:rPr>
  </w:style>
  <w:style w:type="paragraph" w:styleId="TOCHeading">
    <w:name w:val="TOC Heading"/>
    <w:basedOn w:val="Heading1"/>
    <w:next w:val="Normal"/>
    <w:uiPriority w:val="39"/>
    <w:unhideWhenUsed/>
    <w:qFormat/>
    <w:rsid w:val="00B7035D"/>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7035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36/bmjgh-2020-004339" TargetMode="External"/><Relationship Id="rId18" Type="http://schemas.openxmlformats.org/officeDocument/2006/relationships/hyperlink" Target="https://doi.org/10.1111/ijcp.1418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ijmedinf.2024.105344" TargetMode="External"/><Relationship Id="rId17" Type="http://schemas.openxmlformats.org/officeDocument/2006/relationships/hyperlink" Target="https://doi.org/10.1016/j.clsr.2021.105611" TargetMode="External"/><Relationship Id="rId2" Type="http://schemas.openxmlformats.org/officeDocument/2006/relationships/numbering" Target="numbering.xml"/><Relationship Id="rId16" Type="http://schemas.openxmlformats.org/officeDocument/2006/relationships/hyperlink" Target="https://doi.org/10.3390/ijerph18116015" TargetMode="External"/><Relationship Id="rId20" Type="http://schemas.openxmlformats.org/officeDocument/2006/relationships/hyperlink" Target="https://doi.org/10.56709/mesman.v4i1.6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hci-2022-100699" TargetMode="External"/><Relationship Id="rId5" Type="http://schemas.openxmlformats.org/officeDocument/2006/relationships/webSettings" Target="webSettings.xml"/><Relationship Id="rId15" Type="http://schemas.openxmlformats.org/officeDocument/2006/relationships/hyperlink" Target="https://doi.org/10.1177/15347354251370781" TargetMode="External"/><Relationship Id="rId23" Type="http://schemas.openxmlformats.org/officeDocument/2006/relationships/theme" Target="theme/theme1.xml"/><Relationship Id="rId10" Type="http://schemas.openxmlformats.org/officeDocument/2006/relationships/hyperlink" Target="https://doi.org/10.1136/bmjopen-2024-092276" TargetMode="External"/><Relationship Id="rId19" Type="http://schemas.openxmlformats.org/officeDocument/2006/relationships/hyperlink" Target="http://doi.org/10.2147/JMDH.S295549" TargetMode="External"/><Relationship Id="rId4" Type="http://schemas.openxmlformats.org/officeDocument/2006/relationships/settings" Target="settings.xml"/><Relationship Id="rId9" Type="http://schemas.openxmlformats.org/officeDocument/2006/relationships/hyperlink" Target="https://doi.org/10.1016/j.ssmqr.2024.100482" TargetMode="External"/><Relationship Id="rId14" Type="http://schemas.openxmlformats.org/officeDocument/2006/relationships/hyperlink" Target="https://www.gov.uk/guidance/equality-act-2010-guida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DFD06-E41F-4FD9-8560-EA972FBC7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2341</Words>
  <Characters>13349</Characters>
  <Application>Microsoft Office Word</Application>
  <DocSecurity>0</DocSecurity>
  <Lines>111</Lines>
  <Paragraphs>31</Paragraphs>
  <ScaleCrop>false</ScaleCrop>
  <Company/>
  <LinksUpToDate>false</LinksUpToDate>
  <CharactersWithSpaces>15659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2025-12-07T07:41:00Z</dcterms:created>
  <dcterms:modified xsi:type="dcterms:W3CDTF">2025-12-07T10:07:00Z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131bd1b2-22bb-4c97-be71-0ea4e6343e21</vt:lpwstr>
  </property>
</Properties>
</file>