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194A1" w14:textId="77777777" w:rsidR="00735105" w:rsidRPr="004C787C" w:rsidRDefault="006D5371" w:rsidP="008B42BD">
      <w:pPr>
        <w:spacing w:line="480" w:lineRule="auto"/>
        <w:rPr>
          <w:rFonts w:ascii="Arial" w:hAnsi="Arial" w:cs="Arial"/>
        </w:rPr>
      </w:pPr>
      <w:r w:rsidRPr="004C787C">
        <w:rPr>
          <w:rFonts w:ascii="Arial" w:hAnsi="Arial" w:cs="Arial"/>
        </w:rPr>
        <w:t>Criminal liability refers to concluding whether a</w:t>
      </w:r>
      <w:r w:rsidR="003B1044" w:rsidRPr="004C787C">
        <w:rPr>
          <w:rFonts w:ascii="Arial" w:hAnsi="Arial" w:cs="Arial"/>
        </w:rPr>
        <w:t>n</w:t>
      </w:r>
      <w:r w:rsidRPr="004C787C">
        <w:rPr>
          <w:rFonts w:ascii="Arial" w:hAnsi="Arial" w:cs="Arial"/>
        </w:rPr>
        <w:t xml:space="preserve"> </w:t>
      </w:r>
      <w:r w:rsidR="003B1044" w:rsidRPr="004C787C">
        <w:rPr>
          <w:rFonts w:ascii="Arial" w:hAnsi="Arial" w:cs="Arial"/>
        </w:rPr>
        <w:t>individual</w:t>
      </w:r>
      <w:r w:rsidRPr="004C787C">
        <w:rPr>
          <w:rFonts w:ascii="Arial" w:hAnsi="Arial" w:cs="Arial"/>
        </w:rPr>
        <w:t xml:space="preserve"> will be </w:t>
      </w:r>
      <w:r w:rsidR="003B1044" w:rsidRPr="004C787C">
        <w:rPr>
          <w:rFonts w:ascii="Arial" w:hAnsi="Arial" w:cs="Arial"/>
        </w:rPr>
        <w:t>accused</w:t>
      </w:r>
      <w:r w:rsidRPr="004C787C">
        <w:rPr>
          <w:rFonts w:ascii="Arial" w:hAnsi="Arial" w:cs="Arial"/>
        </w:rPr>
        <w:t xml:space="preserve"> and </w:t>
      </w:r>
      <w:r w:rsidR="003B1044" w:rsidRPr="004C787C">
        <w:rPr>
          <w:rFonts w:ascii="Arial" w:hAnsi="Arial" w:cs="Arial"/>
        </w:rPr>
        <w:t>punished</w:t>
      </w:r>
      <w:r w:rsidRPr="004C787C">
        <w:rPr>
          <w:rFonts w:ascii="Arial" w:hAnsi="Arial" w:cs="Arial"/>
        </w:rPr>
        <w:t>.</w:t>
      </w:r>
      <w:r w:rsidR="003B1044" w:rsidRPr="004C787C">
        <w:rPr>
          <w:rFonts w:ascii="Arial" w:hAnsi="Arial" w:cs="Arial"/>
        </w:rPr>
        <w:t xml:space="preserve"> If someone is </w:t>
      </w:r>
      <w:r w:rsidR="002A62AF" w:rsidRPr="004C787C">
        <w:rPr>
          <w:rFonts w:ascii="Arial" w:hAnsi="Arial" w:cs="Arial"/>
        </w:rPr>
        <w:t xml:space="preserve">criminally liable, he is likely to be held blamed for breaching the decree in terms of both potential and concrete charges. </w:t>
      </w:r>
      <w:r w:rsidR="007B753A" w:rsidRPr="004C787C">
        <w:rPr>
          <w:rFonts w:ascii="Arial" w:hAnsi="Arial" w:cs="Arial"/>
        </w:rPr>
        <w:t xml:space="preserve">Two basic elements determine criminal liability; </w:t>
      </w:r>
      <w:r w:rsidRPr="004C787C">
        <w:rPr>
          <w:rFonts w:ascii="Arial" w:hAnsi="Arial" w:cs="Arial"/>
        </w:rPr>
        <w:t xml:space="preserve">the physical </w:t>
      </w:r>
      <w:r w:rsidR="0080067F" w:rsidRPr="004C787C">
        <w:rPr>
          <w:rFonts w:ascii="Arial" w:hAnsi="Arial" w:cs="Arial"/>
        </w:rPr>
        <w:t>component</w:t>
      </w:r>
      <w:r w:rsidRPr="004C787C">
        <w:rPr>
          <w:rFonts w:ascii="Arial" w:hAnsi="Arial" w:cs="Arial"/>
        </w:rPr>
        <w:t xml:space="preserve"> and the mental </w:t>
      </w:r>
      <w:r w:rsidR="0080067F" w:rsidRPr="004C787C">
        <w:rPr>
          <w:rFonts w:ascii="Arial" w:hAnsi="Arial" w:cs="Arial"/>
        </w:rPr>
        <w:t>component</w:t>
      </w:r>
      <w:r w:rsidR="00301A3F" w:rsidRPr="004C787C">
        <w:rPr>
          <w:rFonts w:ascii="Arial" w:hAnsi="Arial" w:cs="Arial"/>
        </w:rPr>
        <w:t xml:space="preserve"> (</w:t>
      </w:r>
      <w:r w:rsidR="00301A3F" w:rsidRPr="004C787C">
        <w:rPr>
          <w:rFonts w:ascii="Arial" w:hAnsi="Arial" w:cs="Arial"/>
          <w:shd w:val="clear" w:color="auto" w:fill="FFFFFF"/>
        </w:rPr>
        <w:t>Herring, 2014)</w:t>
      </w:r>
      <w:r w:rsidRPr="004C787C">
        <w:rPr>
          <w:rFonts w:ascii="Arial" w:hAnsi="Arial" w:cs="Arial"/>
        </w:rPr>
        <w:t xml:space="preserve">. </w:t>
      </w:r>
      <w:r w:rsidR="00AF4455" w:rsidRPr="004C787C">
        <w:rPr>
          <w:rFonts w:ascii="Arial" w:hAnsi="Arial" w:cs="Arial"/>
        </w:rPr>
        <w:t xml:space="preserve">Therefore, with the proof of </w:t>
      </w:r>
      <w:r w:rsidRPr="004C787C">
        <w:rPr>
          <w:rFonts w:ascii="Arial" w:hAnsi="Arial" w:cs="Arial"/>
        </w:rPr>
        <w:t>liability in court for the criminal action</w:t>
      </w:r>
      <w:r w:rsidR="00AF4455" w:rsidRPr="004C787C">
        <w:rPr>
          <w:rFonts w:ascii="Arial" w:hAnsi="Arial" w:cs="Arial"/>
        </w:rPr>
        <w:t>, legal action is taken against the person in the court.</w:t>
      </w:r>
    </w:p>
    <w:p w14:paraId="00FCA312" w14:textId="77777777" w:rsidR="00472AB9" w:rsidRPr="004C787C" w:rsidRDefault="00472AB9" w:rsidP="00472AB9">
      <w:pPr>
        <w:rPr>
          <w:rFonts w:ascii="Arial" w:hAnsi="Arial" w:cs="Arial"/>
          <w:b/>
        </w:rPr>
      </w:pPr>
    </w:p>
    <w:p w14:paraId="7708936C" w14:textId="092459FE" w:rsidR="00EB3224" w:rsidRPr="004C787C" w:rsidRDefault="006D5371" w:rsidP="008B42BD">
      <w:pPr>
        <w:spacing w:line="480" w:lineRule="auto"/>
        <w:rPr>
          <w:rFonts w:ascii="Arial" w:hAnsi="Arial" w:cs="Arial"/>
        </w:rPr>
      </w:pPr>
      <w:r w:rsidRPr="004C787C">
        <w:rPr>
          <w:rFonts w:ascii="Arial" w:hAnsi="Arial" w:cs="Arial"/>
        </w:rPr>
        <w:t>Criminal liability will be sustained for failing to act when an individual or party is responsible for a specific act but does not finish up doing so.</w:t>
      </w:r>
      <w:r w:rsidR="0078489E" w:rsidRPr="004C787C">
        <w:rPr>
          <w:rFonts w:ascii="Arial" w:hAnsi="Arial" w:cs="Arial"/>
        </w:rPr>
        <w:t xml:space="preserve"> He must be under the legitimate obligation to perform and should </w:t>
      </w:r>
      <w:r w:rsidR="008B42BD" w:rsidRPr="004C787C">
        <w:rPr>
          <w:rFonts w:ascii="Arial" w:hAnsi="Arial" w:cs="Arial"/>
        </w:rPr>
        <w:t>rationally be</w:t>
      </w:r>
      <w:r w:rsidR="0078489E" w:rsidRPr="004C787C">
        <w:rPr>
          <w:rFonts w:ascii="Arial" w:hAnsi="Arial" w:cs="Arial"/>
        </w:rPr>
        <w:t xml:space="preserve"> proficient in doing so</w:t>
      </w:r>
      <w:r w:rsidR="00B43882" w:rsidRPr="004C787C">
        <w:rPr>
          <w:rFonts w:ascii="Arial" w:hAnsi="Arial" w:cs="Arial"/>
        </w:rPr>
        <w:t xml:space="preserve"> (</w:t>
      </w:r>
      <w:r w:rsidR="00B43882" w:rsidRPr="004C787C">
        <w:rPr>
          <w:rFonts w:ascii="Arial" w:hAnsi="Arial" w:cs="Arial"/>
          <w:shd w:val="clear" w:color="auto" w:fill="FFFFFF"/>
        </w:rPr>
        <w:t>Jakhongir, 2021)</w:t>
      </w:r>
      <w:r w:rsidR="0078489E" w:rsidRPr="004C787C">
        <w:rPr>
          <w:rFonts w:ascii="Arial" w:hAnsi="Arial" w:cs="Arial"/>
        </w:rPr>
        <w:t>. The legal responsibility to execute may be forced straight by decree, for example, the obligation to file an income tax yield, or it may ascend out of the association between the events, as the responsibility of parents to deliver their youngster nourishment. Moreover, criminal law involves the general duty as only people who perform criminal acts are accountable for the criminal activity but people who assist during the course are also held accountable</w:t>
      </w:r>
      <w:r w:rsidR="00B43882" w:rsidRPr="004C787C">
        <w:rPr>
          <w:rFonts w:ascii="Arial" w:hAnsi="Arial" w:cs="Arial"/>
        </w:rPr>
        <w:t xml:space="preserve"> (</w:t>
      </w:r>
      <w:r w:rsidR="00B43882" w:rsidRPr="004C787C">
        <w:rPr>
          <w:rFonts w:ascii="Arial" w:hAnsi="Arial" w:cs="Arial"/>
          <w:shd w:val="clear" w:color="auto" w:fill="FFFFFF"/>
        </w:rPr>
        <w:t>Ormerod and Laird, 2018)</w:t>
      </w:r>
      <w:r w:rsidR="0078489E" w:rsidRPr="004C787C">
        <w:rPr>
          <w:rFonts w:ascii="Arial" w:hAnsi="Arial" w:cs="Arial"/>
        </w:rPr>
        <w:t>.</w:t>
      </w:r>
      <w:r w:rsidRPr="004C787C">
        <w:rPr>
          <w:rFonts w:ascii="Arial" w:hAnsi="Arial" w:cs="Arial"/>
        </w:rPr>
        <w:t xml:space="preserve"> R v Miller is an English criminal law situation representing the clarification of actus reus as not only an act but nonetheless a disappointment to act.</w:t>
      </w:r>
    </w:p>
    <w:p w14:paraId="1F0C84AF" w14:textId="6E4FE07E" w:rsidR="00FC5D04" w:rsidRPr="004C787C" w:rsidRDefault="006D5371" w:rsidP="008B42BD">
      <w:pPr>
        <w:spacing w:line="480" w:lineRule="auto"/>
        <w:rPr>
          <w:rFonts w:ascii="Arial" w:hAnsi="Arial" w:cs="Arial"/>
          <w:lang w:val="x-none"/>
        </w:rPr>
      </w:pPr>
      <w:r w:rsidRPr="004C787C">
        <w:rPr>
          <w:rFonts w:ascii="Arial" w:hAnsi="Arial" w:cs="Arial"/>
        </w:rPr>
        <w:t xml:space="preserve">A crime is committed by omission if </w:t>
      </w:r>
      <w:r w:rsidR="00D85EC1" w:rsidRPr="004C787C">
        <w:rPr>
          <w:rFonts w:ascii="Arial" w:hAnsi="Arial" w:cs="Arial"/>
        </w:rPr>
        <w:t>the decree levies a responsibility to perform and the perpetrator is in breach of that obligation.</w:t>
      </w:r>
      <w:r w:rsidR="00B93222" w:rsidRPr="004C787C">
        <w:rPr>
          <w:rFonts w:ascii="Arial" w:hAnsi="Arial" w:cs="Arial"/>
        </w:rPr>
        <w:t xml:space="preserve"> The person </w:t>
      </w:r>
      <w:r w:rsidR="008B42BD" w:rsidRPr="004C787C">
        <w:rPr>
          <w:rFonts w:ascii="Arial" w:hAnsi="Arial" w:cs="Arial"/>
        </w:rPr>
        <w:t>must</w:t>
      </w:r>
      <w:r w:rsidR="00B93222" w:rsidRPr="004C787C">
        <w:rPr>
          <w:rFonts w:ascii="Arial" w:hAnsi="Arial" w:cs="Arial"/>
        </w:rPr>
        <w:t xml:space="preserve"> show that he failed to act in a specific way, carried about a state of affairs and possessed the mandatory mental part or mens rea at the period of performing the criminal </w:t>
      </w:r>
      <w:r w:rsidR="002F4508" w:rsidRPr="004C787C">
        <w:rPr>
          <w:rFonts w:ascii="Arial" w:hAnsi="Arial" w:cs="Arial"/>
        </w:rPr>
        <w:t xml:space="preserve">act. Likewise, an individual can be accountable even if there was no obvious </w:t>
      </w:r>
      <w:r w:rsidR="002F4508" w:rsidRPr="004C787C">
        <w:rPr>
          <w:rFonts w:ascii="Arial" w:hAnsi="Arial" w:cs="Arial"/>
        </w:rPr>
        <w:lastRenderedPageBreak/>
        <w:t>responsibility to act.</w:t>
      </w:r>
      <w:r w:rsidR="00014E9C" w:rsidRPr="004C787C">
        <w:rPr>
          <w:rFonts w:ascii="Arial" w:hAnsi="Arial" w:cs="Arial"/>
        </w:rPr>
        <w:t xml:space="preserve"> There can be a </w:t>
      </w:r>
      <w:r w:rsidR="002D2A4A" w:rsidRPr="004C787C">
        <w:rPr>
          <w:rFonts w:ascii="Arial" w:hAnsi="Arial" w:cs="Arial"/>
        </w:rPr>
        <w:t>situation</w:t>
      </w:r>
      <w:r w:rsidR="00014E9C" w:rsidRPr="004C787C">
        <w:rPr>
          <w:rFonts w:ascii="Arial" w:hAnsi="Arial" w:cs="Arial"/>
        </w:rPr>
        <w:t xml:space="preserve"> when the duty is self-imposed as </w:t>
      </w:r>
      <w:r w:rsidR="002D2A4A" w:rsidRPr="004C787C">
        <w:rPr>
          <w:rFonts w:ascii="Arial" w:hAnsi="Arial" w:cs="Arial"/>
        </w:rPr>
        <w:t>t</w:t>
      </w:r>
      <w:r w:rsidR="00CA62A2" w:rsidRPr="004C787C">
        <w:rPr>
          <w:rFonts w:ascii="Arial" w:hAnsi="Arial" w:cs="Arial"/>
        </w:rPr>
        <w:t xml:space="preserve">he </w:t>
      </w:r>
      <w:r w:rsidR="002D2A4A" w:rsidRPr="004C787C">
        <w:rPr>
          <w:rFonts w:ascii="Arial" w:hAnsi="Arial" w:cs="Arial"/>
        </w:rPr>
        <w:t>source</w:t>
      </w:r>
      <w:r w:rsidR="00CA62A2" w:rsidRPr="004C787C">
        <w:rPr>
          <w:rFonts w:ascii="Arial" w:hAnsi="Arial" w:cs="Arial"/>
        </w:rPr>
        <w:t xml:space="preserve"> of the </w:t>
      </w:r>
      <w:r w:rsidR="002D2A4A" w:rsidRPr="004C787C">
        <w:rPr>
          <w:rFonts w:ascii="Arial" w:hAnsi="Arial" w:cs="Arial"/>
        </w:rPr>
        <w:t>condition</w:t>
      </w:r>
      <w:r w:rsidR="00CA62A2" w:rsidRPr="004C787C">
        <w:rPr>
          <w:rFonts w:ascii="Arial" w:hAnsi="Arial" w:cs="Arial"/>
        </w:rPr>
        <w:t xml:space="preserve"> </w:t>
      </w:r>
      <w:r w:rsidR="002D2A4A" w:rsidRPr="004C787C">
        <w:rPr>
          <w:rFonts w:ascii="Arial" w:hAnsi="Arial" w:cs="Arial"/>
        </w:rPr>
        <w:t>subsequent</w:t>
      </w:r>
      <w:r w:rsidR="00CA62A2" w:rsidRPr="004C787C">
        <w:rPr>
          <w:rFonts w:ascii="Arial" w:hAnsi="Arial" w:cs="Arial"/>
        </w:rPr>
        <w:t xml:space="preserve"> to the victim's </w:t>
      </w:r>
      <w:r w:rsidR="002D2A4A" w:rsidRPr="004C787C">
        <w:rPr>
          <w:rFonts w:ascii="Arial" w:hAnsi="Arial" w:cs="Arial"/>
        </w:rPr>
        <w:t>place</w:t>
      </w:r>
      <w:r w:rsidR="00CA62A2" w:rsidRPr="004C787C">
        <w:rPr>
          <w:rFonts w:ascii="Arial" w:hAnsi="Arial" w:cs="Arial"/>
        </w:rPr>
        <w:t xml:space="preserve"> of </w:t>
      </w:r>
      <w:r w:rsidR="002D2A4A" w:rsidRPr="004C787C">
        <w:rPr>
          <w:rFonts w:ascii="Arial" w:hAnsi="Arial" w:cs="Arial"/>
        </w:rPr>
        <w:t>menace</w:t>
      </w:r>
      <w:r w:rsidR="00CA62A2" w:rsidRPr="004C787C">
        <w:rPr>
          <w:rFonts w:ascii="Arial" w:hAnsi="Arial" w:cs="Arial"/>
        </w:rPr>
        <w:t xml:space="preserve">. </w:t>
      </w:r>
      <w:r w:rsidR="002D2A4A" w:rsidRPr="004C787C">
        <w:rPr>
          <w:rFonts w:ascii="Arial" w:hAnsi="Arial" w:cs="Arial"/>
        </w:rPr>
        <w:t>Consequently</w:t>
      </w:r>
      <w:r w:rsidR="00CA62A2" w:rsidRPr="004C787C">
        <w:rPr>
          <w:rFonts w:ascii="Arial" w:hAnsi="Arial" w:cs="Arial"/>
        </w:rPr>
        <w:t xml:space="preserve">, if </w:t>
      </w:r>
      <w:r w:rsidR="002D2A4A" w:rsidRPr="004C787C">
        <w:rPr>
          <w:rFonts w:ascii="Arial" w:hAnsi="Arial" w:cs="Arial"/>
        </w:rPr>
        <w:t>a person’s</w:t>
      </w:r>
      <w:r w:rsidR="00CA62A2" w:rsidRPr="004C787C">
        <w:rPr>
          <w:rFonts w:ascii="Arial" w:hAnsi="Arial" w:cs="Arial"/>
        </w:rPr>
        <w:t xml:space="preserve"> </w:t>
      </w:r>
      <w:r w:rsidR="002D2A4A" w:rsidRPr="004C787C">
        <w:rPr>
          <w:rFonts w:ascii="Arial" w:hAnsi="Arial" w:cs="Arial"/>
        </w:rPr>
        <w:t>activities</w:t>
      </w:r>
      <w:r w:rsidR="00CA62A2" w:rsidRPr="004C787C">
        <w:rPr>
          <w:rFonts w:ascii="Arial" w:hAnsi="Arial" w:cs="Arial"/>
        </w:rPr>
        <w:t xml:space="preserve"> </w:t>
      </w:r>
      <w:r w:rsidR="002D2A4A" w:rsidRPr="004C787C">
        <w:rPr>
          <w:rFonts w:ascii="Arial" w:hAnsi="Arial" w:cs="Arial"/>
        </w:rPr>
        <w:t>reason</w:t>
      </w:r>
      <w:r w:rsidR="00CA62A2" w:rsidRPr="004C787C">
        <w:rPr>
          <w:rFonts w:ascii="Arial" w:hAnsi="Arial" w:cs="Arial"/>
        </w:rPr>
        <w:t xml:space="preserve"> for the </w:t>
      </w:r>
      <w:r w:rsidR="002D2A4A" w:rsidRPr="004C787C">
        <w:rPr>
          <w:rFonts w:ascii="Arial" w:hAnsi="Arial" w:cs="Arial"/>
        </w:rPr>
        <w:t>unsafe</w:t>
      </w:r>
      <w:r w:rsidR="00CA62A2" w:rsidRPr="004C787C">
        <w:rPr>
          <w:rFonts w:ascii="Arial" w:hAnsi="Arial" w:cs="Arial"/>
        </w:rPr>
        <w:t xml:space="preserve"> </w:t>
      </w:r>
      <w:r w:rsidR="002D2A4A" w:rsidRPr="004C787C">
        <w:rPr>
          <w:rFonts w:ascii="Arial" w:hAnsi="Arial" w:cs="Arial"/>
        </w:rPr>
        <w:t>condition</w:t>
      </w:r>
      <w:r w:rsidR="00CA62A2" w:rsidRPr="004C787C">
        <w:rPr>
          <w:rFonts w:ascii="Arial" w:hAnsi="Arial" w:cs="Arial"/>
        </w:rPr>
        <w:t xml:space="preserve">, </w:t>
      </w:r>
      <w:r w:rsidR="002D2A4A" w:rsidRPr="004C787C">
        <w:rPr>
          <w:rFonts w:ascii="Arial" w:hAnsi="Arial" w:cs="Arial"/>
        </w:rPr>
        <w:t>then he has a</w:t>
      </w:r>
      <w:r w:rsidR="00CA62A2" w:rsidRPr="004C787C">
        <w:rPr>
          <w:rFonts w:ascii="Arial" w:hAnsi="Arial" w:cs="Arial"/>
        </w:rPr>
        <w:t xml:space="preserve"> duty to act.</w:t>
      </w:r>
      <w:r w:rsidRPr="004C787C">
        <w:rPr>
          <w:rFonts w:ascii="Arial" w:hAnsi="Arial" w:cs="Arial"/>
        </w:rPr>
        <w:t xml:space="preserve"> R v Pittwood is a circumstance in English criminal rule as to omission, exactly the duty to perform to protect others from corporeal harm, the discovery of an omission that amounted to assassination</w:t>
      </w:r>
      <w:r w:rsidR="007C7645" w:rsidRPr="004C787C">
        <w:rPr>
          <w:rFonts w:ascii="Arial" w:hAnsi="Arial" w:cs="Arial"/>
        </w:rPr>
        <w:t xml:space="preserve"> (</w:t>
      </w:r>
      <w:r w:rsidR="007C7645" w:rsidRPr="004C787C">
        <w:rPr>
          <w:rFonts w:ascii="Arial" w:hAnsi="Arial" w:cs="Arial"/>
          <w:shd w:val="clear" w:color="auto" w:fill="FFFFFF"/>
        </w:rPr>
        <w:t>Hall, 2022)</w:t>
      </w:r>
      <w:r w:rsidRPr="004C787C">
        <w:rPr>
          <w:rFonts w:ascii="Arial" w:hAnsi="Arial" w:cs="Arial"/>
        </w:rPr>
        <w:t>.</w:t>
      </w:r>
      <w:r w:rsidRPr="004C787C">
        <w:rPr>
          <w:rFonts w:ascii="Arial" w:hAnsi="Arial" w:cs="Arial"/>
          <w:lang w:val="x-none"/>
        </w:rPr>
        <w:t xml:space="preserve">  </w:t>
      </w:r>
    </w:p>
    <w:p w14:paraId="3E4AE28D" w14:textId="77777777" w:rsidR="00A61F49" w:rsidRPr="004C787C" w:rsidRDefault="006D5371" w:rsidP="008B42BD">
      <w:pPr>
        <w:spacing w:line="480" w:lineRule="auto"/>
        <w:rPr>
          <w:rFonts w:ascii="Arial" w:hAnsi="Arial" w:cs="Arial"/>
        </w:rPr>
      </w:pPr>
      <w:r w:rsidRPr="004C787C">
        <w:rPr>
          <w:rFonts w:ascii="Arial" w:hAnsi="Arial" w:cs="Arial"/>
        </w:rPr>
        <w:t xml:space="preserve">A statutory duty refers to rules that a business, a government association, or the associates of a specific occupation must follow. </w:t>
      </w:r>
      <w:r w:rsidR="00EA61BF" w:rsidRPr="004C787C">
        <w:rPr>
          <w:rFonts w:ascii="Arial" w:hAnsi="Arial" w:cs="Arial"/>
        </w:rPr>
        <w:t xml:space="preserve">For example, the health and safety at work Act 1974 impose general duties on employers towards their workers in terms of well-being. </w:t>
      </w:r>
      <w:r w:rsidR="002842EE" w:rsidRPr="004C787C">
        <w:rPr>
          <w:rFonts w:ascii="Arial" w:hAnsi="Arial" w:cs="Arial"/>
        </w:rPr>
        <w:t>Unless there is a statute or agreement generating the duty, there will typically be no duty to act</w:t>
      </w:r>
      <w:r w:rsidR="007C7645" w:rsidRPr="004C787C">
        <w:rPr>
          <w:rFonts w:ascii="Arial" w:hAnsi="Arial" w:cs="Arial"/>
        </w:rPr>
        <w:t xml:space="preserve"> (</w:t>
      </w:r>
      <w:r w:rsidR="007C7645" w:rsidRPr="004C787C">
        <w:rPr>
          <w:rFonts w:ascii="Arial" w:hAnsi="Arial" w:cs="Arial"/>
          <w:shd w:val="clear" w:color="auto" w:fill="FFFFFF"/>
        </w:rPr>
        <w:t>Shapo, 2021)</w:t>
      </w:r>
      <w:r w:rsidR="002842EE" w:rsidRPr="004C787C">
        <w:rPr>
          <w:rFonts w:ascii="Arial" w:hAnsi="Arial" w:cs="Arial"/>
        </w:rPr>
        <w:t>. Nonetheless, a duty may ascend when an individual willingly undertakes accountability for another.</w:t>
      </w:r>
      <w:r w:rsidR="004E4619" w:rsidRPr="004C787C">
        <w:rPr>
          <w:rFonts w:ascii="Arial" w:hAnsi="Arial" w:cs="Arial"/>
        </w:rPr>
        <w:t xml:space="preserve"> T</w:t>
      </w:r>
      <w:r w:rsidRPr="004C787C">
        <w:rPr>
          <w:rFonts w:ascii="Arial" w:hAnsi="Arial" w:cs="Arial"/>
        </w:rPr>
        <w:t xml:space="preserve">he Children and Young Persons Act 1933 does not </w:t>
      </w:r>
      <w:r w:rsidR="004E4619" w:rsidRPr="004C787C">
        <w:rPr>
          <w:rFonts w:ascii="Arial" w:hAnsi="Arial" w:cs="Arial"/>
        </w:rPr>
        <w:t>spread</w:t>
      </w:r>
      <w:r w:rsidRPr="004C787C">
        <w:rPr>
          <w:rFonts w:ascii="Arial" w:hAnsi="Arial" w:cs="Arial"/>
        </w:rPr>
        <w:t xml:space="preserve"> </w:t>
      </w:r>
      <w:r w:rsidR="004E4619" w:rsidRPr="004C787C">
        <w:rPr>
          <w:rFonts w:ascii="Arial" w:hAnsi="Arial" w:cs="Arial"/>
        </w:rPr>
        <w:t>outside</w:t>
      </w:r>
      <w:r w:rsidRPr="004C787C">
        <w:rPr>
          <w:rFonts w:ascii="Arial" w:hAnsi="Arial" w:cs="Arial"/>
        </w:rPr>
        <w:t xml:space="preserve"> those of the age of 16 </w:t>
      </w:r>
      <w:r w:rsidR="004E4619" w:rsidRPr="004C787C">
        <w:rPr>
          <w:rFonts w:ascii="Arial" w:hAnsi="Arial" w:cs="Arial"/>
        </w:rPr>
        <w:t>ages</w:t>
      </w:r>
      <w:r w:rsidRPr="004C787C">
        <w:rPr>
          <w:rFonts w:ascii="Arial" w:hAnsi="Arial" w:cs="Arial"/>
        </w:rPr>
        <w:t xml:space="preserve"> and </w:t>
      </w:r>
      <w:r w:rsidR="004E4619" w:rsidRPr="004C787C">
        <w:rPr>
          <w:rFonts w:ascii="Arial" w:hAnsi="Arial" w:cs="Arial"/>
        </w:rPr>
        <w:t>consequently</w:t>
      </w:r>
      <w:r w:rsidRPr="004C787C">
        <w:rPr>
          <w:rFonts w:ascii="Arial" w:hAnsi="Arial" w:cs="Arial"/>
        </w:rPr>
        <w:t xml:space="preserve">, no direct </w:t>
      </w:r>
      <w:r w:rsidR="004E4619" w:rsidRPr="004C787C">
        <w:rPr>
          <w:rFonts w:ascii="Arial" w:hAnsi="Arial" w:cs="Arial"/>
        </w:rPr>
        <w:t>duty</w:t>
      </w:r>
      <w:r w:rsidRPr="004C787C">
        <w:rPr>
          <w:rFonts w:ascii="Arial" w:hAnsi="Arial" w:cs="Arial"/>
        </w:rPr>
        <w:t xml:space="preserve"> is </w:t>
      </w:r>
      <w:r w:rsidR="004E4619" w:rsidRPr="004C787C">
        <w:rPr>
          <w:rFonts w:ascii="Arial" w:hAnsi="Arial" w:cs="Arial"/>
        </w:rPr>
        <w:t>located</w:t>
      </w:r>
      <w:r w:rsidRPr="004C787C">
        <w:rPr>
          <w:rFonts w:ascii="Arial" w:hAnsi="Arial" w:cs="Arial"/>
        </w:rPr>
        <w:t xml:space="preserve"> on a </w:t>
      </w:r>
      <w:r w:rsidR="004E4619" w:rsidRPr="004C787C">
        <w:rPr>
          <w:rFonts w:ascii="Arial" w:hAnsi="Arial" w:cs="Arial"/>
        </w:rPr>
        <w:t>parent</w:t>
      </w:r>
      <w:r w:rsidRPr="004C787C">
        <w:rPr>
          <w:rFonts w:ascii="Arial" w:hAnsi="Arial" w:cs="Arial"/>
        </w:rPr>
        <w:t xml:space="preserve"> to care for an </w:t>
      </w:r>
      <w:r w:rsidR="004E4619" w:rsidRPr="004C787C">
        <w:rPr>
          <w:rFonts w:ascii="Arial" w:hAnsi="Arial" w:cs="Arial"/>
        </w:rPr>
        <w:t>autonomous</w:t>
      </w:r>
      <w:r w:rsidRPr="004C787C">
        <w:rPr>
          <w:rFonts w:ascii="Arial" w:hAnsi="Arial" w:cs="Arial"/>
        </w:rPr>
        <w:t xml:space="preserve"> 18-year-old </w:t>
      </w:r>
      <w:r w:rsidR="004E4619" w:rsidRPr="004C787C">
        <w:rPr>
          <w:rFonts w:ascii="Arial" w:hAnsi="Arial" w:cs="Arial"/>
        </w:rPr>
        <w:t>youngster.</w:t>
      </w:r>
    </w:p>
    <w:p w14:paraId="59E1FECF" w14:textId="246E404B" w:rsidR="00EA61BF" w:rsidRPr="004C787C" w:rsidRDefault="006D5371" w:rsidP="008B42BD">
      <w:pPr>
        <w:spacing w:line="480" w:lineRule="auto"/>
        <w:rPr>
          <w:rFonts w:ascii="Arial" w:hAnsi="Arial" w:cs="Arial"/>
        </w:rPr>
      </w:pPr>
      <w:r w:rsidRPr="004C787C">
        <w:rPr>
          <w:rFonts w:ascii="Arial" w:hAnsi="Arial" w:cs="Arial"/>
        </w:rPr>
        <w:t xml:space="preserve">Contractual obligations are those </w:t>
      </w:r>
      <w:r w:rsidR="00171324" w:rsidRPr="004C787C">
        <w:rPr>
          <w:rFonts w:ascii="Arial" w:hAnsi="Arial" w:cs="Arial"/>
        </w:rPr>
        <w:t>obligations</w:t>
      </w:r>
      <w:r w:rsidRPr="004C787C">
        <w:rPr>
          <w:rFonts w:ascii="Arial" w:hAnsi="Arial" w:cs="Arial"/>
        </w:rPr>
        <w:t xml:space="preserve"> that both </w:t>
      </w:r>
      <w:r w:rsidR="00171324" w:rsidRPr="004C787C">
        <w:rPr>
          <w:rFonts w:ascii="Arial" w:hAnsi="Arial" w:cs="Arial"/>
        </w:rPr>
        <w:t>bosses</w:t>
      </w:r>
      <w:r w:rsidRPr="004C787C">
        <w:rPr>
          <w:rFonts w:ascii="Arial" w:hAnsi="Arial" w:cs="Arial"/>
        </w:rPr>
        <w:t xml:space="preserve"> and </w:t>
      </w:r>
      <w:r w:rsidR="00171324" w:rsidRPr="004C787C">
        <w:rPr>
          <w:rFonts w:ascii="Arial" w:hAnsi="Arial" w:cs="Arial"/>
        </w:rPr>
        <w:t>workers</w:t>
      </w:r>
      <w:r w:rsidRPr="004C787C">
        <w:rPr>
          <w:rFonts w:ascii="Arial" w:hAnsi="Arial" w:cs="Arial"/>
        </w:rPr>
        <w:t xml:space="preserve"> are legally </w:t>
      </w:r>
      <w:r w:rsidR="00171324" w:rsidRPr="004C787C">
        <w:rPr>
          <w:rFonts w:ascii="Arial" w:hAnsi="Arial" w:cs="Arial"/>
        </w:rPr>
        <w:t>answerable</w:t>
      </w:r>
      <w:r w:rsidRPr="004C787C">
        <w:rPr>
          <w:rFonts w:ascii="Arial" w:hAnsi="Arial" w:cs="Arial"/>
        </w:rPr>
        <w:t xml:space="preserve"> for in a contract </w:t>
      </w:r>
      <w:r w:rsidR="00171324" w:rsidRPr="004C787C">
        <w:rPr>
          <w:rFonts w:ascii="Arial" w:hAnsi="Arial" w:cs="Arial"/>
        </w:rPr>
        <w:t>arrangement</w:t>
      </w:r>
      <w:r w:rsidRPr="004C787C">
        <w:rPr>
          <w:rFonts w:ascii="Arial" w:hAnsi="Arial" w:cs="Arial"/>
        </w:rPr>
        <w:t xml:space="preserve">. It is </w:t>
      </w:r>
      <w:r w:rsidR="00171324" w:rsidRPr="004C787C">
        <w:rPr>
          <w:rFonts w:ascii="Arial" w:hAnsi="Arial" w:cs="Arial"/>
        </w:rPr>
        <w:t>significant</w:t>
      </w:r>
      <w:r w:rsidRPr="004C787C">
        <w:rPr>
          <w:rFonts w:ascii="Arial" w:hAnsi="Arial" w:cs="Arial"/>
        </w:rPr>
        <w:t xml:space="preserve"> that both parties </w:t>
      </w:r>
      <w:r w:rsidR="00171324" w:rsidRPr="004C787C">
        <w:rPr>
          <w:rFonts w:ascii="Arial" w:hAnsi="Arial" w:cs="Arial"/>
        </w:rPr>
        <w:t>trail</w:t>
      </w:r>
      <w:r w:rsidRPr="004C787C">
        <w:rPr>
          <w:rFonts w:ascii="Arial" w:hAnsi="Arial" w:cs="Arial"/>
        </w:rPr>
        <w:t xml:space="preserve"> their </w:t>
      </w:r>
      <w:r w:rsidR="00171324" w:rsidRPr="004C787C">
        <w:rPr>
          <w:rFonts w:ascii="Arial" w:hAnsi="Arial" w:cs="Arial"/>
        </w:rPr>
        <w:t>verges</w:t>
      </w:r>
      <w:r w:rsidRPr="004C787C">
        <w:rPr>
          <w:rFonts w:ascii="Arial" w:hAnsi="Arial" w:cs="Arial"/>
        </w:rPr>
        <w:t xml:space="preserve"> of the contract.</w:t>
      </w:r>
      <w:r w:rsidR="00171324" w:rsidRPr="004C787C">
        <w:rPr>
          <w:rFonts w:ascii="Arial" w:hAnsi="Arial" w:cs="Arial"/>
        </w:rPr>
        <w:t xml:space="preserve"> In a bond, each party exchanges something of worth, whether it is produced, services or cash</w:t>
      </w:r>
      <w:r w:rsidR="007C7645" w:rsidRPr="004C787C">
        <w:rPr>
          <w:rFonts w:ascii="Arial" w:hAnsi="Arial" w:cs="Arial"/>
        </w:rPr>
        <w:t xml:space="preserve"> (</w:t>
      </w:r>
      <w:r w:rsidR="007C7645" w:rsidRPr="004C787C">
        <w:rPr>
          <w:rFonts w:ascii="Arial" w:hAnsi="Arial" w:cs="Arial"/>
          <w:shd w:val="clear" w:color="auto" w:fill="FFFFFF"/>
        </w:rPr>
        <w:t>Leclert et al., 2021)</w:t>
      </w:r>
      <w:r w:rsidR="00171324" w:rsidRPr="004C787C">
        <w:rPr>
          <w:rFonts w:ascii="Arial" w:hAnsi="Arial" w:cs="Arial"/>
        </w:rPr>
        <w:t xml:space="preserve">. Hence, based on the exchange each party has several duties in linking with this conversation. A contractual duty based on the office can be present as it also involves two parties who are performing their responsibilities and are bound by an agreement. They are exchanging something such as work or pay and are </w:t>
      </w:r>
      <w:r w:rsidR="00171324" w:rsidRPr="004C787C">
        <w:rPr>
          <w:rFonts w:ascii="Arial" w:hAnsi="Arial" w:cs="Arial"/>
        </w:rPr>
        <w:lastRenderedPageBreak/>
        <w:t xml:space="preserve">packing back to each other.  Both are legally answerable for their actions and failure to comply with their assigned or due tasks. </w:t>
      </w:r>
      <w:r w:rsidR="006F110E" w:rsidRPr="004C787C">
        <w:rPr>
          <w:rFonts w:ascii="Arial" w:hAnsi="Arial" w:cs="Arial"/>
        </w:rPr>
        <w:t xml:space="preserve"> Likewise, under contractual obligations, one party has to legally pay for the trade of goods or services. The contract terms may establish commitments concerning payment sums and the limit for reimbursement. </w:t>
      </w:r>
      <w:r w:rsidR="006311B9" w:rsidRPr="004C787C">
        <w:rPr>
          <w:rFonts w:ascii="Arial" w:hAnsi="Arial" w:cs="Arial"/>
        </w:rPr>
        <w:t>The same</w:t>
      </w:r>
      <w:r w:rsidR="006F110E" w:rsidRPr="004C787C">
        <w:rPr>
          <w:rFonts w:ascii="Arial" w:hAnsi="Arial" w:cs="Arial"/>
        </w:rPr>
        <w:t xml:space="preserve"> is the case with the seller who is required to deliver goods of assured quality. This may be exactly labelled in the contract. </w:t>
      </w:r>
      <w:r w:rsidR="00171324" w:rsidRPr="004C787C">
        <w:rPr>
          <w:rFonts w:ascii="Arial" w:hAnsi="Arial" w:cs="Arial"/>
        </w:rPr>
        <w:t>If a case arises, when either party flops to perform contractual responsibilities rendering to the contract rapports, it will typically consequence in a breach of contract. This may consequence in a reparations honor to repay the non-breaching revelry for their financial sufferers.</w:t>
      </w:r>
    </w:p>
    <w:p w14:paraId="4DF91EE5" w14:textId="77777777" w:rsidR="006630EA" w:rsidRPr="004C787C" w:rsidRDefault="006D5371" w:rsidP="008B42BD">
      <w:pPr>
        <w:spacing w:line="480" w:lineRule="auto"/>
        <w:rPr>
          <w:rFonts w:ascii="Arial" w:hAnsi="Arial" w:cs="Arial"/>
          <w:shd w:val="clear" w:color="auto" w:fill="FFFFFF"/>
        </w:rPr>
      </w:pPr>
      <w:r w:rsidRPr="004C787C">
        <w:rPr>
          <w:rFonts w:ascii="Arial" w:hAnsi="Arial" w:cs="Arial"/>
        </w:rPr>
        <w:t>Duty to act is a lawful duty necessitating a party to take essential deeds to avert damage to another individual or to the common community. A common law duty to act arise when there is a need to prevent certain harm</w:t>
      </w:r>
      <w:r w:rsidR="00C32087" w:rsidRPr="004C787C">
        <w:rPr>
          <w:rFonts w:ascii="Arial" w:hAnsi="Arial" w:cs="Arial"/>
        </w:rPr>
        <w:t xml:space="preserve"> (</w:t>
      </w:r>
      <w:r w:rsidR="00C32087" w:rsidRPr="004C787C">
        <w:rPr>
          <w:rFonts w:ascii="Arial" w:hAnsi="Arial" w:cs="Arial"/>
          <w:shd w:val="clear" w:color="auto" w:fill="FFFFFF"/>
        </w:rPr>
        <w:t>Kemp, 2021)</w:t>
      </w:r>
      <w:r w:rsidRPr="004C787C">
        <w:rPr>
          <w:rFonts w:ascii="Arial" w:hAnsi="Arial" w:cs="Arial"/>
        </w:rPr>
        <w:t>. A duty to act is frequently forced under a decree or from a contractual association. Instances include a doctor’s responsibility to care for patients or a proprietor’s obligation to guard those who are requested upon his plot. Except there is a decree or contract generating the obligation, there will typically be no duty to act. Though, a duty may ascend when a being willingly shoulders accountability for another. A director will perform other than in agreement with the business's structure and will breach this responsibility if he reasons the corporation to do something else.</w:t>
      </w:r>
    </w:p>
    <w:p w14:paraId="69230CE8" w14:textId="77777777" w:rsidR="00453324" w:rsidRPr="004C787C" w:rsidRDefault="006D5371" w:rsidP="008B42BD">
      <w:pPr>
        <w:spacing w:line="480" w:lineRule="auto"/>
        <w:rPr>
          <w:rFonts w:ascii="Arial" w:hAnsi="Arial" w:cs="Arial"/>
        </w:rPr>
      </w:pPr>
      <w:r w:rsidRPr="004C787C">
        <w:rPr>
          <w:rFonts w:ascii="Arial" w:hAnsi="Arial" w:cs="Arial"/>
        </w:rPr>
        <w:t xml:space="preserve">A duty to act can also be stopped in different </w:t>
      </w:r>
      <w:r w:rsidR="00252303" w:rsidRPr="004C787C">
        <w:rPr>
          <w:rFonts w:ascii="Arial" w:hAnsi="Arial" w:cs="Arial"/>
        </w:rPr>
        <w:t>situations</w:t>
      </w:r>
      <w:r w:rsidRPr="004C787C">
        <w:rPr>
          <w:rFonts w:ascii="Arial" w:hAnsi="Arial" w:cs="Arial"/>
        </w:rPr>
        <w:t>.</w:t>
      </w:r>
      <w:r w:rsidR="00252303" w:rsidRPr="004C787C">
        <w:rPr>
          <w:rFonts w:ascii="Arial" w:hAnsi="Arial" w:cs="Arial"/>
        </w:rPr>
        <w:t xml:space="preserve"> When the current</w:t>
      </w:r>
      <w:r w:rsidRPr="004C787C">
        <w:rPr>
          <w:rFonts w:ascii="Arial" w:hAnsi="Arial" w:cs="Arial"/>
        </w:rPr>
        <w:t xml:space="preserve"> rules of law </w:t>
      </w:r>
      <w:r w:rsidR="00252303" w:rsidRPr="004C787C">
        <w:rPr>
          <w:rFonts w:ascii="Arial" w:hAnsi="Arial" w:cs="Arial"/>
        </w:rPr>
        <w:t>propose</w:t>
      </w:r>
      <w:r w:rsidRPr="004C787C">
        <w:rPr>
          <w:rFonts w:ascii="Arial" w:hAnsi="Arial" w:cs="Arial"/>
        </w:rPr>
        <w:t xml:space="preserve"> no </w:t>
      </w:r>
      <w:r w:rsidR="00252303" w:rsidRPr="004C787C">
        <w:rPr>
          <w:rFonts w:ascii="Arial" w:hAnsi="Arial" w:cs="Arial"/>
        </w:rPr>
        <w:t>comprehensive</w:t>
      </w:r>
      <w:r w:rsidRPr="004C787C">
        <w:rPr>
          <w:rFonts w:ascii="Arial" w:hAnsi="Arial" w:cs="Arial"/>
        </w:rPr>
        <w:t xml:space="preserve"> </w:t>
      </w:r>
      <w:r w:rsidR="00252303" w:rsidRPr="004C787C">
        <w:rPr>
          <w:rFonts w:ascii="Arial" w:hAnsi="Arial" w:cs="Arial"/>
        </w:rPr>
        <w:t>key</w:t>
      </w:r>
      <w:r w:rsidRPr="004C787C">
        <w:rPr>
          <w:rFonts w:ascii="Arial" w:hAnsi="Arial" w:cs="Arial"/>
        </w:rPr>
        <w:t xml:space="preserve"> to the </w:t>
      </w:r>
      <w:r w:rsidR="00252303" w:rsidRPr="004C787C">
        <w:rPr>
          <w:rFonts w:ascii="Arial" w:hAnsi="Arial" w:cs="Arial"/>
        </w:rPr>
        <w:t>delinquent</w:t>
      </w:r>
      <w:r w:rsidRPr="004C787C">
        <w:rPr>
          <w:rFonts w:ascii="Arial" w:hAnsi="Arial" w:cs="Arial"/>
        </w:rPr>
        <w:t xml:space="preserve">, three </w:t>
      </w:r>
      <w:r w:rsidR="00252303" w:rsidRPr="004C787C">
        <w:rPr>
          <w:rFonts w:ascii="Arial" w:hAnsi="Arial" w:cs="Arial"/>
        </w:rPr>
        <w:t>plain</w:t>
      </w:r>
      <w:r w:rsidRPr="004C787C">
        <w:rPr>
          <w:rFonts w:ascii="Arial" w:hAnsi="Arial" w:cs="Arial"/>
        </w:rPr>
        <w:t xml:space="preserve"> </w:t>
      </w:r>
      <w:r w:rsidR="00252303" w:rsidRPr="004C787C">
        <w:rPr>
          <w:rFonts w:ascii="Arial" w:hAnsi="Arial" w:cs="Arial"/>
        </w:rPr>
        <w:t>exclusions</w:t>
      </w:r>
      <w:r w:rsidRPr="004C787C">
        <w:rPr>
          <w:rFonts w:ascii="Arial" w:hAnsi="Arial" w:cs="Arial"/>
        </w:rPr>
        <w:t xml:space="preserve"> to </w:t>
      </w:r>
      <w:r w:rsidRPr="004C787C">
        <w:rPr>
          <w:rFonts w:ascii="Arial" w:hAnsi="Arial" w:cs="Arial"/>
        </w:rPr>
        <w:lastRenderedPageBreak/>
        <w:t xml:space="preserve">the general </w:t>
      </w:r>
      <w:r w:rsidR="00252303" w:rsidRPr="004C787C">
        <w:rPr>
          <w:rFonts w:ascii="Arial" w:hAnsi="Arial" w:cs="Arial"/>
        </w:rPr>
        <w:t>law</w:t>
      </w:r>
      <w:r w:rsidRPr="004C787C">
        <w:rPr>
          <w:rFonts w:ascii="Arial" w:hAnsi="Arial" w:cs="Arial"/>
        </w:rPr>
        <w:t xml:space="preserve"> that there is no duty to act do </w:t>
      </w:r>
      <w:r w:rsidR="00252303" w:rsidRPr="004C787C">
        <w:rPr>
          <w:rFonts w:ascii="Arial" w:hAnsi="Arial" w:cs="Arial"/>
        </w:rPr>
        <w:t>occur</w:t>
      </w:r>
      <w:r w:rsidRPr="004C787C">
        <w:rPr>
          <w:rFonts w:ascii="Arial" w:hAnsi="Arial" w:cs="Arial"/>
        </w:rPr>
        <w:t xml:space="preserve">. </w:t>
      </w:r>
      <w:r w:rsidR="00252303" w:rsidRPr="004C787C">
        <w:rPr>
          <w:rFonts w:ascii="Arial" w:hAnsi="Arial" w:cs="Arial"/>
        </w:rPr>
        <w:t>Primarily</w:t>
      </w:r>
      <w:r w:rsidRPr="004C787C">
        <w:rPr>
          <w:rFonts w:ascii="Arial" w:hAnsi="Arial" w:cs="Arial"/>
        </w:rPr>
        <w:t xml:space="preserve">, a </w:t>
      </w:r>
      <w:r w:rsidR="00252303" w:rsidRPr="004C787C">
        <w:rPr>
          <w:rFonts w:ascii="Arial" w:hAnsi="Arial" w:cs="Arial"/>
        </w:rPr>
        <w:t>being</w:t>
      </w:r>
      <w:r w:rsidRPr="004C787C">
        <w:rPr>
          <w:rFonts w:ascii="Arial" w:hAnsi="Arial" w:cs="Arial"/>
        </w:rPr>
        <w:t xml:space="preserve"> has a duty to act </w:t>
      </w:r>
      <w:r w:rsidR="00252303" w:rsidRPr="004C787C">
        <w:rPr>
          <w:rFonts w:ascii="Arial" w:hAnsi="Arial" w:cs="Arial"/>
        </w:rPr>
        <w:t>when</w:t>
      </w:r>
      <w:r w:rsidRPr="004C787C">
        <w:rPr>
          <w:rFonts w:ascii="Arial" w:hAnsi="Arial" w:cs="Arial"/>
        </w:rPr>
        <w:t xml:space="preserve"> he has </w:t>
      </w:r>
      <w:r w:rsidR="00252303" w:rsidRPr="004C787C">
        <w:rPr>
          <w:rFonts w:ascii="Arial" w:hAnsi="Arial" w:cs="Arial"/>
        </w:rPr>
        <w:t>persuaded</w:t>
      </w:r>
      <w:r w:rsidRPr="004C787C">
        <w:rPr>
          <w:rFonts w:ascii="Arial" w:hAnsi="Arial" w:cs="Arial"/>
        </w:rPr>
        <w:t xml:space="preserve"> another to </w:t>
      </w:r>
      <w:r w:rsidR="00252303" w:rsidRPr="004C787C">
        <w:rPr>
          <w:rFonts w:ascii="Arial" w:hAnsi="Arial" w:cs="Arial"/>
        </w:rPr>
        <w:t>depend on</w:t>
      </w:r>
      <w:r w:rsidRPr="004C787C">
        <w:rPr>
          <w:rFonts w:ascii="Arial" w:hAnsi="Arial" w:cs="Arial"/>
        </w:rPr>
        <w:t xml:space="preserve"> to his </w:t>
      </w:r>
      <w:r w:rsidR="00252303" w:rsidRPr="004C787C">
        <w:rPr>
          <w:rFonts w:ascii="Arial" w:hAnsi="Arial" w:cs="Arial"/>
        </w:rPr>
        <w:t>disadvantage</w:t>
      </w:r>
      <w:r w:rsidRPr="004C787C">
        <w:rPr>
          <w:rFonts w:ascii="Arial" w:hAnsi="Arial" w:cs="Arial"/>
        </w:rPr>
        <w:t xml:space="preserve"> upon a </w:t>
      </w:r>
      <w:r w:rsidR="00252303" w:rsidRPr="004C787C">
        <w:rPr>
          <w:rFonts w:ascii="Arial" w:hAnsi="Arial" w:cs="Arial"/>
        </w:rPr>
        <w:t>complimentary</w:t>
      </w:r>
      <w:r w:rsidRPr="004C787C">
        <w:rPr>
          <w:rFonts w:ascii="Arial" w:hAnsi="Arial" w:cs="Arial"/>
        </w:rPr>
        <w:t xml:space="preserve"> </w:t>
      </w:r>
      <w:r w:rsidR="00252303" w:rsidRPr="004C787C">
        <w:rPr>
          <w:rFonts w:ascii="Arial" w:hAnsi="Arial" w:cs="Arial"/>
        </w:rPr>
        <w:t>potential</w:t>
      </w:r>
      <w:r w:rsidRPr="004C787C">
        <w:rPr>
          <w:rFonts w:ascii="Arial" w:hAnsi="Arial" w:cs="Arial"/>
        </w:rPr>
        <w:t xml:space="preserve"> to act.</w:t>
      </w:r>
      <w:r w:rsidR="00252303" w:rsidRPr="004C787C">
        <w:rPr>
          <w:rFonts w:ascii="Arial" w:hAnsi="Arial" w:cs="Arial"/>
        </w:rPr>
        <w:t xml:space="preserve"> </w:t>
      </w:r>
      <w:r w:rsidR="00396229" w:rsidRPr="004C787C">
        <w:rPr>
          <w:rFonts w:ascii="Arial" w:hAnsi="Arial" w:cs="Arial"/>
        </w:rPr>
        <w:t xml:space="preserve">In this case, the failure to act of one person may stop the duty to act of the other person.  </w:t>
      </w:r>
      <w:r w:rsidR="00252303" w:rsidRPr="004C787C">
        <w:rPr>
          <w:rFonts w:ascii="Arial" w:hAnsi="Arial" w:cs="Arial"/>
        </w:rPr>
        <w:t xml:space="preserve">Moreover, </w:t>
      </w:r>
      <w:r w:rsidRPr="004C787C">
        <w:rPr>
          <w:rFonts w:ascii="Arial" w:hAnsi="Arial" w:cs="Arial"/>
        </w:rPr>
        <w:t>a</w:t>
      </w:r>
      <w:r w:rsidR="00252303" w:rsidRPr="004C787C">
        <w:rPr>
          <w:rFonts w:ascii="Arial" w:hAnsi="Arial" w:cs="Arial"/>
        </w:rPr>
        <w:t>n</w:t>
      </w:r>
      <w:r w:rsidRPr="004C787C">
        <w:rPr>
          <w:rFonts w:ascii="Arial" w:hAnsi="Arial" w:cs="Arial"/>
        </w:rPr>
        <w:t xml:space="preserve"> </w:t>
      </w:r>
      <w:r w:rsidR="00252303" w:rsidRPr="004C787C">
        <w:rPr>
          <w:rFonts w:ascii="Arial" w:hAnsi="Arial" w:cs="Arial"/>
        </w:rPr>
        <w:t>individual</w:t>
      </w:r>
      <w:r w:rsidRPr="004C787C">
        <w:rPr>
          <w:rFonts w:ascii="Arial" w:hAnsi="Arial" w:cs="Arial"/>
        </w:rPr>
        <w:t xml:space="preserve"> has a duty to act </w:t>
      </w:r>
      <w:r w:rsidR="00252303" w:rsidRPr="004C787C">
        <w:rPr>
          <w:rFonts w:ascii="Arial" w:hAnsi="Arial" w:cs="Arial"/>
        </w:rPr>
        <w:t>when</w:t>
      </w:r>
      <w:r w:rsidRPr="004C787C">
        <w:rPr>
          <w:rFonts w:ascii="Arial" w:hAnsi="Arial" w:cs="Arial"/>
        </w:rPr>
        <w:t xml:space="preserve"> he has some </w:t>
      </w:r>
      <w:r w:rsidR="00252303" w:rsidRPr="004C787C">
        <w:rPr>
          <w:rFonts w:ascii="Arial" w:hAnsi="Arial" w:cs="Arial"/>
        </w:rPr>
        <w:t>distinct</w:t>
      </w:r>
      <w:r w:rsidRPr="004C787C">
        <w:rPr>
          <w:rFonts w:ascii="Arial" w:hAnsi="Arial" w:cs="Arial"/>
        </w:rPr>
        <w:t xml:space="preserve"> </w:t>
      </w:r>
      <w:r w:rsidR="00252303" w:rsidRPr="004C787C">
        <w:rPr>
          <w:rFonts w:ascii="Arial" w:hAnsi="Arial" w:cs="Arial"/>
        </w:rPr>
        <w:t>association</w:t>
      </w:r>
      <w:r w:rsidRPr="004C787C">
        <w:rPr>
          <w:rFonts w:ascii="Arial" w:hAnsi="Arial" w:cs="Arial"/>
        </w:rPr>
        <w:t xml:space="preserve"> with the </w:t>
      </w:r>
      <w:r w:rsidR="00252303" w:rsidRPr="004C787C">
        <w:rPr>
          <w:rFonts w:ascii="Arial" w:hAnsi="Arial" w:cs="Arial"/>
        </w:rPr>
        <w:t>being</w:t>
      </w:r>
      <w:r w:rsidRPr="004C787C">
        <w:rPr>
          <w:rFonts w:ascii="Arial" w:hAnsi="Arial" w:cs="Arial"/>
        </w:rPr>
        <w:t xml:space="preserve"> in </w:t>
      </w:r>
      <w:r w:rsidR="00252303" w:rsidRPr="004C787C">
        <w:rPr>
          <w:rFonts w:ascii="Arial" w:hAnsi="Arial" w:cs="Arial"/>
        </w:rPr>
        <w:t>the necessity</w:t>
      </w:r>
      <w:r w:rsidRPr="004C787C">
        <w:rPr>
          <w:rFonts w:ascii="Arial" w:hAnsi="Arial" w:cs="Arial"/>
        </w:rPr>
        <w:t xml:space="preserve"> of </w:t>
      </w:r>
      <w:r w:rsidR="00252303" w:rsidRPr="004C787C">
        <w:rPr>
          <w:rFonts w:ascii="Arial" w:hAnsi="Arial" w:cs="Arial"/>
        </w:rPr>
        <w:t>assistance</w:t>
      </w:r>
      <w:r w:rsidRPr="004C787C">
        <w:rPr>
          <w:rFonts w:ascii="Arial" w:hAnsi="Arial" w:cs="Arial"/>
        </w:rPr>
        <w:t>.</w:t>
      </w:r>
      <w:r w:rsidR="00FB7838" w:rsidRPr="004C787C">
        <w:rPr>
          <w:rFonts w:ascii="Arial" w:hAnsi="Arial" w:cs="Arial"/>
        </w:rPr>
        <w:t xml:space="preserve"> It is not the lawful obligation of one person to act. However, based on ethical and moral grounds the duty can be performed. </w:t>
      </w:r>
    </w:p>
    <w:p w14:paraId="00B318B2" w14:textId="77799433" w:rsidR="00453324" w:rsidRPr="004C787C" w:rsidRDefault="006D5371" w:rsidP="008B42BD">
      <w:pPr>
        <w:spacing w:line="480" w:lineRule="auto"/>
        <w:rPr>
          <w:rFonts w:ascii="Arial" w:hAnsi="Arial" w:cs="Arial"/>
        </w:rPr>
      </w:pPr>
      <w:r w:rsidRPr="004C787C">
        <w:rPr>
          <w:rFonts w:ascii="Arial" w:hAnsi="Arial" w:cs="Arial"/>
        </w:rPr>
        <w:t xml:space="preserve"> Likewise, an</w:t>
      </w:r>
      <w:r w:rsidR="0020651E" w:rsidRPr="004C787C">
        <w:rPr>
          <w:rFonts w:ascii="Arial" w:hAnsi="Arial" w:cs="Arial"/>
        </w:rPr>
        <w:t xml:space="preserve"> </w:t>
      </w:r>
      <w:r w:rsidRPr="004C787C">
        <w:rPr>
          <w:rFonts w:ascii="Arial" w:hAnsi="Arial" w:cs="Arial"/>
        </w:rPr>
        <w:t>individual</w:t>
      </w:r>
      <w:r w:rsidR="0020651E" w:rsidRPr="004C787C">
        <w:rPr>
          <w:rFonts w:ascii="Arial" w:hAnsi="Arial" w:cs="Arial"/>
        </w:rPr>
        <w:t xml:space="preserve"> has a </w:t>
      </w:r>
      <w:r w:rsidRPr="004C787C">
        <w:rPr>
          <w:rFonts w:ascii="Arial" w:hAnsi="Arial" w:cs="Arial"/>
        </w:rPr>
        <w:t>responsibility</w:t>
      </w:r>
      <w:r w:rsidR="0020651E" w:rsidRPr="004C787C">
        <w:rPr>
          <w:rFonts w:ascii="Arial" w:hAnsi="Arial" w:cs="Arial"/>
        </w:rPr>
        <w:t xml:space="preserve"> to act if he </w:t>
      </w:r>
      <w:r w:rsidRPr="004C787C">
        <w:rPr>
          <w:rFonts w:ascii="Arial" w:hAnsi="Arial" w:cs="Arial"/>
        </w:rPr>
        <w:t>reins</w:t>
      </w:r>
      <w:r w:rsidR="0020651E" w:rsidRPr="004C787C">
        <w:rPr>
          <w:rFonts w:ascii="Arial" w:hAnsi="Arial" w:cs="Arial"/>
        </w:rPr>
        <w:t xml:space="preserve"> an active </w:t>
      </w:r>
      <w:r w:rsidRPr="004C787C">
        <w:rPr>
          <w:rFonts w:ascii="Arial" w:hAnsi="Arial" w:cs="Arial"/>
        </w:rPr>
        <w:t>power</w:t>
      </w:r>
      <w:r w:rsidR="0020651E" w:rsidRPr="004C787C">
        <w:rPr>
          <w:rFonts w:ascii="Arial" w:hAnsi="Arial" w:cs="Arial"/>
        </w:rPr>
        <w:t xml:space="preserve"> that may </w:t>
      </w:r>
      <w:r w:rsidRPr="004C787C">
        <w:rPr>
          <w:rFonts w:ascii="Arial" w:hAnsi="Arial" w:cs="Arial"/>
        </w:rPr>
        <w:t>source</w:t>
      </w:r>
      <w:r w:rsidR="0020651E" w:rsidRPr="004C787C">
        <w:rPr>
          <w:rFonts w:ascii="Arial" w:hAnsi="Arial" w:cs="Arial"/>
        </w:rPr>
        <w:t xml:space="preserve"> a physical </w:t>
      </w:r>
      <w:r w:rsidRPr="004C787C">
        <w:rPr>
          <w:rFonts w:ascii="Arial" w:hAnsi="Arial" w:cs="Arial"/>
        </w:rPr>
        <w:t>wound</w:t>
      </w:r>
      <w:r w:rsidR="0020651E" w:rsidRPr="004C787C">
        <w:rPr>
          <w:rFonts w:ascii="Arial" w:hAnsi="Arial" w:cs="Arial"/>
        </w:rPr>
        <w:t xml:space="preserve"> or if </w:t>
      </w:r>
      <w:r w:rsidRPr="004C787C">
        <w:rPr>
          <w:rFonts w:ascii="Arial" w:hAnsi="Arial" w:cs="Arial"/>
        </w:rPr>
        <w:t>the alternative</w:t>
      </w:r>
      <w:r w:rsidR="0020651E" w:rsidRPr="004C787C">
        <w:rPr>
          <w:rFonts w:ascii="Arial" w:hAnsi="Arial" w:cs="Arial"/>
        </w:rPr>
        <w:t xml:space="preserve"> is </w:t>
      </w:r>
      <w:r w:rsidRPr="004C787C">
        <w:rPr>
          <w:rFonts w:ascii="Arial" w:hAnsi="Arial" w:cs="Arial"/>
        </w:rPr>
        <w:t>hurt</w:t>
      </w:r>
      <w:r w:rsidR="0020651E" w:rsidRPr="004C787C">
        <w:rPr>
          <w:rFonts w:ascii="Arial" w:hAnsi="Arial" w:cs="Arial"/>
        </w:rPr>
        <w:t xml:space="preserve"> by that active </w:t>
      </w:r>
      <w:r w:rsidRPr="004C787C">
        <w:rPr>
          <w:rFonts w:ascii="Arial" w:hAnsi="Arial" w:cs="Arial"/>
        </w:rPr>
        <w:t>power. H</w:t>
      </w:r>
      <w:r w:rsidR="0020651E" w:rsidRPr="004C787C">
        <w:rPr>
          <w:rFonts w:ascii="Arial" w:hAnsi="Arial" w:cs="Arial"/>
        </w:rPr>
        <w:t xml:space="preserve">owever, </w:t>
      </w:r>
      <w:r w:rsidRPr="004C787C">
        <w:rPr>
          <w:rFonts w:ascii="Arial" w:hAnsi="Arial" w:cs="Arial"/>
        </w:rPr>
        <w:t xml:space="preserve">there is no duty to act when there is an emergency situation. One may not have the necessary arrangements to </w:t>
      </w:r>
      <w:r w:rsidR="006311B9" w:rsidRPr="004C787C">
        <w:rPr>
          <w:rFonts w:ascii="Arial" w:hAnsi="Arial" w:cs="Arial"/>
        </w:rPr>
        <w:t>fulfill</w:t>
      </w:r>
      <w:r w:rsidRPr="004C787C">
        <w:rPr>
          <w:rFonts w:ascii="Arial" w:hAnsi="Arial" w:cs="Arial"/>
        </w:rPr>
        <w:t xml:space="preserve"> the </w:t>
      </w:r>
      <w:r w:rsidR="00396229" w:rsidRPr="004C787C">
        <w:rPr>
          <w:rFonts w:ascii="Arial" w:hAnsi="Arial" w:cs="Arial"/>
        </w:rPr>
        <w:t>obligations and in this situation, he is not liable to do actions that can protect the other party from any harm.</w:t>
      </w:r>
      <w:r w:rsidR="00B60042" w:rsidRPr="004C787C">
        <w:rPr>
          <w:rFonts w:ascii="Arial" w:hAnsi="Arial" w:cs="Arial"/>
        </w:rPr>
        <w:t xml:space="preserve"> In addition, there is also no duty to act in matters of special relations</w:t>
      </w:r>
      <w:r w:rsidR="007C7645" w:rsidRPr="004C787C">
        <w:rPr>
          <w:rFonts w:ascii="Arial" w:hAnsi="Arial" w:cs="Arial"/>
        </w:rPr>
        <w:t xml:space="preserve"> (</w:t>
      </w:r>
      <w:r w:rsidR="007C7645" w:rsidRPr="004C787C">
        <w:rPr>
          <w:rFonts w:ascii="Arial" w:hAnsi="Arial" w:cs="Arial"/>
          <w:shd w:val="clear" w:color="auto" w:fill="FFFFFF"/>
        </w:rPr>
        <w:t>Jain, 2021)</w:t>
      </w:r>
      <w:r w:rsidR="00B60042" w:rsidRPr="004C787C">
        <w:rPr>
          <w:rFonts w:ascii="Arial" w:hAnsi="Arial" w:cs="Arial"/>
        </w:rPr>
        <w:t>. Therefore, even when no alternative subsists, one individual may have a wide-ranging duty to relieve and sustain another. For instance, a father who has a broad responsibility to sustain his child must act to protect that child from hazards.</w:t>
      </w:r>
      <w:r w:rsidR="00974BFA" w:rsidRPr="004C787C">
        <w:rPr>
          <w:rFonts w:ascii="Arial" w:hAnsi="Arial" w:cs="Arial"/>
        </w:rPr>
        <w:t xml:space="preserve"> Airedale NHS Trust v Bland [1993] is a case in </w:t>
      </w:r>
      <w:r w:rsidR="00B10431" w:rsidRPr="004C787C">
        <w:rPr>
          <w:rFonts w:ascii="Arial" w:hAnsi="Arial" w:cs="Arial"/>
        </w:rPr>
        <w:t>which</w:t>
      </w:r>
      <w:r w:rsidR="00974BFA" w:rsidRPr="004C787C">
        <w:rPr>
          <w:rFonts w:ascii="Arial" w:hAnsi="Arial" w:cs="Arial"/>
        </w:rPr>
        <w:t xml:space="preserve"> there is a </w:t>
      </w:r>
      <w:r w:rsidRPr="004C787C">
        <w:rPr>
          <w:rFonts w:ascii="Arial" w:hAnsi="Arial" w:cs="Arial"/>
        </w:rPr>
        <w:t xml:space="preserve">very </w:t>
      </w:r>
      <w:r w:rsidR="00B10431" w:rsidRPr="004C787C">
        <w:rPr>
          <w:rFonts w:ascii="Arial" w:hAnsi="Arial" w:cs="Arial"/>
        </w:rPr>
        <w:t>acceptable</w:t>
      </w:r>
      <w:r w:rsidRPr="004C787C">
        <w:rPr>
          <w:rFonts w:ascii="Arial" w:hAnsi="Arial" w:cs="Arial"/>
        </w:rPr>
        <w:t xml:space="preserve"> and </w:t>
      </w:r>
      <w:r w:rsidR="00B10431" w:rsidRPr="004C787C">
        <w:rPr>
          <w:rFonts w:ascii="Arial" w:hAnsi="Arial" w:cs="Arial"/>
        </w:rPr>
        <w:t>wobbly</w:t>
      </w:r>
      <w:r w:rsidRPr="004C787C">
        <w:rPr>
          <w:rFonts w:ascii="Arial" w:hAnsi="Arial" w:cs="Arial"/>
        </w:rPr>
        <w:t xml:space="preserve"> </w:t>
      </w:r>
      <w:r w:rsidR="00B10431" w:rsidRPr="004C787C">
        <w:rPr>
          <w:rFonts w:ascii="Arial" w:hAnsi="Arial" w:cs="Arial"/>
        </w:rPr>
        <w:t>difference</w:t>
      </w:r>
      <w:r w:rsidRPr="004C787C">
        <w:rPr>
          <w:rFonts w:ascii="Arial" w:hAnsi="Arial" w:cs="Arial"/>
        </w:rPr>
        <w:t xml:space="preserve"> between acts and omissions</w:t>
      </w:r>
      <w:r w:rsidR="00B10431" w:rsidRPr="004C787C">
        <w:rPr>
          <w:rFonts w:ascii="Arial" w:hAnsi="Arial" w:cs="Arial"/>
        </w:rPr>
        <w:t xml:space="preserve">. </w:t>
      </w:r>
      <w:r w:rsidRPr="004C787C">
        <w:rPr>
          <w:rFonts w:ascii="Arial" w:hAnsi="Arial" w:cs="Arial"/>
        </w:rPr>
        <w:t xml:space="preserve">The law </w:t>
      </w:r>
      <w:r w:rsidR="00B10431" w:rsidRPr="004C787C">
        <w:rPr>
          <w:rFonts w:ascii="Arial" w:hAnsi="Arial" w:cs="Arial"/>
        </w:rPr>
        <w:t>lures</w:t>
      </w:r>
      <w:r w:rsidRPr="004C787C">
        <w:rPr>
          <w:rFonts w:ascii="Arial" w:hAnsi="Arial" w:cs="Arial"/>
        </w:rPr>
        <w:t xml:space="preserve"> a </w:t>
      </w:r>
      <w:r w:rsidR="00B10431" w:rsidRPr="004C787C">
        <w:rPr>
          <w:rFonts w:ascii="Arial" w:hAnsi="Arial" w:cs="Arial"/>
        </w:rPr>
        <w:t>vital</w:t>
      </w:r>
      <w:r w:rsidRPr="004C787C">
        <w:rPr>
          <w:rFonts w:ascii="Arial" w:hAnsi="Arial" w:cs="Arial"/>
        </w:rPr>
        <w:t xml:space="preserve"> </w:t>
      </w:r>
      <w:r w:rsidR="00B10431" w:rsidRPr="004C787C">
        <w:rPr>
          <w:rFonts w:ascii="Arial" w:hAnsi="Arial" w:cs="Arial"/>
        </w:rPr>
        <w:t>difference</w:t>
      </w:r>
      <w:r w:rsidRPr="004C787C">
        <w:rPr>
          <w:rFonts w:ascii="Arial" w:hAnsi="Arial" w:cs="Arial"/>
        </w:rPr>
        <w:t xml:space="preserve"> between cases in which a doctor </w:t>
      </w:r>
      <w:r w:rsidR="00B10431" w:rsidRPr="004C787C">
        <w:rPr>
          <w:rFonts w:ascii="Arial" w:hAnsi="Arial" w:cs="Arial"/>
        </w:rPr>
        <w:t>chooses</w:t>
      </w:r>
      <w:r w:rsidRPr="004C787C">
        <w:rPr>
          <w:rFonts w:ascii="Arial" w:hAnsi="Arial" w:cs="Arial"/>
        </w:rPr>
        <w:t xml:space="preserve"> not to </w:t>
      </w:r>
      <w:r w:rsidR="00B10431" w:rsidRPr="004C787C">
        <w:rPr>
          <w:rFonts w:ascii="Arial" w:hAnsi="Arial" w:cs="Arial"/>
        </w:rPr>
        <w:t>deliver</w:t>
      </w:r>
      <w:r w:rsidRPr="004C787C">
        <w:rPr>
          <w:rFonts w:ascii="Arial" w:hAnsi="Arial" w:cs="Arial"/>
        </w:rPr>
        <w:t xml:space="preserve">, or to </w:t>
      </w:r>
      <w:r w:rsidR="00B10431" w:rsidRPr="004C787C">
        <w:rPr>
          <w:rFonts w:ascii="Arial" w:hAnsi="Arial" w:cs="Arial"/>
        </w:rPr>
        <w:t>endure</w:t>
      </w:r>
      <w:r w:rsidRPr="004C787C">
        <w:rPr>
          <w:rFonts w:ascii="Arial" w:hAnsi="Arial" w:cs="Arial"/>
        </w:rPr>
        <w:t xml:space="preserve"> to </w:t>
      </w:r>
      <w:r w:rsidR="00B10431" w:rsidRPr="004C787C">
        <w:rPr>
          <w:rFonts w:ascii="Arial" w:hAnsi="Arial" w:cs="Arial"/>
        </w:rPr>
        <w:t>deliver</w:t>
      </w:r>
      <w:r w:rsidRPr="004C787C">
        <w:rPr>
          <w:rFonts w:ascii="Arial" w:hAnsi="Arial" w:cs="Arial"/>
        </w:rPr>
        <w:t xml:space="preserve">, for his patient </w:t>
      </w:r>
      <w:r w:rsidR="00B10431" w:rsidRPr="004C787C">
        <w:rPr>
          <w:rFonts w:ascii="Arial" w:hAnsi="Arial" w:cs="Arial"/>
        </w:rPr>
        <w:t>management</w:t>
      </w:r>
      <w:r w:rsidRPr="004C787C">
        <w:rPr>
          <w:rFonts w:ascii="Arial" w:hAnsi="Arial" w:cs="Arial"/>
        </w:rPr>
        <w:t xml:space="preserve"> or </w:t>
      </w:r>
      <w:r w:rsidR="00B10431" w:rsidRPr="004C787C">
        <w:rPr>
          <w:rFonts w:ascii="Arial" w:hAnsi="Arial" w:cs="Arial"/>
        </w:rPr>
        <w:t>upkeep</w:t>
      </w:r>
      <w:r w:rsidRPr="004C787C">
        <w:rPr>
          <w:rFonts w:ascii="Arial" w:hAnsi="Arial" w:cs="Arial"/>
        </w:rPr>
        <w:t xml:space="preserve"> which could or might </w:t>
      </w:r>
      <w:r w:rsidR="00B10431" w:rsidRPr="004C787C">
        <w:rPr>
          <w:rFonts w:ascii="Arial" w:hAnsi="Arial" w:cs="Arial"/>
        </w:rPr>
        <w:t>extend</w:t>
      </w:r>
      <w:r w:rsidRPr="004C787C">
        <w:rPr>
          <w:rFonts w:ascii="Arial" w:hAnsi="Arial" w:cs="Arial"/>
        </w:rPr>
        <w:t xml:space="preserve"> his </w:t>
      </w:r>
      <w:r w:rsidR="00B10431" w:rsidRPr="004C787C">
        <w:rPr>
          <w:rFonts w:ascii="Arial" w:hAnsi="Arial" w:cs="Arial"/>
        </w:rPr>
        <w:t>lifetime</w:t>
      </w:r>
      <w:r w:rsidRPr="004C787C">
        <w:rPr>
          <w:rFonts w:ascii="Arial" w:hAnsi="Arial" w:cs="Arial"/>
        </w:rPr>
        <w:t xml:space="preserve">, and those in which he </w:t>
      </w:r>
      <w:r w:rsidR="00B10431" w:rsidRPr="004C787C">
        <w:rPr>
          <w:rFonts w:ascii="Arial" w:hAnsi="Arial" w:cs="Arial"/>
        </w:rPr>
        <w:t>chooses</w:t>
      </w:r>
      <w:r w:rsidRPr="004C787C">
        <w:rPr>
          <w:rFonts w:ascii="Arial" w:hAnsi="Arial" w:cs="Arial"/>
        </w:rPr>
        <w:t xml:space="preserve">, for </w:t>
      </w:r>
      <w:r w:rsidR="00B10431" w:rsidRPr="004C787C">
        <w:rPr>
          <w:rFonts w:ascii="Arial" w:hAnsi="Arial" w:cs="Arial"/>
        </w:rPr>
        <w:t>instance</w:t>
      </w:r>
      <w:r w:rsidRPr="004C787C">
        <w:rPr>
          <w:rFonts w:ascii="Arial" w:hAnsi="Arial" w:cs="Arial"/>
        </w:rPr>
        <w:t xml:space="preserve"> by </w:t>
      </w:r>
      <w:r w:rsidR="00B10431" w:rsidRPr="004C787C">
        <w:rPr>
          <w:rFonts w:ascii="Arial" w:hAnsi="Arial" w:cs="Arial"/>
        </w:rPr>
        <w:t>managing</w:t>
      </w:r>
      <w:r w:rsidRPr="004C787C">
        <w:rPr>
          <w:rFonts w:ascii="Arial" w:hAnsi="Arial" w:cs="Arial"/>
        </w:rPr>
        <w:t xml:space="preserve"> a </w:t>
      </w:r>
      <w:r w:rsidR="00B10431" w:rsidRPr="004C787C">
        <w:rPr>
          <w:rFonts w:ascii="Arial" w:hAnsi="Arial" w:cs="Arial"/>
        </w:rPr>
        <w:t>deadly</w:t>
      </w:r>
      <w:r w:rsidRPr="004C787C">
        <w:rPr>
          <w:rFonts w:ascii="Arial" w:hAnsi="Arial" w:cs="Arial"/>
        </w:rPr>
        <w:t xml:space="preserve"> </w:t>
      </w:r>
      <w:r w:rsidR="00B10431" w:rsidRPr="004C787C">
        <w:rPr>
          <w:rFonts w:ascii="Arial" w:hAnsi="Arial" w:cs="Arial"/>
        </w:rPr>
        <w:t>medication</w:t>
      </w:r>
      <w:r w:rsidRPr="004C787C">
        <w:rPr>
          <w:rFonts w:ascii="Arial" w:hAnsi="Arial" w:cs="Arial"/>
        </w:rPr>
        <w:t xml:space="preserve">, </w:t>
      </w:r>
      <w:r w:rsidR="00B10431" w:rsidRPr="004C787C">
        <w:rPr>
          <w:rFonts w:ascii="Arial" w:hAnsi="Arial" w:cs="Arial"/>
        </w:rPr>
        <w:t>vigorously</w:t>
      </w:r>
      <w:r w:rsidRPr="004C787C">
        <w:rPr>
          <w:rFonts w:ascii="Arial" w:hAnsi="Arial" w:cs="Arial"/>
        </w:rPr>
        <w:t xml:space="preserve"> to </w:t>
      </w:r>
      <w:r w:rsidR="00B10431" w:rsidRPr="004C787C">
        <w:rPr>
          <w:rFonts w:ascii="Arial" w:hAnsi="Arial" w:cs="Arial"/>
        </w:rPr>
        <w:t>fetch</w:t>
      </w:r>
      <w:r w:rsidRPr="004C787C">
        <w:rPr>
          <w:rFonts w:ascii="Arial" w:hAnsi="Arial" w:cs="Arial"/>
        </w:rPr>
        <w:t xml:space="preserve"> his patient’s </w:t>
      </w:r>
      <w:r w:rsidR="00B10431" w:rsidRPr="004C787C">
        <w:rPr>
          <w:rFonts w:ascii="Arial" w:hAnsi="Arial" w:cs="Arial"/>
        </w:rPr>
        <w:t>lifetime to an end</w:t>
      </w:r>
      <w:r w:rsidR="00C32087" w:rsidRPr="004C787C">
        <w:rPr>
          <w:rFonts w:ascii="Arial" w:hAnsi="Arial" w:cs="Arial"/>
        </w:rPr>
        <w:t xml:space="preserve"> (Manning, 2019).</w:t>
      </w:r>
    </w:p>
    <w:p w14:paraId="64C2B855" w14:textId="5E10800C" w:rsidR="006311B9" w:rsidRPr="004C787C" w:rsidRDefault="006D5371" w:rsidP="006311B9">
      <w:pPr>
        <w:spacing w:line="480" w:lineRule="auto"/>
        <w:rPr>
          <w:rFonts w:ascii="Arial" w:hAnsi="Arial" w:cs="Arial"/>
        </w:rPr>
      </w:pPr>
      <w:r w:rsidRPr="004C787C">
        <w:rPr>
          <w:rFonts w:ascii="Arial" w:hAnsi="Arial" w:cs="Arial"/>
        </w:rPr>
        <w:lastRenderedPageBreak/>
        <w:t xml:space="preserve">A duty of action binds people to perform certain actions to prevent others. If it is a </w:t>
      </w:r>
      <w:r w:rsidR="006F7F79" w:rsidRPr="004C787C">
        <w:rPr>
          <w:rFonts w:ascii="Arial" w:hAnsi="Arial" w:cs="Arial"/>
        </w:rPr>
        <w:t>general duty to act, then every individual is required to take care of others. This will decrease accidents, harm and other damages as everyone will be liable to protect the other</w:t>
      </w:r>
      <w:r w:rsidR="007C7645" w:rsidRPr="004C787C">
        <w:rPr>
          <w:rFonts w:ascii="Arial" w:hAnsi="Arial" w:cs="Arial"/>
        </w:rPr>
        <w:t xml:space="preserve"> (</w:t>
      </w:r>
      <w:r w:rsidR="007C7645" w:rsidRPr="004C787C">
        <w:rPr>
          <w:rFonts w:ascii="Arial" w:hAnsi="Arial" w:cs="Arial"/>
          <w:shd w:val="clear" w:color="auto" w:fill="FFFFFF"/>
        </w:rPr>
        <w:t>Hall, 2022)</w:t>
      </w:r>
      <w:r w:rsidR="006F7F79" w:rsidRPr="004C787C">
        <w:rPr>
          <w:rFonts w:ascii="Arial" w:hAnsi="Arial" w:cs="Arial"/>
        </w:rPr>
        <w:t xml:space="preserve">. </w:t>
      </w:r>
      <w:r w:rsidR="00FC4221" w:rsidRPr="004C787C">
        <w:rPr>
          <w:rFonts w:ascii="Arial" w:hAnsi="Arial" w:cs="Arial"/>
        </w:rPr>
        <w:t xml:space="preserve">For example, a duty to act imposes a responsibility when no other assistance is accessible. Consequently, an employer may be mandatory to give support to an employee when the situations of employment have tapered the worker's chance of gaining aid or have augmented the likelihood that the worker would be hurt. </w:t>
      </w:r>
      <w:r w:rsidR="00930FCB" w:rsidRPr="004C787C">
        <w:rPr>
          <w:rFonts w:ascii="Arial" w:hAnsi="Arial" w:cs="Arial"/>
        </w:rPr>
        <w:t>Here, this duty to act was willingly expected by the boss through the employment agreement, that it was compulsory by law below the workmen's recompense rules.</w:t>
      </w:r>
      <w:r w:rsidR="00A05E95" w:rsidRPr="004C787C">
        <w:rPr>
          <w:rFonts w:ascii="Arial" w:hAnsi="Arial" w:cs="Arial"/>
        </w:rPr>
        <w:t xml:space="preserve"> According to the case of R v Gibbins and Proctor (1918), if a parent acting as 'loco parents flops to sufficiently care and deliver for a kid this may practice the actus reus of an illegal crime where the kid comes to maltreatment, as they are indebted the child a responsibility of care.</w:t>
      </w:r>
      <w:r w:rsidR="00B10431" w:rsidRPr="004C787C">
        <w:rPr>
          <w:rFonts w:ascii="Arial" w:hAnsi="Arial" w:cs="Arial"/>
        </w:rPr>
        <w:t xml:space="preserve"> </w:t>
      </w:r>
      <w:r w:rsidR="006F7F79" w:rsidRPr="004C787C">
        <w:rPr>
          <w:rFonts w:ascii="Arial" w:hAnsi="Arial" w:cs="Arial"/>
        </w:rPr>
        <w:t xml:space="preserve">However, there are also several disadvantages such as people may start taking advantage of the situation </w:t>
      </w:r>
      <w:r w:rsidR="00FC4221" w:rsidRPr="004C787C">
        <w:rPr>
          <w:rFonts w:ascii="Arial" w:hAnsi="Arial" w:cs="Arial"/>
        </w:rPr>
        <w:t>and misuse the duty of act</w:t>
      </w:r>
      <w:r w:rsidR="0084367A" w:rsidRPr="004C787C">
        <w:rPr>
          <w:rFonts w:ascii="Arial" w:hAnsi="Arial" w:cs="Arial"/>
        </w:rPr>
        <w:t xml:space="preserve"> (</w:t>
      </w:r>
      <w:r w:rsidR="0084367A" w:rsidRPr="004C787C">
        <w:rPr>
          <w:rFonts w:ascii="Arial" w:hAnsi="Arial" w:cs="Arial"/>
          <w:shd w:val="clear" w:color="auto" w:fill="FFFFFF"/>
        </w:rPr>
        <w:t>Gibbins, 1918)</w:t>
      </w:r>
      <w:r w:rsidR="00FC4221" w:rsidRPr="004C787C">
        <w:rPr>
          <w:rFonts w:ascii="Arial" w:hAnsi="Arial" w:cs="Arial"/>
        </w:rPr>
        <w:t xml:space="preserve">. </w:t>
      </w:r>
      <w:r w:rsidRPr="004C787C">
        <w:rPr>
          <w:rFonts w:ascii="Arial" w:hAnsi="Arial" w:cs="Arial"/>
        </w:rPr>
        <w:t>This act may be used for personal benefits instead of getting the benefits for the general public.</w:t>
      </w:r>
      <w:r w:rsidR="00B10431" w:rsidRPr="004C787C">
        <w:rPr>
          <w:rFonts w:ascii="Arial" w:hAnsi="Arial" w:cs="Arial"/>
        </w:rPr>
        <w:t xml:space="preserve"> </w:t>
      </w:r>
    </w:p>
    <w:p w14:paraId="5CD12DE2" w14:textId="77777777" w:rsidR="002F7488" w:rsidRDefault="006D5371" w:rsidP="002F7488">
      <w:pPr>
        <w:spacing w:line="480" w:lineRule="auto"/>
        <w:rPr>
          <w:rFonts w:ascii="Arial" w:hAnsi="Arial" w:cs="Arial"/>
        </w:rPr>
      </w:pPr>
      <w:r w:rsidRPr="004C787C">
        <w:rPr>
          <w:rFonts w:ascii="Arial" w:hAnsi="Arial" w:cs="Arial"/>
        </w:rPr>
        <w:t xml:space="preserve">A </w:t>
      </w:r>
      <w:r w:rsidR="00C033D7" w:rsidRPr="004C787C">
        <w:rPr>
          <w:rFonts w:ascii="Arial" w:hAnsi="Arial" w:cs="Arial"/>
        </w:rPr>
        <w:t>person</w:t>
      </w:r>
      <w:r w:rsidRPr="004C787C">
        <w:rPr>
          <w:rFonts w:ascii="Arial" w:hAnsi="Arial" w:cs="Arial"/>
        </w:rPr>
        <w:t xml:space="preserve"> is </w:t>
      </w:r>
      <w:r w:rsidR="00C033D7" w:rsidRPr="004C787C">
        <w:rPr>
          <w:rFonts w:ascii="Arial" w:hAnsi="Arial" w:cs="Arial"/>
        </w:rPr>
        <w:t>criminally liable if he is accounted for</w:t>
      </w:r>
      <w:r w:rsidR="00B44DB3" w:rsidRPr="004C787C">
        <w:rPr>
          <w:rFonts w:ascii="Arial" w:hAnsi="Arial" w:cs="Arial"/>
        </w:rPr>
        <w:t xml:space="preserve"> </w:t>
      </w:r>
      <w:r w:rsidR="00C033D7" w:rsidRPr="004C787C">
        <w:rPr>
          <w:rFonts w:ascii="Arial" w:hAnsi="Arial" w:cs="Arial"/>
        </w:rPr>
        <w:t>infringement</w:t>
      </w:r>
      <w:r w:rsidR="00B44DB3" w:rsidRPr="004C787C">
        <w:rPr>
          <w:rFonts w:ascii="Arial" w:hAnsi="Arial" w:cs="Arial"/>
        </w:rPr>
        <w:t xml:space="preserve"> </w:t>
      </w:r>
      <w:r w:rsidR="00C033D7" w:rsidRPr="004C787C">
        <w:rPr>
          <w:rFonts w:ascii="Arial" w:hAnsi="Arial" w:cs="Arial"/>
        </w:rPr>
        <w:t xml:space="preserve">of </w:t>
      </w:r>
      <w:r w:rsidR="008C15AE" w:rsidRPr="004C787C">
        <w:rPr>
          <w:rFonts w:ascii="Arial" w:hAnsi="Arial" w:cs="Arial"/>
        </w:rPr>
        <w:t xml:space="preserve">the law both for the </w:t>
      </w:r>
      <w:r w:rsidR="00B44DB3" w:rsidRPr="004C787C">
        <w:rPr>
          <w:rFonts w:ascii="Arial" w:hAnsi="Arial" w:cs="Arial"/>
        </w:rPr>
        <w:t xml:space="preserve">potential or actual </w:t>
      </w:r>
      <w:r w:rsidR="008C15AE" w:rsidRPr="004C787C">
        <w:rPr>
          <w:rFonts w:ascii="Arial" w:hAnsi="Arial" w:cs="Arial"/>
        </w:rPr>
        <w:t>charge.</w:t>
      </w:r>
      <w:r w:rsidR="00B44DB3" w:rsidRPr="004C787C">
        <w:rPr>
          <w:rFonts w:ascii="Arial" w:hAnsi="Arial" w:cs="Arial"/>
        </w:rPr>
        <w:t xml:space="preserve"> If the liability is </w:t>
      </w:r>
      <w:r w:rsidR="008C15AE" w:rsidRPr="004C787C">
        <w:rPr>
          <w:rFonts w:ascii="Arial" w:hAnsi="Arial" w:cs="Arial"/>
        </w:rPr>
        <w:t>confirmed</w:t>
      </w:r>
      <w:r w:rsidR="00B44DB3" w:rsidRPr="004C787C">
        <w:rPr>
          <w:rFonts w:ascii="Arial" w:hAnsi="Arial" w:cs="Arial"/>
        </w:rPr>
        <w:t xml:space="preserve"> in court, </w:t>
      </w:r>
      <w:r w:rsidR="008C15AE" w:rsidRPr="004C787C">
        <w:rPr>
          <w:rFonts w:ascii="Arial" w:hAnsi="Arial" w:cs="Arial"/>
        </w:rPr>
        <w:t xml:space="preserve">he is </w:t>
      </w:r>
      <w:r w:rsidR="00B44DB3" w:rsidRPr="004C787C">
        <w:rPr>
          <w:rFonts w:ascii="Arial" w:hAnsi="Arial" w:cs="Arial"/>
        </w:rPr>
        <w:t xml:space="preserve">held </w:t>
      </w:r>
      <w:r w:rsidR="008C15AE" w:rsidRPr="004C787C">
        <w:rPr>
          <w:rFonts w:ascii="Arial" w:hAnsi="Arial" w:cs="Arial"/>
        </w:rPr>
        <w:t>answerable</w:t>
      </w:r>
      <w:r w:rsidR="00B44DB3" w:rsidRPr="004C787C">
        <w:rPr>
          <w:rFonts w:ascii="Arial" w:hAnsi="Arial" w:cs="Arial"/>
        </w:rPr>
        <w:t xml:space="preserve"> for the </w:t>
      </w:r>
      <w:r w:rsidR="008C15AE" w:rsidRPr="004C787C">
        <w:rPr>
          <w:rFonts w:ascii="Arial" w:hAnsi="Arial" w:cs="Arial"/>
        </w:rPr>
        <w:t>wrongdoing</w:t>
      </w:r>
      <w:r w:rsidR="00B44DB3" w:rsidRPr="004C787C">
        <w:rPr>
          <w:rFonts w:ascii="Arial" w:hAnsi="Arial" w:cs="Arial"/>
        </w:rPr>
        <w:t xml:space="preserve"> and sentenced </w:t>
      </w:r>
      <w:r w:rsidR="008C15AE" w:rsidRPr="004C787C">
        <w:rPr>
          <w:rFonts w:ascii="Arial" w:hAnsi="Arial" w:cs="Arial"/>
        </w:rPr>
        <w:t>consequently</w:t>
      </w:r>
      <w:r w:rsidR="00B44DB3" w:rsidRPr="004C787C">
        <w:rPr>
          <w:rFonts w:ascii="Arial" w:hAnsi="Arial" w:cs="Arial"/>
        </w:rPr>
        <w:t>.</w:t>
      </w:r>
      <w:r w:rsidRPr="004C787C">
        <w:rPr>
          <w:rFonts w:ascii="Arial" w:hAnsi="Arial" w:cs="Arial"/>
        </w:rPr>
        <w:t xml:space="preserve"> There are abundant statutory necessities that need a discrete to act in a specific way and which, if the distinction does not act in that way, reason the person to be criminally responsible.</w:t>
      </w:r>
    </w:p>
    <w:p w14:paraId="1B0BE173" w14:textId="49C31A35" w:rsidR="00271007" w:rsidRPr="004C787C" w:rsidRDefault="006D5371" w:rsidP="002F7488">
      <w:pPr>
        <w:spacing w:line="480" w:lineRule="auto"/>
        <w:rPr>
          <w:rFonts w:ascii="Arial" w:hAnsi="Arial" w:cs="Arial"/>
        </w:rPr>
      </w:pPr>
      <w:r w:rsidRPr="004C787C">
        <w:rPr>
          <w:rFonts w:ascii="Arial" w:hAnsi="Arial" w:cs="Arial"/>
        </w:rPr>
        <w:lastRenderedPageBreak/>
        <w:t>References</w:t>
      </w:r>
    </w:p>
    <w:p w14:paraId="31D4A882" w14:textId="77777777" w:rsidR="007C7645" w:rsidRPr="004C787C" w:rsidRDefault="006D5371" w:rsidP="007C7645">
      <w:pPr>
        <w:spacing w:line="480" w:lineRule="auto"/>
        <w:ind w:left="720" w:hanging="720"/>
        <w:rPr>
          <w:rFonts w:ascii="Arial" w:hAnsi="Arial" w:cs="Arial"/>
        </w:rPr>
      </w:pPr>
      <w:r w:rsidRPr="004C787C">
        <w:rPr>
          <w:rFonts w:ascii="Arial" w:hAnsi="Arial" w:cs="Arial"/>
          <w:shd w:val="clear" w:color="auto" w:fill="FFFFFF"/>
        </w:rPr>
        <w:t>Gibbins, R.V., Proctor (1918) 13 Cr. </w:t>
      </w:r>
      <w:r w:rsidRPr="004C787C">
        <w:rPr>
          <w:rFonts w:ascii="Arial" w:hAnsi="Arial" w:cs="Arial"/>
          <w:i/>
          <w:iCs/>
          <w:shd w:val="clear" w:color="auto" w:fill="FFFFFF"/>
        </w:rPr>
        <w:t>App. Rep</w:t>
      </w:r>
      <w:r w:rsidRPr="004C787C">
        <w:rPr>
          <w:rFonts w:ascii="Arial" w:hAnsi="Arial" w:cs="Arial"/>
          <w:shd w:val="clear" w:color="auto" w:fill="FFFFFF"/>
        </w:rPr>
        <w:t>, </w:t>
      </w:r>
      <w:r w:rsidRPr="004C787C">
        <w:rPr>
          <w:rFonts w:ascii="Arial" w:hAnsi="Arial" w:cs="Arial"/>
          <w:i/>
          <w:iCs/>
          <w:shd w:val="clear" w:color="auto" w:fill="FFFFFF"/>
        </w:rPr>
        <w:t>134</w:t>
      </w:r>
      <w:r w:rsidRPr="004C787C">
        <w:rPr>
          <w:rFonts w:ascii="Arial" w:hAnsi="Arial" w:cs="Arial"/>
          <w:shd w:val="clear" w:color="auto" w:fill="FFFFFF"/>
        </w:rPr>
        <w:t>.</w:t>
      </w:r>
    </w:p>
    <w:p w14:paraId="465151C0" w14:textId="77777777" w:rsidR="007C7645" w:rsidRPr="004C787C" w:rsidRDefault="006D5371" w:rsidP="007C7645">
      <w:pPr>
        <w:spacing w:line="480" w:lineRule="auto"/>
        <w:ind w:left="720" w:hanging="720"/>
        <w:rPr>
          <w:rFonts w:ascii="Arial" w:hAnsi="Arial" w:cs="Arial"/>
          <w:shd w:val="clear" w:color="auto" w:fill="FFFFFF"/>
        </w:rPr>
      </w:pPr>
      <w:r w:rsidRPr="004C787C">
        <w:rPr>
          <w:rFonts w:ascii="Arial" w:hAnsi="Arial" w:cs="Arial"/>
          <w:shd w:val="clear" w:color="auto" w:fill="FFFFFF"/>
        </w:rPr>
        <w:t>Hall, D.E., 2022. </w:t>
      </w:r>
      <w:r w:rsidRPr="004C787C">
        <w:rPr>
          <w:rFonts w:ascii="Arial" w:hAnsi="Arial" w:cs="Arial"/>
          <w:i/>
          <w:iCs/>
          <w:shd w:val="clear" w:color="auto" w:fill="FFFFFF"/>
        </w:rPr>
        <w:t>Criminal law and procedure</w:t>
      </w:r>
      <w:r w:rsidRPr="004C787C">
        <w:rPr>
          <w:rFonts w:ascii="Arial" w:hAnsi="Arial" w:cs="Arial"/>
          <w:shd w:val="clear" w:color="auto" w:fill="FFFFFF"/>
        </w:rPr>
        <w:t>. Cengage Learning.</w:t>
      </w:r>
    </w:p>
    <w:p w14:paraId="38BA1A60" w14:textId="77777777" w:rsidR="007C7645" w:rsidRPr="004C787C" w:rsidRDefault="006D5371" w:rsidP="007C7645">
      <w:pPr>
        <w:spacing w:line="480" w:lineRule="auto"/>
        <w:ind w:left="720" w:hanging="720"/>
        <w:rPr>
          <w:rFonts w:ascii="Arial" w:hAnsi="Arial" w:cs="Arial"/>
        </w:rPr>
      </w:pPr>
      <w:r w:rsidRPr="004C787C">
        <w:rPr>
          <w:rFonts w:ascii="Arial" w:hAnsi="Arial" w:cs="Arial"/>
          <w:shd w:val="clear" w:color="auto" w:fill="FFFFFF"/>
        </w:rPr>
        <w:t>Herring, J., 2014. </w:t>
      </w:r>
      <w:r w:rsidRPr="004C787C">
        <w:rPr>
          <w:rFonts w:ascii="Arial" w:hAnsi="Arial" w:cs="Arial"/>
          <w:i/>
          <w:iCs/>
          <w:shd w:val="clear" w:color="auto" w:fill="FFFFFF"/>
        </w:rPr>
        <w:t>Criminal law: Text, cases, and materials</w:t>
      </w:r>
      <w:r w:rsidRPr="004C787C">
        <w:rPr>
          <w:rFonts w:ascii="Arial" w:hAnsi="Arial" w:cs="Arial"/>
          <w:shd w:val="clear" w:color="auto" w:fill="FFFFFF"/>
        </w:rPr>
        <w:t>. Oxford University Press, USA.</w:t>
      </w:r>
    </w:p>
    <w:p w14:paraId="5692B6BB" w14:textId="77777777" w:rsidR="007C7645" w:rsidRPr="004C787C" w:rsidRDefault="006D5371" w:rsidP="007C7645">
      <w:pPr>
        <w:spacing w:line="480" w:lineRule="auto"/>
        <w:ind w:left="720" w:hanging="720"/>
        <w:rPr>
          <w:rFonts w:ascii="Arial" w:hAnsi="Arial" w:cs="Arial"/>
          <w:shd w:val="clear" w:color="auto" w:fill="FFFFFF"/>
        </w:rPr>
      </w:pPr>
      <w:r w:rsidRPr="004C787C">
        <w:rPr>
          <w:rFonts w:ascii="Arial" w:hAnsi="Arial" w:cs="Arial"/>
          <w:shd w:val="clear" w:color="auto" w:fill="FFFFFF"/>
        </w:rPr>
        <w:t>Jain, M., 2021. Analysis of the Doctrine of Duty to Act Fairly. </w:t>
      </w:r>
      <w:r w:rsidRPr="004C787C">
        <w:rPr>
          <w:rFonts w:ascii="Arial" w:hAnsi="Arial" w:cs="Arial"/>
          <w:i/>
          <w:iCs/>
          <w:shd w:val="clear" w:color="auto" w:fill="FFFFFF"/>
        </w:rPr>
        <w:t>Indian Administrative Law Paper Series</w:t>
      </w:r>
      <w:r w:rsidRPr="004C787C">
        <w:rPr>
          <w:rFonts w:ascii="Arial" w:hAnsi="Arial" w:cs="Arial"/>
          <w:shd w:val="clear" w:color="auto" w:fill="FFFFFF"/>
        </w:rPr>
        <w:t>.</w:t>
      </w:r>
    </w:p>
    <w:p w14:paraId="55790650" w14:textId="77777777" w:rsidR="007C7645" w:rsidRPr="004C787C" w:rsidRDefault="006D5371" w:rsidP="007C7645">
      <w:pPr>
        <w:spacing w:line="480" w:lineRule="auto"/>
        <w:ind w:left="720" w:hanging="720"/>
        <w:rPr>
          <w:rFonts w:ascii="Arial" w:hAnsi="Arial" w:cs="Arial"/>
        </w:rPr>
      </w:pPr>
      <w:r w:rsidRPr="004C787C">
        <w:rPr>
          <w:rFonts w:ascii="Arial" w:hAnsi="Arial" w:cs="Arial"/>
          <w:shd w:val="clear" w:color="auto" w:fill="FFFFFF"/>
        </w:rPr>
        <w:t>Jakhongir, B., 2021. Criminal liability of minors in some developed countries and implementation of advanced experience in this field to national legislation. </w:t>
      </w:r>
      <w:r w:rsidRPr="004C787C">
        <w:rPr>
          <w:rFonts w:ascii="Arial" w:hAnsi="Arial" w:cs="Arial"/>
          <w:i/>
          <w:iCs/>
          <w:shd w:val="clear" w:color="auto" w:fill="FFFFFF"/>
        </w:rPr>
        <w:t>tsul legal report</w:t>
      </w:r>
      <w:r w:rsidRPr="004C787C">
        <w:rPr>
          <w:rFonts w:ascii="Arial" w:hAnsi="Arial" w:cs="Arial"/>
          <w:shd w:val="clear" w:color="auto" w:fill="FFFFFF"/>
        </w:rPr>
        <w:t>, p.134.</w:t>
      </w:r>
    </w:p>
    <w:p w14:paraId="1EF417DC" w14:textId="77777777" w:rsidR="007C7645" w:rsidRPr="004C787C" w:rsidRDefault="006D5371" w:rsidP="007C7645">
      <w:pPr>
        <w:spacing w:line="480" w:lineRule="auto"/>
        <w:ind w:left="720" w:hanging="720"/>
        <w:rPr>
          <w:rFonts w:ascii="Arial" w:hAnsi="Arial" w:cs="Arial"/>
          <w:shd w:val="clear" w:color="auto" w:fill="FFFFFF"/>
        </w:rPr>
      </w:pPr>
      <w:r w:rsidRPr="004C787C">
        <w:rPr>
          <w:rFonts w:ascii="Arial" w:hAnsi="Arial" w:cs="Arial"/>
          <w:shd w:val="clear" w:color="auto" w:fill="FFFFFF"/>
        </w:rPr>
        <w:t>Kemp, C.K., 2021. </w:t>
      </w:r>
      <w:r w:rsidRPr="004C787C">
        <w:rPr>
          <w:rFonts w:ascii="Arial" w:hAnsi="Arial" w:cs="Arial"/>
          <w:i/>
          <w:iCs/>
          <w:shd w:val="clear" w:color="auto" w:fill="FFFFFF"/>
        </w:rPr>
        <w:t>Stakeholders and the duty to act in the best interests of the company: what is required of directors?</w:t>
      </w:r>
      <w:r w:rsidRPr="004C787C">
        <w:rPr>
          <w:rFonts w:ascii="Arial" w:hAnsi="Arial" w:cs="Arial"/>
          <w:shd w:val="clear" w:color="auto" w:fill="FFFFFF"/>
        </w:rPr>
        <w:t xml:space="preserve"> (Master's thesis, Faculty of Law). </w:t>
      </w:r>
    </w:p>
    <w:p w14:paraId="154422E0" w14:textId="77777777" w:rsidR="007C7645" w:rsidRPr="004C787C" w:rsidRDefault="006D5371" w:rsidP="007C7645">
      <w:pPr>
        <w:spacing w:line="480" w:lineRule="auto"/>
        <w:ind w:left="720" w:hanging="720"/>
        <w:rPr>
          <w:rFonts w:ascii="Arial" w:hAnsi="Arial" w:cs="Arial"/>
          <w:shd w:val="clear" w:color="auto" w:fill="FFFFFF"/>
        </w:rPr>
      </w:pPr>
      <w:r w:rsidRPr="004C787C">
        <w:rPr>
          <w:rFonts w:ascii="Arial" w:hAnsi="Arial" w:cs="Arial"/>
          <w:shd w:val="clear" w:color="auto" w:fill="FFFFFF"/>
        </w:rPr>
        <w:t>Leclert, L. and Fernández, C.F., 2021. What makes frontline duty-bearers act with integrity? Conditions and approaches that influence teachers and health workers.</w:t>
      </w:r>
    </w:p>
    <w:p w14:paraId="71FA9794" w14:textId="77777777" w:rsidR="007C7645" w:rsidRPr="004C787C" w:rsidRDefault="006D5371" w:rsidP="007C7645">
      <w:pPr>
        <w:tabs>
          <w:tab w:val="left" w:pos="5196"/>
        </w:tabs>
        <w:spacing w:line="480" w:lineRule="auto"/>
        <w:ind w:left="720" w:hanging="720"/>
        <w:rPr>
          <w:rFonts w:ascii="Arial" w:hAnsi="Arial" w:cs="Arial"/>
        </w:rPr>
      </w:pPr>
      <w:r w:rsidRPr="004C787C">
        <w:rPr>
          <w:rFonts w:ascii="Arial" w:hAnsi="Arial" w:cs="Arial"/>
          <w:shd w:val="clear" w:color="auto" w:fill="FFFFFF"/>
        </w:rPr>
        <w:t>Manning, J., 2019. " Hospitals and Clinicians Need Not Apply:" Withdrawing Clinically Assisted Nutrition and Hydration in Undisputed Cases. </w:t>
      </w:r>
      <w:r w:rsidRPr="004C787C">
        <w:rPr>
          <w:rFonts w:ascii="Arial" w:hAnsi="Arial" w:cs="Arial"/>
          <w:i/>
          <w:iCs/>
          <w:shd w:val="clear" w:color="auto" w:fill="FFFFFF"/>
        </w:rPr>
        <w:t>Journal of law and Medicine</w:t>
      </w:r>
      <w:r w:rsidRPr="004C787C">
        <w:rPr>
          <w:rFonts w:ascii="Arial" w:hAnsi="Arial" w:cs="Arial"/>
          <w:shd w:val="clear" w:color="auto" w:fill="FFFFFF"/>
        </w:rPr>
        <w:t>, </w:t>
      </w:r>
      <w:r w:rsidRPr="004C787C">
        <w:rPr>
          <w:rFonts w:ascii="Arial" w:hAnsi="Arial" w:cs="Arial"/>
          <w:i/>
          <w:iCs/>
          <w:shd w:val="clear" w:color="auto" w:fill="FFFFFF"/>
        </w:rPr>
        <w:t>26</w:t>
      </w:r>
      <w:r w:rsidRPr="004C787C">
        <w:rPr>
          <w:rFonts w:ascii="Arial" w:hAnsi="Arial" w:cs="Arial"/>
          <w:shd w:val="clear" w:color="auto" w:fill="FFFFFF"/>
        </w:rPr>
        <w:t>(3), pp.538-548.</w:t>
      </w:r>
    </w:p>
    <w:p w14:paraId="35960F6A" w14:textId="77777777" w:rsidR="007C7645" w:rsidRPr="004C787C" w:rsidRDefault="006D5371" w:rsidP="007C7645">
      <w:pPr>
        <w:spacing w:line="480" w:lineRule="auto"/>
        <w:ind w:left="720" w:hanging="720"/>
        <w:rPr>
          <w:rFonts w:ascii="Arial" w:hAnsi="Arial" w:cs="Arial"/>
          <w:shd w:val="clear" w:color="auto" w:fill="FFFFFF"/>
        </w:rPr>
      </w:pPr>
      <w:r w:rsidRPr="004C787C">
        <w:rPr>
          <w:rFonts w:ascii="Arial" w:hAnsi="Arial" w:cs="Arial"/>
          <w:shd w:val="clear" w:color="auto" w:fill="FFFFFF"/>
        </w:rPr>
        <w:t>Ormerod, D. and Laird, K., 2018. </w:t>
      </w:r>
      <w:r w:rsidRPr="004C787C">
        <w:rPr>
          <w:rFonts w:ascii="Arial" w:hAnsi="Arial" w:cs="Arial"/>
          <w:i/>
          <w:iCs/>
          <w:shd w:val="clear" w:color="auto" w:fill="FFFFFF"/>
        </w:rPr>
        <w:t>Smith, Hogan, and Ormerod's Criminal Law</w:t>
      </w:r>
      <w:r w:rsidRPr="004C787C">
        <w:rPr>
          <w:rFonts w:ascii="Arial" w:hAnsi="Arial" w:cs="Arial"/>
          <w:shd w:val="clear" w:color="auto" w:fill="FFFFFF"/>
        </w:rPr>
        <w:t>. Oxford University Press.</w:t>
      </w:r>
    </w:p>
    <w:p w14:paraId="58DA18B8" w14:textId="77777777" w:rsidR="007C7645" w:rsidRPr="004C787C" w:rsidRDefault="006D5371" w:rsidP="007C7645">
      <w:pPr>
        <w:spacing w:line="480" w:lineRule="auto"/>
        <w:ind w:left="720" w:hanging="720"/>
        <w:rPr>
          <w:rFonts w:ascii="Arial" w:hAnsi="Arial" w:cs="Arial"/>
          <w:shd w:val="clear" w:color="auto" w:fill="FFFFFF"/>
        </w:rPr>
      </w:pPr>
      <w:r w:rsidRPr="004C787C">
        <w:rPr>
          <w:rFonts w:ascii="Arial" w:hAnsi="Arial" w:cs="Arial"/>
          <w:shd w:val="clear" w:color="auto" w:fill="FFFFFF"/>
        </w:rPr>
        <w:t>Shapo, M.S., 2021. The Duty to Act. In </w:t>
      </w:r>
      <w:r w:rsidRPr="004C787C">
        <w:rPr>
          <w:rFonts w:ascii="Arial" w:hAnsi="Arial" w:cs="Arial"/>
          <w:i/>
          <w:iCs/>
          <w:shd w:val="clear" w:color="auto" w:fill="FFFFFF"/>
        </w:rPr>
        <w:t>The Duty to Act</w:t>
      </w:r>
      <w:r w:rsidRPr="004C787C">
        <w:rPr>
          <w:rFonts w:ascii="Arial" w:hAnsi="Arial" w:cs="Arial"/>
          <w:shd w:val="clear" w:color="auto" w:fill="FFFFFF"/>
        </w:rPr>
        <w:t>. University of Texas Press.</w:t>
      </w:r>
    </w:p>
    <w:sectPr w:rsidR="007C7645" w:rsidRPr="004C787C" w:rsidSect="00AF5531">
      <w:pgSz w:w="12240" w:h="15840"/>
      <w:pgMar w:top="1440" w:right="1361" w:bottom="1440" w:left="226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B83AB" w14:textId="77777777" w:rsidR="00F93ACC" w:rsidRDefault="00F93ACC">
      <w:r>
        <w:separator/>
      </w:r>
    </w:p>
    <w:p w14:paraId="27473CF2" w14:textId="77777777" w:rsidR="00F93ACC" w:rsidRDefault="00F93ACC"/>
  </w:endnote>
  <w:endnote w:type="continuationSeparator" w:id="0">
    <w:p w14:paraId="752B0994" w14:textId="77777777" w:rsidR="00F93ACC" w:rsidRDefault="00F93ACC">
      <w:r>
        <w:continuationSeparator/>
      </w:r>
    </w:p>
    <w:p w14:paraId="0F1B7B5D" w14:textId="77777777" w:rsidR="00F93ACC" w:rsidRDefault="00F93A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30C6C" w14:textId="77777777" w:rsidR="00F93ACC" w:rsidRDefault="00F93ACC">
      <w:r>
        <w:separator/>
      </w:r>
    </w:p>
    <w:p w14:paraId="2610776F" w14:textId="77777777" w:rsidR="00F93ACC" w:rsidRDefault="00F93ACC"/>
  </w:footnote>
  <w:footnote w:type="continuationSeparator" w:id="0">
    <w:p w14:paraId="24E34702" w14:textId="77777777" w:rsidR="00F93ACC" w:rsidRDefault="00F93ACC">
      <w:r>
        <w:continuationSeparator/>
      </w:r>
    </w:p>
    <w:p w14:paraId="3E27CEA6" w14:textId="77777777" w:rsidR="00F93ACC" w:rsidRDefault="00F93AC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79CE03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358B13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85FA72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4FE3AD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EA6877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68CE11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72243E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646154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CE2B5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698BF1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02A2334"/>
    <w:multiLevelType w:val="multilevel"/>
    <w:tmpl w:val="7BBE8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41579ED"/>
    <w:multiLevelType w:val="hybridMultilevel"/>
    <w:tmpl w:val="F2F8CD24"/>
    <w:lvl w:ilvl="0" w:tplc="EB247FBA">
      <w:numFmt w:val="bullet"/>
      <w:lvlText w:val="-"/>
      <w:lvlJc w:val="left"/>
      <w:pPr>
        <w:ind w:left="720" w:hanging="360"/>
      </w:pPr>
      <w:rPr>
        <w:rFonts w:ascii="Calibri" w:eastAsiaTheme="minorEastAsia" w:hAnsi="Calibri" w:cs="Calibri" w:hint="default"/>
      </w:rPr>
    </w:lvl>
    <w:lvl w:ilvl="1" w:tplc="8BCEF9E4" w:tentative="1">
      <w:start w:val="1"/>
      <w:numFmt w:val="bullet"/>
      <w:lvlText w:val="o"/>
      <w:lvlJc w:val="left"/>
      <w:pPr>
        <w:ind w:left="1440" w:hanging="360"/>
      </w:pPr>
      <w:rPr>
        <w:rFonts w:ascii="Courier New" w:hAnsi="Courier New" w:cs="Courier New" w:hint="default"/>
      </w:rPr>
    </w:lvl>
    <w:lvl w:ilvl="2" w:tplc="36108D40" w:tentative="1">
      <w:start w:val="1"/>
      <w:numFmt w:val="bullet"/>
      <w:lvlText w:val=""/>
      <w:lvlJc w:val="left"/>
      <w:pPr>
        <w:ind w:left="2160" w:hanging="360"/>
      </w:pPr>
      <w:rPr>
        <w:rFonts w:ascii="Wingdings" w:hAnsi="Wingdings" w:hint="default"/>
      </w:rPr>
    </w:lvl>
    <w:lvl w:ilvl="3" w:tplc="6F26661E" w:tentative="1">
      <w:start w:val="1"/>
      <w:numFmt w:val="bullet"/>
      <w:lvlText w:val=""/>
      <w:lvlJc w:val="left"/>
      <w:pPr>
        <w:ind w:left="2880" w:hanging="360"/>
      </w:pPr>
      <w:rPr>
        <w:rFonts w:ascii="Symbol" w:hAnsi="Symbol" w:hint="default"/>
      </w:rPr>
    </w:lvl>
    <w:lvl w:ilvl="4" w:tplc="2404F2EA" w:tentative="1">
      <w:start w:val="1"/>
      <w:numFmt w:val="bullet"/>
      <w:lvlText w:val="o"/>
      <w:lvlJc w:val="left"/>
      <w:pPr>
        <w:ind w:left="3600" w:hanging="360"/>
      </w:pPr>
      <w:rPr>
        <w:rFonts w:ascii="Courier New" w:hAnsi="Courier New" w:cs="Courier New" w:hint="default"/>
      </w:rPr>
    </w:lvl>
    <w:lvl w:ilvl="5" w:tplc="B60205D2" w:tentative="1">
      <w:start w:val="1"/>
      <w:numFmt w:val="bullet"/>
      <w:lvlText w:val=""/>
      <w:lvlJc w:val="left"/>
      <w:pPr>
        <w:ind w:left="4320" w:hanging="360"/>
      </w:pPr>
      <w:rPr>
        <w:rFonts w:ascii="Wingdings" w:hAnsi="Wingdings" w:hint="default"/>
      </w:rPr>
    </w:lvl>
    <w:lvl w:ilvl="6" w:tplc="8402C8B8" w:tentative="1">
      <w:start w:val="1"/>
      <w:numFmt w:val="bullet"/>
      <w:lvlText w:val=""/>
      <w:lvlJc w:val="left"/>
      <w:pPr>
        <w:ind w:left="5040" w:hanging="360"/>
      </w:pPr>
      <w:rPr>
        <w:rFonts w:ascii="Symbol" w:hAnsi="Symbol" w:hint="default"/>
      </w:rPr>
    </w:lvl>
    <w:lvl w:ilvl="7" w:tplc="B0CC3584" w:tentative="1">
      <w:start w:val="1"/>
      <w:numFmt w:val="bullet"/>
      <w:lvlText w:val="o"/>
      <w:lvlJc w:val="left"/>
      <w:pPr>
        <w:ind w:left="5760" w:hanging="360"/>
      </w:pPr>
      <w:rPr>
        <w:rFonts w:ascii="Courier New" w:hAnsi="Courier New" w:cs="Courier New" w:hint="default"/>
      </w:rPr>
    </w:lvl>
    <w:lvl w:ilvl="8" w:tplc="77627F32" w:tentative="1">
      <w:start w:val="1"/>
      <w:numFmt w:val="bullet"/>
      <w:lvlText w:val=""/>
      <w:lvlJc w:val="left"/>
      <w:pPr>
        <w:ind w:left="6480" w:hanging="360"/>
      </w:pPr>
      <w:rPr>
        <w:rFonts w:ascii="Wingdings" w:hAnsi="Wingdings" w:hint="default"/>
      </w:rPr>
    </w:lvl>
  </w:abstractNum>
  <w:abstractNum w:abstractNumId="12" w15:restartNumberingAfterBreak="0">
    <w:nsid w:val="438B69E9"/>
    <w:multiLevelType w:val="multilevel"/>
    <w:tmpl w:val="B61E4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FB1316"/>
    <w:multiLevelType w:val="multilevel"/>
    <w:tmpl w:val="C4DA5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0017DFB"/>
    <w:multiLevelType w:val="multilevel"/>
    <w:tmpl w:val="9ED00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1586C18"/>
    <w:multiLevelType w:val="multilevel"/>
    <w:tmpl w:val="3C9A6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F939F5"/>
    <w:multiLevelType w:val="multilevel"/>
    <w:tmpl w:val="6400E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07315503">
    <w:abstractNumId w:val="9"/>
  </w:num>
  <w:num w:numId="2" w16cid:durableId="993991243">
    <w:abstractNumId w:val="7"/>
  </w:num>
  <w:num w:numId="3" w16cid:durableId="1674213692">
    <w:abstractNumId w:val="6"/>
  </w:num>
  <w:num w:numId="4" w16cid:durableId="1433280833">
    <w:abstractNumId w:val="5"/>
  </w:num>
  <w:num w:numId="5" w16cid:durableId="808787231">
    <w:abstractNumId w:val="4"/>
  </w:num>
  <w:num w:numId="6" w16cid:durableId="575820205">
    <w:abstractNumId w:val="8"/>
  </w:num>
  <w:num w:numId="7" w16cid:durableId="157381630">
    <w:abstractNumId w:val="3"/>
  </w:num>
  <w:num w:numId="8" w16cid:durableId="1876695147">
    <w:abstractNumId w:val="2"/>
  </w:num>
  <w:num w:numId="9" w16cid:durableId="881097090">
    <w:abstractNumId w:val="1"/>
  </w:num>
  <w:num w:numId="10" w16cid:durableId="1441992099">
    <w:abstractNumId w:val="0"/>
  </w:num>
  <w:num w:numId="11" w16cid:durableId="608661765">
    <w:abstractNumId w:val="11"/>
  </w:num>
  <w:num w:numId="12" w16cid:durableId="1399815821">
    <w:abstractNumId w:val="14"/>
  </w:num>
  <w:num w:numId="13" w16cid:durableId="1503886597">
    <w:abstractNumId w:val="13"/>
  </w:num>
  <w:num w:numId="14" w16cid:durableId="1082723570">
    <w:abstractNumId w:val="15"/>
  </w:num>
  <w:num w:numId="15" w16cid:durableId="1317803786">
    <w:abstractNumId w:val="12"/>
  </w:num>
  <w:num w:numId="16" w16cid:durableId="169949072">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17" w16cid:durableId="234706090">
    <w:abstractNumId w:val="16"/>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FormatFilter w:val="7F24" w:allStyles="0" w:customStyles="0" w:latentStyles="1" w:stylesInUse="0" w:headingStyles="1" w:numberingStyles="0" w:tableStyles="0" w:directFormattingOnRuns="1" w:directFormattingOnParagraphs="1" w:directFormattingOnNumbering="1" w:directFormattingOnTables="1" w:clearFormatting="1" w:top3HeadingStyles="1" w:visibleStyles="1" w:alternateStyleNames="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I1NTE2MjQwNzQxNDRW0lEKTi0uzszPAykwrQUAA+TcWCwAAAA="/>
  </w:docVars>
  <w:rsids>
    <w:rsidRoot w:val="008A6AFF"/>
    <w:rsid w:val="00014E9C"/>
    <w:rsid w:val="00017B84"/>
    <w:rsid w:val="00017F74"/>
    <w:rsid w:val="0004181A"/>
    <w:rsid w:val="00050744"/>
    <w:rsid w:val="000578D5"/>
    <w:rsid w:val="00057CB5"/>
    <w:rsid w:val="00065E43"/>
    <w:rsid w:val="000A1527"/>
    <w:rsid w:val="000A57FF"/>
    <w:rsid w:val="000C43D6"/>
    <w:rsid w:val="000F759D"/>
    <w:rsid w:val="00112DF7"/>
    <w:rsid w:val="0013681C"/>
    <w:rsid w:val="001540D5"/>
    <w:rsid w:val="0017127F"/>
    <w:rsid w:val="00171324"/>
    <w:rsid w:val="00173D9C"/>
    <w:rsid w:val="00182180"/>
    <w:rsid w:val="0018567A"/>
    <w:rsid w:val="001861A2"/>
    <w:rsid w:val="00186C83"/>
    <w:rsid w:val="001C2460"/>
    <w:rsid w:val="001D134A"/>
    <w:rsid w:val="001E6002"/>
    <w:rsid w:val="00205A4D"/>
    <w:rsid w:val="0020651E"/>
    <w:rsid w:val="00220EBE"/>
    <w:rsid w:val="002227A3"/>
    <w:rsid w:val="002357A9"/>
    <w:rsid w:val="002476AA"/>
    <w:rsid w:val="00252303"/>
    <w:rsid w:val="0026343D"/>
    <w:rsid w:val="00264B1B"/>
    <w:rsid w:val="00266A2F"/>
    <w:rsid w:val="00271007"/>
    <w:rsid w:val="00272A4E"/>
    <w:rsid w:val="002842EE"/>
    <w:rsid w:val="00287AFC"/>
    <w:rsid w:val="002A0E8F"/>
    <w:rsid w:val="002A582D"/>
    <w:rsid w:val="002A62AF"/>
    <w:rsid w:val="002B0E3C"/>
    <w:rsid w:val="002B3D8C"/>
    <w:rsid w:val="002C53A3"/>
    <w:rsid w:val="002D270C"/>
    <w:rsid w:val="002D2A4A"/>
    <w:rsid w:val="002E41AF"/>
    <w:rsid w:val="002F4508"/>
    <w:rsid w:val="002F7488"/>
    <w:rsid w:val="00301A3F"/>
    <w:rsid w:val="00317335"/>
    <w:rsid w:val="00327025"/>
    <w:rsid w:val="00330694"/>
    <w:rsid w:val="0033167D"/>
    <w:rsid w:val="00351654"/>
    <w:rsid w:val="00355A28"/>
    <w:rsid w:val="00360028"/>
    <w:rsid w:val="00361114"/>
    <w:rsid w:val="00364E0B"/>
    <w:rsid w:val="0037130F"/>
    <w:rsid w:val="003767AD"/>
    <w:rsid w:val="0038312E"/>
    <w:rsid w:val="003960FC"/>
    <w:rsid w:val="00396229"/>
    <w:rsid w:val="003B1044"/>
    <w:rsid w:val="003D0B26"/>
    <w:rsid w:val="003E1EB6"/>
    <w:rsid w:val="003F4EC3"/>
    <w:rsid w:val="003F5A63"/>
    <w:rsid w:val="00414E60"/>
    <w:rsid w:val="00420BCA"/>
    <w:rsid w:val="00424E97"/>
    <w:rsid w:val="0045056C"/>
    <w:rsid w:val="00453324"/>
    <w:rsid w:val="00465F59"/>
    <w:rsid w:val="00472AB9"/>
    <w:rsid w:val="00486512"/>
    <w:rsid w:val="00486911"/>
    <w:rsid w:val="00491946"/>
    <w:rsid w:val="004922BC"/>
    <w:rsid w:val="004A4F79"/>
    <w:rsid w:val="004B62D2"/>
    <w:rsid w:val="004C2AEF"/>
    <w:rsid w:val="004C787C"/>
    <w:rsid w:val="004D20CF"/>
    <w:rsid w:val="004D2924"/>
    <w:rsid w:val="004E3165"/>
    <w:rsid w:val="004E4619"/>
    <w:rsid w:val="004E70E8"/>
    <w:rsid w:val="004F71AC"/>
    <w:rsid w:val="00532588"/>
    <w:rsid w:val="005378CD"/>
    <w:rsid w:val="0053797E"/>
    <w:rsid w:val="0055128A"/>
    <w:rsid w:val="0056105A"/>
    <w:rsid w:val="005617EF"/>
    <w:rsid w:val="005729CB"/>
    <w:rsid w:val="00576B3A"/>
    <w:rsid w:val="005831CB"/>
    <w:rsid w:val="005A19CD"/>
    <w:rsid w:val="005A6CCE"/>
    <w:rsid w:val="005B7037"/>
    <w:rsid w:val="005C1C18"/>
    <w:rsid w:val="005F2DA5"/>
    <w:rsid w:val="0060010C"/>
    <w:rsid w:val="00620078"/>
    <w:rsid w:val="006311B9"/>
    <w:rsid w:val="0064456C"/>
    <w:rsid w:val="00645424"/>
    <w:rsid w:val="00646DA5"/>
    <w:rsid w:val="006556FC"/>
    <w:rsid w:val="00662D4D"/>
    <w:rsid w:val="006630EA"/>
    <w:rsid w:val="00671A11"/>
    <w:rsid w:val="00691D8D"/>
    <w:rsid w:val="006B6F07"/>
    <w:rsid w:val="006C1834"/>
    <w:rsid w:val="006C74CC"/>
    <w:rsid w:val="006D5371"/>
    <w:rsid w:val="006D5A8D"/>
    <w:rsid w:val="006D5E78"/>
    <w:rsid w:val="006E2EA2"/>
    <w:rsid w:val="006F110E"/>
    <w:rsid w:val="006F5CF9"/>
    <w:rsid w:val="006F7F79"/>
    <w:rsid w:val="00711866"/>
    <w:rsid w:val="00711F62"/>
    <w:rsid w:val="007251D0"/>
    <w:rsid w:val="00735105"/>
    <w:rsid w:val="007374DF"/>
    <w:rsid w:val="00764269"/>
    <w:rsid w:val="007716D3"/>
    <w:rsid w:val="007838B8"/>
    <w:rsid w:val="0078489E"/>
    <w:rsid w:val="00784DB1"/>
    <w:rsid w:val="007B753A"/>
    <w:rsid w:val="007C7645"/>
    <w:rsid w:val="0080067F"/>
    <w:rsid w:val="00806667"/>
    <w:rsid w:val="00821F3E"/>
    <w:rsid w:val="008423D8"/>
    <w:rsid w:val="0084367A"/>
    <w:rsid w:val="00886ACD"/>
    <w:rsid w:val="00894AD8"/>
    <w:rsid w:val="008A3762"/>
    <w:rsid w:val="008A4FF9"/>
    <w:rsid w:val="008A5A02"/>
    <w:rsid w:val="008A6AFF"/>
    <w:rsid w:val="008B42BD"/>
    <w:rsid w:val="008C15AE"/>
    <w:rsid w:val="008C6813"/>
    <w:rsid w:val="008F13BB"/>
    <w:rsid w:val="008F4DFE"/>
    <w:rsid w:val="008F77FE"/>
    <w:rsid w:val="009035AA"/>
    <w:rsid w:val="00912BEC"/>
    <w:rsid w:val="009132A3"/>
    <w:rsid w:val="009143B3"/>
    <w:rsid w:val="009216DC"/>
    <w:rsid w:val="00921B4B"/>
    <w:rsid w:val="00930FCB"/>
    <w:rsid w:val="00940E82"/>
    <w:rsid w:val="00943011"/>
    <w:rsid w:val="00946CB7"/>
    <w:rsid w:val="00974BFA"/>
    <w:rsid w:val="00990515"/>
    <w:rsid w:val="009B318A"/>
    <w:rsid w:val="009C3BED"/>
    <w:rsid w:val="009C6E4F"/>
    <w:rsid w:val="009E40B5"/>
    <w:rsid w:val="009F16AF"/>
    <w:rsid w:val="00A04BB6"/>
    <w:rsid w:val="00A05E95"/>
    <w:rsid w:val="00A11C55"/>
    <w:rsid w:val="00A429A4"/>
    <w:rsid w:val="00A61F49"/>
    <w:rsid w:val="00A66A56"/>
    <w:rsid w:val="00A70AC8"/>
    <w:rsid w:val="00A9681E"/>
    <w:rsid w:val="00AD336C"/>
    <w:rsid w:val="00AE3F51"/>
    <w:rsid w:val="00AE5C63"/>
    <w:rsid w:val="00AF4455"/>
    <w:rsid w:val="00AF5531"/>
    <w:rsid w:val="00B04E3A"/>
    <w:rsid w:val="00B070E8"/>
    <w:rsid w:val="00B10431"/>
    <w:rsid w:val="00B1659B"/>
    <w:rsid w:val="00B22059"/>
    <w:rsid w:val="00B43882"/>
    <w:rsid w:val="00B44DB3"/>
    <w:rsid w:val="00B50C14"/>
    <w:rsid w:val="00B52224"/>
    <w:rsid w:val="00B60042"/>
    <w:rsid w:val="00B820C9"/>
    <w:rsid w:val="00B86751"/>
    <w:rsid w:val="00B93222"/>
    <w:rsid w:val="00BC283E"/>
    <w:rsid w:val="00BC437B"/>
    <w:rsid w:val="00C033D7"/>
    <w:rsid w:val="00C04F3F"/>
    <w:rsid w:val="00C32087"/>
    <w:rsid w:val="00C362B6"/>
    <w:rsid w:val="00C5373E"/>
    <w:rsid w:val="00C713AC"/>
    <w:rsid w:val="00C84CAD"/>
    <w:rsid w:val="00CA62A2"/>
    <w:rsid w:val="00CC427D"/>
    <w:rsid w:val="00CD3F0C"/>
    <w:rsid w:val="00CE6C99"/>
    <w:rsid w:val="00CE7B02"/>
    <w:rsid w:val="00CF1CED"/>
    <w:rsid w:val="00CF517F"/>
    <w:rsid w:val="00CF6C12"/>
    <w:rsid w:val="00D01CC2"/>
    <w:rsid w:val="00D114CF"/>
    <w:rsid w:val="00D224D5"/>
    <w:rsid w:val="00D41461"/>
    <w:rsid w:val="00D81B6E"/>
    <w:rsid w:val="00D85EC1"/>
    <w:rsid w:val="00DD7745"/>
    <w:rsid w:val="00DD78B0"/>
    <w:rsid w:val="00DF089C"/>
    <w:rsid w:val="00DF45C9"/>
    <w:rsid w:val="00E0171A"/>
    <w:rsid w:val="00E17671"/>
    <w:rsid w:val="00E246FD"/>
    <w:rsid w:val="00E50068"/>
    <w:rsid w:val="00E669D0"/>
    <w:rsid w:val="00E731FA"/>
    <w:rsid w:val="00EA61BF"/>
    <w:rsid w:val="00EB3224"/>
    <w:rsid w:val="00EC7D80"/>
    <w:rsid w:val="00EE40B8"/>
    <w:rsid w:val="00EE4F1B"/>
    <w:rsid w:val="00EF1736"/>
    <w:rsid w:val="00EF238F"/>
    <w:rsid w:val="00F01FA1"/>
    <w:rsid w:val="00F11E02"/>
    <w:rsid w:val="00F15869"/>
    <w:rsid w:val="00F3524E"/>
    <w:rsid w:val="00F3716C"/>
    <w:rsid w:val="00F471A1"/>
    <w:rsid w:val="00F5007F"/>
    <w:rsid w:val="00F858F9"/>
    <w:rsid w:val="00F901C2"/>
    <w:rsid w:val="00F93ACC"/>
    <w:rsid w:val="00FA40CB"/>
    <w:rsid w:val="00FB0CAC"/>
    <w:rsid w:val="00FB7838"/>
    <w:rsid w:val="00FC4221"/>
    <w:rsid w:val="00FC514E"/>
    <w:rsid w:val="00FC5D04"/>
    <w:rsid w:val="00FD7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23364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E3F51"/>
    <w:rPr>
      <w:sz w:val="24"/>
      <w:szCs w:val="24"/>
    </w:rPr>
  </w:style>
  <w:style w:type="paragraph" w:styleId="Heading1">
    <w:name w:val="heading 1"/>
    <w:basedOn w:val="Normal"/>
    <w:next w:val="Normal"/>
    <w:link w:val="Heading1Char"/>
    <w:uiPriority w:val="9"/>
    <w:qFormat/>
    <w:rsid w:val="009E40B5"/>
    <w:pPr>
      <w:spacing w:line="480" w:lineRule="auto"/>
      <w:outlineLvl w:val="0"/>
    </w:pPr>
    <w:rPr>
      <w:b/>
      <w:i/>
    </w:rPr>
  </w:style>
  <w:style w:type="paragraph" w:styleId="Heading2">
    <w:name w:val="heading 2"/>
    <w:basedOn w:val="Normal"/>
    <w:next w:val="Normal"/>
    <w:link w:val="Heading2Char"/>
    <w:unhideWhenUsed/>
    <w:qFormat/>
    <w:rsid w:val="00AE3F51"/>
    <w:pPr>
      <w:spacing w:line="480" w:lineRule="auto"/>
      <w:outlineLvl w:val="1"/>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E2EA2"/>
    <w:pPr>
      <w:tabs>
        <w:tab w:val="center" w:pos="4320"/>
        <w:tab w:val="right" w:pos="8640"/>
      </w:tabs>
    </w:pPr>
  </w:style>
  <w:style w:type="paragraph" w:styleId="Footer">
    <w:name w:val="footer"/>
    <w:basedOn w:val="Normal"/>
    <w:rsid w:val="006E2EA2"/>
    <w:pPr>
      <w:tabs>
        <w:tab w:val="center" w:pos="4320"/>
        <w:tab w:val="right" w:pos="8640"/>
      </w:tabs>
    </w:pPr>
  </w:style>
  <w:style w:type="character" w:styleId="PageNumber">
    <w:name w:val="page number"/>
    <w:basedOn w:val="DefaultParagraphFont"/>
    <w:rsid w:val="006E2EA2"/>
  </w:style>
  <w:style w:type="paragraph" w:styleId="Title">
    <w:name w:val="Title"/>
    <w:basedOn w:val="Normal"/>
    <w:next w:val="Normal"/>
    <w:link w:val="TitleChar"/>
    <w:qFormat/>
    <w:rsid w:val="009035AA"/>
    <w:pPr>
      <w:tabs>
        <w:tab w:val="left" w:pos="4136"/>
      </w:tabs>
      <w:spacing w:line="480" w:lineRule="auto"/>
      <w:jc w:val="center"/>
    </w:pPr>
  </w:style>
  <w:style w:type="character" w:customStyle="1" w:styleId="TitleChar">
    <w:name w:val="Title Char"/>
    <w:basedOn w:val="DefaultParagraphFont"/>
    <w:link w:val="Title"/>
    <w:rsid w:val="009035AA"/>
    <w:rPr>
      <w:sz w:val="24"/>
      <w:szCs w:val="24"/>
    </w:rPr>
  </w:style>
  <w:style w:type="character" w:customStyle="1" w:styleId="Heading1Char">
    <w:name w:val="Heading 1 Char"/>
    <w:basedOn w:val="DefaultParagraphFont"/>
    <w:link w:val="Heading1"/>
    <w:uiPriority w:val="9"/>
    <w:rsid w:val="009E40B5"/>
    <w:rPr>
      <w:b/>
      <w:i/>
      <w:sz w:val="24"/>
      <w:szCs w:val="24"/>
    </w:rPr>
  </w:style>
  <w:style w:type="character" w:customStyle="1" w:styleId="Heading2Char">
    <w:name w:val="Heading 2 Char"/>
    <w:basedOn w:val="DefaultParagraphFont"/>
    <w:link w:val="Heading2"/>
    <w:rsid w:val="00AE3F51"/>
    <w:rPr>
      <w:i/>
      <w:sz w:val="24"/>
      <w:szCs w:val="24"/>
    </w:rPr>
  </w:style>
  <w:style w:type="paragraph" w:styleId="Bibliography">
    <w:name w:val="Bibliography"/>
    <w:basedOn w:val="Normal"/>
    <w:next w:val="Normal"/>
    <w:uiPriority w:val="37"/>
    <w:unhideWhenUsed/>
    <w:rsid w:val="0037130F"/>
  </w:style>
  <w:style w:type="paragraph" w:styleId="ListParagraph">
    <w:name w:val="List Paragraph"/>
    <w:basedOn w:val="Normal"/>
    <w:uiPriority w:val="34"/>
    <w:qFormat/>
    <w:rsid w:val="00205A4D"/>
    <w:pPr>
      <w:spacing w:after="160" w:line="259" w:lineRule="auto"/>
      <w:ind w:left="720"/>
      <w:contextualSpacing/>
    </w:pPr>
    <w:rPr>
      <w:rFonts w:asciiTheme="minorHAnsi" w:eastAsiaTheme="minorEastAsia" w:hAnsiTheme="minorHAnsi" w:cstheme="minorBidi"/>
      <w:sz w:val="22"/>
      <w:szCs w:val="22"/>
      <w:lang w:val="en-GB" w:eastAsia="zh-CN"/>
    </w:rPr>
  </w:style>
  <w:style w:type="paragraph" w:styleId="NormalWeb">
    <w:name w:val="Normal (Web)"/>
    <w:basedOn w:val="Normal"/>
    <w:uiPriority w:val="99"/>
    <w:unhideWhenUsed/>
    <w:rsid w:val="00361114"/>
    <w:pPr>
      <w:spacing w:before="100" w:beforeAutospacing="1" w:after="100" w:afterAutospacing="1"/>
    </w:pPr>
  </w:style>
  <w:style w:type="character" w:customStyle="1" w:styleId="hgkelc">
    <w:name w:val="hgkelc"/>
    <w:basedOn w:val="DefaultParagraphFont"/>
    <w:rsid w:val="00465F59"/>
  </w:style>
  <w:style w:type="paragraph" w:customStyle="1" w:styleId="topic-paragraph">
    <w:name w:val="topic-paragraph"/>
    <w:basedOn w:val="Normal"/>
    <w:rsid w:val="0078489E"/>
    <w:pPr>
      <w:spacing w:before="100" w:beforeAutospacing="1" w:after="100" w:afterAutospacing="1"/>
    </w:pPr>
  </w:style>
  <w:style w:type="character" w:styleId="Hyperlink">
    <w:name w:val="Hyperlink"/>
    <w:basedOn w:val="DefaultParagraphFont"/>
    <w:uiPriority w:val="99"/>
    <w:unhideWhenUsed/>
    <w:rsid w:val="0078489E"/>
    <w:rPr>
      <w:color w:val="0000FF"/>
      <w:u w:val="single"/>
    </w:rPr>
  </w:style>
  <w:style w:type="character" w:styleId="Emphasis">
    <w:name w:val="Emphasis"/>
    <w:basedOn w:val="DefaultParagraphFont"/>
    <w:uiPriority w:val="20"/>
    <w:qFormat/>
    <w:rsid w:val="00B22059"/>
    <w:rPr>
      <w:i/>
      <w:iCs/>
    </w:rPr>
  </w:style>
  <w:style w:type="character" w:customStyle="1" w:styleId="label">
    <w:name w:val="label"/>
    <w:basedOn w:val="DefaultParagraphFont"/>
    <w:rsid w:val="00B93222"/>
  </w:style>
  <w:style w:type="character" w:styleId="Strong">
    <w:name w:val="Strong"/>
    <w:basedOn w:val="DefaultParagraphFont"/>
    <w:uiPriority w:val="22"/>
    <w:qFormat/>
    <w:rsid w:val="00E50068"/>
    <w:rPr>
      <w:b/>
      <w:bCs/>
    </w:rPr>
  </w:style>
  <w:style w:type="character" w:customStyle="1" w:styleId="kx21rb">
    <w:name w:val="kx21rb"/>
    <w:basedOn w:val="DefaultParagraphFont"/>
    <w:rsid w:val="003767AD"/>
  </w:style>
  <w:style w:type="paragraph" w:customStyle="1" w:styleId="mt-2">
    <w:name w:val="mt-2"/>
    <w:basedOn w:val="Normal"/>
    <w:rsid w:val="00A05E95"/>
    <w:pPr>
      <w:spacing w:before="100" w:beforeAutospacing="1" w:after="100" w:afterAutospacing="1"/>
    </w:pPr>
  </w:style>
  <w:style w:type="paragraph" w:styleId="NoSpacing">
    <w:name w:val="No Spacing"/>
    <w:uiPriority w:val="1"/>
    <w:qFormat/>
    <w:rsid w:val="00974BFA"/>
    <w:rPr>
      <w:rFonts w:asciiTheme="minorHAnsi" w:eastAsiaTheme="minorEastAsia" w:hAnsiTheme="minorHAnsi" w:cstheme="minorBidi"/>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36F06A1-C2FE-4A09-961B-CD66D02CC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1462</Words>
  <Characters>8486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2022-11-11T12:08:00Z</dcterms:created>
  <dcterms:modified xsi:type="dcterms:W3CDTF">2022-11-11T16:18:00Z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83636fb6d6851f4ad4c05f8bc387359ba12944ce5033a19f539a8eb4a0c40f82</vt:lpwstr>
  </property>
</Properties>
</file>